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DB" w:rsidRDefault="00CD025D" w:rsidP="00D710A5">
      <w:pPr>
        <w:widowControl/>
        <w:spacing w:after="0" w:line="240" w:lineRule="auto"/>
        <w:jc w:val="center"/>
        <w:rPr>
          <w:rFonts w:ascii="Times New Roman" w:hAnsi="Times New Roman"/>
          <w:b/>
          <w:caps/>
          <w:color w:val="000000"/>
          <w:spacing w:val="30"/>
          <w:sz w:val="25"/>
          <w:szCs w:val="25"/>
          <w:lang w:eastAsia="sk-SK"/>
        </w:rPr>
      </w:pPr>
      <w:r w:rsidRPr="007D23C5">
        <w:rPr>
          <w:rFonts w:ascii="Times New Roman" w:hAnsi="Times New Roman"/>
          <w:b/>
          <w:caps/>
          <w:color w:val="000000"/>
          <w:spacing w:val="30"/>
          <w:sz w:val="25"/>
          <w:szCs w:val="25"/>
          <w:lang w:eastAsia="sk-SK"/>
        </w:rPr>
        <w:t>Dôvodová správa</w:t>
      </w:r>
    </w:p>
    <w:p w:rsidR="00730901" w:rsidRPr="005A1161" w:rsidRDefault="00730901" w:rsidP="00D710A5">
      <w:pPr>
        <w:widowControl/>
        <w:spacing w:after="0" w:line="240" w:lineRule="auto"/>
        <w:jc w:val="center"/>
        <w:rPr>
          <w:rFonts w:ascii="Times New Roman" w:hAnsi="Times New Roman" w:cs="Calibri"/>
          <w:b/>
          <w:caps/>
          <w:sz w:val="20"/>
          <w:szCs w:val="20"/>
        </w:rPr>
      </w:pPr>
    </w:p>
    <w:p w:rsidR="00AB1F57" w:rsidRDefault="00AB1F57" w:rsidP="00D710A5">
      <w:pPr>
        <w:widowControl/>
        <w:spacing w:after="0" w:line="240" w:lineRule="auto"/>
        <w:jc w:val="center"/>
        <w:rPr>
          <w:rFonts w:ascii="Times New Roman" w:hAnsi="Times New Roman" w:cs="Calibri"/>
          <w:iCs/>
          <w:sz w:val="20"/>
          <w:szCs w:val="20"/>
        </w:rPr>
      </w:pPr>
    </w:p>
    <w:p w:rsidR="00730901" w:rsidRPr="00730901" w:rsidRDefault="00730901" w:rsidP="00730901">
      <w:pPr>
        <w:widowControl/>
        <w:spacing w:after="0" w:line="240" w:lineRule="auto"/>
        <w:rPr>
          <w:rFonts w:ascii="Times New Roman" w:hAnsi="Times New Roman"/>
          <w:iCs/>
          <w:sz w:val="20"/>
          <w:szCs w:val="20"/>
        </w:rPr>
      </w:pPr>
      <w:r w:rsidRPr="00730901">
        <w:rPr>
          <w:rFonts w:ascii="Times New Roman" w:hAnsi="Times New Roman"/>
          <w:b/>
          <w:color w:val="000000"/>
          <w:sz w:val="25"/>
          <w:szCs w:val="25"/>
          <w:lang w:eastAsia="sk-SK"/>
        </w:rPr>
        <w:t>A. Všeobecná časť</w:t>
      </w:r>
    </w:p>
    <w:p w:rsidR="00730901" w:rsidRDefault="00730901" w:rsidP="00D710A5">
      <w:pPr>
        <w:widowControl/>
        <w:spacing w:after="0" w:line="240" w:lineRule="auto"/>
        <w:jc w:val="center"/>
        <w:rPr>
          <w:rFonts w:ascii="Times New Roman" w:hAnsi="Times New Roman" w:cs="Calibri"/>
          <w:iCs/>
          <w:sz w:val="20"/>
          <w:szCs w:val="20"/>
        </w:rPr>
      </w:pPr>
    </w:p>
    <w:p w:rsidR="00730901" w:rsidRDefault="00730901" w:rsidP="00D710A5">
      <w:pPr>
        <w:widowControl/>
        <w:spacing w:after="0" w:line="240" w:lineRule="auto"/>
        <w:jc w:val="center"/>
        <w:rPr>
          <w:rFonts w:ascii="Times New Roman" w:hAnsi="Times New Roman" w:cs="Calibri"/>
          <w:iCs/>
          <w:sz w:val="20"/>
          <w:szCs w:val="20"/>
        </w:rPr>
      </w:pP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 xml:space="preserve">Návrh zákona o finančnej podpore činnosti cirkví a náboženských spoločností </w:t>
      </w:r>
      <w:r w:rsidR="002179E1">
        <w:rPr>
          <w:rFonts w:ascii="Times New Roman" w:hAnsi="Times New Roman"/>
          <w:sz w:val="24"/>
          <w:szCs w:val="24"/>
        </w:rPr>
        <w:t xml:space="preserve">sa </w:t>
      </w:r>
      <w:r w:rsidRPr="00AD20CF">
        <w:rPr>
          <w:rFonts w:ascii="Times New Roman" w:hAnsi="Times New Roman"/>
          <w:sz w:val="24"/>
          <w:szCs w:val="24"/>
        </w:rPr>
        <w:t xml:space="preserve">predkladá na </w:t>
      </w:r>
      <w:r w:rsidR="002179E1">
        <w:rPr>
          <w:rFonts w:ascii="Times New Roman" w:hAnsi="Times New Roman"/>
          <w:sz w:val="24"/>
          <w:szCs w:val="24"/>
        </w:rPr>
        <w:t xml:space="preserve">základe Programového vyhlásenia vlády </w:t>
      </w:r>
      <w:r w:rsidR="00353C46">
        <w:rPr>
          <w:rFonts w:ascii="Times New Roman" w:hAnsi="Times New Roman"/>
          <w:sz w:val="24"/>
          <w:szCs w:val="24"/>
        </w:rPr>
        <w:t>Slovenskej republiky</w:t>
      </w:r>
      <w:r w:rsidRPr="00AD20CF">
        <w:rPr>
          <w:rFonts w:ascii="Times New Roman" w:hAnsi="Times New Roman"/>
          <w:sz w:val="24"/>
          <w:szCs w:val="24"/>
        </w:rPr>
        <w:t>.</w:t>
      </w: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 xml:space="preserve">Cieľom predloženého návrhu zákona je upraviť podporu činnosti registrovaných cirkví a náboženských spoločností (ďalej len „cirkvi“) zo strany štátu. Nahrádza sa doterajší právny režim vychádzajúci zo zákona č. 218/1949 Zb. o hospodárskom zabezpečení cirkví a náboženských spoločností štátom v znení neskorších predpisov. Navrhovaná právna úprava berie do úvahy odporúčania, na ktorých sa dohodli najvyšší predstavitelia kresťanských cirkví </w:t>
      </w:r>
      <w:r w:rsidR="00095F7F">
        <w:rPr>
          <w:rFonts w:ascii="Times New Roman" w:hAnsi="Times New Roman"/>
          <w:sz w:val="24"/>
          <w:szCs w:val="24"/>
        </w:rPr>
        <w:t>v Slovenskej republike</w:t>
      </w:r>
      <w:r w:rsidRPr="00AD20CF">
        <w:rPr>
          <w:rFonts w:ascii="Times New Roman" w:hAnsi="Times New Roman"/>
          <w:sz w:val="24"/>
          <w:szCs w:val="24"/>
        </w:rPr>
        <w:t xml:space="preserve"> a Ústredného zväzu židovských náboženských obcí v Slovenskej republike</w:t>
      </w:r>
      <w:r w:rsidR="00B56733">
        <w:rPr>
          <w:rFonts w:ascii="Times New Roman" w:hAnsi="Times New Roman"/>
          <w:sz w:val="24"/>
          <w:szCs w:val="24"/>
        </w:rPr>
        <w:t>,</w:t>
      </w:r>
      <w:r w:rsidRPr="00AD20CF">
        <w:rPr>
          <w:rFonts w:ascii="Times New Roman" w:hAnsi="Times New Roman"/>
          <w:sz w:val="24"/>
          <w:szCs w:val="24"/>
        </w:rPr>
        <w:t xml:space="preserve"> a závery Expertnej komisie Ministerstva kultúry Slovenskej republiky</w:t>
      </w:r>
      <w:r w:rsidR="000A218D">
        <w:rPr>
          <w:rFonts w:ascii="Times New Roman" w:hAnsi="Times New Roman"/>
          <w:sz w:val="24"/>
          <w:szCs w:val="24"/>
        </w:rPr>
        <w:t xml:space="preserve">. </w:t>
      </w:r>
      <w:r w:rsidR="00095F7F">
        <w:rPr>
          <w:rFonts w:ascii="Times New Roman" w:hAnsi="Times New Roman"/>
          <w:sz w:val="24"/>
          <w:szCs w:val="24"/>
        </w:rPr>
        <w:t>Predložený návrh zákona v</w:t>
      </w:r>
      <w:r w:rsidRPr="00AD20CF">
        <w:rPr>
          <w:rFonts w:ascii="Times New Roman" w:hAnsi="Times New Roman"/>
          <w:sz w:val="24"/>
          <w:szCs w:val="24"/>
        </w:rPr>
        <w:t>ychádza zo zásad solidarity, spravodlivosti a transparentnosti.</w:t>
      </w:r>
      <w:r w:rsidR="00C14C27">
        <w:rPr>
          <w:rFonts w:ascii="Times New Roman" w:hAnsi="Times New Roman"/>
          <w:sz w:val="24"/>
          <w:szCs w:val="24"/>
        </w:rPr>
        <w:t xml:space="preserve"> Prijatie tohto zákona je zároveň predpokladom na splnenie záväzkov vyplývajúcich z čl. 20 ods. 1 Základnej zmluvy medzi Slovenskou republikou a Svätou stolicou zverejnenej v Zbierke zákonov pod číslom 326/2001 Z. z. a </w:t>
      </w:r>
      <w:r w:rsidR="00C14C27" w:rsidRPr="00C14C27">
        <w:rPr>
          <w:rFonts w:ascii="Times New Roman" w:hAnsi="Times New Roman"/>
          <w:sz w:val="24"/>
          <w:szCs w:val="24"/>
        </w:rPr>
        <w:t>čl. 20 ods. 1 zmluvy medzi Slovenskou republikou a registrovanými cirkvami a náboženskými spoločnosťami zverejnenej v Zbierke zákonov pod číslom 250/2002</w:t>
      </w:r>
      <w:r w:rsidR="00C14C27">
        <w:rPr>
          <w:rFonts w:ascii="Times New Roman" w:hAnsi="Times New Roman"/>
          <w:sz w:val="24"/>
          <w:szCs w:val="24"/>
        </w:rPr>
        <w:t> </w:t>
      </w:r>
      <w:r w:rsidR="00C14C27" w:rsidRPr="00C14C27">
        <w:rPr>
          <w:rFonts w:ascii="Times New Roman" w:hAnsi="Times New Roman"/>
          <w:sz w:val="24"/>
          <w:szCs w:val="24"/>
        </w:rPr>
        <w:t>Z.</w:t>
      </w:r>
      <w:r w:rsidR="00C14C27">
        <w:rPr>
          <w:rFonts w:ascii="Times New Roman" w:hAnsi="Times New Roman"/>
          <w:sz w:val="24"/>
          <w:szCs w:val="24"/>
        </w:rPr>
        <w:t> </w:t>
      </w:r>
      <w:r w:rsidR="00C14C27" w:rsidRPr="00C14C27">
        <w:rPr>
          <w:rFonts w:ascii="Times New Roman" w:hAnsi="Times New Roman"/>
          <w:sz w:val="24"/>
          <w:szCs w:val="24"/>
        </w:rPr>
        <w:t xml:space="preserve">z. </w:t>
      </w: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Podľa súčasnej právnej úpravy štát poskytuje cirkvám, ak o to požiadali, príspevok na úhradu osobných požitkov duchovných pôsobiacich ako zamestnanc</w:t>
      </w:r>
      <w:r w:rsidR="00095F7F">
        <w:rPr>
          <w:rFonts w:ascii="Times New Roman" w:hAnsi="Times New Roman"/>
          <w:sz w:val="24"/>
          <w:szCs w:val="24"/>
        </w:rPr>
        <w:t>ov</w:t>
      </w:r>
      <w:r w:rsidRPr="00AD20CF">
        <w:rPr>
          <w:rFonts w:ascii="Times New Roman" w:hAnsi="Times New Roman"/>
          <w:sz w:val="24"/>
          <w:szCs w:val="24"/>
        </w:rPr>
        <w:t xml:space="preserve"> cirkví a náboženských spoločností v duchovnej správe, zamestnancov v cirkevnej administratíve alebo v ústavoch </w:t>
      </w:r>
      <w:r w:rsidR="00B56733">
        <w:rPr>
          <w:rFonts w:ascii="Times New Roman" w:hAnsi="Times New Roman"/>
          <w:sz w:val="24"/>
          <w:szCs w:val="24"/>
        </w:rPr>
        <w:t>na</w:t>
      </w:r>
      <w:r w:rsidRPr="00AD20CF">
        <w:rPr>
          <w:rFonts w:ascii="Times New Roman" w:hAnsi="Times New Roman"/>
          <w:sz w:val="24"/>
          <w:szCs w:val="24"/>
        </w:rPr>
        <w:t xml:space="preserve"> výchovu duchovných. Duchovní, ktorí majú nárok na osobné požitky, majú tiež nárok na náhradu cestovných, sťahovacích a iných výdavkov podľa zákona č. 283/2002 Z. z. o cestovných náhradách v znení neskorších predpisov. Zároveň štát čiastočne prispieva cirkvám na riadne vecné náklady spojené s administratívou. Konkrétna úprava osobných požitkov (základný plat, hodnostný prídavok a zvýšenie základného platu za ocenenie vysokej kvality výkonu </w:t>
      </w:r>
      <w:r w:rsidRPr="00651EB7">
        <w:rPr>
          <w:rFonts w:ascii="Times New Roman" w:hAnsi="Times New Roman"/>
          <w:sz w:val="24"/>
          <w:szCs w:val="24"/>
        </w:rPr>
        <w:t>duchovenskej</w:t>
      </w:r>
      <w:r w:rsidRPr="00AD20CF">
        <w:rPr>
          <w:rFonts w:ascii="Times New Roman" w:hAnsi="Times New Roman"/>
          <w:sz w:val="24"/>
          <w:szCs w:val="24"/>
        </w:rPr>
        <w:t xml:space="preserve"> činnosti) je obsiahnutá v nariadení vlády Slovenskej republiky č. 299/2007 Z. z. o úprave osobných p</w:t>
      </w:r>
      <w:r w:rsidR="000A218D">
        <w:rPr>
          <w:rFonts w:ascii="Times New Roman" w:hAnsi="Times New Roman"/>
          <w:sz w:val="24"/>
          <w:szCs w:val="24"/>
        </w:rPr>
        <w:t>o</w:t>
      </w:r>
      <w:r w:rsidRPr="00AD20CF">
        <w:rPr>
          <w:rFonts w:ascii="Times New Roman" w:hAnsi="Times New Roman"/>
          <w:sz w:val="24"/>
          <w:szCs w:val="24"/>
        </w:rPr>
        <w:t>žitkov poskytovaných duchovným cirkví a náboženských spoločností v znení neskorších predpisov. Zmena súčasného systému financovania cirkví, ktorého ideové východiská pochádzajú ešte z roku 1949, je však dlhodobo predmetom diskusií na úrovniach občianskej spoločnosti, politických strán, angažovanej verejnosti i samotných cirkví.</w:t>
      </w: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Navrhovaný systém financovania cirkví vychádza z doteraz uplatňovaného modelu, avšak predpokladá postupné zohľadňovanie modifikácií počtu veriacich jednotlivých cirkví podľa sčítaní obyvateľov a kladie dôraz na samostatné a nezávislé hospodárenie cirkví podľa vlastných rozpočtov.</w:t>
      </w:r>
    </w:p>
    <w:p w:rsidR="00DD7F25" w:rsidRDefault="00A861E0">
      <w:pPr>
        <w:jc w:val="both"/>
        <w:divId w:val="349644031"/>
        <w:rPr>
          <w:rFonts w:ascii="Times New Roman" w:hAnsi="Times New Roman"/>
          <w:sz w:val="24"/>
          <w:szCs w:val="24"/>
        </w:rPr>
      </w:pPr>
      <w:r w:rsidRPr="00AD20CF">
        <w:rPr>
          <w:rFonts w:ascii="Times New Roman" w:hAnsi="Times New Roman"/>
          <w:sz w:val="24"/>
          <w:szCs w:val="24"/>
        </w:rPr>
        <w:t>Podľa predloženého návrhu zákona bude štát napomáhať činnosti cirkví poskytovaním príspevku štátu, ktorým sa na účely tohto zákona rozumie suma (súhrn) finančných prostriedkov poskytovaných zo št</w:t>
      </w:r>
      <w:r w:rsidR="000A218D">
        <w:rPr>
          <w:rFonts w:ascii="Times New Roman" w:hAnsi="Times New Roman"/>
          <w:sz w:val="24"/>
          <w:szCs w:val="24"/>
        </w:rPr>
        <w:t>átneho rozpočtu všetkým cirkvám. Táto</w:t>
      </w:r>
      <w:r w:rsidRPr="00AD20CF">
        <w:rPr>
          <w:rFonts w:ascii="Times New Roman" w:hAnsi="Times New Roman"/>
          <w:sz w:val="24"/>
          <w:szCs w:val="24"/>
        </w:rPr>
        <w:t xml:space="preserve"> </w:t>
      </w:r>
      <w:r w:rsidR="000A218D">
        <w:rPr>
          <w:rFonts w:ascii="Times New Roman" w:hAnsi="Times New Roman"/>
          <w:sz w:val="24"/>
          <w:szCs w:val="24"/>
        </w:rPr>
        <w:t xml:space="preserve">suma </w:t>
      </w:r>
      <w:r w:rsidRPr="00AD20CF">
        <w:rPr>
          <w:rFonts w:ascii="Times New Roman" w:hAnsi="Times New Roman"/>
          <w:sz w:val="24"/>
          <w:szCs w:val="24"/>
        </w:rPr>
        <w:t xml:space="preserve">bude </w:t>
      </w:r>
      <w:r w:rsidR="0002247E">
        <w:rPr>
          <w:rFonts w:ascii="Times New Roman" w:hAnsi="Times New Roman"/>
          <w:sz w:val="24"/>
          <w:szCs w:val="24"/>
        </w:rPr>
        <w:t>každoročne navyšovaná v stanovenom pomere o mieru inflácie a valorizácie</w:t>
      </w:r>
      <w:r w:rsidRPr="00AD20CF">
        <w:rPr>
          <w:rFonts w:ascii="Times New Roman" w:hAnsi="Times New Roman"/>
          <w:sz w:val="24"/>
          <w:szCs w:val="24"/>
        </w:rPr>
        <w:t xml:space="preserve">. Príspevok vychádza zo sumy finančných prostriedkov, ktorú štát cirkvám poskytuje podľa súčasnej úpravy. Návrh obsahuje prílohu č. </w:t>
      </w:r>
      <w:r w:rsidR="00F3325B">
        <w:rPr>
          <w:rFonts w:ascii="Times New Roman" w:hAnsi="Times New Roman"/>
          <w:sz w:val="24"/>
          <w:szCs w:val="24"/>
        </w:rPr>
        <w:t>2</w:t>
      </w:r>
      <w:r w:rsidRPr="00AD20CF">
        <w:rPr>
          <w:rFonts w:ascii="Times New Roman" w:hAnsi="Times New Roman"/>
          <w:sz w:val="24"/>
          <w:szCs w:val="24"/>
        </w:rPr>
        <w:t xml:space="preserve">, </w:t>
      </w:r>
      <w:r w:rsidRPr="00AD20CF">
        <w:rPr>
          <w:rFonts w:ascii="Times New Roman" w:hAnsi="Times New Roman"/>
          <w:sz w:val="24"/>
          <w:szCs w:val="24"/>
        </w:rPr>
        <w:lastRenderedPageBreak/>
        <w:t>ktorá uvádza konkrétne sumy poskytnuté jednotlivým cirkvám v roku 2019</w:t>
      </w:r>
      <w:r w:rsidR="00DD7F25">
        <w:rPr>
          <w:rFonts w:ascii="Times New Roman" w:hAnsi="Times New Roman"/>
          <w:sz w:val="24"/>
          <w:szCs w:val="24"/>
        </w:rPr>
        <w:t xml:space="preserve">. </w:t>
      </w: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Príspevok sa bude následne rozdeľovať jednotlivým cirkvám takým spôsobom, že suma príspevku vo výške príspevku na rok 2019 sa rozdelí medzi jednotlivé cirkvi, ktorým bol poskytnutý príspevok na rok 2019</w:t>
      </w:r>
      <w:r w:rsidR="00B56733">
        <w:rPr>
          <w:rFonts w:ascii="Times New Roman" w:hAnsi="Times New Roman"/>
          <w:sz w:val="24"/>
          <w:szCs w:val="24"/>
        </w:rPr>
        <w:t>,</w:t>
      </w:r>
      <w:r w:rsidRPr="00AD20CF">
        <w:rPr>
          <w:rFonts w:ascii="Times New Roman" w:hAnsi="Times New Roman"/>
          <w:sz w:val="24"/>
          <w:szCs w:val="24"/>
        </w:rPr>
        <w:t xml:space="preserve"> na základe pomeru rozdelenia príspevku na rok 2019 a zvyšná suma príspevku sa rozdelí medzi jednotlivé cirkvi pomerne podľa počtu veriacich cirkvi uvedeného v sčítaní obyvateľov. Cirkvám, ktorým v roku 2019 nebol poskytnutý príspevok zo štátneho rozpočtu</w:t>
      </w:r>
      <w:r w:rsidR="00B56733">
        <w:rPr>
          <w:rFonts w:ascii="Times New Roman" w:hAnsi="Times New Roman"/>
          <w:sz w:val="24"/>
          <w:szCs w:val="24"/>
        </w:rPr>
        <w:t>,</w:t>
      </w:r>
      <w:r w:rsidRPr="00AD20CF">
        <w:rPr>
          <w:rFonts w:ascii="Times New Roman" w:hAnsi="Times New Roman"/>
          <w:sz w:val="24"/>
          <w:szCs w:val="24"/>
        </w:rPr>
        <w:t xml:space="preserve"> a cirkvám, ktoré budú registrované po nadobudnutí účinnosti navrhovaného zákona, sa poskyt</w:t>
      </w:r>
      <w:r w:rsidR="00E83706">
        <w:rPr>
          <w:rFonts w:ascii="Times New Roman" w:hAnsi="Times New Roman"/>
          <w:sz w:val="24"/>
          <w:szCs w:val="24"/>
        </w:rPr>
        <w:t>ne</w:t>
      </w:r>
      <w:r w:rsidRPr="00AD20CF">
        <w:rPr>
          <w:rFonts w:ascii="Times New Roman" w:hAnsi="Times New Roman"/>
          <w:sz w:val="24"/>
          <w:szCs w:val="24"/>
        </w:rPr>
        <w:t xml:space="preserve"> príspevok na základe ich žiadosti a podľa počtu ich veriacich podľa </w:t>
      </w:r>
      <w:r w:rsidR="000A218D">
        <w:rPr>
          <w:rFonts w:ascii="Times New Roman" w:hAnsi="Times New Roman"/>
          <w:sz w:val="24"/>
          <w:szCs w:val="24"/>
        </w:rPr>
        <w:t>posled</w:t>
      </w:r>
      <w:r w:rsidRPr="00AD20CF">
        <w:rPr>
          <w:rFonts w:ascii="Times New Roman" w:hAnsi="Times New Roman"/>
          <w:sz w:val="24"/>
          <w:szCs w:val="24"/>
        </w:rPr>
        <w:t>ného sčítania obyvateľov.</w:t>
      </w: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Príspevok je v zmysle návrhu zákona koncipovaný ako jeden z prostriedkov, ktorými štát napomáha činnosti cirkví a s ktorým cirkvi samostatne hospodária</w:t>
      </w:r>
      <w:r w:rsidR="000F1207">
        <w:rPr>
          <w:rFonts w:ascii="Times New Roman" w:hAnsi="Times New Roman"/>
          <w:sz w:val="24"/>
          <w:szCs w:val="24"/>
        </w:rPr>
        <w:t xml:space="preserve">. Doterajšia koncepcia, ktorá určovala výšku mzdy duchovného z prostriedkov štátneho rozpočtu formou mzdovej tabuľky určenej nariadením vlády sa ruší. Výšku mzdy duchovných budú určovať cirkvi v súlade s príslušnými ustanoveniami Zákonníka práce. </w:t>
      </w:r>
      <w:r w:rsidRPr="00AD20CF">
        <w:rPr>
          <w:rFonts w:ascii="Times New Roman" w:hAnsi="Times New Roman"/>
          <w:sz w:val="24"/>
          <w:szCs w:val="24"/>
        </w:rPr>
        <w:t>Navrhuje sa, aby mal štát, obdobne ako podľa súčasnej zákonnej úpravy, právo vykonávať kontrolu hospodárenia s príspevkom podľa osobitných predpisov. Návrh zákona tiež predpokladá, že príspevok štátu a prípadná iná podpora zo strany štátu (napr. vo forme účelových dotácií alebo daňových úľav) bude iba jedným zo zdrojov podpory a financovania činností cirkví, pričom zdrojmi finančného zabezpečenia budú predovšetkým vlastné zdroje financovania ako príspevky členov cirkví, dary od domácich a</w:t>
      </w:r>
      <w:r w:rsidR="00AD20CF" w:rsidRPr="00AD20CF">
        <w:rPr>
          <w:rFonts w:ascii="Times New Roman" w:hAnsi="Times New Roman"/>
          <w:sz w:val="24"/>
          <w:szCs w:val="24"/>
        </w:rPr>
        <w:t> </w:t>
      </w:r>
      <w:r w:rsidRPr="00AD20CF">
        <w:rPr>
          <w:rFonts w:ascii="Times New Roman" w:hAnsi="Times New Roman"/>
          <w:sz w:val="24"/>
          <w:szCs w:val="24"/>
        </w:rPr>
        <w:t>zahraničných fyzických a právnických osôb, výnosy z vlastného majetku, výnosy z vlastnej činnosti, výnosy z verejných zbierok a pod., čím sa docieli vyššia miera nezávislého postavenia a pôsobenia cirkví v Slovenskej republike.</w:t>
      </w:r>
      <w:r w:rsidR="000F1207">
        <w:rPr>
          <w:rFonts w:ascii="Times New Roman" w:hAnsi="Times New Roman"/>
          <w:sz w:val="24"/>
          <w:szCs w:val="24"/>
        </w:rPr>
        <w:t xml:space="preserve"> </w:t>
      </w:r>
    </w:p>
    <w:p w:rsidR="00AD20CF" w:rsidRDefault="00A861E0">
      <w:pPr>
        <w:jc w:val="both"/>
        <w:divId w:val="349644031"/>
        <w:rPr>
          <w:rFonts w:ascii="Times New Roman" w:hAnsi="Times New Roman"/>
          <w:sz w:val="24"/>
          <w:szCs w:val="24"/>
        </w:rPr>
      </w:pPr>
      <w:r w:rsidRPr="00AD20CF">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D710A5" w:rsidRDefault="00004E20" w:rsidP="00F77DC7">
      <w:pPr>
        <w:jc w:val="both"/>
        <w:rPr>
          <w:rFonts w:ascii="Times New Roman" w:hAnsi="Times New Roman"/>
          <w:sz w:val="24"/>
          <w:szCs w:val="24"/>
        </w:rPr>
      </w:pPr>
      <w:r w:rsidRPr="00F77DC7">
        <w:rPr>
          <w:rFonts w:ascii="Times New Roman" w:hAnsi="Times New Roman"/>
          <w:sz w:val="24"/>
          <w:szCs w:val="24"/>
        </w:rPr>
        <w:t>Prijatie navrhovaného zákona bude mať negatívne vplyvy na rozpočet verejnej správy. Prijatie navrhovaného zákona nebude mať vplyvy na manželstvo, rodičovstvo a rodinu, nebude mať vplyvy na podnikateľské prostredie, sociálne vplyvy, vplyvy na životné prostredie, vplyvy na informatizáciu spoločnosti, nebude mať vplyvy ani na služby verejnej správy pre občana.</w:t>
      </w:r>
      <w:r w:rsidR="002179E1">
        <w:rPr>
          <w:rFonts w:ascii="Times New Roman" w:hAnsi="Times New Roman"/>
          <w:sz w:val="24"/>
          <w:szCs w:val="24"/>
        </w:rPr>
        <w:t xml:space="preserve"> </w:t>
      </w:r>
    </w:p>
    <w:p w:rsidR="00DC365C" w:rsidRDefault="00DC365C">
      <w:pPr>
        <w:widowControl/>
        <w:adjustRightInd/>
        <w:rPr>
          <w:rFonts w:ascii="Times New Roman" w:hAnsi="Times New Roman"/>
          <w:sz w:val="24"/>
          <w:szCs w:val="24"/>
        </w:rPr>
      </w:pPr>
      <w:r>
        <w:rPr>
          <w:rFonts w:ascii="Times New Roman" w:hAnsi="Times New Roman"/>
          <w:sz w:val="24"/>
          <w:szCs w:val="24"/>
        </w:rPr>
        <w:br w:type="page"/>
      </w:r>
    </w:p>
    <w:p w:rsidR="00DC365C" w:rsidRDefault="00DC365C" w:rsidP="00F77DC7">
      <w:pPr>
        <w:jc w:val="both"/>
        <w:rPr>
          <w:rFonts w:ascii="Times New Roman" w:hAnsi="Times New Roman"/>
          <w:sz w:val="24"/>
          <w:szCs w:val="24"/>
        </w:rPr>
      </w:pPr>
    </w:p>
    <w:p w:rsidR="002179E1" w:rsidRDefault="002179E1" w:rsidP="002179E1">
      <w:pPr>
        <w:pStyle w:val="Normlnywebov"/>
        <w:spacing w:before="0" w:beforeAutospacing="0" w:after="0" w:afterAutospacing="0"/>
        <w:jc w:val="center"/>
        <w:rPr>
          <w:b/>
          <w:bCs/>
          <w:sz w:val="28"/>
          <w:szCs w:val="28"/>
        </w:rPr>
      </w:pPr>
      <w:r w:rsidRPr="00C579E9">
        <w:rPr>
          <w:b/>
          <w:bCs/>
          <w:sz w:val="28"/>
          <w:szCs w:val="28"/>
        </w:rPr>
        <w:t>Doložka vybraných vplyvov</w:t>
      </w:r>
    </w:p>
    <w:p w:rsidR="002179E1" w:rsidRDefault="002179E1" w:rsidP="002179E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52"/>
        <w:gridCol w:w="3768"/>
      </w:tblGrid>
      <w:tr w:rsidR="002179E1" w:rsidTr="00DC365C">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1.  Základné údaje</w:t>
            </w:r>
          </w:p>
        </w:tc>
      </w:tr>
      <w:tr w:rsidR="002179E1" w:rsidTr="00DC365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Názov materiálu</w:t>
            </w:r>
          </w:p>
        </w:tc>
      </w:tr>
      <w:tr w:rsidR="002179E1" w:rsidTr="00DC365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Zákon o finančnej podpore činnosti cirkví a náboženských spoločností</w:t>
            </w:r>
          </w:p>
        </w:tc>
      </w:tr>
      <w:tr w:rsidR="002179E1" w:rsidTr="00DC365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Predkladateľ (a spolupredkladateľ)</w:t>
            </w:r>
          </w:p>
        </w:tc>
      </w:tr>
      <w:tr w:rsidR="002179E1" w:rsidTr="00DC365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Ministerstvo kultúry Slovenskej republiky</w:t>
            </w:r>
          </w:p>
        </w:tc>
      </w:tr>
      <w:tr w:rsidR="002179E1" w:rsidTr="00DC365C">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2179E1" w:rsidTr="00DC365C">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2179E1" w:rsidTr="00DC365C">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2179E1" w:rsidTr="00DC365C">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p>
        </w:tc>
      </w:tr>
      <w:tr w:rsidR="002179E1" w:rsidTr="00DC365C">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Začiatok:    14.6.2019</w:t>
            </w:r>
            <w:r>
              <w:rPr>
                <w:rFonts w:ascii="Times" w:hAnsi="Times" w:cs="Times"/>
                <w:sz w:val="20"/>
                <w:szCs w:val="20"/>
              </w:rPr>
              <w:br/>
              <w:t>Ukončenie: 27.6.2019</w:t>
            </w:r>
          </w:p>
        </w:tc>
      </w:tr>
      <w:tr w:rsidR="002179E1" w:rsidTr="00DC365C">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04.07.2019</w:t>
            </w:r>
          </w:p>
        </w:tc>
      </w:tr>
      <w:tr w:rsidR="002179E1" w:rsidTr="00DC365C">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21.08.2019</w:t>
            </w:r>
          </w:p>
        </w:tc>
      </w:tr>
    </w:tbl>
    <w:p w:rsidR="002179E1" w:rsidRDefault="002179E1" w:rsidP="002179E1">
      <w:pPr>
        <w:pStyle w:val="Normlnywebov"/>
        <w:spacing w:before="0" w:beforeAutospacing="0" w:after="0" w:afterAutospacing="0"/>
        <w:rPr>
          <w:bCs/>
          <w:sz w:val="22"/>
          <w:szCs w:val="22"/>
        </w:rPr>
      </w:pPr>
    </w:p>
    <w:p w:rsidR="002179E1" w:rsidRDefault="002179E1" w:rsidP="002179E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20"/>
      </w:tblGrid>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2.  Definícia problému</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 xml:space="preserve">Financovanie cirkví doteraz upravuje zákon č. 218/1949 Zb. o hospodárskom zabezpečení cirkví a náboženských spoločností štátom v znení neskorších predpisov, ktorý vznikol v diametrálne odlišnej politickej a spoločenskej situácii. Aj v súčasnom už novelizovanom znení obsahuje tento zákon záväzky štátu, ktoré sa neuplatňujú. Ich realizácia, napr. úhrada bohoslužobných nákladov, cirkevnej administratívy a mimoriadnych vecných nákladov by podstatne zvýšila nároky na štátny rozpočet. V súčasnosti štát poskytuje cirkvám a náboženským spoločnostiam prostriedky len na platy duchovných, príslušné odvody a príspevok na prevádzku ústredí (biskupských úradov). Cirkvi sú zamestnávateľmi svojich duchovných, no podľa súčasnej legislatívy je štát povinný zabezpečovať prostriedky na ich platy. Výška súčasnej dotácie je fakticky stanovená podľa počtu duchovných, ktorých počet si cirkvi určujú nezávisle od štátu. Tabuľku platov duchovných určuje v súčasnosti štát nariadením vlády, pričom nástupné platy duchovných sú hlboko pod úrovňou súčasnej minimálnej mzdy. </w:t>
            </w:r>
            <w:r>
              <w:rPr>
                <w:rFonts w:ascii="Times" w:hAnsi="Times" w:cs="Times"/>
                <w:sz w:val="20"/>
                <w:szCs w:val="20"/>
              </w:rPr>
              <w:br/>
              <w:t xml:space="preserve">Expertná komisia na riešenie problematiky financovania cirkví a náboženských spoločností zložená zo zástupcov štátu a cirkví dospela k záveru, že optimálnym riešením je ponechanie štátno-dotačného systému financovania cirkví, avšak v aktualizovanej podobe. </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3.  Ciele a výsledný stav</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 xml:space="preserve">Cieľom predloženého návrhu zákona je upraviť podporu činnosti registrovaných cirkví a náboženských spoločností zo strany štátu. Nahrádza sa ním doterajší právny režim vychádzajúci zo zákona č. 218/1949 Zb. o hospodárskom zabezpečení cirkví a náboženských spoločností štátom v znení neskorších predpisov modelom, ktorý je modifikáciou systému priamych dotácii zo štátneho rozpočtu založenom na zásadách spravodlivosti, transparentnosti, solidarity, nezávislosti cirkví a rešpektovania ekonomických možností štátu. </w:t>
            </w:r>
            <w:r>
              <w:rPr>
                <w:rFonts w:ascii="Times" w:hAnsi="Times" w:cs="Times"/>
                <w:sz w:val="20"/>
                <w:szCs w:val="20"/>
              </w:rPr>
              <w:br/>
              <w:t xml:space="preserve">Navrhované riešenie počíta so zachovaním súčasnej kontinuity tak, že výška príspevku pri jednotlivých cirkvách zostane minimálne na úrovni roka 2019, čo výrazne pomáha menším cirkvám. Návrh predpokladá výpočet celkovej sumy príspevku štátu, ktorý je výsledkom sčítania súčasnej úrovne dotácie pre cirkvi a každoročného nárastu dotácie (indexácia) zohľadňujúceho rast inflácie a valorizáciu platov vo verejnej službe. Rozdelenie indexovanej sumy vychádza z jediného faktoru – počtu veriacich. Cirkvi môžu použiť príspevok štátu napríklad na financovanie </w:t>
            </w:r>
            <w:r>
              <w:rPr>
                <w:rFonts w:ascii="Times" w:hAnsi="Times" w:cs="Times"/>
                <w:sz w:val="20"/>
                <w:szCs w:val="20"/>
              </w:rPr>
              <w:lastRenderedPageBreak/>
              <w:t>výdavkov súvisiacich s bohoslužobnou, výchovnou a kultúrnou činnosťou cirkvi, vrátane mzdových a režijných nákladov. Navrhované rozšírenie možnosti použitia finančného príspevku cirkvami je súčasťou zámeru podpory spoločensky prospešnej činnosti cirkví a posilňuje ich autonómne postavenie.</w:t>
            </w:r>
            <w:r>
              <w:rPr>
                <w:rFonts w:ascii="Times" w:hAnsi="Times" w:cs="Times"/>
                <w:sz w:val="20"/>
                <w:szCs w:val="20"/>
              </w:rPr>
              <w:br/>
              <w:t xml:space="preserve">Prijatie návrhu zákona zabezpečí kontinuitu úrovne vzťahov štátu s cirkvami a jasné a transparentné pravidlá podpory ich činnosti so zachovaním vzájomnej solidarity s menšími cirkvami. </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lastRenderedPageBreak/>
              <w:t>  4.  Dotknuté subjekty</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Registrované cirkvi a náboženské spoločnosti v Slovenskej republike.</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5.  Alternatívne riešenia</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 xml:space="preserve">Zvolené riešenie je jediné prijateľné pre cirkvi i štát. Navrhovaná právna úprava berie do úvahy odporúčania, na ktorých sa dohodli najvyšší predstavitelia kresťanských cirkví na Slovensku a Ústredného zväzu židovských náboženských obcí v Slovenskej republike, a závery Expertnej komisie Ministerstva kultúry Slovenskej republiky. Princíp priamych dotácií zo štátneho rozpočtu možno zdôvodniť jeho historickou tradíciou siahajúcou do 19. storočia, mierou religiozity, aktivitami cirkví v oblasti výchovy, vzdelávania, sociálnej práce, kultúry a starostlivosti o národné kultúrne pamiatky, ako aj historickým podielom cirkví na udržaní a rozvíjaní národnej identity a sociálneho zmieru. </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6.  Vykonávacie predpisy</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xml:space="preserve">  7.  Transpozícia práva EÚ </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t>Netýka sa.</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8.  Preskúmanie účelnosti**</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b/>
                <w:bCs/>
              </w:rPr>
            </w:pPr>
          </w:p>
        </w:tc>
      </w:tr>
    </w:tbl>
    <w:p w:rsidR="002179E1" w:rsidRDefault="002179E1" w:rsidP="00DC365C">
      <w:pPr>
        <w:pStyle w:val="Normlnywebov"/>
        <w:spacing w:before="0" w:beforeAutospacing="0" w:after="0" w:afterAutospacing="0"/>
        <w:rPr>
          <w:bCs/>
          <w:sz w:val="22"/>
          <w:szCs w:val="22"/>
        </w:rPr>
      </w:pPr>
    </w:p>
    <w:p w:rsidR="002179E1" w:rsidRPr="00DC365C" w:rsidRDefault="002179E1" w:rsidP="00DC365C">
      <w:pPr>
        <w:spacing w:after="0"/>
        <w:ind w:left="142" w:hanging="142"/>
        <w:rPr>
          <w:rFonts w:ascii="Times New Roman" w:hAnsi="Times New Roman"/>
          <w:sz w:val="20"/>
          <w:szCs w:val="20"/>
        </w:rPr>
      </w:pPr>
      <w:r w:rsidRPr="00DC365C">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2179E1" w:rsidRPr="00DC365C" w:rsidRDefault="002179E1" w:rsidP="00DC365C">
      <w:pPr>
        <w:pStyle w:val="Normlnywebov"/>
        <w:spacing w:before="0" w:beforeAutospacing="0" w:after="0" w:afterAutospacing="0"/>
        <w:rPr>
          <w:sz w:val="20"/>
          <w:szCs w:val="20"/>
        </w:rPr>
      </w:pPr>
      <w:r w:rsidRPr="00DC365C">
        <w:rPr>
          <w:sz w:val="20"/>
          <w:szCs w:val="20"/>
        </w:rPr>
        <w:t>** nepovinné</w:t>
      </w:r>
    </w:p>
    <w:p w:rsidR="002179E1" w:rsidRPr="00DC365C" w:rsidRDefault="002179E1" w:rsidP="00DC365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68"/>
        <w:gridCol w:w="1884"/>
        <w:gridCol w:w="1884"/>
        <w:gridCol w:w="1884"/>
      </w:tblGrid>
      <w:tr w:rsidR="002179E1" w:rsidTr="00DC365C">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sz w:val="20"/>
                <w:szCs w:val="20"/>
              </w:rPr>
            </w:pPr>
            <w:r>
              <w:rPr>
                <w:rFonts w:ascii="Times" w:hAnsi="Times" w:cs="Times"/>
                <w:b/>
                <w:bCs/>
                <w:sz w:val="20"/>
                <w:szCs w:val="20"/>
              </w:rPr>
              <w:t>  9.   Vplyvy navrhovaného materiálu</w:t>
            </w:r>
          </w:p>
        </w:tc>
      </w:tr>
      <w:tr w:rsidR="002179E1" w:rsidTr="00DC365C">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179E1" w:rsidTr="00DC365C">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Čiastočne</w:t>
            </w:r>
          </w:p>
        </w:tc>
      </w:tr>
      <w:tr w:rsidR="002179E1" w:rsidTr="00DC365C">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179E1" w:rsidTr="00DC365C">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179E1" w:rsidRDefault="002179E1" w:rsidP="00DC365C">
            <w:pPr>
              <w:spacing w:after="0"/>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179E1" w:rsidRDefault="002179E1" w:rsidP="00DC365C">
            <w:pPr>
              <w:spacing w:after="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2179E1" w:rsidRDefault="002179E1" w:rsidP="002179E1">
      <w:pPr>
        <w:pStyle w:val="Normlnywebov"/>
        <w:spacing w:before="0" w:beforeAutospacing="0" w:after="0" w:afterAutospacing="0"/>
        <w:rPr>
          <w:bCs/>
          <w:sz w:val="22"/>
          <w:szCs w:val="22"/>
        </w:rPr>
      </w:pPr>
    </w:p>
    <w:p w:rsidR="00DC365C" w:rsidRDefault="00DC365C" w:rsidP="002179E1">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20"/>
      </w:tblGrid>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10.  Poznámky</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Default="002179E1" w:rsidP="00DC365C">
            <w:pPr>
              <w:spacing w:after="0"/>
              <w:rPr>
                <w:rFonts w:ascii="Times" w:hAnsi="Times" w:cs="Times"/>
                <w:sz w:val="20"/>
                <w:szCs w:val="20"/>
              </w:rPr>
            </w:pPr>
            <w:r>
              <w:rPr>
                <w:rFonts w:ascii="Times" w:hAnsi="Times" w:cs="Times"/>
                <w:sz w:val="20"/>
                <w:szCs w:val="20"/>
              </w:rPr>
              <w:lastRenderedPageBreak/>
              <w:t>Vplyv navrhovaného zákona predstavuje porovnateľný vplyv ako doterajšia právna úprava. </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11.  Kontakt na spracovateľa</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Pr="00756BB8" w:rsidRDefault="002179E1" w:rsidP="00DC365C">
            <w:pPr>
              <w:pStyle w:val="Normlnywebov"/>
              <w:spacing w:before="0" w:beforeAutospacing="0" w:after="0" w:afterAutospacing="0"/>
              <w:rPr>
                <w:rFonts w:ascii="Times" w:hAnsi="Times" w:cs="Times"/>
                <w:sz w:val="20"/>
                <w:szCs w:val="20"/>
              </w:rPr>
            </w:pPr>
            <w:r w:rsidRPr="00756BB8">
              <w:rPr>
                <w:rFonts w:ascii="Times" w:hAnsi="Times" w:cs="Times"/>
                <w:sz w:val="20"/>
                <w:szCs w:val="20"/>
              </w:rPr>
              <w:t xml:space="preserve">Mgr. Karol Porubčin, cirkevný odbor MK SR, </w:t>
            </w:r>
            <w:proofErr w:type="spellStart"/>
            <w:r w:rsidRPr="00756BB8">
              <w:rPr>
                <w:rFonts w:ascii="Times" w:hAnsi="Times" w:cs="Times"/>
                <w:sz w:val="20"/>
                <w:szCs w:val="20"/>
              </w:rPr>
              <w:t>karol.porubcin@culture.gov.sk</w:t>
            </w:r>
            <w:proofErr w:type="spellEnd"/>
            <w:r w:rsidRPr="00756BB8">
              <w:rPr>
                <w:rFonts w:ascii="Times" w:hAnsi="Times" w:cs="Times"/>
                <w:sz w:val="20"/>
                <w:szCs w:val="20"/>
              </w:rPr>
              <w:t>, tel. 02/20482541</w:t>
            </w:r>
          </w:p>
          <w:p w:rsidR="002179E1" w:rsidRDefault="002179E1" w:rsidP="00DC365C">
            <w:pPr>
              <w:pStyle w:val="Nadpis2"/>
              <w:spacing w:before="0" w:beforeAutospacing="0" w:after="0" w:afterAutospacing="0"/>
              <w:jc w:val="both"/>
              <w:rPr>
                <w:rFonts w:ascii="Verdana" w:hAnsi="Verdana" w:cs="Times"/>
                <w:sz w:val="26"/>
                <w:szCs w:val="26"/>
              </w:rPr>
            </w:pPr>
            <w:r>
              <w:rPr>
                <w:rFonts w:ascii="Verdana" w:hAnsi="Verdana" w:cs="Times"/>
                <w:sz w:val="26"/>
                <w:szCs w:val="26"/>
              </w:rPr>
              <w:t> </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12.  Zdroje</w:t>
            </w:r>
          </w:p>
        </w:tc>
      </w:tr>
      <w:tr w:rsidR="002179E1" w:rsidTr="00DC365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Pr="00756BB8" w:rsidRDefault="002179E1" w:rsidP="00DC365C">
            <w:pPr>
              <w:pStyle w:val="Normlnywebov"/>
              <w:spacing w:before="0" w:beforeAutospacing="0" w:after="0" w:afterAutospacing="0"/>
              <w:rPr>
                <w:rFonts w:ascii="Times" w:hAnsi="Times" w:cs="Times"/>
                <w:sz w:val="20"/>
                <w:szCs w:val="20"/>
              </w:rPr>
            </w:pPr>
            <w:r w:rsidRPr="00756BB8">
              <w:rPr>
                <w:rFonts w:ascii="Times" w:hAnsi="Times" w:cs="Times"/>
                <w:sz w:val="20"/>
                <w:szCs w:val="20"/>
              </w:rPr>
              <w:t>Rozpočtová kapitola,</w:t>
            </w:r>
            <w:r w:rsidRPr="00756BB8">
              <w:rPr>
                <w:rFonts w:ascii="Times" w:hAnsi="Times" w:cs="Times"/>
                <w:sz w:val="20"/>
                <w:szCs w:val="20"/>
              </w:rPr>
              <w:br/>
              <w:t>Sčítanie obyvateľov, domov a bytov v SR,</w:t>
            </w:r>
            <w:r w:rsidRPr="00756BB8">
              <w:rPr>
                <w:rFonts w:ascii="Times" w:hAnsi="Times" w:cs="Times"/>
                <w:sz w:val="20"/>
                <w:szCs w:val="20"/>
              </w:rPr>
              <w:br/>
              <w:t>Potvrdenie ŠÚ SR o miere inflácie v SR,</w:t>
            </w:r>
            <w:r w:rsidRPr="00756BB8">
              <w:rPr>
                <w:rFonts w:ascii="Times" w:hAnsi="Times" w:cs="Times"/>
                <w:sz w:val="20"/>
                <w:szCs w:val="20"/>
              </w:rPr>
              <w:br/>
              <w:t>Makroekonomická prognóza z 19. júna 2019,</w:t>
            </w:r>
            <w:r w:rsidRPr="00756BB8">
              <w:rPr>
                <w:rFonts w:ascii="Times" w:hAnsi="Times" w:cs="Times"/>
                <w:sz w:val="20"/>
                <w:szCs w:val="20"/>
              </w:rPr>
              <w:br/>
              <w:t>Vyhlásenie zástupcov sociálnych partnerov k dohode o kolektívnych zmluvách vyššieho stupňa v štátnej službe a vo verejnej službe na roky 2019 a 2020,</w:t>
            </w:r>
            <w:r w:rsidRPr="00756BB8">
              <w:rPr>
                <w:rFonts w:ascii="Times" w:hAnsi="Times" w:cs="Times"/>
                <w:sz w:val="20"/>
                <w:szCs w:val="20"/>
              </w:rPr>
              <w:br/>
              <w:t>Návrh rozpočtu verejnej správy na roky 2020 až 2022. </w:t>
            </w:r>
          </w:p>
        </w:tc>
      </w:tr>
      <w:tr w:rsidR="002179E1" w:rsidTr="00DC365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179E1" w:rsidRDefault="002179E1" w:rsidP="00DC365C">
            <w:pPr>
              <w:spacing w:after="0"/>
              <w:rPr>
                <w:rFonts w:ascii="Times" w:hAnsi="Times" w:cs="Times"/>
                <w:b/>
                <w:bCs/>
              </w:rPr>
            </w:pPr>
            <w:r>
              <w:rPr>
                <w:rFonts w:ascii="Times" w:hAnsi="Times" w:cs="Times"/>
                <w:b/>
                <w:bCs/>
              </w:rPr>
              <w:t>  13.  Stanovisko Komisie pre posudzovanie vybraných vplyvov z PPK</w:t>
            </w:r>
          </w:p>
        </w:tc>
      </w:tr>
      <w:tr w:rsidR="002179E1" w:rsidTr="00DC365C">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2179E1" w:rsidRPr="00756BB8" w:rsidRDefault="002179E1" w:rsidP="00DC365C">
            <w:pPr>
              <w:pStyle w:val="Normlnywebov"/>
              <w:spacing w:before="0" w:beforeAutospacing="0" w:after="0" w:afterAutospacing="0"/>
              <w:rPr>
                <w:rFonts w:ascii="Times" w:hAnsi="Times" w:cs="Times"/>
                <w:sz w:val="20"/>
                <w:szCs w:val="20"/>
              </w:rPr>
            </w:pPr>
            <w:r w:rsidRPr="00756BB8">
              <w:rPr>
                <w:rFonts w:ascii="Times" w:hAnsi="Times" w:cs="Times"/>
                <w:sz w:val="20"/>
                <w:szCs w:val="20"/>
              </w:rPr>
              <w:t>"Stála pracovná komisia na posudzovanie vybraných vplyvov vyjadruje </w:t>
            </w:r>
            <w:r w:rsidRPr="00756BB8">
              <w:rPr>
                <w:rStyle w:val="Siln"/>
                <w:rFonts w:ascii="Times" w:hAnsi="Times" w:cs="Times"/>
                <w:sz w:val="20"/>
                <w:szCs w:val="20"/>
              </w:rPr>
              <w:t>súhlasné stanovisko </w:t>
            </w:r>
            <w:r w:rsidRPr="00756BB8">
              <w:rPr>
                <w:rFonts w:ascii="Times" w:hAnsi="Times" w:cs="Times"/>
                <w:sz w:val="20"/>
                <w:szCs w:val="20"/>
              </w:rPr>
              <w:t>s materiálom predloženým na predbežné pripomienkové konanie."</w:t>
            </w:r>
          </w:p>
        </w:tc>
      </w:tr>
    </w:tbl>
    <w:p w:rsidR="002179E1" w:rsidRPr="00543B8E" w:rsidRDefault="002179E1" w:rsidP="002179E1">
      <w:pPr>
        <w:pStyle w:val="Normlnywebov"/>
        <w:spacing w:before="0" w:beforeAutospacing="0" w:after="0" w:afterAutospacing="0"/>
        <w:rPr>
          <w:bCs/>
          <w:sz w:val="20"/>
          <w:szCs w:val="20"/>
        </w:rPr>
      </w:pPr>
    </w:p>
    <w:p w:rsidR="00DC365C" w:rsidRDefault="00DC365C">
      <w:pPr>
        <w:widowControl/>
        <w:adjustRightInd/>
        <w:rPr>
          <w:rFonts w:ascii="Times New Roman" w:hAnsi="Times New Roman"/>
          <w:sz w:val="24"/>
          <w:szCs w:val="24"/>
        </w:rPr>
      </w:pPr>
      <w:r>
        <w:rPr>
          <w:rFonts w:ascii="Times New Roman" w:hAnsi="Times New Roman"/>
          <w:sz w:val="24"/>
          <w:szCs w:val="24"/>
        </w:rPr>
        <w:br w:type="page"/>
      </w:r>
    </w:p>
    <w:p w:rsidR="00F3325B" w:rsidRPr="007D5748" w:rsidRDefault="00F3325B" w:rsidP="00F3325B">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lastRenderedPageBreak/>
        <w:t>Analýza vplyvov na rozpočet verejnej správy,</w:t>
      </w:r>
    </w:p>
    <w:p w:rsidR="00F3325B" w:rsidRPr="007D5748" w:rsidRDefault="00F3325B" w:rsidP="00F3325B">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F3325B" w:rsidRPr="00212894" w:rsidRDefault="00F3325B" w:rsidP="00F3325B">
      <w:pPr>
        <w:spacing w:after="0" w:line="240" w:lineRule="auto"/>
        <w:jc w:val="right"/>
        <w:rPr>
          <w:rFonts w:ascii="Times New Roman" w:hAnsi="Times New Roman"/>
          <w:b/>
          <w:bCs/>
          <w:sz w:val="24"/>
          <w:szCs w:val="24"/>
          <w:lang w:eastAsia="sk-SK"/>
        </w:rPr>
      </w:pPr>
    </w:p>
    <w:p w:rsidR="00F3325B" w:rsidRDefault="00F3325B" w:rsidP="00F3325B">
      <w:pPr>
        <w:spacing w:after="0" w:line="240" w:lineRule="auto"/>
        <w:rPr>
          <w:rFonts w:ascii="Times New Roman" w:hAnsi="Times New Roman"/>
          <w:b/>
          <w:bCs/>
          <w:sz w:val="24"/>
          <w:szCs w:val="24"/>
          <w:lang w:eastAsia="sk-SK"/>
        </w:rPr>
      </w:pPr>
    </w:p>
    <w:p w:rsidR="00F3325B" w:rsidRPr="00212894" w:rsidRDefault="00F3325B" w:rsidP="00F3325B">
      <w:pPr>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F3325B" w:rsidRDefault="00F3325B" w:rsidP="00F3325B">
      <w:pPr>
        <w:spacing w:after="0" w:line="240" w:lineRule="auto"/>
        <w:jc w:val="right"/>
        <w:rPr>
          <w:rFonts w:ascii="Times New Roman" w:hAnsi="Times New Roman"/>
          <w:sz w:val="20"/>
          <w:szCs w:val="20"/>
          <w:lang w:eastAsia="sk-SK"/>
        </w:rPr>
      </w:pPr>
    </w:p>
    <w:p w:rsidR="00F3325B" w:rsidRPr="007D5748" w:rsidRDefault="00F3325B" w:rsidP="00F3325B">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F3325B" w:rsidRPr="007D5748" w:rsidTr="00F70B06">
        <w:trPr>
          <w:cantSplit/>
          <w:trHeight w:val="194"/>
          <w:jc w:val="center"/>
        </w:trPr>
        <w:tc>
          <w:tcPr>
            <w:tcW w:w="4661" w:type="dxa"/>
            <w:vMerge w:val="restart"/>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rsidR="00F3325B" w:rsidRPr="007D5748" w:rsidTr="00F70B06">
        <w:trPr>
          <w:cantSplit/>
          <w:trHeight w:val="70"/>
          <w:jc w:val="center"/>
        </w:trPr>
        <w:tc>
          <w:tcPr>
            <w:tcW w:w="4661" w:type="dxa"/>
            <w:vMerge/>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267" w:type="dxa"/>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267" w:type="dxa"/>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c>
          <w:tcPr>
            <w:tcW w:w="1267" w:type="dxa"/>
            <w:shd w:val="clear" w:color="auto" w:fill="BFBFBF" w:themeFill="background1" w:themeFillShade="BF"/>
            <w:vAlign w:val="center"/>
          </w:tcPr>
          <w:p w:rsidR="00F3325B" w:rsidRPr="007D5748" w:rsidRDefault="00F3325B"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r>
      <w:tr w:rsidR="00F3325B" w:rsidRPr="007D5748" w:rsidTr="00F70B06">
        <w:trPr>
          <w:trHeight w:val="70"/>
          <w:jc w:val="center"/>
        </w:trPr>
        <w:tc>
          <w:tcPr>
            <w:tcW w:w="4661" w:type="dxa"/>
            <w:shd w:val="clear" w:color="auto" w:fill="C0C0C0"/>
            <w:noWrap/>
            <w:vAlign w:val="center"/>
          </w:tcPr>
          <w:p w:rsidR="00F3325B" w:rsidRPr="007D5748" w:rsidRDefault="00F3325B" w:rsidP="00F70B06">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shd w:val="clear" w:color="auto" w:fill="C0C0C0"/>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F3325B" w:rsidRPr="007D5748" w:rsidTr="00F70B06">
        <w:trPr>
          <w:trHeight w:val="132"/>
          <w:jc w:val="center"/>
        </w:trPr>
        <w:tc>
          <w:tcPr>
            <w:tcW w:w="4661" w:type="dxa"/>
            <w:noWrap/>
            <w:vAlign w:val="center"/>
          </w:tcPr>
          <w:p w:rsidR="00F3325B" w:rsidRPr="007D5748" w:rsidRDefault="00F3325B"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125"/>
          <w:jc w:val="center"/>
        </w:trPr>
        <w:tc>
          <w:tcPr>
            <w:tcW w:w="4661" w:type="dxa"/>
            <w:shd w:val="clear" w:color="auto" w:fill="C0C0C0"/>
            <w:noWrap/>
            <w:vAlign w:val="center"/>
          </w:tcPr>
          <w:p w:rsidR="00F3325B" w:rsidRPr="007D5748" w:rsidRDefault="00F3325B"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shd w:val="clear" w:color="auto" w:fill="C0C0C0"/>
            <w:noWrap/>
            <w:vAlign w:val="bottom"/>
          </w:tcPr>
          <w:p w:rsidR="00F3325B" w:rsidRPr="00446450" w:rsidRDefault="00F3325B" w:rsidP="00F70B06">
            <w:pPr>
              <w:jc w:val="right"/>
              <w:rPr>
                <w:rFonts w:ascii="Times New Roman" w:hAnsi="Times New Roman"/>
                <w:b/>
                <w:bCs/>
                <w:sz w:val="24"/>
                <w:szCs w:val="24"/>
                <w:lang w:eastAsia="sk-SK"/>
              </w:rPr>
            </w:pPr>
            <w:r w:rsidRPr="00446450">
              <w:rPr>
                <w:rFonts w:ascii="Times New Roman" w:hAnsi="Times New Roman"/>
                <w:b/>
                <w:bCs/>
                <w:sz w:val="24"/>
                <w:szCs w:val="24"/>
                <w:lang w:eastAsia="sk-SK"/>
              </w:rPr>
              <w:t>51 697 671</w:t>
            </w:r>
          </w:p>
        </w:tc>
        <w:tc>
          <w:tcPr>
            <w:tcW w:w="1267" w:type="dxa"/>
            <w:shd w:val="clear" w:color="auto" w:fill="C0C0C0"/>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54 106 782</w:t>
            </w:r>
          </w:p>
        </w:tc>
        <w:tc>
          <w:tcPr>
            <w:tcW w:w="1267" w:type="dxa"/>
            <w:shd w:val="clear" w:color="auto" w:fill="C0C0C0"/>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56 411 731</w:t>
            </w:r>
          </w:p>
        </w:tc>
        <w:tc>
          <w:tcPr>
            <w:tcW w:w="1267" w:type="dxa"/>
            <w:shd w:val="clear" w:color="auto" w:fill="C0C0C0"/>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58 938 977</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bottom"/>
          </w:tcPr>
          <w:p w:rsidR="00F3325B" w:rsidRPr="00446450" w:rsidRDefault="00F3325B" w:rsidP="00F70B06">
            <w:pPr>
              <w:jc w:val="right"/>
              <w:rPr>
                <w:rFonts w:ascii="Times New Roman" w:hAnsi="Times New Roman"/>
                <w:b/>
                <w:bCs/>
                <w:sz w:val="24"/>
                <w:szCs w:val="24"/>
                <w:lang w:eastAsia="sk-SK"/>
              </w:rPr>
            </w:pPr>
            <w:r w:rsidRPr="00446450">
              <w:rPr>
                <w:rFonts w:ascii="Times New Roman" w:hAnsi="Times New Roman"/>
                <w:b/>
                <w:bCs/>
                <w:sz w:val="24"/>
                <w:szCs w:val="24"/>
                <w:lang w:eastAsia="sk-SK"/>
              </w:rPr>
              <w:t>51 697 671</w:t>
            </w:r>
          </w:p>
        </w:tc>
        <w:tc>
          <w:tcPr>
            <w:tcW w:w="1267" w:type="dxa"/>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54 106 782</w:t>
            </w:r>
          </w:p>
        </w:tc>
        <w:tc>
          <w:tcPr>
            <w:tcW w:w="1267" w:type="dxa"/>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56 411 731</w:t>
            </w:r>
          </w:p>
        </w:tc>
        <w:tc>
          <w:tcPr>
            <w:tcW w:w="1267" w:type="dxa"/>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58 938 977</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r>
              <w:rPr>
                <w:bCs/>
                <w:i/>
                <w:iCs/>
              </w:rPr>
              <w:t xml:space="preserve"> </w:t>
            </w:r>
            <w:r w:rsidRPr="00EA7AC8">
              <w:rPr>
                <w:rFonts w:ascii="Times New Roman" w:hAnsi="Times New Roman"/>
                <w:bCs/>
                <w:i/>
                <w:iCs/>
                <w:sz w:val="24"/>
                <w:szCs w:val="24"/>
                <w:lang w:eastAsia="sk-SK"/>
              </w:rPr>
              <w:t>kapitoly MK SR</w:t>
            </w:r>
          </w:p>
        </w:tc>
        <w:tc>
          <w:tcPr>
            <w:tcW w:w="1267" w:type="dxa"/>
            <w:noWrap/>
            <w:vAlign w:val="bottom"/>
          </w:tcPr>
          <w:p w:rsidR="00F3325B" w:rsidRPr="00446450" w:rsidRDefault="00F3325B" w:rsidP="00F70B06">
            <w:pPr>
              <w:jc w:val="right"/>
              <w:rPr>
                <w:rFonts w:ascii="Times New Roman" w:hAnsi="Times New Roman"/>
                <w:b/>
                <w:bCs/>
                <w:sz w:val="24"/>
                <w:szCs w:val="24"/>
                <w:lang w:eastAsia="sk-SK"/>
              </w:rPr>
            </w:pPr>
            <w:r w:rsidRPr="00446450">
              <w:rPr>
                <w:rFonts w:ascii="Times New Roman" w:hAnsi="Times New Roman"/>
                <w:b/>
                <w:bCs/>
                <w:sz w:val="24"/>
                <w:szCs w:val="24"/>
                <w:lang w:eastAsia="sk-SK"/>
              </w:rPr>
              <w:t>51 697 671</w:t>
            </w:r>
          </w:p>
        </w:tc>
        <w:tc>
          <w:tcPr>
            <w:tcW w:w="1267" w:type="dxa"/>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54 106 782</w:t>
            </w:r>
          </w:p>
        </w:tc>
        <w:tc>
          <w:tcPr>
            <w:tcW w:w="1267" w:type="dxa"/>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56 411 731</w:t>
            </w:r>
          </w:p>
        </w:tc>
        <w:tc>
          <w:tcPr>
            <w:tcW w:w="1267" w:type="dxa"/>
            <w:noWrap/>
            <w:vAlign w:val="bottom"/>
          </w:tcPr>
          <w:p w:rsidR="00F3325B" w:rsidRPr="00E035A0" w:rsidRDefault="00F3325B" w:rsidP="00F70B06">
            <w:pPr>
              <w:jc w:val="right"/>
              <w:rPr>
                <w:rFonts w:ascii="Times New Roman" w:hAnsi="Times New Roman"/>
                <w:b/>
                <w:bCs/>
                <w:sz w:val="24"/>
                <w:szCs w:val="24"/>
                <w:lang w:eastAsia="sk-SK"/>
              </w:rPr>
            </w:pPr>
            <w:r w:rsidRPr="00E035A0">
              <w:rPr>
                <w:rFonts w:ascii="Times New Roman" w:hAnsi="Times New Roman"/>
                <w:b/>
                <w:bCs/>
                <w:sz w:val="24"/>
                <w:szCs w:val="24"/>
                <w:lang w:eastAsia="sk-SK"/>
              </w:rPr>
              <w:t>58 938 977</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125"/>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shd w:val="clear" w:color="auto" w:fill="BFBFBF" w:themeFill="background1" w:themeFillShade="BF"/>
            <w:noWrap/>
            <w:vAlign w:val="center"/>
          </w:tcPr>
          <w:p w:rsidR="00F3325B" w:rsidRPr="007D5748" w:rsidRDefault="00F3325B"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shd w:val="clear" w:color="auto" w:fill="BFBFBF" w:themeFill="background1" w:themeFillShade="BF"/>
            <w:noWrap/>
            <w:vAlign w:val="center"/>
          </w:tcPr>
          <w:p w:rsidR="00F3325B" w:rsidRPr="007D5748" w:rsidRDefault="00F3325B" w:rsidP="00F70B06">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F3325B" w:rsidRPr="007D5748" w:rsidTr="00F70B06">
        <w:trPr>
          <w:trHeight w:val="70"/>
          <w:jc w:val="center"/>
        </w:trPr>
        <w:tc>
          <w:tcPr>
            <w:tcW w:w="4661" w:type="dxa"/>
            <w:shd w:val="clear" w:color="auto" w:fill="C0C0C0"/>
            <w:noWrap/>
            <w:vAlign w:val="center"/>
          </w:tcPr>
          <w:p w:rsidR="00F3325B" w:rsidRPr="007D5748" w:rsidRDefault="00F3325B"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49 536 036</w:t>
            </w:r>
          </w:p>
        </w:tc>
        <w:tc>
          <w:tcPr>
            <w:tcW w:w="1267" w:type="dxa"/>
            <w:shd w:val="clear" w:color="auto" w:fill="C0C0C0"/>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49 536 036</w:t>
            </w:r>
          </w:p>
        </w:tc>
        <w:tc>
          <w:tcPr>
            <w:tcW w:w="1267" w:type="dxa"/>
            <w:shd w:val="clear" w:color="auto" w:fill="C0C0C0"/>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49 536 036</w:t>
            </w:r>
          </w:p>
        </w:tc>
        <w:tc>
          <w:tcPr>
            <w:tcW w:w="1267" w:type="dxa"/>
            <w:shd w:val="clear" w:color="auto" w:fill="C0C0C0"/>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49 536 036</w:t>
            </w:r>
          </w:p>
        </w:tc>
      </w:tr>
      <w:tr w:rsidR="00F3325B" w:rsidRPr="007D5748" w:rsidTr="00F70B06">
        <w:trPr>
          <w:trHeight w:val="70"/>
          <w:jc w:val="center"/>
        </w:trPr>
        <w:tc>
          <w:tcPr>
            <w:tcW w:w="4661" w:type="dxa"/>
            <w:noWrap/>
            <w:vAlign w:val="center"/>
          </w:tcPr>
          <w:p w:rsidR="00F3325B" w:rsidRPr="007D5748" w:rsidRDefault="00F3325B"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F3325B" w:rsidRPr="007D5748" w:rsidRDefault="00F3325B" w:rsidP="00F70B06">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F3325B" w:rsidRPr="007D5748" w:rsidTr="00F70B06">
        <w:trPr>
          <w:trHeight w:val="70"/>
          <w:jc w:val="center"/>
        </w:trPr>
        <w:tc>
          <w:tcPr>
            <w:tcW w:w="4661" w:type="dxa"/>
            <w:shd w:val="clear" w:color="auto" w:fill="BFBFBF" w:themeFill="background1" w:themeFillShade="BF"/>
            <w:noWrap/>
            <w:vAlign w:val="center"/>
          </w:tcPr>
          <w:p w:rsidR="00F3325B" w:rsidRPr="007D5748" w:rsidRDefault="00F3325B" w:rsidP="00F70B06">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F3325B" w:rsidRPr="007D5748" w:rsidRDefault="00F3325B" w:rsidP="00F70B06">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F3325B" w:rsidRPr="007D5748" w:rsidTr="00F70B06">
        <w:trPr>
          <w:trHeight w:val="70"/>
          <w:jc w:val="center"/>
        </w:trPr>
        <w:tc>
          <w:tcPr>
            <w:tcW w:w="4661" w:type="dxa"/>
            <w:shd w:val="clear" w:color="auto" w:fill="A6A6A6" w:themeFill="background1" w:themeFillShade="A6"/>
            <w:noWrap/>
            <w:vAlign w:val="center"/>
          </w:tcPr>
          <w:p w:rsidR="00F3325B" w:rsidRPr="007D5748" w:rsidRDefault="00F3325B"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bottom"/>
          </w:tcPr>
          <w:p w:rsidR="00F3325B" w:rsidRPr="00BD1C67" w:rsidRDefault="00F3325B" w:rsidP="00F70B06">
            <w:pPr>
              <w:jc w:val="right"/>
              <w:rPr>
                <w:rFonts w:ascii="Times New Roman" w:hAnsi="Times New Roman"/>
                <w:b/>
                <w:bCs/>
                <w:sz w:val="24"/>
                <w:szCs w:val="24"/>
                <w:lang w:eastAsia="sk-SK"/>
              </w:rPr>
            </w:pPr>
            <w:r w:rsidRPr="00BD1C67">
              <w:rPr>
                <w:rFonts w:ascii="Times New Roman" w:hAnsi="Times New Roman"/>
                <w:b/>
                <w:bCs/>
                <w:sz w:val="24"/>
                <w:szCs w:val="24"/>
                <w:lang w:eastAsia="sk-SK"/>
              </w:rPr>
              <w:t>2 161 635</w:t>
            </w:r>
          </w:p>
        </w:tc>
        <w:tc>
          <w:tcPr>
            <w:tcW w:w="1267" w:type="dxa"/>
            <w:shd w:val="clear" w:color="auto" w:fill="A6A6A6" w:themeFill="background1" w:themeFillShade="A6"/>
            <w:noWrap/>
            <w:vAlign w:val="bottom"/>
          </w:tcPr>
          <w:p w:rsidR="00F3325B" w:rsidRPr="00BD1C67" w:rsidRDefault="00F3325B" w:rsidP="00F70B06">
            <w:pPr>
              <w:jc w:val="right"/>
              <w:rPr>
                <w:rFonts w:ascii="Times New Roman" w:hAnsi="Times New Roman"/>
                <w:b/>
                <w:bCs/>
                <w:sz w:val="24"/>
                <w:szCs w:val="24"/>
                <w:lang w:eastAsia="sk-SK"/>
              </w:rPr>
            </w:pPr>
            <w:r w:rsidRPr="00BD1C67">
              <w:rPr>
                <w:rFonts w:ascii="Times New Roman" w:hAnsi="Times New Roman"/>
                <w:b/>
                <w:bCs/>
                <w:sz w:val="24"/>
                <w:szCs w:val="24"/>
                <w:lang w:eastAsia="sk-SK"/>
              </w:rPr>
              <w:t>4 570 746</w:t>
            </w:r>
          </w:p>
        </w:tc>
        <w:tc>
          <w:tcPr>
            <w:tcW w:w="1267" w:type="dxa"/>
            <w:shd w:val="clear" w:color="auto" w:fill="A6A6A6" w:themeFill="background1" w:themeFillShade="A6"/>
            <w:noWrap/>
            <w:vAlign w:val="bottom"/>
          </w:tcPr>
          <w:p w:rsidR="00F3325B" w:rsidRPr="00BD1C67" w:rsidRDefault="00F3325B" w:rsidP="00F70B06">
            <w:pPr>
              <w:jc w:val="right"/>
              <w:rPr>
                <w:rFonts w:ascii="Times New Roman" w:hAnsi="Times New Roman"/>
                <w:b/>
                <w:bCs/>
                <w:sz w:val="24"/>
                <w:szCs w:val="24"/>
                <w:lang w:eastAsia="sk-SK"/>
              </w:rPr>
            </w:pPr>
            <w:r w:rsidRPr="00BD1C67">
              <w:rPr>
                <w:rFonts w:ascii="Times New Roman" w:hAnsi="Times New Roman"/>
                <w:b/>
                <w:bCs/>
                <w:sz w:val="24"/>
                <w:szCs w:val="24"/>
                <w:lang w:eastAsia="sk-SK"/>
              </w:rPr>
              <w:t>6 875 695</w:t>
            </w:r>
          </w:p>
        </w:tc>
        <w:tc>
          <w:tcPr>
            <w:tcW w:w="1267" w:type="dxa"/>
            <w:shd w:val="clear" w:color="auto" w:fill="A6A6A6" w:themeFill="background1" w:themeFillShade="A6"/>
            <w:noWrap/>
            <w:vAlign w:val="bottom"/>
          </w:tcPr>
          <w:p w:rsidR="00F3325B" w:rsidRPr="00BD1C67" w:rsidRDefault="00F3325B" w:rsidP="00F70B06">
            <w:pPr>
              <w:jc w:val="right"/>
              <w:rPr>
                <w:rFonts w:ascii="Times New Roman" w:hAnsi="Times New Roman"/>
                <w:b/>
                <w:bCs/>
                <w:sz w:val="24"/>
                <w:szCs w:val="24"/>
                <w:lang w:eastAsia="sk-SK"/>
              </w:rPr>
            </w:pPr>
            <w:r w:rsidRPr="00BD1C67">
              <w:rPr>
                <w:rFonts w:ascii="Times New Roman" w:hAnsi="Times New Roman"/>
                <w:b/>
                <w:bCs/>
                <w:sz w:val="24"/>
                <w:szCs w:val="24"/>
                <w:lang w:eastAsia="sk-SK"/>
              </w:rPr>
              <w:t>9 402 941</w:t>
            </w:r>
          </w:p>
        </w:tc>
      </w:tr>
      <w:bookmarkEnd w:id="0"/>
    </w:tbl>
    <w:p w:rsidR="00F3325B" w:rsidRDefault="00F3325B">
      <w:pPr>
        <w:widowControl/>
        <w:adjustRightInd/>
        <w:rPr>
          <w:rFonts w:ascii="Times New Roman" w:hAnsi="Times New Roman"/>
          <w:sz w:val="24"/>
          <w:szCs w:val="24"/>
        </w:rPr>
      </w:pPr>
      <w:r>
        <w:rPr>
          <w:rFonts w:ascii="Times New Roman" w:hAnsi="Times New Roman"/>
          <w:sz w:val="24"/>
          <w:szCs w:val="24"/>
        </w:rPr>
        <w:br w:type="page"/>
      </w:r>
    </w:p>
    <w:p w:rsidR="00F3325B" w:rsidRPr="007D5748" w:rsidRDefault="00F3325B" w:rsidP="00F3325B">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F3325B" w:rsidRPr="007D5748" w:rsidRDefault="00F3325B" w:rsidP="00F3325B">
      <w:pPr>
        <w:spacing w:after="0" w:line="240" w:lineRule="auto"/>
        <w:jc w:val="both"/>
        <w:rPr>
          <w:rFonts w:ascii="Times New Roman" w:hAnsi="Times New Roman"/>
          <w:b/>
          <w:bCs/>
          <w:sz w:val="12"/>
          <w:szCs w:val="24"/>
          <w:lang w:eastAsia="sk-SK"/>
        </w:rPr>
      </w:pPr>
    </w:p>
    <w:p w:rsidR="00F3325B" w:rsidRPr="007D5748" w:rsidRDefault="00F3325B" w:rsidP="00F3325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F3325B" w:rsidRPr="007D5748" w:rsidRDefault="00F3325B" w:rsidP="00F3325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Z kapitoly MK SR podľa očakávaného rozpočtu na rok 2020. S</w:t>
      </w:r>
      <w:r w:rsidRPr="00446450">
        <w:rPr>
          <w:rFonts w:ascii="Times New Roman" w:hAnsi="Times New Roman"/>
          <w:b/>
          <w:bCs/>
          <w:sz w:val="24"/>
          <w:szCs w:val="24"/>
          <w:lang w:eastAsia="sk-SK"/>
        </w:rPr>
        <w:t>uma rozpočtovo krytých prostriedkov bola v súlade s pripravovaným Návrhom rozpočtu verejnej správy na roky 2020 až 2022 stanovená na  49 536 036 Eur. Táto suma bola ponechaná ako odhad aj na rok 2023.</w:t>
      </w:r>
      <w:r>
        <w:rPr>
          <w:rFonts w:ascii="Times New Roman" w:hAnsi="Times New Roman"/>
          <w:b/>
          <w:bCs/>
          <w:sz w:val="24"/>
          <w:szCs w:val="24"/>
          <w:lang w:eastAsia="sk-SK"/>
        </w:rPr>
        <w:t xml:space="preserve"> </w:t>
      </w:r>
      <w:r w:rsidRPr="00506C2C">
        <w:rPr>
          <w:rFonts w:ascii="Times New Roman" w:hAnsi="Times New Roman"/>
          <w:b/>
          <w:bCs/>
          <w:sz w:val="24"/>
          <w:szCs w:val="24"/>
          <w:lang w:eastAsia="sk-SK"/>
        </w:rPr>
        <w:t>Rozpočtovo nekrytý vplyv bude riešený pri príprave rozpočtu verejnej správy na príslušný rozpočtový rok.</w:t>
      </w:r>
    </w:p>
    <w:p w:rsidR="00F3325B" w:rsidRPr="007D5748" w:rsidRDefault="00F3325B" w:rsidP="00F3325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F3325B" w:rsidRPr="007D5748" w:rsidRDefault="00F3325B" w:rsidP="00F3325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F3325B" w:rsidRPr="007D5748" w:rsidRDefault="00F3325B" w:rsidP="00F3325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F3325B" w:rsidRPr="007D5748" w:rsidRDefault="00F3325B" w:rsidP="00F3325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F3325B" w:rsidRPr="007D5748" w:rsidRDefault="00F3325B" w:rsidP="00F3325B">
      <w:pPr>
        <w:spacing w:after="0" w:line="240" w:lineRule="auto"/>
        <w:jc w:val="both"/>
        <w:rPr>
          <w:rFonts w:ascii="Times New Roman" w:hAnsi="Times New Roman"/>
          <w:b/>
          <w:bCs/>
          <w:sz w:val="24"/>
          <w:szCs w:val="24"/>
          <w:lang w:eastAsia="sk-SK"/>
        </w:rPr>
      </w:pPr>
    </w:p>
    <w:p w:rsidR="00F3325B" w:rsidRDefault="00F3325B" w:rsidP="00F3325B">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Akú problematiku návrh rieši? Kto bude návrh implementovať? Kde sa budú služby poskytovať?</w:t>
      </w:r>
    </w:p>
    <w:p w:rsidR="00F3325B" w:rsidRDefault="00F3325B" w:rsidP="00F3325B">
      <w:pPr>
        <w:spacing w:after="0" w:line="240" w:lineRule="auto"/>
        <w:ind w:firstLine="708"/>
        <w:jc w:val="both"/>
        <w:rPr>
          <w:rFonts w:ascii="Times New Roman" w:hAnsi="Times New Roman"/>
          <w:sz w:val="24"/>
          <w:szCs w:val="24"/>
          <w:lang w:eastAsia="sk-SK"/>
        </w:rPr>
      </w:pPr>
    </w:p>
    <w:p w:rsidR="00F3325B" w:rsidRPr="007D5748" w:rsidRDefault="00F3325B" w:rsidP="00F3325B">
      <w:pPr>
        <w:spacing w:after="0" w:line="240" w:lineRule="auto"/>
        <w:ind w:firstLine="708"/>
        <w:jc w:val="both"/>
        <w:rPr>
          <w:rFonts w:ascii="Times New Roman" w:hAnsi="Times New Roman"/>
          <w:sz w:val="24"/>
          <w:szCs w:val="24"/>
          <w:lang w:eastAsia="sk-SK"/>
        </w:rPr>
      </w:pPr>
      <w:r w:rsidRPr="00FB6478">
        <w:rPr>
          <w:rFonts w:ascii="Times New Roman" w:hAnsi="Times New Roman"/>
          <w:sz w:val="24"/>
          <w:szCs w:val="24"/>
        </w:rPr>
        <w:t>Cieľom predloženého návrhu zákona je upraviť podporu činnosti registrovaných cirkví a náboženských spoločností (ďalej len „cirkvi“) zo strany štátu. Podľa predloženého návrhu zákona bude štát napomáhať činnosti cirkví poskytovaním príspevku štátu, ktorým sa na účely tohto zákona rozumie suma (súhrn) finančných prostriedkov poskytovaných zo štátneho rozpočtu všetkým cirkvám, a ktorá bude následne podľa tohto návrhu rozdelená medzi jednotlivé cirkvi.</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Pr>
          <w:rFonts w:ascii="Times New Roman" w:hAnsi="Times New Roman"/>
          <w:b/>
          <w:sz w:val="24"/>
          <w:szCs w:val="24"/>
          <w:bdr w:val="single" w:sz="4" w:space="0" w:color="auto"/>
          <w:lang w:eastAsia="sk-SK"/>
        </w:rPr>
        <w:t>x</w:t>
      </w: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F3325B" w:rsidRPr="007D5748" w:rsidRDefault="00F3325B" w:rsidP="00F3325B">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F3325B" w:rsidRPr="007D5748" w:rsidTr="00F70B06">
        <w:trPr>
          <w:cantSplit/>
          <w:trHeight w:val="70"/>
        </w:trPr>
        <w:tc>
          <w:tcPr>
            <w:tcW w:w="4530" w:type="dxa"/>
            <w:vMerge w:val="restart"/>
            <w:shd w:val="clear" w:color="auto" w:fill="BFBFBF" w:themeFill="background1" w:themeFillShade="BF"/>
            <w:vAlign w:val="center"/>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rsidR="00F3325B" w:rsidRPr="007D5748" w:rsidTr="00F70B06">
        <w:trPr>
          <w:cantSplit/>
          <w:trHeight w:val="70"/>
        </w:trPr>
        <w:tc>
          <w:tcPr>
            <w:tcW w:w="4530" w:type="dxa"/>
            <w:vMerge/>
            <w:shd w:val="clear" w:color="auto" w:fill="BFBFBF" w:themeFill="background1" w:themeFillShade="BF"/>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134" w:type="dxa"/>
            <w:shd w:val="clear" w:color="auto" w:fill="BFBFBF" w:themeFill="background1" w:themeFillShade="BF"/>
            <w:vAlign w:val="center"/>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134" w:type="dxa"/>
            <w:shd w:val="clear" w:color="auto" w:fill="BFBFBF" w:themeFill="background1" w:themeFillShade="BF"/>
            <w:vAlign w:val="center"/>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134" w:type="dxa"/>
            <w:shd w:val="clear" w:color="auto" w:fill="BFBFBF" w:themeFill="background1" w:themeFillShade="BF"/>
            <w:vAlign w:val="center"/>
          </w:tcPr>
          <w:p w:rsidR="00F3325B" w:rsidRPr="007D5748" w:rsidRDefault="00F3325B" w:rsidP="00F70B06">
            <w:pPr>
              <w:autoSpaceDE w:val="0"/>
              <w:autoSpaceDN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r>
      <w:tr w:rsidR="00F3325B" w:rsidRPr="007D5748" w:rsidTr="00F70B06">
        <w:trPr>
          <w:trHeight w:val="70"/>
        </w:trPr>
        <w:tc>
          <w:tcPr>
            <w:tcW w:w="4530" w:type="dxa"/>
          </w:tcPr>
          <w:p w:rsidR="00F3325B" w:rsidRPr="007D5748" w:rsidRDefault="00F3325B" w:rsidP="00F70B06">
            <w:pPr>
              <w:autoSpaceDE w:val="0"/>
              <w:autoSpaceDN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ABC</w:t>
            </w: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r>
      <w:tr w:rsidR="00F3325B" w:rsidRPr="007D5748" w:rsidTr="00F70B06">
        <w:trPr>
          <w:trHeight w:val="70"/>
        </w:trPr>
        <w:tc>
          <w:tcPr>
            <w:tcW w:w="4530" w:type="dxa"/>
          </w:tcPr>
          <w:p w:rsidR="00F3325B" w:rsidRPr="007D5748" w:rsidRDefault="00F3325B" w:rsidP="00F70B06">
            <w:pPr>
              <w:autoSpaceDE w:val="0"/>
              <w:autoSpaceDN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KLM</w:t>
            </w: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r>
      <w:tr w:rsidR="00F3325B" w:rsidRPr="007D5748" w:rsidTr="00F70B06">
        <w:trPr>
          <w:trHeight w:val="70"/>
        </w:trPr>
        <w:tc>
          <w:tcPr>
            <w:tcW w:w="4530" w:type="dxa"/>
          </w:tcPr>
          <w:p w:rsidR="00F3325B" w:rsidRPr="007D5748" w:rsidRDefault="00F3325B" w:rsidP="00F70B06">
            <w:pPr>
              <w:autoSpaceDE w:val="0"/>
              <w:autoSpaceDN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XYZ</w:t>
            </w: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c>
          <w:tcPr>
            <w:tcW w:w="1134" w:type="dxa"/>
          </w:tcPr>
          <w:p w:rsidR="00F3325B" w:rsidRPr="007D5748" w:rsidRDefault="00F3325B" w:rsidP="00F70B06">
            <w:pPr>
              <w:autoSpaceDE w:val="0"/>
              <w:autoSpaceDN w:val="0"/>
              <w:spacing w:after="0" w:line="240" w:lineRule="auto"/>
              <w:jc w:val="right"/>
              <w:rPr>
                <w:rFonts w:ascii="Times New Roman" w:hAnsi="Times New Roman"/>
                <w:color w:val="000000"/>
                <w:sz w:val="24"/>
                <w:szCs w:val="24"/>
                <w:lang w:eastAsia="sk-SK"/>
              </w:rPr>
            </w:pPr>
          </w:p>
        </w:tc>
      </w:tr>
    </w:tbl>
    <w:p w:rsidR="00F3325B" w:rsidRPr="007D5748" w:rsidRDefault="00F3325B" w:rsidP="00F3325B">
      <w:pPr>
        <w:spacing w:after="0" w:line="240" w:lineRule="auto"/>
        <w:rPr>
          <w:rFonts w:ascii="Times New Roman" w:hAnsi="Times New Roman"/>
          <w:sz w:val="24"/>
          <w:szCs w:val="24"/>
          <w:lang w:eastAsia="sk-SK"/>
        </w:rPr>
      </w:pPr>
    </w:p>
    <w:p w:rsidR="00F3325B" w:rsidRDefault="00F3325B">
      <w:pPr>
        <w:widowControl/>
        <w:adjustRightInd/>
        <w:rPr>
          <w:rFonts w:ascii="Times New Roman" w:hAnsi="Times New Roman"/>
          <w:sz w:val="24"/>
          <w:szCs w:val="24"/>
          <w:lang w:eastAsia="sk-SK"/>
        </w:rPr>
      </w:pPr>
      <w:r>
        <w:rPr>
          <w:rFonts w:ascii="Times New Roman" w:hAnsi="Times New Roman"/>
          <w:sz w:val="24"/>
          <w:szCs w:val="24"/>
          <w:lang w:eastAsia="sk-SK"/>
        </w:rPr>
        <w:br w:type="page"/>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F3325B" w:rsidRPr="007D5748" w:rsidRDefault="00F3325B" w:rsidP="00F3325B">
      <w:pPr>
        <w:spacing w:after="0" w:line="240" w:lineRule="auto"/>
        <w:rPr>
          <w:rFonts w:ascii="Times New Roman" w:hAnsi="Times New Roman"/>
          <w:sz w:val="24"/>
          <w:szCs w:val="24"/>
          <w:lang w:eastAsia="sk-SK"/>
        </w:rPr>
      </w:pPr>
    </w:p>
    <w:p w:rsidR="00F3325B" w:rsidRPr="007D5748" w:rsidRDefault="00F3325B" w:rsidP="00F3325B">
      <w:pPr>
        <w:spacing w:after="0" w:line="240" w:lineRule="auto"/>
        <w:ind w:firstLine="708"/>
        <w:rPr>
          <w:rFonts w:ascii="Times New Roman" w:hAnsi="Times New Roman"/>
          <w:sz w:val="24"/>
          <w:szCs w:val="24"/>
          <w:lang w:eastAsia="sk-SK"/>
        </w:rPr>
      </w:pPr>
      <w:r w:rsidRPr="007D5748">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3325B" w:rsidRPr="007D5748" w:rsidRDefault="00F3325B" w:rsidP="00F3325B">
      <w:pPr>
        <w:tabs>
          <w:tab w:val="num" w:pos="1080"/>
        </w:tabs>
        <w:spacing w:after="0" w:line="240" w:lineRule="auto"/>
        <w:jc w:val="both"/>
        <w:rPr>
          <w:rFonts w:ascii="Times New Roman" w:hAnsi="Times New Roman"/>
          <w:bCs/>
          <w:sz w:val="24"/>
          <w:szCs w:val="20"/>
          <w:lang w:eastAsia="sk-SK"/>
        </w:rPr>
      </w:pPr>
    </w:p>
    <w:p w:rsidR="00F3325B" w:rsidRDefault="00F3325B" w:rsidP="00F3325B">
      <w:pPr>
        <w:tabs>
          <w:tab w:val="num" w:pos="1080"/>
        </w:tabs>
        <w:spacing w:after="0" w:line="240" w:lineRule="auto"/>
        <w:jc w:val="both"/>
        <w:rPr>
          <w:rFonts w:ascii="Times New Roman" w:hAnsi="Times New Roman"/>
          <w:bCs/>
          <w:sz w:val="24"/>
          <w:szCs w:val="20"/>
          <w:lang w:eastAsia="sk-SK"/>
        </w:rPr>
      </w:pPr>
    </w:p>
    <w:p w:rsidR="00F3325B" w:rsidRPr="0073596B" w:rsidRDefault="00F3325B" w:rsidP="00F3325B">
      <w:pPr>
        <w:ind w:firstLine="708"/>
        <w:rPr>
          <w:rFonts w:ascii="Times New Roman" w:hAnsi="Times New Roman"/>
          <w:sz w:val="24"/>
          <w:szCs w:val="24"/>
        </w:rPr>
      </w:pPr>
      <w:r w:rsidRPr="00AD20CF">
        <w:rPr>
          <w:rFonts w:ascii="Times New Roman" w:hAnsi="Times New Roman"/>
          <w:sz w:val="24"/>
          <w:szCs w:val="24"/>
        </w:rPr>
        <w:t>Príspevok vychádza zo sumy finančných prostriedkov, ktorú štát cirkvám poskyt</w:t>
      </w:r>
      <w:r>
        <w:rPr>
          <w:rFonts w:ascii="Times New Roman" w:hAnsi="Times New Roman"/>
          <w:sz w:val="24"/>
          <w:szCs w:val="24"/>
        </w:rPr>
        <w:t>ne podľa rozpočtu na rok 2019 (Príloha 1)</w:t>
      </w:r>
      <w:r w:rsidRPr="00AD20CF">
        <w:rPr>
          <w:rFonts w:ascii="Times New Roman" w:hAnsi="Times New Roman"/>
          <w:sz w:val="24"/>
          <w:szCs w:val="24"/>
        </w:rPr>
        <w:t>.</w:t>
      </w:r>
      <w:r w:rsidRPr="0073596B">
        <w:rPr>
          <w:rFonts w:ascii="Times New Roman" w:hAnsi="Times New Roman"/>
          <w:sz w:val="24"/>
          <w:szCs w:val="24"/>
        </w:rPr>
        <w:t xml:space="preserve"> </w:t>
      </w:r>
    </w:p>
    <w:p w:rsidR="00F3325B" w:rsidRPr="0073596B" w:rsidRDefault="00F3325B" w:rsidP="00F3325B">
      <w:pPr>
        <w:ind w:firstLine="708"/>
        <w:rPr>
          <w:rFonts w:ascii="Times New Roman" w:hAnsi="Times New Roman"/>
          <w:sz w:val="24"/>
          <w:szCs w:val="24"/>
        </w:rPr>
      </w:pPr>
      <w:r w:rsidRPr="0073596B">
        <w:rPr>
          <w:rFonts w:ascii="Times New Roman" w:hAnsi="Times New Roman"/>
          <w:sz w:val="24"/>
          <w:szCs w:val="24"/>
        </w:rPr>
        <w:t>V každom nasledujúcom roku dôjde k automatickému zvýšeniu celkového príspevku (teda sumy príspevkov pre jednotlivé cirkvi) podľa vzorca</w:t>
      </w:r>
    </w:p>
    <w:p w:rsidR="00F3325B" w:rsidRDefault="00F3325B" w:rsidP="00F3325B">
      <w:pPr>
        <w:ind w:firstLine="708"/>
        <w:rPr>
          <w:rFonts w:ascii="Times New Roman" w:hAnsi="Times New Roman"/>
          <w:sz w:val="24"/>
          <w:szCs w:val="24"/>
        </w:rPr>
      </w:pPr>
      <w:r w:rsidRPr="0073596B">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t-1</m:t>
            </m:r>
          </m:sub>
        </m:sSub>
        <m:r>
          <m:rPr>
            <m:sty m:val="p"/>
          </m:rPr>
          <w:rPr>
            <w:rFonts w:ascii="Cambria Math" w:hAnsi="Cambria Math"/>
            <w:sz w:val="24"/>
            <w:szCs w:val="24"/>
          </w:rPr>
          <m:t>×0,2×</m:t>
        </m:r>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CPI</m:t>
                </m:r>
              </m:e>
              <m:sub>
                <m:r>
                  <m:rPr>
                    <m:sty m:val="p"/>
                  </m:rPr>
                  <w:rPr>
                    <w:rFonts w:ascii="Cambria Math" w:hAnsi="Cambria Math"/>
                    <w:sz w:val="24"/>
                    <w:szCs w:val="24"/>
                  </w:rPr>
                  <m:t>t-2</m:t>
                </m:r>
              </m:sub>
            </m:sSub>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t-1</m:t>
            </m:r>
          </m:sub>
        </m:sSub>
        <m:r>
          <m:rPr>
            <m:sty m:val="p"/>
          </m:rPr>
          <w:rPr>
            <w:rFonts w:ascii="Cambria Math" w:hAnsi="Cambria Math"/>
            <w:sz w:val="24"/>
            <w:szCs w:val="24"/>
          </w:rPr>
          <m:t xml:space="preserve"> ×0,8 ×(1+ </m:t>
        </m:r>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t</m:t>
            </m:r>
          </m:sub>
        </m:sSub>
        <m:r>
          <m:rPr>
            <m:sty m:val="p"/>
          </m:rPr>
          <w:rPr>
            <w:rFonts w:ascii="Cambria Math" w:hAnsi="Cambria Math"/>
            <w:sz w:val="24"/>
            <w:szCs w:val="24"/>
          </w:rPr>
          <m:t>)</m:t>
        </m:r>
      </m:oMath>
    </w:p>
    <w:p w:rsidR="00F3325B" w:rsidRDefault="00F3325B" w:rsidP="00F3325B">
      <w:pPr>
        <w:rPr>
          <w:rFonts w:ascii="Times New Roman" w:hAnsi="Times New Roman"/>
          <w:sz w:val="24"/>
          <w:szCs w:val="24"/>
        </w:rPr>
      </w:pPr>
      <w:r>
        <w:rPr>
          <w:rFonts w:ascii="Times New Roman" w:hAnsi="Times New Roman"/>
          <w:sz w:val="24"/>
          <w:szCs w:val="24"/>
        </w:rPr>
        <w:t>Koeficienty 0,2 a 0,8 odrážajú skutočnosť, že typicky cca 80 % príspevku štátu ide na mzdy a 20 % na prevádzku ústredí. Valorizácia sa potom vo vzorci zohľadňuje iba v tej časti príspevku štátu, ktorá ide na mzdy. Pomerné rozdelenie príspevku štátu na mzdové a prevádzkové náklady za posledných 5 rokov bolo nasledovné:</w:t>
      </w:r>
    </w:p>
    <w:tbl>
      <w:tblPr>
        <w:tblW w:w="9157" w:type="dxa"/>
        <w:tblInd w:w="55" w:type="dxa"/>
        <w:tblCellMar>
          <w:left w:w="70" w:type="dxa"/>
          <w:right w:w="70" w:type="dxa"/>
        </w:tblCellMar>
        <w:tblLook w:val="04A0" w:firstRow="1" w:lastRow="0" w:firstColumn="1" w:lastColumn="0" w:noHBand="0" w:noVBand="1"/>
      </w:tblPr>
      <w:tblGrid>
        <w:gridCol w:w="2710"/>
        <w:gridCol w:w="1288"/>
        <w:gridCol w:w="1289"/>
        <w:gridCol w:w="1290"/>
        <w:gridCol w:w="1290"/>
        <w:gridCol w:w="1290"/>
      </w:tblGrid>
      <w:tr w:rsidR="00F3325B" w:rsidRPr="00A20CBF" w:rsidTr="00F70B06">
        <w:trPr>
          <w:trHeight w:val="402"/>
        </w:trPr>
        <w:tc>
          <w:tcPr>
            <w:tcW w:w="2710" w:type="dxa"/>
            <w:tcBorders>
              <w:top w:val="single" w:sz="4" w:space="0" w:color="auto"/>
              <w:left w:val="single" w:sz="4" w:space="0" w:color="auto"/>
              <w:bottom w:val="nil"/>
              <w:right w:val="single" w:sz="8" w:space="0" w:color="auto"/>
            </w:tcBorders>
            <w:shd w:val="clear" w:color="auto" w:fill="auto"/>
            <w:noWrap/>
            <w:vAlign w:val="center"/>
            <w:hideMark/>
          </w:tcPr>
          <w:p w:rsidR="00F3325B" w:rsidRPr="00A20CBF" w:rsidRDefault="00F3325B" w:rsidP="00F70B06">
            <w:pPr>
              <w:spacing w:after="0" w:line="240" w:lineRule="auto"/>
              <w:rPr>
                <w:rFonts w:ascii="Arial" w:hAnsi="Arial" w:cs="Arial"/>
                <w:sz w:val="20"/>
                <w:szCs w:val="20"/>
                <w:lang w:eastAsia="sk-SK"/>
              </w:rPr>
            </w:pPr>
            <w:r>
              <w:rPr>
                <w:rFonts w:ascii="Arial" w:hAnsi="Arial" w:cs="Arial"/>
                <w:sz w:val="20"/>
                <w:szCs w:val="20"/>
                <w:lang w:eastAsia="sk-SK"/>
              </w:rPr>
              <w:t>Rok</w:t>
            </w:r>
          </w:p>
        </w:tc>
        <w:tc>
          <w:tcPr>
            <w:tcW w:w="1288" w:type="dxa"/>
            <w:tcBorders>
              <w:top w:val="single" w:sz="4" w:space="0" w:color="auto"/>
              <w:left w:val="single" w:sz="4" w:space="0" w:color="auto"/>
              <w:bottom w:val="nil"/>
              <w:right w:val="single" w:sz="8"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2014</w:t>
            </w:r>
          </w:p>
        </w:tc>
        <w:tc>
          <w:tcPr>
            <w:tcW w:w="1289" w:type="dxa"/>
            <w:tcBorders>
              <w:top w:val="single" w:sz="4" w:space="0" w:color="auto"/>
              <w:left w:val="single" w:sz="4" w:space="0" w:color="auto"/>
              <w:bottom w:val="nil"/>
              <w:right w:val="single" w:sz="8"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2015</w:t>
            </w:r>
          </w:p>
        </w:tc>
        <w:tc>
          <w:tcPr>
            <w:tcW w:w="1290" w:type="dxa"/>
            <w:tcBorders>
              <w:top w:val="single" w:sz="4" w:space="0" w:color="auto"/>
              <w:left w:val="single" w:sz="4" w:space="0" w:color="auto"/>
              <w:bottom w:val="nil"/>
              <w:right w:val="single" w:sz="8"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2016</w:t>
            </w:r>
          </w:p>
        </w:tc>
        <w:tc>
          <w:tcPr>
            <w:tcW w:w="1290" w:type="dxa"/>
            <w:tcBorders>
              <w:top w:val="single" w:sz="4" w:space="0" w:color="auto"/>
              <w:left w:val="single" w:sz="4" w:space="0" w:color="auto"/>
              <w:bottom w:val="nil"/>
              <w:right w:val="single" w:sz="8"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2017</w:t>
            </w:r>
          </w:p>
        </w:tc>
        <w:tc>
          <w:tcPr>
            <w:tcW w:w="1290" w:type="dxa"/>
            <w:tcBorders>
              <w:top w:val="single" w:sz="4" w:space="0" w:color="auto"/>
              <w:left w:val="single" w:sz="4" w:space="0" w:color="auto"/>
              <w:bottom w:val="nil"/>
              <w:right w:val="single" w:sz="8"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2018</w:t>
            </w:r>
          </w:p>
        </w:tc>
      </w:tr>
      <w:tr w:rsidR="00F3325B" w:rsidRPr="00A20CBF" w:rsidTr="00F70B06">
        <w:trPr>
          <w:trHeight w:val="402"/>
        </w:trPr>
        <w:tc>
          <w:tcPr>
            <w:tcW w:w="271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3325B" w:rsidRPr="00A20CBF" w:rsidRDefault="00F3325B" w:rsidP="00F70B06">
            <w:pPr>
              <w:spacing w:after="0" w:line="240" w:lineRule="auto"/>
              <w:rPr>
                <w:rFonts w:ascii="Arial" w:hAnsi="Arial" w:cs="Arial"/>
                <w:b/>
                <w:bCs/>
                <w:sz w:val="20"/>
                <w:szCs w:val="20"/>
                <w:lang w:eastAsia="sk-SK"/>
              </w:rPr>
            </w:pPr>
            <w:r w:rsidRPr="00A20CBF">
              <w:rPr>
                <w:rFonts w:ascii="Arial" w:hAnsi="Arial" w:cs="Arial"/>
                <w:b/>
                <w:bCs/>
                <w:sz w:val="20"/>
                <w:szCs w:val="20"/>
                <w:lang w:eastAsia="sk-SK"/>
              </w:rPr>
              <w:t xml:space="preserve">Spolu €  </w:t>
            </w:r>
          </w:p>
        </w:tc>
        <w:tc>
          <w:tcPr>
            <w:tcW w:w="1288" w:type="dxa"/>
            <w:tcBorders>
              <w:top w:val="single" w:sz="8" w:space="0" w:color="auto"/>
              <w:left w:val="single" w:sz="4" w:space="0" w:color="auto"/>
              <w:bottom w:val="single" w:sz="8" w:space="0" w:color="auto"/>
              <w:right w:val="single" w:sz="8" w:space="0" w:color="auto"/>
            </w:tcBorders>
            <w:vAlign w:val="bottom"/>
          </w:tcPr>
          <w:p w:rsidR="00F3325B" w:rsidRDefault="00F3325B" w:rsidP="00F70B06">
            <w:pPr>
              <w:jc w:val="right"/>
              <w:rPr>
                <w:rFonts w:ascii="Arial" w:hAnsi="Arial" w:cs="Arial"/>
                <w:b/>
                <w:bCs/>
                <w:sz w:val="20"/>
                <w:szCs w:val="20"/>
              </w:rPr>
            </w:pPr>
            <w:r>
              <w:rPr>
                <w:rFonts w:ascii="Arial" w:hAnsi="Arial" w:cs="Arial"/>
                <w:b/>
                <w:bCs/>
                <w:sz w:val="20"/>
                <w:szCs w:val="20"/>
              </w:rPr>
              <w:t>38 492 510</w:t>
            </w:r>
          </w:p>
        </w:tc>
        <w:tc>
          <w:tcPr>
            <w:tcW w:w="1289" w:type="dxa"/>
            <w:tcBorders>
              <w:top w:val="single" w:sz="8" w:space="0" w:color="auto"/>
              <w:left w:val="single" w:sz="4" w:space="0" w:color="auto"/>
              <w:bottom w:val="single" w:sz="8" w:space="0" w:color="auto"/>
              <w:right w:val="single" w:sz="8" w:space="0" w:color="auto"/>
            </w:tcBorders>
            <w:vAlign w:val="bottom"/>
          </w:tcPr>
          <w:p w:rsidR="00F3325B" w:rsidRDefault="00F3325B" w:rsidP="00F70B06">
            <w:pPr>
              <w:jc w:val="right"/>
              <w:rPr>
                <w:rFonts w:ascii="Arial" w:hAnsi="Arial" w:cs="Arial"/>
                <w:b/>
                <w:bCs/>
                <w:sz w:val="20"/>
                <w:szCs w:val="20"/>
              </w:rPr>
            </w:pPr>
            <w:r>
              <w:rPr>
                <w:rFonts w:ascii="Arial" w:hAnsi="Arial" w:cs="Arial"/>
                <w:b/>
                <w:bCs/>
                <w:sz w:val="20"/>
                <w:szCs w:val="20"/>
              </w:rPr>
              <w:t>38 949 895</w:t>
            </w:r>
          </w:p>
        </w:tc>
        <w:tc>
          <w:tcPr>
            <w:tcW w:w="1290" w:type="dxa"/>
            <w:tcBorders>
              <w:top w:val="single" w:sz="8" w:space="0" w:color="auto"/>
              <w:left w:val="single" w:sz="4" w:space="0" w:color="auto"/>
              <w:bottom w:val="single" w:sz="8" w:space="0" w:color="auto"/>
              <w:right w:val="single" w:sz="8" w:space="0" w:color="auto"/>
            </w:tcBorders>
            <w:vAlign w:val="bottom"/>
          </w:tcPr>
          <w:p w:rsidR="00F3325B" w:rsidRDefault="00F3325B" w:rsidP="00F70B06">
            <w:pPr>
              <w:jc w:val="right"/>
              <w:rPr>
                <w:rFonts w:ascii="Arial" w:hAnsi="Arial" w:cs="Arial"/>
                <w:b/>
                <w:bCs/>
                <w:sz w:val="20"/>
                <w:szCs w:val="20"/>
              </w:rPr>
            </w:pPr>
            <w:r>
              <w:rPr>
                <w:rFonts w:ascii="Arial" w:hAnsi="Arial" w:cs="Arial"/>
                <w:b/>
                <w:bCs/>
                <w:sz w:val="20"/>
                <w:szCs w:val="20"/>
              </w:rPr>
              <w:t>40 054 154</w:t>
            </w:r>
          </w:p>
        </w:tc>
        <w:tc>
          <w:tcPr>
            <w:tcW w:w="1290" w:type="dxa"/>
            <w:tcBorders>
              <w:top w:val="single" w:sz="8" w:space="0" w:color="auto"/>
              <w:left w:val="single" w:sz="4" w:space="0" w:color="auto"/>
              <w:bottom w:val="single" w:sz="8" w:space="0" w:color="auto"/>
              <w:right w:val="single" w:sz="8" w:space="0" w:color="auto"/>
            </w:tcBorders>
            <w:vAlign w:val="bottom"/>
          </w:tcPr>
          <w:p w:rsidR="00F3325B" w:rsidRDefault="00F3325B" w:rsidP="00F70B06">
            <w:pPr>
              <w:jc w:val="right"/>
              <w:rPr>
                <w:rFonts w:ascii="Arial" w:hAnsi="Arial" w:cs="Arial"/>
                <w:b/>
                <w:bCs/>
                <w:sz w:val="20"/>
                <w:szCs w:val="20"/>
              </w:rPr>
            </w:pPr>
            <w:r>
              <w:rPr>
                <w:rFonts w:ascii="Arial" w:hAnsi="Arial" w:cs="Arial"/>
                <w:b/>
                <w:bCs/>
                <w:sz w:val="20"/>
                <w:szCs w:val="20"/>
              </w:rPr>
              <w:t>41 180 390</w:t>
            </w:r>
          </w:p>
        </w:tc>
        <w:tc>
          <w:tcPr>
            <w:tcW w:w="1290" w:type="dxa"/>
            <w:tcBorders>
              <w:top w:val="single" w:sz="8" w:space="0" w:color="auto"/>
              <w:left w:val="single" w:sz="4" w:space="0" w:color="auto"/>
              <w:bottom w:val="single" w:sz="8" w:space="0" w:color="auto"/>
              <w:right w:val="single" w:sz="8" w:space="0" w:color="auto"/>
            </w:tcBorders>
            <w:vAlign w:val="bottom"/>
          </w:tcPr>
          <w:p w:rsidR="00F3325B" w:rsidRDefault="00F3325B" w:rsidP="00F70B06">
            <w:pPr>
              <w:jc w:val="right"/>
              <w:rPr>
                <w:rFonts w:ascii="Arial" w:hAnsi="Arial" w:cs="Arial"/>
                <w:b/>
                <w:bCs/>
                <w:sz w:val="20"/>
                <w:szCs w:val="20"/>
              </w:rPr>
            </w:pPr>
            <w:r>
              <w:rPr>
                <w:rFonts w:ascii="Arial" w:hAnsi="Arial" w:cs="Arial"/>
                <w:b/>
                <w:bCs/>
                <w:sz w:val="20"/>
                <w:szCs w:val="20"/>
              </w:rPr>
              <w:t>44 594 684</w:t>
            </w:r>
          </w:p>
        </w:tc>
      </w:tr>
      <w:tr w:rsidR="00F3325B" w:rsidRPr="00A20CBF" w:rsidTr="00F70B06">
        <w:trPr>
          <w:trHeight w:val="255"/>
        </w:trPr>
        <w:tc>
          <w:tcPr>
            <w:tcW w:w="2710" w:type="dxa"/>
            <w:tcBorders>
              <w:top w:val="nil"/>
              <w:left w:val="single" w:sz="4" w:space="0" w:color="auto"/>
              <w:bottom w:val="single" w:sz="4" w:space="0" w:color="auto"/>
              <w:right w:val="single" w:sz="4" w:space="0" w:color="auto"/>
            </w:tcBorders>
            <w:shd w:val="clear" w:color="auto" w:fill="auto"/>
            <w:noWrap/>
            <w:vAlign w:val="center"/>
            <w:hideMark/>
          </w:tcPr>
          <w:p w:rsidR="00F3325B" w:rsidRPr="00A20CBF" w:rsidRDefault="00F3325B" w:rsidP="00F70B06">
            <w:pPr>
              <w:spacing w:after="0" w:line="240" w:lineRule="auto"/>
              <w:rPr>
                <w:rFonts w:ascii="Arial" w:hAnsi="Arial" w:cs="Arial"/>
                <w:sz w:val="20"/>
                <w:szCs w:val="20"/>
                <w:lang w:eastAsia="sk-SK"/>
              </w:rPr>
            </w:pPr>
            <w:r w:rsidRPr="00A20CBF">
              <w:rPr>
                <w:rFonts w:ascii="Arial" w:hAnsi="Arial" w:cs="Arial"/>
                <w:sz w:val="20"/>
                <w:szCs w:val="20"/>
                <w:lang w:eastAsia="sk-SK"/>
              </w:rPr>
              <w:t>z toho na platy a odvody</w:t>
            </w:r>
          </w:p>
        </w:tc>
        <w:tc>
          <w:tcPr>
            <w:tcW w:w="1288"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78,0 %</w:t>
            </w:r>
          </w:p>
        </w:tc>
        <w:tc>
          <w:tcPr>
            <w:tcW w:w="1289"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78,7 %</w:t>
            </w:r>
          </w:p>
        </w:tc>
        <w:tc>
          <w:tcPr>
            <w:tcW w:w="1290"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79,8 %</w:t>
            </w:r>
          </w:p>
        </w:tc>
        <w:tc>
          <w:tcPr>
            <w:tcW w:w="1290"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80,2 %</w:t>
            </w:r>
          </w:p>
        </w:tc>
        <w:tc>
          <w:tcPr>
            <w:tcW w:w="1290"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78,4 %</w:t>
            </w:r>
          </w:p>
        </w:tc>
      </w:tr>
      <w:tr w:rsidR="00F3325B" w:rsidRPr="00A20CBF" w:rsidTr="00F70B06">
        <w:trPr>
          <w:trHeight w:val="255"/>
        </w:trPr>
        <w:tc>
          <w:tcPr>
            <w:tcW w:w="2710" w:type="dxa"/>
            <w:tcBorders>
              <w:top w:val="nil"/>
              <w:left w:val="single" w:sz="4" w:space="0" w:color="auto"/>
              <w:bottom w:val="single" w:sz="4" w:space="0" w:color="auto"/>
              <w:right w:val="single" w:sz="4" w:space="0" w:color="auto"/>
            </w:tcBorders>
            <w:shd w:val="clear" w:color="auto" w:fill="auto"/>
            <w:noWrap/>
            <w:vAlign w:val="center"/>
            <w:hideMark/>
          </w:tcPr>
          <w:p w:rsidR="00F3325B" w:rsidRPr="00A20CBF" w:rsidRDefault="00F3325B" w:rsidP="00F70B06">
            <w:pPr>
              <w:spacing w:after="0" w:line="240" w:lineRule="auto"/>
              <w:rPr>
                <w:rFonts w:ascii="Arial" w:hAnsi="Arial" w:cs="Arial"/>
                <w:sz w:val="20"/>
                <w:szCs w:val="20"/>
                <w:lang w:eastAsia="sk-SK"/>
              </w:rPr>
            </w:pPr>
            <w:r w:rsidRPr="00A20CBF">
              <w:rPr>
                <w:rFonts w:ascii="Arial" w:hAnsi="Arial" w:cs="Arial"/>
                <w:sz w:val="20"/>
                <w:szCs w:val="20"/>
                <w:lang w:eastAsia="sk-SK"/>
              </w:rPr>
              <w:t>z toho na prevádzku ústredí</w:t>
            </w:r>
          </w:p>
        </w:tc>
        <w:tc>
          <w:tcPr>
            <w:tcW w:w="1288"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22,0 %</w:t>
            </w:r>
          </w:p>
        </w:tc>
        <w:tc>
          <w:tcPr>
            <w:tcW w:w="1289"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21,3 %</w:t>
            </w:r>
          </w:p>
        </w:tc>
        <w:tc>
          <w:tcPr>
            <w:tcW w:w="1290"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20,2 %</w:t>
            </w:r>
          </w:p>
        </w:tc>
        <w:tc>
          <w:tcPr>
            <w:tcW w:w="1290"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19,8 %</w:t>
            </w:r>
          </w:p>
        </w:tc>
        <w:tc>
          <w:tcPr>
            <w:tcW w:w="1290" w:type="dxa"/>
            <w:tcBorders>
              <w:top w:val="nil"/>
              <w:left w:val="single" w:sz="4" w:space="0" w:color="auto"/>
              <w:bottom w:val="single" w:sz="4" w:space="0" w:color="auto"/>
              <w:right w:val="single" w:sz="4" w:space="0" w:color="auto"/>
            </w:tcBorders>
            <w:vAlign w:val="bottom"/>
          </w:tcPr>
          <w:p w:rsidR="00F3325B" w:rsidRDefault="00F3325B" w:rsidP="00F70B06">
            <w:pPr>
              <w:jc w:val="right"/>
              <w:rPr>
                <w:rFonts w:ascii="Arial" w:hAnsi="Arial" w:cs="Arial"/>
                <w:sz w:val="20"/>
                <w:szCs w:val="20"/>
              </w:rPr>
            </w:pPr>
            <w:r>
              <w:rPr>
                <w:rFonts w:ascii="Arial" w:hAnsi="Arial" w:cs="Arial"/>
                <w:sz w:val="20"/>
                <w:szCs w:val="20"/>
              </w:rPr>
              <w:t>21,6 %</w:t>
            </w:r>
          </w:p>
        </w:tc>
      </w:tr>
    </w:tbl>
    <w:p w:rsidR="00F3325B" w:rsidRPr="0073596B" w:rsidRDefault="00F3325B" w:rsidP="00F3325B">
      <w:pPr>
        <w:rPr>
          <w:rFonts w:ascii="Times New Roman" w:hAnsi="Times New Roman"/>
          <w:sz w:val="24"/>
          <w:szCs w:val="24"/>
        </w:rPr>
      </w:pPr>
    </w:p>
    <w:p w:rsidR="00F3325B" w:rsidRPr="0073596B" w:rsidRDefault="00CF707E" w:rsidP="00F3325B">
      <w:pPr>
        <w:spacing w:after="0"/>
        <w:ind w:left="1418" w:hanging="709"/>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oMath>
      <w:r w:rsidR="00F3325B" w:rsidRPr="0073596B">
        <w:rPr>
          <w:rFonts w:ascii="Times New Roman" w:hAnsi="Times New Roman"/>
          <w:sz w:val="24"/>
          <w:szCs w:val="24"/>
        </w:rPr>
        <w:tab/>
        <w:t xml:space="preserve">celkový príspevok štátu na príslušný rozpočtovaný kalendárny rok t, pre ktorý sa príspevok štátu ustanovuje, </w:t>
      </w:r>
    </w:p>
    <w:p w:rsidR="00F3325B" w:rsidRPr="0073596B" w:rsidRDefault="00F3325B" w:rsidP="00F3325B">
      <w:pPr>
        <w:tabs>
          <w:tab w:val="left" w:pos="1418"/>
        </w:tabs>
        <w:spacing w:after="0"/>
        <w:ind w:left="1418" w:hanging="992"/>
        <w:jc w:val="both"/>
        <w:rPr>
          <w:rFonts w:ascii="Times New Roman" w:hAnsi="Times New Roman"/>
          <w:sz w:val="24"/>
          <w:szCs w:val="24"/>
        </w:rPr>
      </w:pPr>
      <w:r w:rsidRPr="0073596B">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t-1</m:t>
            </m:r>
          </m:sub>
        </m:sSub>
      </m:oMath>
      <w:r w:rsidRPr="0073596B">
        <w:rPr>
          <w:rFonts w:ascii="Times New Roman" w:hAnsi="Times New Roman"/>
          <w:sz w:val="24"/>
          <w:szCs w:val="24"/>
        </w:rPr>
        <w:t xml:space="preserve"> </w:t>
      </w:r>
      <w:r w:rsidRPr="0073596B">
        <w:rPr>
          <w:rFonts w:ascii="Times New Roman" w:hAnsi="Times New Roman"/>
          <w:sz w:val="24"/>
          <w:szCs w:val="24"/>
        </w:rPr>
        <w:tab/>
        <w:t>príspevok štátu na kalendárny rok predchádzajúci príslušnému rozpočtovanému kalendárnemu roku,</w:t>
      </w:r>
    </w:p>
    <w:p w:rsidR="00F3325B" w:rsidRPr="00FB6478" w:rsidRDefault="00CF707E" w:rsidP="00F3325B">
      <w:pPr>
        <w:spacing w:after="0"/>
        <w:ind w:left="1418" w:hanging="709"/>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t</m:t>
            </m:r>
          </m:sub>
        </m:sSub>
      </m:oMath>
      <w:r w:rsidR="00F3325B" w:rsidRPr="0073596B">
        <w:rPr>
          <w:rFonts w:ascii="Times New Roman" w:hAnsi="Times New Roman"/>
          <w:sz w:val="24"/>
          <w:szCs w:val="24"/>
        </w:rPr>
        <w:tab/>
        <w:t xml:space="preserve">miera zvýšenia základnej stupnice platových taríf zamestnancov pri výkone práce vo verejnom záujme schválenej na kalendárny rok pre ktorý sa príspevok štátu ustanovuje, vyjadrená v percentách, </w:t>
      </w:r>
      <w:r w:rsidR="00F3325B" w:rsidRPr="00FB6478">
        <w:rPr>
          <w:rFonts w:ascii="Times New Roman" w:hAnsi="Times New Roman"/>
          <w:sz w:val="24"/>
          <w:szCs w:val="24"/>
        </w:rPr>
        <w:t>pričom do vzorca sa vkladá percento v tvare desatinného čísla zaokrúhleného na tri desatinné miesta (napr. 1 % = 0,010),</w:t>
      </w:r>
    </w:p>
    <w:p w:rsidR="00F3325B" w:rsidRPr="00FB6478" w:rsidRDefault="00CF707E" w:rsidP="00F3325B">
      <w:pPr>
        <w:spacing w:after="0"/>
        <w:ind w:left="1418" w:hanging="709"/>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CPI</m:t>
            </m:r>
          </m:e>
          <m:sub>
            <m:r>
              <m:rPr>
                <m:sty m:val="p"/>
              </m:rPr>
              <w:rPr>
                <w:rFonts w:ascii="Cambria Math" w:hAnsi="Cambria Math"/>
                <w:sz w:val="24"/>
                <w:szCs w:val="24"/>
              </w:rPr>
              <m:t>t-2</m:t>
            </m:r>
          </m:sub>
        </m:sSub>
      </m:oMath>
      <w:r w:rsidR="00F3325B" w:rsidRPr="0073596B">
        <w:rPr>
          <w:rFonts w:ascii="Times New Roman" w:hAnsi="Times New Roman"/>
          <w:sz w:val="24"/>
          <w:szCs w:val="24"/>
        </w:rPr>
        <w:tab/>
        <w:t xml:space="preserve">priemerná miera medziročného rastu inflácie v hospodárstve Slovenskej republiky vykázaná Štatistickým úradom Slovenskej republiky vyjadrená indexom CPI za kalendárny rok, ktorý dva roky predchádza príslušný rozpočtovaný kalendárny rok, pre ktorý sa príspevok štátu ustanovuje, vyjadrená v percentách, </w:t>
      </w:r>
      <w:r w:rsidR="00F3325B" w:rsidRPr="00FB6478">
        <w:rPr>
          <w:rFonts w:ascii="Times New Roman" w:hAnsi="Times New Roman"/>
          <w:sz w:val="24"/>
          <w:szCs w:val="24"/>
        </w:rPr>
        <w:t>pričom do vzorca sa vkladá percento v tvare desatinného čísla zaokrúhleného na tri desatinné miesta (napr. 1 % = 0,010),</w:t>
      </w:r>
    </w:p>
    <w:p w:rsidR="00F3325B" w:rsidRDefault="00F3325B" w:rsidP="00F3325B">
      <w:pPr>
        <w:tabs>
          <w:tab w:val="left" w:pos="0"/>
        </w:tabs>
        <w:spacing w:after="0"/>
        <w:ind w:left="1418" w:hanging="709"/>
        <w:jc w:val="both"/>
        <w:rPr>
          <w:rFonts w:ascii="Times New Roman" w:hAnsi="Times New Roman"/>
          <w:sz w:val="24"/>
          <w:szCs w:val="24"/>
        </w:rPr>
      </w:pPr>
    </w:p>
    <w:p w:rsidR="00F3325B" w:rsidRPr="0073596B" w:rsidRDefault="00F3325B" w:rsidP="00F3325B">
      <w:pPr>
        <w:tabs>
          <w:tab w:val="left" w:pos="0"/>
        </w:tabs>
        <w:spacing w:after="0"/>
        <w:ind w:left="1418" w:hanging="709"/>
        <w:jc w:val="both"/>
        <w:rPr>
          <w:rFonts w:ascii="Times New Roman" w:hAnsi="Times New Roman"/>
          <w:sz w:val="24"/>
          <w:szCs w:val="24"/>
        </w:rPr>
      </w:pPr>
      <w:r w:rsidRPr="0073596B">
        <w:rPr>
          <w:rFonts w:ascii="Times New Roman" w:hAnsi="Times New Roman"/>
          <w:sz w:val="24"/>
          <w:szCs w:val="24"/>
        </w:rPr>
        <w:t xml:space="preserve">Ak vykázaná hodnota </w:t>
      </w:r>
      <m:oMath>
        <m:sSub>
          <m:sSubPr>
            <m:ctrlPr>
              <w:rPr>
                <w:rFonts w:ascii="Cambria Math" w:hAnsi="Cambria Math"/>
                <w:sz w:val="24"/>
                <w:szCs w:val="24"/>
              </w:rPr>
            </m:ctrlPr>
          </m:sSubPr>
          <m:e>
            <m:r>
              <m:rPr>
                <m:sty m:val="p"/>
              </m:rPr>
              <w:rPr>
                <w:rFonts w:ascii="Cambria Math" w:hAnsi="Cambria Math"/>
                <w:sz w:val="24"/>
                <w:szCs w:val="24"/>
              </w:rPr>
              <m:t>CPI</m:t>
            </m:r>
          </m:e>
          <m:sub>
            <m:r>
              <m:rPr>
                <m:sty m:val="p"/>
              </m:rPr>
              <w:rPr>
                <w:rFonts w:ascii="Cambria Math" w:hAnsi="Cambria Math"/>
                <w:sz w:val="24"/>
                <w:szCs w:val="24"/>
              </w:rPr>
              <m:t>t-2</m:t>
            </m:r>
          </m:sub>
        </m:sSub>
      </m:oMath>
      <w:r w:rsidRPr="0073596B">
        <w:rPr>
          <w:rFonts w:ascii="Times New Roman" w:hAnsi="Times New Roman"/>
          <w:sz w:val="24"/>
          <w:szCs w:val="24"/>
        </w:rPr>
        <w:t xml:space="preserve"> &lt; 0, dosadí sa do vzorca hodnota </w:t>
      </w:r>
      <m:oMath>
        <m:sSub>
          <m:sSubPr>
            <m:ctrlPr>
              <w:rPr>
                <w:rFonts w:ascii="Cambria Math" w:hAnsi="Cambria Math"/>
                <w:sz w:val="24"/>
                <w:szCs w:val="24"/>
              </w:rPr>
            </m:ctrlPr>
          </m:sSubPr>
          <m:e>
            <m:r>
              <m:rPr>
                <m:sty m:val="p"/>
              </m:rPr>
              <w:rPr>
                <w:rFonts w:ascii="Cambria Math" w:hAnsi="Cambria Math"/>
                <w:sz w:val="24"/>
                <w:szCs w:val="24"/>
              </w:rPr>
              <m:t>CPI</m:t>
            </m:r>
          </m:e>
          <m:sub>
            <m:r>
              <m:rPr>
                <m:sty m:val="p"/>
              </m:rPr>
              <w:rPr>
                <w:rFonts w:ascii="Cambria Math" w:hAnsi="Cambria Math"/>
                <w:sz w:val="24"/>
                <w:szCs w:val="24"/>
              </w:rPr>
              <m:t>t-2</m:t>
            </m:r>
          </m:sub>
        </m:sSub>
      </m:oMath>
      <w:r w:rsidRPr="0073596B">
        <w:rPr>
          <w:rFonts w:ascii="Times New Roman" w:hAnsi="Times New Roman"/>
          <w:sz w:val="24"/>
          <w:szCs w:val="24"/>
        </w:rPr>
        <w:t xml:space="preserve"> = 0</w:t>
      </w:r>
    </w:p>
    <w:p w:rsidR="00F3325B" w:rsidRPr="002C3D10" w:rsidRDefault="00F3325B" w:rsidP="00F3325B">
      <w:pPr>
        <w:tabs>
          <w:tab w:val="left" w:pos="0"/>
        </w:tabs>
        <w:spacing w:after="0"/>
        <w:jc w:val="both"/>
        <w:rPr>
          <w:rFonts w:ascii="Times New Roman" w:hAnsi="Times New Roman"/>
        </w:rPr>
      </w:pPr>
    </w:p>
    <w:p w:rsidR="00F3325B" w:rsidRDefault="00F3325B" w:rsidP="00F3325B">
      <w:pPr>
        <w:ind w:firstLine="708"/>
        <w:rPr>
          <w:rFonts w:ascii="Times New Roman" w:hAnsi="Times New Roman"/>
          <w:sz w:val="24"/>
          <w:szCs w:val="24"/>
          <w:lang w:eastAsia="sk-SK"/>
        </w:rPr>
      </w:pPr>
      <w:r>
        <w:rPr>
          <w:rFonts w:ascii="Times New Roman" w:hAnsi="Times New Roman"/>
          <w:sz w:val="24"/>
          <w:szCs w:val="24"/>
          <w:lang w:eastAsia="sk-SK"/>
        </w:rPr>
        <w:t>Výsledné medziročné na</w:t>
      </w:r>
      <w:r w:rsidRPr="00185D49">
        <w:rPr>
          <w:rFonts w:ascii="Times New Roman" w:hAnsi="Times New Roman"/>
          <w:sz w:val="24"/>
          <w:szCs w:val="24"/>
          <w:lang w:eastAsia="sk-SK"/>
        </w:rPr>
        <w:t xml:space="preserve">výšenie </w:t>
      </w:r>
      <w:r>
        <w:rPr>
          <w:rFonts w:ascii="Times New Roman" w:hAnsi="Times New Roman"/>
          <w:sz w:val="24"/>
          <w:szCs w:val="24"/>
          <w:lang w:eastAsia="sk-SK"/>
        </w:rPr>
        <w:t>(</w:t>
      </w:r>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t-1</m:t>
            </m:r>
          </m:sub>
        </m:sSub>
      </m:oMath>
      <w:r>
        <w:rPr>
          <w:rFonts w:ascii="Times New Roman" w:hAnsi="Times New Roman"/>
        </w:rPr>
        <w:t xml:space="preserve">) </w:t>
      </w:r>
      <w:r w:rsidRPr="00185D49">
        <w:rPr>
          <w:rFonts w:ascii="Times New Roman" w:hAnsi="Times New Roman"/>
          <w:sz w:val="24"/>
          <w:szCs w:val="24"/>
          <w:lang w:eastAsia="sk-SK"/>
        </w:rPr>
        <w:t xml:space="preserve">sa následne prerozdelí podľa relatívneho </w:t>
      </w:r>
      <w:r w:rsidRPr="00185D49">
        <w:rPr>
          <w:rFonts w:ascii="Times New Roman" w:hAnsi="Times New Roman"/>
          <w:sz w:val="24"/>
          <w:szCs w:val="24"/>
          <w:lang w:eastAsia="sk-SK"/>
        </w:rPr>
        <w:lastRenderedPageBreak/>
        <w:t xml:space="preserve">počtu veriacich </w:t>
      </w:r>
      <w:r>
        <w:rPr>
          <w:rFonts w:ascii="Times New Roman" w:hAnsi="Times New Roman"/>
          <w:sz w:val="24"/>
          <w:szCs w:val="24"/>
          <w:lang w:eastAsia="sk-SK"/>
        </w:rPr>
        <w:t xml:space="preserve">jednotlivých </w:t>
      </w:r>
      <w:r w:rsidRPr="00185D49">
        <w:rPr>
          <w:rFonts w:ascii="Times New Roman" w:hAnsi="Times New Roman"/>
          <w:sz w:val="24"/>
          <w:szCs w:val="24"/>
          <w:lang w:eastAsia="sk-SK"/>
        </w:rPr>
        <w:t>cirkví, ktoré</w:t>
      </w:r>
      <w:r>
        <w:rPr>
          <w:rFonts w:ascii="Times New Roman" w:hAnsi="Times New Roman"/>
          <w:sz w:val="24"/>
          <w:szCs w:val="24"/>
          <w:lang w:eastAsia="sk-SK"/>
        </w:rPr>
        <w:t xml:space="preserve"> žiadajú o podporu. Pri určovaní relatívneho počtu veriacich sme vychádzali z</w:t>
      </w:r>
      <w:r w:rsidRPr="00022D69">
        <w:rPr>
          <w:rFonts w:ascii="Times New Roman" w:hAnsi="Times New Roman"/>
          <w:sz w:val="24"/>
          <w:szCs w:val="24"/>
          <w:lang w:eastAsia="sk-SK"/>
        </w:rPr>
        <w:t> dát Štatistického úradu - Sčítanie obyvateľov, domov a bytov</w:t>
      </w:r>
      <w:r>
        <w:rPr>
          <w:rFonts w:ascii="Times New Roman" w:hAnsi="Times New Roman"/>
          <w:sz w:val="24"/>
          <w:szCs w:val="24"/>
          <w:lang w:eastAsia="sk-SK"/>
        </w:rPr>
        <w:t xml:space="preserve"> z roku </w:t>
      </w:r>
      <w:r w:rsidRPr="00022D69">
        <w:rPr>
          <w:rFonts w:ascii="Times New Roman" w:hAnsi="Times New Roman"/>
          <w:sz w:val="24"/>
          <w:szCs w:val="24"/>
          <w:lang w:eastAsia="sk-SK"/>
        </w:rPr>
        <w:t>2011.</w:t>
      </w:r>
      <w:r>
        <w:rPr>
          <w:rFonts w:ascii="Times New Roman" w:hAnsi="Times New Roman"/>
          <w:sz w:val="24"/>
          <w:szCs w:val="24"/>
          <w:lang w:eastAsia="sk-SK"/>
        </w:rPr>
        <w:t xml:space="preserve"> </w:t>
      </w:r>
      <w:r w:rsidRPr="008343A1">
        <w:rPr>
          <w:rFonts w:ascii="Times New Roman" w:hAnsi="Times New Roman"/>
          <w:sz w:val="24"/>
          <w:szCs w:val="24"/>
          <w:lang w:eastAsia="sk-SK"/>
        </w:rPr>
        <w:t>Koeficient navýšenia príspevku jednotlivých cirkví sme vypočítali</w:t>
      </w:r>
      <w:r>
        <w:rPr>
          <w:rFonts w:ascii="Times New Roman" w:hAnsi="Times New Roman"/>
          <w:sz w:val="24"/>
          <w:szCs w:val="24"/>
          <w:lang w:eastAsia="sk-SK"/>
        </w:rPr>
        <w:t xml:space="preserve"> ako </w:t>
      </w:r>
      <w:r w:rsidRPr="008343A1">
        <w:rPr>
          <w:rFonts w:ascii="Times New Roman" w:hAnsi="Times New Roman"/>
          <w:sz w:val="24"/>
          <w:szCs w:val="24"/>
          <w:lang w:eastAsia="sk-SK"/>
        </w:rPr>
        <w:t>relatívn</w:t>
      </w:r>
      <w:r>
        <w:rPr>
          <w:rFonts w:ascii="Times New Roman" w:hAnsi="Times New Roman"/>
          <w:sz w:val="24"/>
          <w:szCs w:val="24"/>
          <w:lang w:eastAsia="sk-SK"/>
        </w:rPr>
        <w:t>y</w:t>
      </w:r>
      <w:r w:rsidRPr="008343A1">
        <w:rPr>
          <w:rFonts w:ascii="Times New Roman" w:hAnsi="Times New Roman"/>
          <w:sz w:val="24"/>
          <w:szCs w:val="24"/>
          <w:lang w:eastAsia="sk-SK"/>
        </w:rPr>
        <w:t xml:space="preserve"> poč</w:t>
      </w:r>
      <w:r>
        <w:rPr>
          <w:rFonts w:ascii="Times New Roman" w:hAnsi="Times New Roman"/>
          <w:sz w:val="24"/>
          <w:szCs w:val="24"/>
          <w:lang w:eastAsia="sk-SK"/>
        </w:rPr>
        <w:t>e</w:t>
      </w:r>
      <w:r w:rsidRPr="008343A1">
        <w:rPr>
          <w:rFonts w:ascii="Times New Roman" w:hAnsi="Times New Roman"/>
          <w:sz w:val="24"/>
          <w:szCs w:val="24"/>
          <w:lang w:eastAsia="sk-SK"/>
        </w:rPr>
        <w:t>t veriacich danej cirkvi k počtu všetkých veriacich</w:t>
      </w:r>
      <w:r>
        <w:rPr>
          <w:rFonts w:ascii="Times New Roman" w:hAnsi="Times New Roman"/>
          <w:sz w:val="24"/>
          <w:szCs w:val="24"/>
          <w:lang w:eastAsia="sk-SK"/>
        </w:rPr>
        <w:t xml:space="preserve"> podporovaných cirkví</w:t>
      </w:r>
      <w:r w:rsidRPr="008343A1">
        <w:rPr>
          <w:rFonts w:ascii="Times New Roman" w:hAnsi="Times New Roman"/>
          <w:sz w:val="24"/>
          <w:szCs w:val="24"/>
          <w:lang w:eastAsia="sk-SK"/>
        </w:rPr>
        <w:t>.</w:t>
      </w:r>
    </w:p>
    <w:p w:rsidR="00F70B06" w:rsidRDefault="00F3325B" w:rsidP="00F3325B">
      <w:pPr>
        <w:jc w:val="both"/>
        <w:rPr>
          <w:rFonts w:ascii="Times New Roman" w:hAnsi="Times New Roman"/>
          <w:sz w:val="24"/>
          <w:szCs w:val="24"/>
          <w:lang w:eastAsia="sk-SK"/>
        </w:rPr>
        <w:sectPr w:rsidR="00F70B06" w:rsidSect="00AB1F57">
          <w:footerReference w:type="default" r:id="rId10"/>
          <w:pgSz w:w="12240" w:h="15840"/>
          <w:pgMar w:top="851" w:right="1418" w:bottom="851" w:left="1418" w:header="709" w:footer="709" w:gutter="0"/>
          <w:cols w:space="708"/>
          <w:docGrid w:linePitch="360"/>
        </w:sectPr>
      </w:pPr>
      <w:r>
        <w:rPr>
          <w:rFonts w:ascii="Times New Roman" w:hAnsi="Times New Roman"/>
          <w:sz w:val="24"/>
          <w:szCs w:val="24"/>
          <w:lang w:eastAsia="sk-SK"/>
        </w:rPr>
        <w:t>Pri výpočte príspevku štátu na rok sme počítali s hodnotami CPI z Makroekonomickej prognózy ekonomického vývoja SR zverejnenej 16. júna 2019, teda CPI = 2,5 % (roky 2018 - 2020), CPI = 2,4 % (rok 2021).</w:t>
      </w:r>
      <w:r w:rsidRPr="00987CD2">
        <w:rPr>
          <w:rFonts w:ascii="Times New Roman" w:hAnsi="Times New Roman"/>
          <w:sz w:val="24"/>
          <w:szCs w:val="24"/>
          <w:lang w:eastAsia="sk-SK"/>
        </w:rPr>
        <w:t xml:space="preserve"> </w:t>
      </w:r>
      <w:r w:rsidRPr="00666AC3">
        <w:rPr>
          <w:rFonts w:ascii="Times New Roman" w:hAnsi="Times New Roman"/>
          <w:sz w:val="24"/>
          <w:szCs w:val="24"/>
          <w:lang w:eastAsia="sk-SK"/>
        </w:rPr>
        <w:t xml:space="preserve">Koeficient V (valorizácia platov) je </w:t>
      </w:r>
      <w:r>
        <w:rPr>
          <w:rFonts w:ascii="Times New Roman" w:hAnsi="Times New Roman"/>
          <w:sz w:val="24"/>
          <w:szCs w:val="24"/>
          <w:lang w:eastAsia="sk-SK"/>
        </w:rPr>
        <w:t>v</w:t>
      </w:r>
      <w:r w:rsidRPr="00987CD2">
        <w:rPr>
          <w:rFonts w:ascii="Times New Roman" w:hAnsi="Times New Roman"/>
          <w:sz w:val="24"/>
          <w:szCs w:val="24"/>
          <w:lang w:eastAsia="sk-SK"/>
        </w:rPr>
        <w:t xml:space="preserve"> roku 2020 dohodnutý na úrovni 10 % (zdroj: Revízia výdavkov na zamestnanosť a mzdy vo verejnej správe, priebežná správa, MF SR 2018; Graf 31). </w:t>
      </w:r>
      <w:r>
        <w:rPr>
          <w:rFonts w:ascii="Times New Roman" w:hAnsi="Times New Roman"/>
          <w:sz w:val="24"/>
          <w:szCs w:val="24"/>
          <w:lang w:eastAsia="sk-SK"/>
        </w:rPr>
        <w:t xml:space="preserve"> Na rok 2021 je rast miezd vo verejnom sektore podľa Makroekonomickej prognózy odhadnutý vo výške 5,2 % a na rok 2022 vo výške 4,7 %</w:t>
      </w:r>
      <w:r w:rsidRPr="00666AC3">
        <w:rPr>
          <w:rFonts w:ascii="Times New Roman" w:hAnsi="Times New Roman"/>
          <w:sz w:val="24"/>
          <w:szCs w:val="24"/>
          <w:lang w:eastAsia="sk-SK"/>
        </w:rPr>
        <w:t>.</w:t>
      </w:r>
      <w:r>
        <w:rPr>
          <w:rFonts w:ascii="Times New Roman" w:hAnsi="Times New Roman"/>
          <w:sz w:val="24"/>
          <w:szCs w:val="24"/>
          <w:lang w:eastAsia="sk-SK"/>
        </w:rPr>
        <w:t xml:space="preserve"> Na rok 2023 nie je prognóza k dispozícii. Valorizáciu sme preto odhadli ako priemer z prognóz na roky 2021 a 2022, teda po zaokrúhlení 5 %. Rok 2020 sme nevzali do úvahy vzhľadom na to, že navýšenie o 10 % dohodnuté na roky 2019 a 2020 je z dlhodobého hľadiska nadštandardné.</w:t>
      </w:r>
    </w:p>
    <w:p w:rsidR="00F70B06" w:rsidRPr="00E72448" w:rsidRDefault="00F70B06" w:rsidP="00F70B06">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3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F70B06" w:rsidRPr="007D5748" w:rsidTr="00F70B0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F70B06" w:rsidRPr="007D5748" w:rsidTr="00F70B0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F70B06" w:rsidRPr="007D5748" w:rsidRDefault="00F70B06" w:rsidP="00F70B06">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w:t>
            </w:r>
            <w:r w:rsidRPr="007D5748">
              <w:rPr>
                <w:rFonts w:ascii="Times New Roman" w:hAnsi="Times New Roman"/>
                <w:b/>
                <w:bCs/>
                <w:sz w:val="24"/>
                <w:szCs w:val="24"/>
                <w:lang w:eastAsia="sk-SK"/>
              </w:rPr>
              <w:t>1</w:t>
            </w:r>
          </w:p>
        </w:tc>
        <w:tc>
          <w:tcPr>
            <w:tcW w:w="150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w:t>
            </w:r>
            <w:r w:rsidRPr="007D5748">
              <w:rPr>
                <w:rFonts w:ascii="Times New Roman" w:hAnsi="Times New Roman"/>
                <w:b/>
                <w:bCs/>
                <w:sz w:val="24"/>
                <w:szCs w:val="24"/>
                <w:lang w:eastAsia="sk-SK"/>
              </w:rPr>
              <w:t>2</w:t>
            </w:r>
          </w:p>
        </w:tc>
        <w:tc>
          <w:tcPr>
            <w:tcW w:w="150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w:t>
            </w:r>
            <w:r w:rsidRPr="007D5748">
              <w:rPr>
                <w:rFonts w:ascii="Times New Roman" w:hAnsi="Times New Roman"/>
                <w:b/>
                <w:bCs/>
                <w:sz w:val="24"/>
                <w:szCs w:val="24"/>
                <w:lang w:eastAsia="sk-SK"/>
              </w:rPr>
              <w:t>3</w:t>
            </w:r>
          </w:p>
        </w:tc>
        <w:tc>
          <w:tcPr>
            <w:tcW w:w="3000" w:type="dxa"/>
            <w:vMerge/>
            <w:tcBorders>
              <w:top w:val="single" w:sz="4" w:space="0" w:color="auto"/>
              <w:left w:val="single" w:sz="4" w:space="0" w:color="auto"/>
              <w:bottom w:val="single" w:sz="4" w:space="0" w:color="auto"/>
              <w:right w:val="single" w:sz="4" w:space="0" w:color="auto"/>
            </w:tcBorders>
            <w:vAlign w:val="center"/>
          </w:tcPr>
          <w:p w:rsidR="00F70B06" w:rsidRPr="007D5748" w:rsidRDefault="00F70B06" w:rsidP="00F70B06">
            <w:pPr>
              <w:spacing w:after="0" w:line="240" w:lineRule="auto"/>
              <w:rPr>
                <w:rFonts w:ascii="Times New Roman" w:hAnsi="Times New Roman"/>
                <w:b/>
                <w:bCs/>
                <w:color w:val="FFFFFF"/>
                <w:sz w:val="24"/>
                <w:szCs w:val="24"/>
                <w:lang w:eastAsia="sk-SK"/>
              </w:rPr>
            </w:pPr>
          </w:p>
        </w:tc>
      </w:tr>
      <w:tr w:rsidR="00F70B06" w:rsidRPr="007D5748" w:rsidTr="00F70B06">
        <w:trPr>
          <w:trHeight w:val="255"/>
        </w:trPr>
        <w:tc>
          <w:tcPr>
            <w:tcW w:w="495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495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495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495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495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51 697 671</w:t>
            </w:r>
          </w:p>
        </w:tc>
        <w:tc>
          <w:tcPr>
            <w:tcW w:w="1500" w:type="dxa"/>
            <w:tcBorders>
              <w:top w:val="nil"/>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54 106 782</w:t>
            </w:r>
          </w:p>
        </w:tc>
        <w:tc>
          <w:tcPr>
            <w:tcW w:w="1500" w:type="dxa"/>
            <w:tcBorders>
              <w:top w:val="nil"/>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56 411 731</w:t>
            </w:r>
          </w:p>
        </w:tc>
        <w:tc>
          <w:tcPr>
            <w:tcW w:w="1500" w:type="dxa"/>
            <w:tcBorders>
              <w:top w:val="nil"/>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58 938 977</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F70B06" w:rsidRPr="007D5748" w:rsidRDefault="00F70B06" w:rsidP="00F70B06">
      <w:pPr>
        <w:tabs>
          <w:tab w:val="num" w:pos="1080"/>
        </w:tabs>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F70B06" w:rsidRPr="007D5748" w:rsidRDefault="00F70B06" w:rsidP="00F70B06">
      <w:pPr>
        <w:tabs>
          <w:tab w:val="num" w:pos="1080"/>
        </w:tabs>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F70B06" w:rsidRPr="007D5748" w:rsidRDefault="00F70B06" w:rsidP="00F70B06">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F70B06" w:rsidRPr="00E72448" w:rsidRDefault="00F70B06" w:rsidP="00F70B06">
      <w:pPr>
        <w:tabs>
          <w:tab w:val="num" w:pos="1080"/>
        </w:tabs>
        <w:spacing w:after="0" w:line="240" w:lineRule="auto"/>
        <w:ind w:right="-32"/>
        <w:jc w:val="right"/>
        <w:rPr>
          <w:rFonts w:ascii="Times New Roman" w:hAnsi="Times New Roman"/>
          <w:bCs/>
          <w:sz w:val="24"/>
          <w:szCs w:val="24"/>
          <w:lang w:eastAsia="sk-SK"/>
        </w:rPr>
      </w:pPr>
      <w:r>
        <w:rPr>
          <w:rFonts w:ascii="Times New Roman" w:hAnsi="Times New Roman"/>
          <w:bCs/>
          <w:sz w:val="24"/>
          <w:szCs w:val="24"/>
          <w:lang w:eastAsia="sk-SK"/>
        </w:rPr>
        <w:t>Tabuľka č. 4</w:t>
      </w:r>
    </w:p>
    <w:tbl>
      <w:tblPr>
        <w:tblpPr w:leftFromText="141" w:rightFromText="141" w:vertAnchor="text" w:horzAnchor="page" w:tblpX="629" w:tblpY="2"/>
        <w:tblW w:w="14812" w:type="dxa"/>
        <w:tblCellMar>
          <w:left w:w="70" w:type="dxa"/>
          <w:right w:w="70" w:type="dxa"/>
        </w:tblCellMar>
        <w:tblLook w:val="0000" w:firstRow="0" w:lastRow="0" w:firstColumn="0" w:lastColumn="0" w:noHBand="0" w:noVBand="0"/>
      </w:tblPr>
      <w:tblGrid>
        <w:gridCol w:w="7070"/>
        <w:gridCol w:w="1540"/>
        <w:gridCol w:w="1540"/>
        <w:gridCol w:w="1540"/>
        <w:gridCol w:w="1540"/>
        <w:gridCol w:w="1582"/>
      </w:tblGrid>
      <w:tr w:rsidR="00F70B06" w:rsidRPr="007D5748" w:rsidTr="00F70B0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F70B06" w:rsidRPr="007D5748" w:rsidRDefault="00F70B06" w:rsidP="00F70B06">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F70B06" w:rsidRPr="007D5748" w:rsidTr="00F70B0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F70B06" w:rsidRPr="007D5748" w:rsidRDefault="00F70B06" w:rsidP="00F70B06">
            <w:pPr>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w:t>
            </w:r>
            <w:r w:rsidRPr="007D5748">
              <w:rPr>
                <w:rFonts w:ascii="Times New Roman" w:hAnsi="Times New Roman"/>
                <w:b/>
                <w:bCs/>
                <w:sz w:val="24"/>
                <w:szCs w:val="24"/>
                <w:lang w:eastAsia="sk-SK"/>
              </w:rPr>
              <w:t>1</w:t>
            </w:r>
          </w:p>
        </w:tc>
        <w:tc>
          <w:tcPr>
            <w:tcW w:w="154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w:t>
            </w:r>
            <w:r w:rsidRPr="007D5748">
              <w:rPr>
                <w:rFonts w:ascii="Times New Roman" w:hAnsi="Times New Roman"/>
                <w:b/>
                <w:bCs/>
                <w:sz w:val="24"/>
                <w:szCs w:val="24"/>
                <w:lang w:eastAsia="sk-SK"/>
              </w:rPr>
              <w:t>2</w:t>
            </w:r>
          </w:p>
        </w:tc>
        <w:tc>
          <w:tcPr>
            <w:tcW w:w="1540"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w:t>
            </w:r>
            <w:r w:rsidRPr="007D5748">
              <w:rPr>
                <w:rFonts w:ascii="Times New Roman" w:hAnsi="Times New Roman"/>
                <w:b/>
                <w:bCs/>
                <w:sz w:val="24"/>
                <w:szCs w:val="24"/>
                <w:lang w:eastAsia="sk-SK"/>
              </w:rPr>
              <w:t>3</w:t>
            </w:r>
          </w:p>
        </w:tc>
        <w:tc>
          <w:tcPr>
            <w:tcW w:w="1582" w:type="dxa"/>
            <w:vMerge/>
            <w:tcBorders>
              <w:top w:val="single" w:sz="4" w:space="0" w:color="auto"/>
              <w:left w:val="single" w:sz="4" w:space="0" w:color="auto"/>
              <w:bottom w:val="single" w:sz="4" w:space="0" w:color="auto"/>
              <w:right w:val="single" w:sz="4" w:space="0" w:color="auto"/>
            </w:tcBorders>
            <w:vAlign w:val="center"/>
          </w:tcPr>
          <w:p w:rsidR="00F70B06" w:rsidRPr="007D5748" w:rsidRDefault="00F70B06" w:rsidP="00F70B06">
            <w:pPr>
              <w:spacing w:after="0" w:line="240" w:lineRule="auto"/>
              <w:rPr>
                <w:rFonts w:ascii="Times New Roman" w:hAnsi="Times New Roman"/>
                <w:b/>
                <w:bCs/>
                <w:color w:val="FFFFFF"/>
                <w:sz w:val="24"/>
                <w:szCs w:val="24"/>
                <w:lang w:eastAsia="sk-SK"/>
              </w:rPr>
            </w:pP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bottom"/>
          </w:tcPr>
          <w:p w:rsidR="00F70B06" w:rsidRDefault="00F70B06" w:rsidP="00F70B06">
            <w:pPr>
              <w:jc w:val="right"/>
              <w:rPr>
                <w:b/>
                <w:bCs/>
                <w:color w:val="000000"/>
              </w:rPr>
            </w:pPr>
            <w:r>
              <w:rPr>
                <w:b/>
                <w:bCs/>
                <w:color w:val="000000"/>
              </w:rPr>
              <w:t>51 697 671</w:t>
            </w:r>
          </w:p>
        </w:tc>
        <w:tc>
          <w:tcPr>
            <w:tcW w:w="1540" w:type="dxa"/>
            <w:tcBorders>
              <w:top w:val="nil"/>
              <w:left w:val="nil"/>
              <w:bottom w:val="single" w:sz="4" w:space="0" w:color="auto"/>
              <w:right w:val="single" w:sz="4" w:space="0" w:color="auto"/>
            </w:tcBorders>
            <w:vAlign w:val="bottom"/>
          </w:tcPr>
          <w:p w:rsidR="00F70B06" w:rsidRDefault="00F70B06" w:rsidP="00F70B06">
            <w:pPr>
              <w:jc w:val="right"/>
              <w:rPr>
                <w:b/>
                <w:bCs/>
                <w:color w:val="000000"/>
              </w:rPr>
            </w:pPr>
            <w:r>
              <w:rPr>
                <w:b/>
                <w:bCs/>
                <w:color w:val="000000"/>
              </w:rPr>
              <w:t>54 106 782</w:t>
            </w:r>
          </w:p>
        </w:tc>
        <w:tc>
          <w:tcPr>
            <w:tcW w:w="1540" w:type="dxa"/>
            <w:tcBorders>
              <w:top w:val="nil"/>
              <w:left w:val="nil"/>
              <w:bottom w:val="single" w:sz="4" w:space="0" w:color="auto"/>
              <w:right w:val="single" w:sz="4" w:space="0" w:color="auto"/>
            </w:tcBorders>
            <w:vAlign w:val="bottom"/>
          </w:tcPr>
          <w:p w:rsidR="00F70B06" w:rsidRDefault="00F70B06" w:rsidP="00F70B06">
            <w:pPr>
              <w:jc w:val="right"/>
              <w:rPr>
                <w:b/>
                <w:bCs/>
                <w:color w:val="000000"/>
              </w:rPr>
            </w:pPr>
            <w:r>
              <w:rPr>
                <w:b/>
                <w:bCs/>
                <w:color w:val="000000"/>
              </w:rPr>
              <w:t>56 411 731</w:t>
            </w:r>
          </w:p>
        </w:tc>
        <w:tc>
          <w:tcPr>
            <w:tcW w:w="1540" w:type="dxa"/>
            <w:tcBorders>
              <w:top w:val="nil"/>
              <w:left w:val="nil"/>
              <w:bottom w:val="single" w:sz="4" w:space="0" w:color="auto"/>
              <w:right w:val="single" w:sz="4" w:space="0" w:color="auto"/>
            </w:tcBorders>
            <w:vAlign w:val="bottom"/>
          </w:tcPr>
          <w:p w:rsidR="00F70B06" w:rsidRDefault="00F70B06" w:rsidP="00F70B06">
            <w:pPr>
              <w:jc w:val="right"/>
              <w:rPr>
                <w:b/>
                <w:bCs/>
                <w:color w:val="000000"/>
              </w:rPr>
            </w:pPr>
            <w:r>
              <w:rPr>
                <w:b/>
                <w:bCs/>
                <w:color w:val="000000"/>
              </w:rPr>
              <w:t>58 938 977</w:t>
            </w: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vAlign w:val="center"/>
          </w:tcPr>
          <w:p w:rsidR="00F70B06" w:rsidRPr="007D5748" w:rsidRDefault="00F70B06" w:rsidP="00F70B06">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82"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51 697 671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54 106 782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56 411 731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F70B06" w:rsidRDefault="00F70B06" w:rsidP="00F70B06">
            <w:pPr>
              <w:jc w:val="right"/>
              <w:rPr>
                <w:b/>
                <w:bCs/>
                <w:color w:val="000000"/>
              </w:rPr>
            </w:pPr>
            <w:r>
              <w:rPr>
                <w:b/>
                <w:bCs/>
                <w:color w:val="000000"/>
              </w:rPr>
              <w:t>58 938 977</w:t>
            </w:r>
          </w:p>
        </w:tc>
        <w:tc>
          <w:tcPr>
            <w:tcW w:w="158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F70B06" w:rsidRPr="007D5748" w:rsidRDefault="00F70B06" w:rsidP="00F70B06">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F70B06" w:rsidRPr="007D5748" w:rsidRDefault="00F70B06" w:rsidP="00F70B06">
      <w:pPr>
        <w:tabs>
          <w:tab w:val="num" w:pos="1080"/>
        </w:tabs>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lastRenderedPageBreak/>
        <w:t>Poznámka:</w:t>
      </w:r>
    </w:p>
    <w:p w:rsidR="00F70B06" w:rsidRPr="007D5748" w:rsidRDefault="00F70B06" w:rsidP="00F70B06">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F70B06" w:rsidRPr="00E72448" w:rsidRDefault="00F70B06" w:rsidP="00F70B06">
      <w:pPr>
        <w:tabs>
          <w:tab w:val="num" w:pos="1080"/>
        </w:tabs>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Tabuľka č. 5</w:t>
      </w:r>
    </w:p>
    <w:tbl>
      <w:tblPr>
        <w:tblW w:w="14888" w:type="dxa"/>
        <w:tblInd w:w="-784" w:type="dxa"/>
        <w:tblCellMar>
          <w:left w:w="70" w:type="dxa"/>
          <w:right w:w="70" w:type="dxa"/>
        </w:tblCellMar>
        <w:tblLook w:val="0000" w:firstRow="0" w:lastRow="0" w:firstColumn="0" w:lastColumn="0" w:noHBand="0" w:noVBand="0"/>
      </w:tblPr>
      <w:tblGrid>
        <w:gridCol w:w="6133"/>
        <w:gridCol w:w="1681"/>
        <w:gridCol w:w="1770"/>
        <w:gridCol w:w="2392"/>
        <w:gridCol w:w="1705"/>
        <w:gridCol w:w="1207"/>
      </w:tblGrid>
      <w:tr w:rsidR="00F70B06" w:rsidRPr="007D5748" w:rsidTr="00F70B0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F70B06" w:rsidRPr="007D5748" w:rsidTr="00F70B0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0B06" w:rsidRPr="007D5748" w:rsidRDefault="00F70B06" w:rsidP="00F70B06">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2418"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c>
          <w:tcPr>
            <w:tcW w:w="107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0B06" w:rsidRPr="007D5748" w:rsidRDefault="00F70B06" w:rsidP="00F70B06">
            <w:pPr>
              <w:spacing w:after="0" w:line="240" w:lineRule="auto"/>
              <w:rPr>
                <w:rFonts w:ascii="Times New Roman" w:hAnsi="Times New Roman"/>
                <w:b/>
                <w:bCs/>
                <w:color w:val="FFFFFF"/>
                <w:sz w:val="24"/>
                <w:szCs w:val="24"/>
                <w:lang w:eastAsia="sk-SK"/>
              </w:rPr>
            </w:pP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241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2418"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F70B06" w:rsidRPr="007D5748" w:rsidRDefault="00F70B06" w:rsidP="00F70B06">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074" w:type="dxa"/>
            <w:tcBorders>
              <w:top w:val="nil"/>
              <w:left w:val="nil"/>
              <w:bottom w:val="single" w:sz="4" w:space="0" w:color="auto"/>
              <w:right w:val="single" w:sz="4" w:space="0" w:color="auto"/>
            </w:tcBorders>
            <w:shd w:val="clear" w:color="auto" w:fill="BFBFBF" w:themeFill="background1" w:themeFillShade="BF"/>
            <w:noWrap/>
            <w:vAlign w:val="bottom"/>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241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241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241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b/>
                <w:bCs/>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F70B06" w:rsidRPr="007D5748" w:rsidTr="00F70B06">
        <w:trPr>
          <w:trHeight w:val="255"/>
        </w:trPr>
        <w:tc>
          <w:tcPr>
            <w:tcW w:w="6188" w:type="dxa"/>
            <w:tcBorders>
              <w:top w:val="nil"/>
              <w:left w:val="single" w:sz="4" w:space="0" w:color="auto"/>
              <w:bottom w:val="single" w:sz="4" w:space="0" w:color="auto"/>
              <w:right w:val="single" w:sz="4" w:space="0" w:color="auto"/>
            </w:tcBorders>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2418"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F70B06" w:rsidRPr="007D5748" w:rsidRDefault="00F70B06" w:rsidP="00F70B06">
            <w:pPr>
              <w:spacing w:after="0" w:line="240" w:lineRule="auto"/>
              <w:jc w:val="center"/>
              <w:rPr>
                <w:rFonts w:ascii="Times New Roman" w:hAnsi="Times New Roman"/>
                <w:sz w:val="24"/>
                <w:szCs w:val="24"/>
                <w:lang w:eastAsia="sk-SK"/>
              </w:rPr>
            </w:pPr>
          </w:p>
        </w:tc>
        <w:tc>
          <w:tcPr>
            <w:tcW w:w="1074" w:type="dxa"/>
            <w:tcBorders>
              <w:top w:val="nil"/>
              <w:left w:val="nil"/>
              <w:bottom w:val="single" w:sz="4" w:space="0" w:color="auto"/>
              <w:right w:val="single" w:sz="4" w:space="0" w:color="auto"/>
            </w:tcBorders>
            <w:noWrap/>
            <w:vAlign w:val="bottom"/>
          </w:tcPr>
          <w:p w:rsidR="00F70B06" w:rsidRPr="007D5748"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F70B06" w:rsidRDefault="00F70B06" w:rsidP="00F70B06">
      <w:pPr>
        <w:spacing w:after="0" w:line="240" w:lineRule="auto"/>
        <w:rPr>
          <w:rFonts w:ascii="Times New Roman" w:hAnsi="Times New Roman"/>
          <w:bCs/>
          <w:sz w:val="24"/>
          <w:szCs w:val="20"/>
          <w:lang w:eastAsia="sk-SK"/>
        </w:rPr>
      </w:pPr>
      <w:r w:rsidRPr="007D5748">
        <w:rPr>
          <w:rFonts w:ascii="Times New Roman" w:hAnsi="Times New Roman"/>
          <w:b/>
          <w:bCs/>
          <w:sz w:val="24"/>
          <w:szCs w:val="24"/>
          <w:lang w:eastAsia="sk-SK"/>
        </w:rPr>
        <w:t>Poznámky:</w:t>
      </w:r>
    </w:p>
    <w:p w:rsidR="00F70B06" w:rsidRDefault="00F70B06" w:rsidP="00F70B06">
      <w:pPr>
        <w:spacing w:after="0" w:line="240" w:lineRule="auto"/>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70B06"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p w:rsidR="00F70B06" w:rsidRDefault="00F70B06" w:rsidP="00F70B06">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p w:rsidR="00F70B06" w:rsidRDefault="00F70B06" w:rsidP="00F70B06">
      <w:pPr>
        <w:spacing w:after="0" w:line="240" w:lineRule="auto"/>
        <w:rPr>
          <w:rFonts w:ascii="Times New Roman" w:hAnsi="Times New Roman"/>
          <w:sz w:val="24"/>
          <w:szCs w:val="24"/>
          <w:lang w:eastAsia="sk-SK"/>
        </w:rPr>
      </w:pPr>
    </w:p>
    <w:p w:rsidR="00F70B06" w:rsidRDefault="00F70B06" w:rsidP="00F70B06">
      <w:pPr>
        <w:rPr>
          <w:rFonts w:ascii="Times New Roman" w:hAnsi="Times New Roman"/>
          <w:sz w:val="24"/>
          <w:szCs w:val="24"/>
          <w:lang w:eastAsia="sk-SK"/>
        </w:rPr>
      </w:pPr>
    </w:p>
    <w:p w:rsidR="00F70B06" w:rsidRDefault="00F70B06" w:rsidP="00F70B06">
      <w:pPr>
        <w:rPr>
          <w:rFonts w:ascii="Times New Roman" w:hAnsi="Times New Roman"/>
          <w:sz w:val="24"/>
          <w:szCs w:val="24"/>
          <w:lang w:eastAsia="sk-SK"/>
        </w:rPr>
      </w:pPr>
    </w:p>
    <w:p w:rsidR="00F70B06" w:rsidRDefault="00F70B06" w:rsidP="00F70B06">
      <w:pPr>
        <w:rPr>
          <w:rFonts w:ascii="Times New Roman" w:hAnsi="Times New Roman"/>
          <w:sz w:val="24"/>
          <w:szCs w:val="24"/>
          <w:lang w:eastAsia="sk-SK"/>
        </w:rPr>
      </w:pPr>
    </w:p>
    <w:p w:rsidR="00F70B06" w:rsidRDefault="00F70B06" w:rsidP="00F70B06">
      <w:pPr>
        <w:rPr>
          <w:rFonts w:ascii="Times New Roman" w:hAnsi="Times New Roman"/>
          <w:sz w:val="24"/>
          <w:szCs w:val="24"/>
          <w:lang w:eastAsia="sk-SK"/>
        </w:rPr>
      </w:pPr>
    </w:p>
    <w:p w:rsidR="00F70B06" w:rsidRDefault="00F70B06" w:rsidP="00F70B06">
      <w:pPr>
        <w:rPr>
          <w:rFonts w:ascii="Times New Roman" w:hAnsi="Times New Roman"/>
          <w:sz w:val="24"/>
          <w:szCs w:val="24"/>
          <w:lang w:eastAsia="sk-SK"/>
        </w:rPr>
      </w:pPr>
      <w:r>
        <w:rPr>
          <w:rFonts w:ascii="Times New Roman" w:hAnsi="Times New Roman"/>
          <w:sz w:val="24"/>
          <w:szCs w:val="24"/>
          <w:lang w:eastAsia="sk-SK"/>
        </w:rPr>
        <w:br w:type="page"/>
      </w:r>
    </w:p>
    <w:p w:rsidR="00F70B06" w:rsidRPr="00797ED8" w:rsidRDefault="00F70B06" w:rsidP="00F70B06">
      <w:pPr>
        <w:spacing w:after="0" w:line="240" w:lineRule="auto"/>
      </w:pPr>
      <w:r>
        <w:rPr>
          <w:u w:val="single"/>
        </w:rPr>
        <w:lastRenderedPageBreak/>
        <w:t>Príloha 1</w:t>
      </w:r>
      <w:r>
        <w:t>: Očakávaný rozpočet príspevku na cirkvi a jeho rozdelenie medzi jednotlivé cirkvi a náboženské spoločnosti</w:t>
      </w:r>
    </w:p>
    <w:p w:rsidR="00F70B06" w:rsidRDefault="00F70B06" w:rsidP="00F70B06">
      <w:pPr>
        <w:spacing w:after="0" w:line="240" w:lineRule="auto"/>
      </w:pPr>
    </w:p>
    <w:tbl>
      <w:tblPr>
        <w:tblW w:w="0" w:type="auto"/>
        <w:tblInd w:w="60" w:type="dxa"/>
        <w:tblCellMar>
          <w:left w:w="70" w:type="dxa"/>
          <w:right w:w="70" w:type="dxa"/>
        </w:tblCellMar>
        <w:tblLook w:val="04A0" w:firstRow="1" w:lastRow="0" w:firstColumn="1" w:lastColumn="0" w:noHBand="0" w:noVBand="1"/>
      </w:tblPr>
      <w:tblGrid>
        <w:gridCol w:w="6164"/>
        <w:gridCol w:w="1293"/>
        <w:gridCol w:w="1293"/>
        <w:gridCol w:w="1293"/>
        <w:gridCol w:w="1293"/>
      </w:tblGrid>
      <w:tr w:rsidR="00F70B06" w:rsidRPr="007C33C3" w:rsidTr="00F70B06">
        <w:trPr>
          <w:trHeight w:val="317"/>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70B06" w:rsidRPr="007C33C3" w:rsidRDefault="00F70B06" w:rsidP="00F70B06">
            <w:pPr>
              <w:spacing w:after="0" w:line="240" w:lineRule="auto"/>
              <w:rPr>
                <w:b/>
                <w:bCs/>
                <w:color w:val="000000"/>
                <w:lang w:eastAsia="sk-SK"/>
              </w:rPr>
            </w:pPr>
            <w:r w:rsidRPr="007C33C3">
              <w:rPr>
                <w:b/>
                <w:bCs/>
                <w:color w:val="000000"/>
                <w:lang w:eastAsia="sk-SK"/>
              </w:rPr>
              <w:t>Cirkev</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70B06" w:rsidRPr="00870C66" w:rsidRDefault="00F70B06" w:rsidP="00F70B06">
            <w:pPr>
              <w:spacing w:after="0" w:line="240" w:lineRule="auto"/>
              <w:jc w:val="right"/>
              <w:rPr>
                <w:b/>
                <w:color w:val="000000"/>
                <w:lang w:eastAsia="sk-SK"/>
              </w:rPr>
            </w:pPr>
            <w:r w:rsidRPr="00870C66">
              <w:rPr>
                <w:b/>
                <w:color w:val="000000"/>
                <w:lang w:eastAsia="sk-SK"/>
              </w:rPr>
              <w:t>2020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70B06" w:rsidRPr="00870C66" w:rsidRDefault="00F70B06" w:rsidP="00F70B06">
            <w:pPr>
              <w:spacing w:after="0" w:line="240" w:lineRule="auto"/>
              <w:jc w:val="right"/>
              <w:rPr>
                <w:b/>
                <w:color w:val="000000"/>
                <w:lang w:eastAsia="sk-SK"/>
              </w:rPr>
            </w:pPr>
            <w:r w:rsidRPr="00870C66">
              <w:rPr>
                <w:b/>
                <w:color w:val="000000"/>
                <w:lang w:eastAsia="sk-SK"/>
              </w:rPr>
              <w:t>2021</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F70B06" w:rsidRPr="00870C66" w:rsidRDefault="00F70B06" w:rsidP="00F70B06">
            <w:pPr>
              <w:spacing w:after="0" w:line="240" w:lineRule="auto"/>
              <w:jc w:val="right"/>
              <w:rPr>
                <w:b/>
                <w:color w:val="000000"/>
                <w:lang w:eastAsia="sk-SK"/>
              </w:rPr>
            </w:pPr>
            <w:r w:rsidRPr="00870C66">
              <w:rPr>
                <w:b/>
                <w:color w:val="000000"/>
                <w:lang w:eastAsia="sk-SK"/>
              </w:rPr>
              <w:t>2022</w:t>
            </w:r>
          </w:p>
        </w:tc>
        <w:tc>
          <w:tcPr>
            <w:tcW w:w="0" w:type="auto"/>
            <w:tcBorders>
              <w:top w:val="single" w:sz="8" w:space="0" w:color="auto"/>
              <w:left w:val="nil"/>
              <w:bottom w:val="single" w:sz="4" w:space="0" w:color="auto"/>
              <w:right w:val="single" w:sz="8" w:space="0" w:color="auto"/>
            </w:tcBorders>
            <w:vAlign w:val="bottom"/>
          </w:tcPr>
          <w:p w:rsidR="00F70B06" w:rsidRPr="00870C66" w:rsidRDefault="00F70B06" w:rsidP="00F70B06">
            <w:pPr>
              <w:spacing w:after="0" w:line="240" w:lineRule="auto"/>
              <w:jc w:val="right"/>
              <w:rPr>
                <w:b/>
                <w:color w:val="000000"/>
                <w:lang w:eastAsia="sk-SK"/>
              </w:rPr>
            </w:pPr>
            <w:r w:rsidRPr="00870C66">
              <w:rPr>
                <w:b/>
                <w:color w:val="000000"/>
                <w:lang w:eastAsia="sk-SK"/>
              </w:rPr>
              <w:t>2023</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Rímskokatolícka cirkev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34 538 721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36 529 864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38 434 915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40 523 696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Evanjelická cirkev augsburského vyznania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5 174 749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5 362 872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5 542 861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5 740 208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Gréckokatolícka cirkev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5 106 921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5 229 979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5 347 716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5 476 809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Reformovaná kresťanská cirkev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2 752 563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2 811 333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2 867 562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2 929 213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Pravoslávna cirkev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2 078 849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2 108 076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2 136 039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2 166 699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Náboženská spoločnosť Jehovovi svedkovia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0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Evanjelická cirkev metodistická, Slovenská oblasť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340 248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346 392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352 270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358 715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Kresťanské zbory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0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Apoštolská cirkev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499 121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502 590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505 908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509 547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Bratská jednota baptistov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366 822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368 896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370 880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373 055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Cirkev bratská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401 850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403 870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405 803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407 922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Cirkev adventistov siedmeho dňa, Slovenské združenie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43 441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45 175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46 834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48 653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Ústredný zväz židovských náboženských obcí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139 891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141 080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142 218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143 465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Cirkev československá husitská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117 166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118 226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119 240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120 352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Starokatolícka cirkev na Slovensku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128 780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129 784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130 744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131 796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Bahájske spoločenstvo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0 </w:t>
            </w:r>
          </w:p>
        </w:tc>
      </w:tr>
      <w:tr w:rsidR="00F70B06" w:rsidRPr="007C33C3" w:rsidTr="00F70B06">
        <w:trPr>
          <w:trHeight w:val="302"/>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Cirkev Ježiša Krista Svätých neskorších dní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0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0 </w:t>
            </w:r>
          </w:p>
        </w:tc>
      </w:tr>
      <w:tr w:rsidR="00F70B06" w:rsidRPr="007C33C3" w:rsidTr="00F70B06">
        <w:trPr>
          <w:trHeight w:val="317"/>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color w:val="000000"/>
                <w:lang w:eastAsia="sk-SK"/>
              </w:rPr>
            </w:pPr>
            <w:r w:rsidRPr="007C33C3">
              <w:rPr>
                <w:color w:val="000000"/>
                <w:lang w:eastAsia="sk-SK"/>
              </w:rPr>
              <w:t xml:space="preserve">Novoapoštolská cirkev v Slovenskej republike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color w:val="000000"/>
              </w:rPr>
            </w:pPr>
            <w:r>
              <w:rPr>
                <w:color w:val="000000"/>
              </w:rPr>
              <w:t xml:space="preserve">8 548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color w:val="000000"/>
              </w:rPr>
            </w:pPr>
            <w:r>
              <w:rPr>
                <w:color w:val="000000"/>
              </w:rPr>
              <w:t xml:space="preserve">8 647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color w:val="000000"/>
              </w:rPr>
            </w:pPr>
            <w:r>
              <w:rPr>
                <w:color w:val="000000"/>
              </w:rPr>
              <w:t xml:space="preserve">8 741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color w:val="000000"/>
              </w:rPr>
            </w:pPr>
            <w:r>
              <w:rPr>
                <w:color w:val="000000"/>
              </w:rPr>
              <w:t xml:space="preserve">8 845 </w:t>
            </w:r>
          </w:p>
        </w:tc>
      </w:tr>
      <w:tr w:rsidR="00F70B06" w:rsidRPr="007C33C3" w:rsidTr="00F70B06">
        <w:trPr>
          <w:trHeight w:val="317"/>
        </w:trPr>
        <w:tc>
          <w:tcPr>
            <w:tcW w:w="0" w:type="auto"/>
            <w:tcBorders>
              <w:top w:val="nil"/>
              <w:left w:val="single" w:sz="8" w:space="0" w:color="auto"/>
              <w:bottom w:val="single" w:sz="4" w:space="0" w:color="auto"/>
              <w:right w:val="nil"/>
            </w:tcBorders>
            <w:shd w:val="clear" w:color="auto" w:fill="auto"/>
            <w:noWrap/>
            <w:vAlign w:val="bottom"/>
            <w:hideMark/>
          </w:tcPr>
          <w:p w:rsidR="00F70B06" w:rsidRPr="007C33C3" w:rsidRDefault="00F70B06" w:rsidP="00F70B06">
            <w:pPr>
              <w:spacing w:after="0" w:line="240" w:lineRule="auto"/>
              <w:rPr>
                <w:b/>
                <w:bCs/>
                <w:color w:val="000000"/>
                <w:lang w:eastAsia="sk-SK"/>
              </w:rPr>
            </w:pPr>
            <w:r w:rsidRPr="007C33C3">
              <w:rPr>
                <w:b/>
                <w:bCs/>
                <w:color w:val="000000"/>
                <w:lang w:eastAsia="sk-SK"/>
              </w:rPr>
              <w:t>Spolu podpora cirkví</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0B06" w:rsidRDefault="00F70B06" w:rsidP="00F70B06">
            <w:pPr>
              <w:spacing w:after="0"/>
              <w:jc w:val="right"/>
              <w:rPr>
                <w:b/>
                <w:bCs/>
                <w:color w:val="000000"/>
              </w:rPr>
            </w:pPr>
            <w:r>
              <w:rPr>
                <w:b/>
                <w:bCs/>
                <w:color w:val="000000"/>
              </w:rPr>
              <w:t>51 697 671 €</w:t>
            </w:r>
          </w:p>
        </w:tc>
        <w:tc>
          <w:tcPr>
            <w:tcW w:w="0" w:type="auto"/>
            <w:tcBorders>
              <w:top w:val="nil"/>
              <w:left w:val="nil"/>
              <w:bottom w:val="single" w:sz="4" w:space="0" w:color="auto"/>
              <w:right w:val="single" w:sz="4" w:space="0" w:color="auto"/>
            </w:tcBorders>
            <w:shd w:val="clear" w:color="auto" w:fill="auto"/>
            <w:noWrap/>
            <w:vAlign w:val="bottom"/>
          </w:tcPr>
          <w:p w:rsidR="00F70B06" w:rsidRDefault="00F70B06" w:rsidP="00F70B06">
            <w:pPr>
              <w:spacing w:after="0"/>
              <w:jc w:val="right"/>
              <w:rPr>
                <w:b/>
                <w:bCs/>
                <w:color w:val="000000"/>
              </w:rPr>
            </w:pPr>
            <w:r>
              <w:rPr>
                <w:b/>
                <w:bCs/>
                <w:color w:val="000000"/>
              </w:rPr>
              <w:t>54 106 782 €</w:t>
            </w:r>
          </w:p>
        </w:tc>
        <w:tc>
          <w:tcPr>
            <w:tcW w:w="0" w:type="auto"/>
            <w:tcBorders>
              <w:top w:val="nil"/>
              <w:left w:val="nil"/>
              <w:bottom w:val="single" w:sz="4" w:space="0" w:color="auto"/>
              <w:right w:val="single" w:sz="8" w:space="0" w:color="auto"/>
            </w:tcBorders>
            <w:shd w:val="clear" w:color="auto" w:fill="auto"/>
            <w:noWrap/>
            <w:vAlign w:val="bottom"/>
          </w:tcPr>
          <w:p w:rsidR="00F70B06" w:rsidRDefault="00F70B06" w:rsidP="00F70B06">
            <w:pPr>
              <w:spacing w:after="0"/>
              <w:jc w:val="right"/>
              <w:rPr>
                <w:b/>
                <w:bCs/>
                <w:color w:val="000000"/>
              </w:rPr>
            </w:pPr>
            <w:r>
              <w:rPr>
                <w:b/>
                <w:bCs/>
                <w:color w:val="000000"/>
              </w:rPr>
              <w:t>56 411 731 €</w:t>
            </w:r>
          </w:p>
        </w:tc>
        <w:tc>
          <w:tcPr>
            <w:tcW w:w="0" w:type="auto"/>
            <w:tcBorders>
              <w:top w:val="nil"/>
              <w:left w:val="nil"/>
              <w:bottom w:val="single" w:sz="4" w:space="0" w:color="auto"/>
              <w:right w:val="single" w:sz="8" w:space="0" w:color="auto"/>
            </w:tcBorders>
            <w:vAlign w:val="bottom"/>
          </w:tcPr>
          <w:p w:rsidR="00F70B06" w:rsidRDefault="00F70B06" w:rsidP="00F70B06">
            <w:pPr>
              <w:spacing w:after="0"/>
              <w:jc w:val="right"/>
              <w:rPr>
                <w:b/>
                <w:bCs/>
                <w:color w:val="000000"/>
              </w:rPr>
            </w:pPr>
            <w:r>
              <w:rPr>
                <w:b/>
                <w:bCs/>
                <w:color w:val="000000"/>
              </w:rPr>
              <w:t>58 938 977 €</w:t>
            </w:r>
          </w:p>
        </w:tc>
      </w:tr>
    </w:tbl>
    <w:p w:rsidR="00F70B06" w:rsidRDefault="00F70B06" w:rsidP="00F70B06">
      <w:pPr>
        <w:spacing w:after="0" w:line="240" w:lineRule="auto"/>
      </w:pPr>
    </w:p>
    <w:p w:rsidR="00F70B06" w:rsidRDefault="00F70B06" w:rsidP="00F70B06">
      <w:pPr>
        <w:spacing w:after="0" w:line="240" w:lineRule="auto"/>
        <w:rPr>
          <w:u w:val="single"/>
        </w:rPr>
      </w:pPr>
    </w:p>
    <w:p w:rsidR="00F70B06" w:rsidRDefault="00F70B06">
      <w:pPr>
        <w:widowControl/>
        <w:adjustRightInd/>
        <w:rPr>
          <w:rFonts w:ascii="Times New Roman" w:hAnsi="Times New Roman"/>
          <w:sz w:val="24"/>
          <w:szCs w:val="24"/>
        </w:rPr>
        <w:sectPr w:rsidR="00F70B06" w:rsidSect="00F70B06">
          <w:pgSz w:w="16838" w:h="11906" w:orient="landscape"/>
          <w:pgMar w:top="1417" w:right="1417" w:bottom="1417" w:left="1417" w:header="709" w:footer="709" w:gutter="0"/>
          <w:cols w:space="708"/>
          <w:docGrid w:linePitch="360"/>
        </w:sectPr>
      </w:pPr>
    </w:p>
    <w:p w:rsidR="00F70B06" w:rsidRDefault="00F70B06">
      <w:pPr>
        <w:widowControl/>
        <w:adjustRightInd/>
        <w:rPr>
          <w:rFonts w:ascii="Times New Roman" w:hAnsi="Times New Roman"/>
          <w:sz w:val="24"/>
          <w:szCs w:val="24"/>
        </w:rPr>
      </w:pPr>
    </w:p>
    <w:p w:rsidR="00F70B06" w:rsidRPr="00F70B06" w:rsidRDefault="00F70B06" w:rsidP="00F70B06">
      <w:pPr>
        <w:autoSpaceDE w:val="0"/>
        <w:autoSpaceDN w:val="0"/>
        <w:spacing w:after="0" w:line="240" w:lineRule="auto"/>
        <w:jc w:val="center"/>
        <w:rPr>
          <w:rFonts w:ascii="Times New Roman" w:hAnsi="Times New Roman"/>
          <w:b/>
          <w:caps/>
          <w:spacing w:val="30"/>
          <w:sz w:val="25"/>
          <w:szCs w:val="25"/>
          <w:lang w:eastAsia="sk-SK"/>
        </w:rPr>
      </w:pPr>
      <w:r w:rsidRPr="00F70B06">
        <w:rPr>
          <w:rFonts w:ascii="Times New Roman" w:hAnsi="Times New Roman"/>
          <w:b/>
          <w:caps/>
          <w:spacing w:val="30"/>
          <w:sz w:val="25"/>
          <w:szCs w:val="25"/>
          <w:lang w:eastAsia="sk-SK"/>
        </w:rPr>
        <w:t>Doložka zlučiteľnosti</w:t>
      </w:r>
    </w:p>
    <w:p w:rsidR="00F70B06" w:rsidRPr="00F70B06" w:rsidRDefault="00F70B06" w:rsidP="00F70B06">
      <w:pPr>
        <w:autoSpaceDE w:val="0"/>
        <w:autoSpaceDN w:val="0"/>
        <w:spacing w:after="0" w:line="240" w:lineRule="auto"/>
        <w:jc w:val="center"/>
        <w:rPr>
          <w:rFonts w:ascii="Times New Roman" w:hAnsi="Times New Roman"/>
          <w:b/>
          <w:sz w:val="25"/>
          <w:szCs w:val="25"/>
          <w:lang w:eastAsia="sk-SK"/>
        </w:rPr>
      </w:pPr>
      <w:r w:rsidRPr="00F70B06">
        <w:rPr>
          <w:rFonts w:ascii="Times New Roman" w:hAnsi="Times New Roman"/>
          <w:b/>
          <w:sz w:val="25"/>
          <w:szCs w:val="25"/>
          <w:lang w:eastAsia="sk-SK"/>
        </w:rPr>
        <w:t>návrhu zákona s právom Európskej únie</w:t>
      </w:r>
    </w:p>
    <w:p w:rsidR="00F70B06" w:rsidRPr="00F70B06" w:rsidRDefault="00F70B06" w:rsidP="00F70B06">
      <w:pPr>
        <w:autoSpaceDE w:val="0"/>
        <w:autoSpaceDN w:val="0"/>
        <w:spacing w:after="0" w:line="240" w:lineRule="auto"/>
        <w:jc w:val="center"/>
        <w:rPr>
          <w:rFonts w:ascii="Times New Roman" w:hAnsi="Times New Roman"/>
          <w:b/>
          <w:sz w:val="25"/>
          <w:szCs w:val="25"/>
          <w:lang w:eastAsia="sk-SK"/>
        </w:rPr>
      </w:pPr>
    </w:p>
    <w:p w:rsidR="00F70B06" w:rsidRPr="00F70B06" w:rsidRDefault="00F70B06" w:rsidP="00F70B06">
      <w:pPr>
        <w:autoSpaceDE w:val="0"/>
        <w:autoSpaceDN w:val="0"/>
        <w:spacing w:after="0" w:line="240" w:lineRule="auto"/>
        <w:jc w:val="center"/>
        <w:rPr>
          <w:rFonts w:ascii="Times New Roman" w:hAnsi="Times New Roman"/>
          <w:b/>
          <w:sz w:val="25"/>
          <w:szCs w:val="25"/>
          <w:lang w:eastAsia="sk-SK"/>
        </w:rPr>
      </w:pPr>
    </w:p>
    <w:tbl>
      <w:tblPr>
        <w:tblStyle w:val="Mriekatabuky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b/>
                <w:sz w:val="25"/>
                <w:szCs w:val="25"/>
              </w:rPr>
            </w:pPr>
            <w:r w:rsidRPr="00F70B06">
              <w:rPr>
                <w:rFonts w:ascii="Times New Roman" w:hAnsi="Times New Roman"/>
                <w:b/>
                <w:sz w:val="25"/>
                <w:szCs w:val="25"/>
              </w:rPr>
              <w:t>1.</w:t>
            </w:r>
          </w:p>
        </w:tc>
        <w:tc>
          <w:tcPr>
            <w:tcW w:w="9627" w:type="dxa"/>
          </w:tcPr>
          <w:p w:rsidR="00F70B06" w:rsidRPr="00F70B06" w:rsidRDefault="00F70B06" w:rsidP="00F70B06">
            <w:pPr>
              <w:tabs>
                <w:tab w:val="left" w:pos="360"/>
              </w:tabs>
              <w:autoSpaceDE w:val="0"/>
              <w:autoSpaceDN w:val="0"/>
              <w:rPr>
                <w:rFonts w:ascii="Times New Roman" w:hAnsi="Times New Roman"/>
                <w:sz w:val="25"/>
                <w:szCs w:val="25"/>
              </w:rPr>
            </w:pPr>
            <w:r w:rsidRPr="00F70B06">
              <w:rPr>
                <w:rFonts w:ascii="Times New Roman" w:hAnsi="Times New Roman"/>
                <w:b/>
                <w:sz w:val="25"/>
                <w:szCs w:val="25"/>
              </w:rPr>
              <w:t>Navrhovateľ zákona:</w:t>
            </w:r>
            <w:r w:rsidRPr="00F70B06">
              <w:rPr>
                <w:rFonts w:ascii="Times New Roman" w:hAnsi="Times New Roman"/>
                <w:sz w:val="25"/>
                <w:szCs w:val="25"/>
              </w:rPr>
              <w:t xml:space="preserve"> </w:t>
            </w:r>
            <w:r w:rsidRPr="00F70B06">
              <w:rPr>
                <w:rFonts w:ascii="Times New Roman" w:hAnsi="Times New Roman"/>
                <w:sz w:val="25"/>
                <w:szCs w:val="25"/>
              </w:rPr>
              <w:fldChar w:fldCharType="begin"/>
            </w:r>
            <w:r w:rsidRPr="00F70B06">
              <w:rPr>
                <w:rFonts w:ascii="Times New Roman" w:hAnsi="Times New Roman"/>
                <w:sz w:val="25"/>
                <w:szCs w:val="25"/>
              </w:rPr>
              <w:instrText xml:space="preserve"> DOCPROPERTY  FSC#SKEDITIONSLOVLEX@103.510:zodpinstitucia  \* MERGEFORMAT </w:instrText>
            </w:r>
            <w:r w:rsidRPr="00F70B06">
              <w:rPr>
                <w:rFonts w:ascii="Times New Roman" w:hAnsi="Times New Roman"/>
                <w:sz w:val="25"/>
                <w:szCs w:val="25"/>
              </w:rPr>
              <w:fldChar w:fldCharType="separate"/>
            </w:r>
            <w:r w:rsidRPr="00F70B06">
              <w:rPr>
                <w:rFonts w:ascii="Times New Roman" w:hAnsi="Times New Roman"/>
                <w:sz w:val="25"/>
                <w:szCs w:val="25"/>
              </w:rPr>
              <w:t>Ministerstvo kultúry Slovenskej republiky</w:t>
            </w:r>
            <w:r w:rsidRPr="00F70B06">
              <w:rPr>
                <w:rFonts w:ascii="Times New Roman" w:hAnsi="Times New Roman"/>
                <w:sz w:val="25"/>
                <w:szCs w:val="25"/>
              </w:rPr>
              <w:fldChar w:fldCharType="end"/>
            </w: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sz w:val="25"/>
                <w:szCs w:val="25"/>
              </w:rPr>
            </w:pPr>
          </w:p>
        </w:tc>
        <w:tc>
          <w:tcPr>
            <w:tcW w:w="9627" w:type="dxa"/>
          </w:tcPr>
          <w:p w:rsidR="00F70B06" w:rsidRPr="00F70B06" w:rsidRDefault="00F70B06" w:rsidP="00F70B06">
            <w:pPr>
              <w:tabs>
                <w:tab w:val="left" w:pos="360"/>
              </w:tabs>
              <w:autoSpaceDE w:val="0"/>
              <w:autoSpaceDN w:val="0"/>
              <w:rPr>
                <w:rFonts w:ascii="Times New Roman" w:hAnsi="Times New Roman"/>
                <w:sz w:val="25"/>
                <w:szCs w:val="25"/>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b/>
                <w:sz w:val="25"/>
                <w:szCs w:val="25"/>
              </w:rPr>
            </w:pPr>
            <w:r w:rsidRPr="00F70B06">
              <w:rPr>
                <w:rFonts w:ascii="Times New Roman" w:hAnsi="Times New Roman"/>
                <w:b/>
                <w:sz w:val="25"/>
                <w:szCs w:val="25"/>
              </w:rPr>
              <w:t>2.</w:t>
            </w:r>
          </w:p>
        </w:tc>
        <w:tc>
          <w:tcPr>
            <w:tcW w:w="9627" w:type="dxa"/>
          </w:tcPr>
          <w:p w:rsidR="00F70B06" w:rsidRPr="00F70B06" w:rsidRDefault="00F70B06" w:rsidP="00F70B06">
            <w:pPr>
              <w:tabs>
                <w:tab w:val="left" w:pos="360"/>
              </w:tabs>
              <w:autoSpaceDE w:val="0"/>
              <w:autoSpaceDN w:val="0"/>
              <w:rPr>
                <w:rFonts w:ascii="Times New Roman" w:hAnsi="Times New Roman"/>
                <w:sz w:val="25"/>
                <w:szCs w:val="25"/>
              </w:rPr>
            </w:pPr>
            <w:r w:rsidRPr="00F70B06">
              <w:rPr>
                <w:rFonts w:ascii="Times New Roman" w:hAnsi="Times New Roman"/>
                <w:b/>
                <w:sz w:val="25"/>
                <w:szCs w:val="25"/>
              </w:rPr>
              <w:t>Názov návrhu zákona:</w:t>
            </w:r>
            <w:r w:rsidRPr="00F70B06">
              <w:rPr>
                <w:rFonts w:ascii="Times New Roman" w:hAnsi="Times New Roman"/>
                <w:sz w:val="25"/>
                <w:szCs w:val="25"/>
              </w:rPr>
              <w:t xml:space="preserve"> </w:t>
            </w:r>
            <w:r w:rsidRPr="00F70B06">
              <w:rPr>
                <w:rFonts w:ascii="Times New Roman" w:hAnsi="Times New Roman"/>
                <w:sz w:val="25"/>
                <w:szCs w:val="25"/>
              </w:rPr>
              <w:fldChar w:fldCharType="begin"/>
            </w:r>
            <w:r w:rsidRPr="00F70B06">
              <w:rPr>
                <w:rFonts w:ascii="Times New Roman" w:hAnsi="Times New Roman"/>
                <w:sz w:val="25"/>
                <w:szCs w:val="25"/>
              </w:rPr>
              <w:instrText xml:space="preserve"> DOCPROPERTY  FSC#SKEDITIONSLOVLEX@103.510:plnynazovpredpis  \* MERGEFORMAT </w:instrText>
            </w:r>
            <w:r w:rsidRPr="00F70B06">
              <w:rPr>
                <w:rFonts w:ascii="Times New Roman" w:hAnsi="Times New Roman"/>
                <w:sz w:val="25"/>
                <w:szCs w:val="25"/>
              </w:rPr>
              <w:fldChar w:fldCharType="separate"/>
            </w:r>
            <w:r w:rsidRPr="00F70B06">
              <w:rPr>
                <w:rFonts w:ascii="Times New Roman" w:hAnsi="Times New Roman"/>
                <w:sz w:val="25"/>
                <w:szCs w:val="25"/>
              </w:rPr>
              <w:t xml:space="preserve"> Zákon o finančnej podpore činnosti cirkví a náboženských spoločností</w:t>
            </w:r>
            <w:r w:rsidRPr="00F70B06">
              <w:rPr>
                <w:rFonts w:ascii="Times New Roman" w:hAnsi="Times New Roman"/>
                <w:sz w:val="25"/>
                <w:szCs w:val="25"/>
              </w:rPr>
              <w:fldChar w:fldCharType="end"/>
            </w:r>
            <w:r w:rsidRPr="00F70B06">
              <w:rPr>
                <w:rFonts w:ascii="Times New Roman" w:hAnsi="Times New Roman"/>
                <w:sz w:val="25"/>
                <w:szCs w:val="25"/>
              </w:rPr>
              <w:fldChar w:fldCharType="begin"/>
            </w:r>
            <w:r w:rsidRPr="00F70B06">
              <w:rPr>
                <w:rFonts w:ascii="Times New Roman" w:hAnsi="Times New Roman"/>
                <w:sz w:val="25"/>
                <w:szCs w:val="25"/>
              </w:rPr>
              <w:instrText xml:space="preserve"> DOCPROPERTY  FSC#SKEDITIONSLOVLEX@103.510:plnynazovpredpis1  \* MERGEFORMAT </w:instrText>
            </w:r>
            <w:r w:rsidRPr="00F70B06">
              <w:rPr>
                <w:rFonts w:ascii="Times New Roman" w:hAnsi="Times New Roman"/>
                <w:sz w:val="25"/>
                <w:szCs w:val="25"/>
              </w:rPr>
              <w:fldChar w:fldCharType="end"/>
            </w:r>
            <w:r w:rsidRPr="00F70B06">
              <w:rPr>
                <w:rFonts w:ascii="Times New Roman" w:hAnsi="Times New Roman"/>
                <w:sz w:val="25"/>
                <w:szCs w:val="25"/>
              </w:rPr>
              <w:fldChar w:fldCharType="begin"/>
            </w:r>
            <w:r w:rsidRPr="00F70B06">
              <w:rPr>
                <w:rFonts w:ascii="Times New Roman" w:hAnsi="Times New Roman"/>
                <w:sz w:val="25"/>
                <w:szCs w:val="25"/>
              </w:rPr>
              <w:instrText xml:space="preserve"> DOCPROPERTY  FSC#SKEDITIONSLOVLEX@103.510:plnynazovpredpis2  \* MERGEFORMAT </w:instrText>
            </w:r>
            <w:r w:rsidRPr="00F70B06">
              <w:rPr>
                <w:rFonts w:ascii="Times New Roman" w:hAnsi="Times New Roman"/>
                <w:sz w:val="25"/>
                <w:szCs w:val="25"/>
              </w:rPr>
              <w:fldChar w:fldCharType="end"/>
            </w:r>
            <w:r w:rsidRPr="00F70B06">
              <w:rPr>
                <w:rFonts w:ascii="Times New Roman" w:hAnsi="Times New Roman"/>
                <w:sz w:val="25"/>
                <w:szCs w:val="25"/>
              </w:rPr>
              <w:fldChar w:fldCharType="begin"/>
            </w:r>
            <w:r w:rsidRPr="00F70B06">
              <w:rPr>
                <w:rFonts w:ascii="Times New Roman" w:hAnsi="Times New Roman"/>
                <w:sz w:val="25"/>
                <w:szCs w:val="25"/>
              </w:rPr>
              <w:instrText xml:space="preserve"> DOCPROPERTY  FSC#SKEDITIONSLOVLEX@103.510:plnynazovpredpis3  \* MERGEFORMAT </w:instrText>
            </w:r>
            <w:r w:rsidRPr="00F70B06">
              <w:rPr>
                <w:rFonts w:ascii="Times New Roman" w:hAnsi="Times New Roman"/>
                <w:sz w:val="25"/>
                <w:szCs w:val="25"/>
              </w:rPr>
              <w:fldChar w:fldCharType="end"/>
            </w: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sz w:val="25"/>
                <w:szCs w:val="25"/>
              </w:rPr>
            </w:pPr>
          </w:p>
        </w:tc>
        <w:tc>
          <w:tcPr>
            <w:tcW w:w="9627" w:type="dxa"/>
          </w:tcPr>
          <w:p w:rsidR="00F70B06" w:rsidRPr="00F70B06" w:rsidRDefault="00F70B06" w:rsidP="00F70B06">
            <w:pPr>
              <w:tabs>
                <w:tab w:val="left" w:pos="360"/>
              </w:tabs>
              <w:autoSpaceDE w:val="0"/>
              <w:autoSpaceDN w:val="0"/>
              <w:rPr>
                <w:rFonts w:ascii="Times New Roman" w:hAnsi="Times New Roman"/>
                <w:sz w:val="25"/>
                <w:szCs w:val="25"/>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b/>
                <w:sz w:val="25"/>
                <w:szCs w:val="25"/>
              </w:rPr>
            </w:pPr>
            <w:r w:rsidRPr="00F70B06">
              <w:rPr>
                <w:rFonts w:ascii="Times New Roman" w:hAnsi="Times New Roman"/>
                <w:b/>
                <w:sz w:val="25"/>
                <w:szCs w:val="25"/>
              </w:rPr>
              <w:t>3.</w:t>
            </w:r>
          </w:p>
        </w:tc>
        <w:tc>
          <w:tcPr>
            <w:tcW w:w="9627" w:type="dxa"/>
          </w:tcPr>
          <w:p w:rsidR="00F70B06" w:rsidRPr="00F70B06" w:rsidRDefault="00F70B06" w:rsidP="00F70B06">
            <w:pPr>
              <w:tabs>
                <w:tab w:val="left" w:pos="360"/>
              </w:tabs>
              <w:autoSpaceDE w:val="0"/>
              <w:autoSpaceDN w:val="0"/>
              <w:rPr>
                <w:rFonts w:ascii="Times New Roman" w:hAnsi="Times New Roman"/>
                <w:b/>
                <w:sz w:val="25"/>
                <w:szCs w:val="25"/>
              </w:rPr>
            </w:pPr>
            <w:r w:rsidRPr="00F70B06">
              <w:rPr>
                <w:rFonts w:ascii="Times New Roman" w:hAnsi="Times New Roman"/>
                <w:b/>
                <w:sz w:val="25"/>
                <w:szCs w:val="25"/>
              </w:rPr>
              <w:t>Predmet návrhu zákona je – nie je upravený v práve Európskej únie:</w:t>
            </w:r>
          </w:p>
          <w:p w:rsidR="00F70B06" w:rsidRPr="00F70B06" w:rsidRDefault="00F70B06" w:rsidP="00F70B06">
            <w:pPr>
              <w:tabs>
                <w:tab w:val="left" w:pos="360"/>
              </w:tabs>
              <w:autoSpaceDE w:val="0"/>
              <w:autoSpaceDN w:val="0"/>
              <w:rPr>
                <w:rFonts w:ascii="Times New Roman" w:hAnsi="Times New Roman"/>
                <w:sz w:val="25"/>
                <w:szCs w:val="25"/>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sz w:val="24"/>
                <w:szCs w:val="24"/>
              </w:rPr>
            </w:pPr>
          </w:p>
        </w:tc>
        <w:tc>
          <w:tcPr>
            <w:tcW w:w="9627" w:type="dxa"/>
          </w:tcPr>
          <w:p w:rsidR="00F70B06" w:rsidRPr="00F70B06" w:rsidRDefault="00F70B06" w:rsidP="00F70B06">
            <w:pPr>
              <w:numPr>
                <w:ilvl w:val="0"/>
                <w:numId w:val="1"/>
              </w:numPr>
              <w:tabs>
                <w:tab w:val="left" w:pos="360"/>
              </w:tabs>
              <w:autoSpaceDE w:val="0"/>
              <w:autoSpaceDN w:val="0"/>
              <w:contextualSpacing/>
              <w:rPr>
                <w:rFonts w:ascii="Times New Roman" w:hAnsi="Times New Roman"/>
                <w:sz w:val="24"/>
                <w:szCs w:val="24"/>
              </w:rPr>
            </w:pPr>
            <w:r w:rsidRPr="00F70B06">
              <w:rPr>
                <w:rFonts w:ascii="Times" w:hAnsi="Times" w:cs="Times"/>
                <w:sz w:val="25"/>
                <w:szCs w:val="25"/>
              </w:rPr>
              <w:t xml:space="preserve">v primárnom práve nie je upravený, </w:t>
            </w:r>
          </w:p>
          <w:p w:rsidR="00F70B06" w:rsidRPr="00F70B06" w:rsidRDefault="00F70B06" w:rsidP="00F70B06">
            <w:pPr>
              <w:tabs>
                <w:tab w:val="left" w:pos="360"/>
              </w:tabs>
              <w:autoSpaceDE w:val="0"/>
              <w:autoSpaceDN w:val="0"/>
              <w:ind w:left="360"/>
              <w:contextualSpacing/>
              <w:rPr>
                <w:rFonts w:ascii="Times New Roman" w:hAnsi="Times New Roman"/>
                <w:sz w:val="24"/>
                <w:szCs w:val="24"/>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sz w:val="24"/>
                <w:szCs w:val="24"/>
              </w:rPr>
            </w:pPr>
          </w:p>
        </w:tc>
        <w:tc>
          <w:tcPr>
            <w:tcW w:w="9627" w:type="dxa"/>
          </w:tcPr>
          <w:p w:rsidR="00F70B06" w:rsidRPr="00F70B06" w:rsidRDefault="00F70B06" w:rsidP="00F70B06">
            <w:pPr>
              <w:numPr>
                <w:ilvl w:val="0"/>
                <w:numId w:val="1"/>
              </w:numPr>
              <w:tabs>
                <w:tab w:val="left" w:pos="360"/>
              </w:tabs>
              <w:autoSpaceDE w:val="0"/>
              <w:autoSpaceDN w:val="0"/>
              <w:contextualSpacing/>
              <w:rPr>
                <w:rFonts w:ascii="Times" w:hAnsi="Times" w:cs="Times"/>
                <w:sz w:val="25"/>
                <w:szCs w:val="25"/>
              </w:rPr>
            </w:pPr>
            <w:r w:rsidRPr="00F70B06">
              <w:rPr>
                <w:rFonts w:ascii="Times" w:hAnsi="Times" w:cs="Times"/>
                <w:sz w:val="25"/>
                <w:szCs w:val="25"/>
              </w:rPr>
              <w:t xml:space="preserve">v sekundárnom práve nie je upravený, </w:t>
            </w:r>
          </w:p>
          <w:p w:rsidR="00F70B06" w:rsidRPr="00F70B06" w:rsidRDefault="00F70B06" w:rsidP="00F70B06">
            <w:pPr>
              <w:tabs>
                <w:tab w:val="left" w:pos="360"/>
              </w:tabs>
              <w:autoSpaceDE w:val="0"/>
              <w:autoSpaceDN w:val="0"/>
              <w:ind w:left="360"/>
              <w:contextualSpacing/>
              <w:rPr>
                <w:rFonts w:ascii="Times New Roman" w:hAnsi="Times New Roman"/>
                <w:sz w:val="24"/>
                <w:szCs w:val="24"/>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sz w:val="24"/>
                <w:szCs w:val="24"/>
              </w:rPr>
            </w:pPr>
          </w:p>
        </w:tc>
        <w:tc>
          <w:tcPr>
            <w:tcW w:w="9627" w:type="dxa"/>
          </w:tcPr>
          <w:p w:rsidR="00F70B06" w:rsidRPr="00F70B06" w:rsidRDefault="00F70B06" w:rsidP="00F70B06">
            <w:pPr>
              <w:numPr>
                <w:ilvl w:val="0"/>
                <w:numId w:val="1"/>
              </w:numPr>
              <w:tabs>
                <w:tab w:val="left" w:pos="360"/>
              </w:tabs>
              <w:autoSpaceDE w:val="0"/>
              <w:autoSpaceDN w:val="0"/>
              <w:contextualSpacing/>
              <w:rPr>
                <w:rFonts w:ascii="Times" w:hAnsi="Times" w:cs="Times"/>
                <w:sz w:val="25"/>
                <w:szCs w:val="25"/>
              </w:rPr>
            </w:pPr>
            <w:r w:rsidRPr="00F70B06">
              <w:rPr>
                <w:rFonts w:ascii="Times" w:hAnsi="Times" w:cs="Times"/>
                <w:sz w:val="25"/>
                <w:szCs w:val="25"/>
              </w:rPr>
              <w:t>v judikatúre Súdneho dvora Európskej únie nie je upravený.</w:t>
            </w: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b/>
                <w:sz w:val="24"/>
                <w:szCs w:val="24"/>
              </w:rPr>
            </w:pPr>
          </w:p>
        </w:tc>
        <w:tc>
          <w:tcPr>
            <w:tcW w:w="9627" w:type="dxa"/>
          </w:tcPr>
          <w:p w:rsidR="00F70B06" w:rsidRPr="00F70B06" w:rsidRDefault="00F70B06" w:rsidP="00F70B06">
            <w:pPr>
              <w:tabs>
                <w:tab w:val="left" w:pos="360"/>
              </w:tabs>
              <w:autoSpaceDE w:val="0"/>
              <w:autoSpaceDN w:val="0"/>
              <w:rPr>
                <w:rFonts w:ascii="Times New Roman" w:hAnsi="Times New Roman"/>
                <w:sz w:val="24"/>
                <w:szCs w:val="24"/>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b/>
                <w:sz w:val="25"/>
                <w:szCs w:val="25"/>
              </w:rPr>
            </w:pPr>
          </w:p>
        </w:tc>
        <w:tc>
          <w:tcPr>
            <w:tcW w:w="9627" w:type="dxa"/>
          </w:tcPr>
          <w:p w:rsidR="00F70B06" w:rsidRPr="00F70B06" w:rsidRDefault="00F70B06" w:rsidP="00F70B06">
            <w:pPr>
              <w:tabs>
                <w:tab w:val="left" w:pos="360"/>
              </w:tabs>
              <w:autoSpaceDE w:val="0"/>
              <w:autoSpaceDN w:val="0"/>
              <w:rPr>
                <w:rFonts w:ascii="Times New Roman" w:hAnsi="Times New Roman"/>
                <w:sz w:val="25"/>
                <w:szCs w:val="25"/>
              </w:rPr>
            </w:pPr>
          </w:p>
        </w:tc>
      </w:tr>
      <w:tr w:rsidR="00F70B06" w:rsidRPr="00F70B06" w:rsidTr="00F70B06">
        <w:tc>
          <w:tcPr>
            <w:tcW w:w="404" w:type="dxa"/>
          </w:tcPr>
          <w:p w:rsidR="00F70B06" w:rsidRPr="00F70B06" w:rsidRDefault="00F70B06" w:rsidP="00F70B06">
            <w:pPr>
              <w:tabs>
                <w:tab w:val="left" w:pos="360"/>
              </w:tabs>
              <w:autoSpaceDE w:val="0"/>
              <w:autoSpaceDN w:val="0"/>
              <w:rPr>
                <w:rFonts w:ascii="Times New Roman" w:hAnsi="Times New Roman"/>
                <w:b/>
                <w:sz w:val="24"/>
                <w:szCs w:val="24"/>
              </w:rPr>
            </w:pPr>
          </w:p>
        </w:tc>
        <w:tc>
          <w:tcPr>
            <w:tcW w:w="9627" w:type="dxa"/>
          </w:tcPr>
          <w:p w:rsidR="00F70B06" w:rsidRPr="00F70B06" w:rsidRDefault="00F70B06" w:rsidP="00F70B06">
            <w:pPr>
              <w:tabs>
                <w:tab w:val="left" w:pos="360"/>
              </w:tabs>
              <w:autoSpaceDE w:val="0"/>
              <w:autoSpaceDN w:val="0"/>
              <w:rPr>
                <w:rFonts w:ascii="Times New Roman" w:hAnsi="Times New Roman"/>
                <w:sz w:val="24"/>
                <w:szCs w:val="24"/>
              </w:rPr>
            </w:pPr>
          </w:p>
        </w:tc>
      </w:tr>
    </w:tbl>
    <w:p w:rsidR="00F70B06" w:rsidRPr="00F70B06" w:rsidRDefault="00F70B06" w:rsidP="00F70B06">
      <w:pPr>
        <w:tabs>
          <w:tab w:val="left" w:pos="360"/>
        </w:tabs>
        <w:autoSpaceDE w:val="0"/>
        <w:autoSpaceDN w:val="0"/>
        <w:spacing w:after="0" w:line="240" w:lineRule="auto"/>
        <w:rPr>
          <w:rFonts w:ascii="Times New Roman" w:hAnsi="Times New Roman"/>
          <w:sz w:val="24"/>
          <w:szCs w:val="24"/>
          <w:lang w:eastAsia="sk-SK"/>
        </w:rPr>
      </w:pPr>
    </w:p>
    <w:p w:rsidR="00F70B06" w:rsidRDefault="00F70B06" w:rsidP="00F70B06">
      <w:pPr>
        <w:tabs>
          <w:tab w:val="left" w:pos="360"/>
        </w:tabs>
        <w:autoSpaceDE w:val="0"/>
        <w:autoSpaceDN w:val="0"/>
        <w:spacing w:after="0" w:line="240" w:lineRule="auto"/>
        <w:jc w:val="both"/>
        <w:rPr>
          <w:rFonts w:ascii="Times" w:hAnsi="Times" w:cs="Times"/>
          <w:b/>
          <w:bCs/>
          <w:sz w:val="25"/>
          <w:szCs w:val="25"/>
          <w:lang w:eastAsia="sk-SK"/>
        </w:rPr>
      </w:pPr>
      <w:r w:rsidRPr="00F70B06">
        <w:rPr>
          <w:rFonts w:ascii="Times" w:hAnsi="Times" w:cs="Times"/>
          <w:b/>
          <w:bCs/>
          <w:sz w:val="25"/>
          <w:szCs w:val="25"/>
          <w:lang w:eastAsia="sk-SK"/>
        </w:rPr>
        <w:t xml:space="preserve">Vzhľadom na to, že predmet návrhu zákona nie je v práve Európskej únie upravený, body 4 a 5 doložky zlučiteľnosti podľa Legislatívnych pravidiel vlády Slovenskej republiky sa neuplatňujú. </w:t>
      </w:r>
    </w:p>
    <w:p w:rsidR="00F70B06" w:rsidRDefault="00F70B06" w:rsidP="00F70B06">
      <w:pPr>
        <w:tabs>
          <w:tab w:val="left" w:pos="360"/>
        </w:tabs>
        <w:autoSpaceDE w:val="0"/>
        <w:autoSpaceDN w:val="0"/>
        <w:spacing w:after="0" w:line="240" w:lineRule="auto"/>
        <w:jc w:val="both"/>
        <w:rPr>
          <w:rFonts w:ascii="Times" w:hAnsi="Times" w:cs="Times"/>
          <w:b/>
          <w:bCs/>
          <w:sz w:val="25"/>
          <w:szCs w:val="25"/>
          <w:lang w:eastAsia="sk-SK"/>
        </w:rPr>
      </w:pPr>
    </w:p>
    <w:p w:rsidR="00F70B06" w:rsidRDefault="00F70B06" w:rsidP="00F70B06">
      <w:pPr>
        <w:tabs>
          <w:tab w:val="left" w:pos="360"/>
        </w:tabs>
        <w:autoSpaceDE w:val="0"/>
        <w:autoSpaceDN w:val="0"/>
        <w:spacing w:after="0" w:line="240" w:lineRule="auto"/>
        <w:jc w:val="both"/>
        <w:rPr>
          <w:rFonts w:ascii="Times" w:hAnsi="Times" w:cs="Times"/>
          <w:b/>
          <w:bCs/>
          <w:sz w:val="25"/>
          <w:szCs w:val="25"/>
          <w:lang w:eastAsia="sk-SK"/>
        </w:rPr>
      </w:pPr>
    </w:p>
    <w:p w:rsidR="0018334E" w:rsidRDefault="0018334E" w:rsidP="00F70B06">
      <w:pPr>
        <w:tabs>
          <w:tab w:val="left" w:pos="360"/>
        </w:tabs>
        <w:autoSpaceDE w:val="0"/>
        <w:autoSpaceDN w:val="0"/>
        <w:spacing w:after="0" w:line="240" w:lineRule="auto"/>
        <w:jc w:val="both"/>
        <w:rPr>
          <w:rFonts w:ascii="Times" w:hAnsi="Times" w:cs="Times"/>
          <w:b/>
          <w:bCs/>
          <w:sz w:val="25"/>
          <w:szCs w:val="25"/>
          <w:lang w:eastAsia="sk-SK"/>
        </w:rPr>
      </w:pPr>
    </w:p>
    <w:p w:rsidR="0018334E" w:rsidRDefault="0018334E" w:rsidP="00F70B06">
      <w:pPr>
        <w:tabs>
          <w:tab w:val="left" w:pos="360"/>
        </w:tabs>
        <w:autoSpaceDE w:val="0"/>
        <w:autoSpaceDN w:val="0"/>
        <w:spacing w:after="0" w:line="240" w:lineRule="auto"/>
        <w:jc w:val="both"/>
        <w:rPr>
          <w:rFonts w:ascii="Times" w:hAnsi="Times" w:cs="Times"/>
          <w:b/>
          <w:bCs/>
          <w:sz w:val="25"/>
          <w:szCs w:val="25"/>
          <w:lang w:eastAsia="sk-SK"/>
        </w:rPr>
      </w:pPr>
    </w:p>
    <w:p w:rsidR="00F70B06" w:rsidRPr="00F70B06" w:rsidRDefault="00F70B06" w:rsidP="00F70B06">
      <w:pPr>
        <w:tabs>
          <w:tab w:val="left" w:pos="360"/>
        </w:tabs>
        <w:autoSpaceDE w:val="0"/>
        <w:autoSpaceDN w:val="0"/>
        <w:spacing w:after="0" w:line="240" w:lineRule="auto"/>
        <w:jc w:val="both"/>
        <w:rPr>
          <w:rFonts w:ascii="Times New Roman" w:hAnsi="Times New Roman"/>
          <w:sz w:val="24"/>
          <w:szCs w:val="24"/>
          <w:lang w:eastAsia="sk-SK"/>
        </w:rPr>
      </w:pPr>
    </w:p>
    <w:p w:rsidR="00F70B06" w:rsidRPr="002344CA" w:rsidRDefault="00F70B06" w:rsidP="00F70B06">
      <w:pPr>
        <w:widowControl/>
        <w:spacing w:after="0" w:line="240" w:lineRule="auto"/>
        <w:rPr>
          <w:rFonts w:ascii="Times New Roman" w:hAnsi="Times New Roman"/>
          <w:b/>
          <w:color w:val="000000"/>
          <w:sz w:val="25"/>
          <w:szCs w:val="25"/>
          <w:lang w:eastAsia="sk-SK"/>
        </w:rPr>
      </w:pPr>
      <w:r w:rsidRPr="002344CA">
        <w:rPr>
          <w:rFonts w:ascii="Times New Roman" w:hAnsi="Times New Roman"/>
          <w:b/>
          <w:color w:val="000000"/>
          <w:sz w:val="25"/>
          <w:szCs w:val="25"/>
          <w:lang w:eastAsia="sk-SK"/>
        </w:rPr>
        <w:t>B. Osobitná časť</w:t>
      </w:r>
    </w:p>
    <w:p w:rsidR="00F70B06" w:rsidRPr="005D1E2C" w:rsidRDefault="00F70B06" w:rsidP="00F70B06">
      <w:pPr>
        <w:pStyle w:val="Svetlmriekazvraznenie31"/>
        <w:spacing w:after="160" w:line="252" w:lineRule="auto"/>
        <w:ind w:left="0"/>
        <w:rPr>
          <w:rFonts w:ascii="Times" w:hAnsi="Times" w:cs="Times"/>
          <w:sz w:val="24"/>
          <w:szCs w:val="24"/>
        </w:rPr>
      </w:pPr>
    </w:p>
    <w:p w:rsidR="00F70B06" w:rsidRPr="002344CA" w:rsidRDefault="00F70B06" w:rsidP="00F70B06">
      <w:pPr>
        <w:rPr>
          <w:rFonts w:ascii="Times" w:hAnsi="Times" w:cs="Times"/>
          <w:b/>
          <w:bCs/>
          <w:sz w:val="25"/>
          <w:szCs w:val="25"/>
        </w:rPr>
      </w:pPr>
      <w:r w:rsidRPr="002344CA">
        <w:rPr>
          <w:rFonts w:ascii="Times" w:hAnsi="Times" w:cs="Times"/>
          <w:b/>
          <w:bCs/>
          <w:sz w:val="25"/>
          <w:szCs w:val="25"/>
        </w:rPr>
        <w:t>K § 1</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Ustanovenie § 1 vymedzuje predmet úpravy zákona, ktorej obsahom sú podmienky </w:t>
      </w:r>
      <w:r>
        <w:rPr>
          <w:rFonts w:ascii="Times New Roman" w:hAnsi="Times New Roman"/>
          <w:sz w:val="24"/>
          <w:szCs w:val="24"/>
        </w:rPr>
        <w:t xml:space="preserve">poskytovania </w:t>
      </w:r>
      <w:r w:rsidRPr="00BD5249">
        <w:rPr>
          <w:rFonts w:ascii="Times New Roman" w:hAnsi="Times New Roman"/>
          <w:sz w:val="24"/>
          <w:szCs w:val="24"/>
        </w:rPr>
        <w:t>finančnej podpory cirkv</w:t>
      </w:r>
      <w:r>
        <w:rPr>
          <w:rFonts w:ascii="Times New Roman" w:hAnsi="Times New Roman"/>
          <w:sz w:val="24"/>
          <w:szCs w:val="24"/>
        </w:rPr>
        <w:t>ám a náboženským spoločnostiam</w:t>
      </w:r>
      <w:r w:rsidRPr="00BD5249">
        <w:rPr>
          <w:rFonts w:ascii="Times New Roman" w:hAnsi="Times New Roman"/>
          <w:sz w:val="24"/>
          <w:szCs w:val="24"/>
        </w:rPr>
        <w:t xml:space="preserve">. Podľa § 4 ods. 4 zákona č. 308/1991 Zb. o slobode náboženskej viery a postavení cirkví a náboženských spoločností v znení </w:t>
      </w:r>
      <w:r>
        <w:rPr>
          <w:rFonts w:ascii="Times New Roman" w:hAnsi="Times New Roman"/>
          <w:sz w:val="24"/>
          <w:szCs w:val="24"/>
        </w:rPr>
        <w:t>neskorších predpisov</w:t>
      </w:r>
      <w:r w:rsidRPr="00BD5249">
        <w:rPr>
          <w:rFonts w:ascii="Times New Roman" w:hAnsi="Times New Roman"/>
          <w:sz w:val="24"/>
          <w:szCs w:val="24"/>
        </w:rPr>
        <w:t xml:space="preserve"> štát na účely zákona uznáva len tie cirkvi a náboženské spoločnosti, ktoré sú registrované. Podpora podľa tohto zákona sa teda vzťahuje iba na tie cirkvi a náboženské spoločnosti, ktoré sú registrované a ktorých je v  súčasnosti v Slovenskej republike </w:t>
      </w:r>
      <w:r>
        <w:rPr>
          <w:rFonts w:ascii="Times New Roman" w:hAnsi="Times New Roman"/>
          <w:sz w:val="24"/>
          <w:szCs w:val="24"/>
        </w:rPr>
        <w:t>osemnásť</w:t>
      </w:r>
      <w:r w:rsidRPr="00BD5249">
        <w:rPr>
          <w:rFonts w:ascii="Times New Roman" w:hAnsi="Times New Roman"/>
          <w:sz w:val="24"/>
          <w:szCs w:val="24"/>
        </w:rPr>
        <w:t>. Zároveň sa pre ne ustanovuje legislatívna skratka „cirkvi“.</w:t>
      </w:r>
      <w:r>
        <w:rPr>
          <w:rFonts w:ascii="Times New Roman" w:hAnsi="Times New Roman"/>
          <w:sz w:val="24"/>
          <w:szCs w:val="24"/>
        </w:rPr>
        <w:t xml:space="preserve"> </w:t>
      </w:r>
    </w:p>
    <w:p w:rsidR="00F70B06" w:rsidRPr="002344CA" w:rsidRDefault="00F70B06" w:rsidP="00F70B06">
      <w:pPr>
        <w:rPr>
          <w:rFonts w:ascii="Times" w:hAnsi="Times" w:cs="Times"/>
          <w:b/>
          <w:bCs/>
          <w:sz w:val="25"/>
          <w:szCs w:val="25"/>
        </w:rPr>
      </w:pPr>
      <w:r>
        <w:rPr>
          <w:rFonts w:ascii="Times" w:hAnsi="Times" w:cs="Times"/>
          <w:b/>
          <w:bCs/>
          <w:sz w:val="25"/>
          <w:szCs w:val="25"/>
        </w:rPr>
        <w:t>K § 2</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V § 2 sú vymedzené niektoré pojmy zákona, ktoré majú zásadný význam pre túto právnu úpravu. Príspevok štátu je definovaný ako suma finančných prostriedkov, ktoré sú každoročne poskytované cirkvám z rozpočtovej kapitoly Ministerstva kultúry Slovenskej republiky. Príspevok štátu je tak súhrnné zákonné označenie pre finančné prostriedky poskytované zo </w:t>
      </w:r>
      <w:r w:rsidRPr="00BD5249">
        <w:rPr>
          <w:rFonts w:ascii="Times New Roman" w:hAnsi="Times New Roman"/>
          <w:sz w:val="24"/>
          <w:szCs w:val="24"/>
        </w:rPr>
        <w:lastRenderedPageBreak/>
        <w:t xml:space="preserve">štátneho rozpočtu všetkým cirkvám, ktoré sú následne podľa zákonnej úpravy rozdelené medzi jednotlivé cirkvi. Počet veriacich na účely tohto zákona vychádza z údajov o náboženskom vyznaní získaných z oficiálneho sčítania obyvateľov, domov a bytov uskutočňované spravidla raz za desať rokov. </w:t>
      </w:r>
      <w:r>
        <w:rPr>
          <w:rFonts w:ascii="Times New Roman" w:hAnsi="Times New Roman"/>
          <w:sz w:val="24"/>
          <w:szCs w:val="24"/>
        </w:rPr>
        <w:t xml:space="preserve">Počet veriacich môže byť určený však i z iného zdroja, ktorý by priniesol relevantné údaje. Taký prípad môže nastať napríklad pri zisťovaní počtu veriacich cirkvi, ktorá v čase sčítania obyvateľov nebola registrovaná a požiada o príspevok štátu. Vtedy sa relevantným zdrojom stáva preukázaný počet členov cirkvi v rámci registračného procesu. </w:t>
      </w:r>
      <w:r w:rsidRPr="00BD5249">
        <w:rPr>
          <w:rFonts w:ascii="Times New Roman" w:hAnsi="Times New Roman"/>
          <w:sz w:val="24"/>
          <w:szCs w:val="24"/>
        </w:rPr>
        <w:t>Zároveň sa ustanovujú legislatívne skratky „ministerstvo“ pre Ministerstvo kultúry Slovenskej republiky</w:t>
      </w:r>
      <w:r>
        <w:rPr>
          <w:rFonts w:ascii="Times New Roman" w:hAnsi="Times New Roman"/>
          <w:sz w:val="24"/>
          <w:szCs w:val="24"/>
        </w:rPr>
        <w:t>,</w:t>
      </w:r>
      <w:r w:rsidRPr="00BD5249">
        <w:rPr>
          <w:rFonts w:ascii="Times New Roman" w:hAnsi="Times New Roman"/>
          <w:sz w:val="24"/>
          <w:szCs w:val="24"/>
        </w:rPr>
        <w:t xml:space="preserve"> „sčítanie obyvateľov“ pre sčítanie obyvateľov, domov a</w:t>
      </w:r>
      <w:r>
        <w:rPr>
          <w:rFonts w:ascii="Times New Roman" w:hAnsi="Times New Roman"/>
          <w:sz w:val="24"/>
          <w:szCs w:val="24"/>
        </w:rPr>
        <w:t> </w:t>
      </w:r>
      <w:r w:rsidRPr="00BD5249">
        <w:rPr>
          <w:rFonts w:ascii="Times New Roman" w:hAnsi="Times New Roman"/>
          <w:sz w:val="24"/>
          <w:szCs w:val="24"/>
        </w:rPr>
        <w:t>bytov</w:t>
      </w:r>
      <w:r>
        <w:rPr>
          <w:rFonts w:ascii="Times New Roman" w:hAnsi="Times New Roman"/>
          <w:sz w:val="24"/>
          <w:szCs w:val="24"/>
        </w:rPr>
        <w:t xml:space="preserve"> a „úrad“ pre Štatistický úrad Slovenskej republiky</w:t>
      </w:r>
      <w:r w:rsidRPr="00BD5249">
        <w:rPr>
          <w:rFonts w:ascii="Times New Roman" w:hAnsi="Times New Roman"/>
          <w:sz w:val="24"/>
          <w:szCs w:val="24"/>
        </w:rPr>
        <w:t>.</w:t>
      </w:r>
    </w:p>
    <w:p w:rsidR="00F70B06" w:rsidRPr="002344CA" w:rsidRDefault="00F70B06" w:rsidP="00F70B06">
      <w:pPr>
        <w:rPr>
          <w:rFonts w:ascii="Times" w:hAnsi="Times" w:cs="Times"/>
          <w:b/>
          <w:bCs/>
          <w:sz w:val="25"/>
          <w:szCs w:val="25"/>
        </w:rPr>
      </w:pPr>
      <w:r>
        <w:rPr>
          <w:rFonts w:ascii="Times" w:hAnsi="Times" w:cs="Times"/>
          <w:b/>
          <w:bCs/>
          <w:sz w:val="25"/>
          <w:szCs w:val="25"/>
        </w:rPr>
        <w:t>K § 3</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Zákon ustanovuje demonštratívny výpočet zdrojov finančného zabezpečenia cirkví zo strany štátu, medzi ktoré patria príspevky podľa tohto zákona a účelové dotácie podľa osobitných predpisov. Zákon neupravuje vlastné alebo iné zdroje financovania cirkví, ako sú napríklad príspevky členov cirkví, dary od domácich a zahraničných fyzických osôb a právnických osôb, výnosy z vlastného majetku cirkví, výnosy z vlastnej činnosti cirkví, výnosy z verejných zbierok podľa osobitného predpisu.</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Priamu finančnú podporu cirkví dopĺňa aj nepriama podpora vo forme poskytovania oslobodení a úľav na daniach, poplatkoch a iných úľav podľa osobitných predpisov (ods. 2).</w:t>
      </w:r>
    </w:p>
    <w:p w:rsidR="00F70B06" w:rsidRPr="002344CA" w:rsidRDefault="00F70B06" w:rsidP="00F70B06">
      <w:pPr>
        <w:rPr>
          <w:rFonts w:ascii="Times" w:hAnsi="Times" w:cs="Times"/>
          <w:b/>
          <w:bCs/>
          <w:sz w:val="25"/>
          <w:szCs w:val="25"/>
        </w:rPr>
      </w:pPr>
      <w:r>
        <w:rPr>
          <w:rFonts w:ascii="Times" w:hAnsi="Times" w:cs="Times"/>
          <w:b/>
          <w:bCs/>
          <w:sz w:val="25"/>
          <w:szCs w:val="25"/>
        </w:rPr>
        <w:t>K § 4</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V ods. 1 sa ustanovuje výška príspevku štátu tak, že </w:t>
      </w:r>
      <w:r>
        <w:rPr>
          <w:rFonts w:ascii="Times New Roman" w:hAnsi="Times New Roman"/>
          <w:sz w:val="24"/>
          <w:szCs w:val="24"/>
        </w:rPr>
        <w:t xml:space="preserve">sa </w:t>
      </w:r>
      <w:r w:rsidRPr="00BD5249">
        <w:rPr>
          <w:rFonts w:ascii="Times New Roman" w:hAnsi="Times New Roman"/>
          <w:sz w:val="24"/>
          <w:szCs w:val="24"/>
        </w:rPr>
        <w:t xml:space="preserve">každý rok poskytne vo výške príspevku na predchádzajúci rok navýšeného o ustanovený index navýšenia. Index navýšenia predstavuje mieru, ktorá zohľadní </w:t>
      </w:r>
      <w:r>
        <w:rPr>
          <w:rFonts w:ascii="Times New Roman" w:hAnsi="Times New Roman"/>
          <w:sz w:val="24"/>
          <w:szCs w:val="24"/>
        </w:rPr>
        <w:t xml:space="preserve">jednou pätinou </w:t>
      </w:r>
      <w:r w:rsidRPr="00BD5249">
        <w:rPr>
          <w:rFonts w:ascii="Times New Roman" w:hAnsi="Times New Roman"/>
          <w:sz w:val="24"/>
          <w:szCs w:val="24"/>
        </w:rPr>
        <w:t xml:space="preserve">mieru medziročného rastu inflácie </w:t>
      </w:r>
      <w:r>
        <w:rPr>
          <w:rFonts w:ascii="Times New Roman" w:hAnsi="Times New Roman"/>
          <w:sz w:val="24"/>
          <w:szCs w:val="24"/>
        </w:rPr>
        <w:t>zistenej</w:t>
      </w:r>
      <w:r w:rsidRPr="00BD5249">
        <w:rPr>
          <w:rFonts w:ascii="Times New Roman" w:hAnsi="Times New Roman"/>
          <w:sz w:val="24"/>
          <w:szCs w:val="24"/>
        </w:rPr>
        <w:t xml:space="preserve"> Štatistickým úradom Slovenskej republiky a</w:t>
      </w:r>
      <w:r>
        <w:rPr>
          <w:rFonts w:ascii="Times New Roman" w:hAnsi="Times New Roman"/>
          <w:sz w:val="24"/>
          <w:szCs w:val="24"/>
        </w:rPr>
        <w:t xml:space="preserve"> štyrmi pätinami </w:t>
      </w:r>
      <w:r w:rsidRPr="00BD5249">
        <w:rPr>
          <w:rFonts w:ascii="Times New Roman" w:hAnsi="Times New Roman"/>
          <w:sz w:val="24"/>
          <w:szCs w:val="24"/>
        </w:rPr>
        <w:t xml:space="preserve">mieru </w:t>
      </w:r>
      <w:r>
        <w:rPr>
          <w:rFonts w:ascii="Times" w:hAnsi="Times"/>
          <w:sz w:val="24"/>
          <w:szCs w:val="24"/>
        </w:rPr>
        <w:t>zvýšenia základnej stupnice platových taríf zamestnancov pri výkone práce vo verejnom záujme</w:t>
      </w:r>
      <w:r w:rsidRPr="00CE3DF6">
        <w:rPr>
          <w:rFonts w:ascii="Times" w:hAnsi="Times"/>
          <w:sz w:val="24"/>
          <w:szCs w:val="24"/>
        </w:rPr>
        <w:t xml:space="preserve"> </w:t>
      </w:r>
      <w:r>
        <w:rPr>
          <w:rFonts w:ascii="Times" w:hAnsi="Times"/>
          <w:sz w:val="24"/>
          <w:szCs w:val="24"/>
        </w:rPr>
        <w:t>podľa osobitného predpisu</w:t>
      </w:r>
      <w:r w:rsidRPr="00BD5249">
        <w:rPr>
          <w:rFonts w:ascii="Times New Roman" w:hAnsi="Times New Roman"/>
          <w:sz w:val="24"/>
          <w:szCs w:val="24"/>
        </w:rPr>
        <w:t>.</w:t>
      </w:r>
      <w:r>
        <w:rPr>
          <w:rFonts w:ascii="Times New Roman" w:hAnsi="Times New Roman"/>
          <w:sz w:val="24"/>
          <w:szCs w:val="24"/>
        </w:rPr>
        <w:t xml:space="preserve"> Zvolený pomer zohľadňuje použitie doteraz poskytovaného príspevku na prevádzkové výdavky (cca 20 %) a mzdové výdavky (cca 80 %). </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V ods. </w:t>
      </w:r>
      <w:r>
        <w:rPr>
          <w:rFonts w:ascii="Times New Roman" w:hAnsi="Times New Roman"/>
          <w:sz w:val="24"/>
          <w:szCs w:val="24"/>
        </w:rPr>
        <w:t>2</w:t>
      </w:r>
      <w:r w:rsidRPr="00BD5249">
        <w:rPr>
          <w:rFonts w:ascii="Times New Roman" w:hAnsi="Times New Roman"/>
          <w:sz w:val="24"/>
          <w:szCs w:val="24"/>
        </w:rPr>
        <w:t xml:space="preserve"> je upraven</w:t>
      </w:r>
      <w:r>
        <w:rPr>
          <w:rFonts w:ascii="Times New Roman" w:hAnsi="Times New Roman"/>
          <w:sz w:val="24"/>
          <w:szCs w:val="24"/>
        </w:rPr>
        <w:t xml:space="preserve">ý spôsob </w:t>
      </w:r>
      <w:r w:rsidRPr="00BD5249">
        <w:rPr>
          <w:rFonts w:ascii="Times New Roman" w:hAnsi="Times New Roman"/>
          <w:sz w:val="24"/>
          <w:szCs w:val="24"/>
        </w:rPr>
        <w:t>jednorazov</w:t>
      </w:r>
      <w:r>
        <w:rPr>
          <w:rFonts w:ascii="Times New Roman" w:hAnsi="Times New Roman"/>
          <w:sz w:val="24"/>
          <w:szCs w:val="24"/>
        </w:rPr>
        <w:t>ého</w:t>
      </w:r>
      <w:r w:rsidRPr="00BD5249">
        <w:rPr>
          <w:rFonts w:ascii="Times New Roman" w:hAnsi="Times New Roman"/>
          <w:sz w:val="24"/>
          <w:szCs w:val="24"/>
        </w:rPr>
        <w:t xml:space="preserve"> znížen</w:t>
      </w:r>
      <w:r>
        <w:rPr>
          <w:rFonts w:ascii="Times New Roman" w:hAnsi="Times New Roman"/>
          <w:sz w:val="24"/>
          <w:szCs w:val="24"/>
        </w:rPr>
        <w:t>ia</w:t>
      </w:r>
      <w:r w:rsidRPr="00BD5249">
        <w:rPr>
          <w:rFonts w:ascii="Times New Roman" w:hAnsi="Times New Roman"/>
          <w:sz w:val="24"/>
          <w:szCs w:val="24"/>
        </w:rPr>
        <w:t xml:space="preserve"> alebo zvýšen</w:t>
      </w:r>
      <w:r>
        <w:rPr>
          <w:rFonts w:ascii="Times New Roman" w:hAnsi="Times New Roman"/>
          <w:sz w:val="24"/>
          <w:szCs w:val="24"/>
        </w:rPr>
        <w:t>ia</w:t>
      </w:r>
      <w:r w:rsidRPr="00BD5249">
        <w:rPr>
          <w:rFonts w:ascii="Times New Roman" w:hAnsi="Times New Roman"/>
          <w:sz w:val="24"/>
          <w:szCs w:val="24"/>
        </w:rPr>
        <w:t xml:space="preserve"> príspevku štátu ak dôjde k výraznej zmene počtu veriacich. Zmena výšky príspevku štátu je obmedzená na najviac 1/3 percentuálneho poklesu alebo nárastu počtu veriacich</w:t>
      </w:r>
      <w:r>
        <w:rPr>
          <w:rFonts w:ascii="Times New Roman" w:hAnsi="Times New Roman"/>
          <w:sz w:val="24"/>
          <w:szCs w:val="24"/>
        </w:rPr>
        <w:t>, čím</w:t>
      </w:r>
      <w:r w:rsidRPr="00BD5249">
        <w:rPr>
          <w:rFonts w:ascii="Times New Roman" w:hAnsi="Times New Roman"/>
          <w:sz w:val="24"/>
          <w:szCs w:val="24"/>
        </w:rPr>
        <w:t xml:space="preserve"> sa zabezpečuje možnosť zachovania rovnováhy medzi výškou príspevku a zmenou počtu veriacich cirkví v ich percentuálnom vyjadrení podľa sčítaní obyvateľov.</w:t>
      </w:r>
    </w:p>
    <w:p w:rsidR="00F70B06" w:rsidRPr="002344CA" w:rsidRDefault="00F70B06" w:rsidP="00F70B06">
      <w:pPr>
        <w:rPr>
          <w:rFonts w:ascii="Times" w:hAnsi="Times" w:cs="Times"/>
          <w:b/>
          <w:bCs/>
          <w:sz w:val="25"/>
          <w:szCs w:val="25"/>
        </w:rPr>
      </w:pPr>
      <w:r>
        <w:rPr>
          <w:rFonts w:ascii="Times" w:hAnsi="Times" w:cs="Times"/>
          <w:b/>
          <w:bCs/>
          <w:sz w:val="25"/>
          <w:szCs w:val="25"/>
        </w:rPr>
        <w:t>K § 5</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Ustanovenia § 5 upravujú spôsob rozdelenia a poskytnutia príspevku štátu cirkvám. </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V ods. 1 sa ustanovuje, že cirkev musí o príspevok štátu požiadať ministerstvo vopred</w:t>
      </w:r>
      <w:r>
        <w:rPr>
          <w:rFonts w:ascii="Times New Roman" w:hAnsi="Times New Roman"/>
          <w:sz w:val="24"/>
          <w:szCs w:val="24"/>
        </w:rPr>
        <w:t>. C</w:t>
      </w:r>
      <w:r w:rsidRPr="00BD5249">
        <w:rPr>
          <w:rFonts w:ascii="Times New Roman" w:hAnsi="Times New Roman"/>
          <w:sz w:val="24"/>
          <w:szCs w:val="24"/>
        </w:rPr>
        <w:t>irkv</w:t>
      </w:r>
      <w:r>
        <w:rPr>
          <w:rFonts w:ascii="Times New Roman" w:hAnsi="Times New Roman"/>
          <w:sz w:val="24"/>
          <w:szCs w:val="24"/>
        </w:rPr>
        <w:t>i</w:t>
      </w:r>
      <w:r w:rsidRPr="00BD5249">
        <w:rPr>
          <w:rFonts w:ascii="Times New Roman" w:hAnsi="Times New Roman"/>
          <w:sz w:val="24"/>
          <w:szCs w:val="24"/>
        </w:rPr>
        <w:t>, ktorým už bol poskytovaný príspevok v roku 2019</w:t>
      </w:r>
      <w:r>
        <w:rPr>
          <w:rFonts w:ascii="Times New Roman" w:hAnsi="Times New Roman"/>
          <w:sz w:val="24"/>
          <w:szCs w:val="24"/>
        </w:rPr>
        <w:t>, s</w:t>
      </w:r>
      <w:r w:rsidRPr="00BD5249">
        <w:rPr>
          <w:rFonts w:ascii="Times New Roman" w:hAnsi="Times New Roman"/>
          <w:sz w:val="24"/>
          <w:szCs w:val="24"/>
        </w:rPr>
        <w:t xml:space="preserve">ú </w:t>
      </w:r>
      <w:r>
        <w:rPr>
          <w:rFonts w:ascii="Times New Roman" w:hAnsi="Times New Roman"/>
          <w:sz w:val="24"/>
          <w:szCs w:val="24"/>
        </w:rPr>
        <w:t xml:space="preserve">ustanovením v ods. 4 </w:t>
      </w:r>
      <w:r w:rsidRPr="00BD5249">
        <w:rPr>
          <w:rFonts w:ascii="Times New Roman" w:hAnsi="Times New Roman"/>
          <w:sz w:val="24"/>
          <w:szCs w:val="24"/>
        </w:rPr>
        <w:t xml:space="preserve">oslobodené od povinnosti žiadať o poskytnutie príspevku štátu podľa tohto zákona, ak príspevok štátu už dostávali podľa doterajšej právnej úpravy. Cirkvi, ktoré o príspevok štátu nepožiadali alebo </w:t>
      </w:r>
      <w:r w:rsidRPr="00BD5249">
        <w:rPr>
          <w:rFonts w:ascii="Times New Roman" w:hAnsi="Times New Roman"/>
          <w:sz w:val="24"/>
          <w:szCs w:val="24"/>
        </w:rPr>
        <w:lastRenderedPageBreak/>
        <w:t xml:space="preserve">cirkvi, ktoré budú registrované po účinnosti navrhovaného zákona, túto povinnosť majú. </w:t>
      </w:r>
      <w:r>
        <w:rPr>
          <w:rFonts w:ascii="Times New Roman" w:hAnsi="Times New Roman"/>
          <w:sz w:val="24"/>
          <w:szCs w:val="24"/>
        </w:rPr>
        <w:t>C</w:t>
      </w:r>
      <w:r w:rsidRPr="00BD5249">
        <w:rPr>
          <w:rFonts w:ascii="Times New Roman" w:hAnsi="Times New Roman"/>
          <w:sz w:val="24"/>
          <w:szCs w:val="24"/>
        </w:rPr>
        <w:t>irkvám, ktorým nebol poskytnutý príspevok na rok 2019, sa na základe žiadosti poskytne príspevok v sume príspevku podľa § 5 ods. 2 písm. b), teda podľa počtu ich veriacich.</w:t>
      </w:r>
      <w:r>
        <w:rPr>
          <w:rFonts w:ascii="Times New Roman" w:hAnsi="Times New Roman"/>
          <w:sz w:val="24"/>
          <w:szCs w:val="24"/>
        </w:rPr>
        <w:t xml:space="preserve"> </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Podľa odseku 2 písm. a) sa suma príspevku štátu vo výške príspevku na rok 2019 rozdelí medzi jednotlivé cirkvi, ktorým bol poskytnutý príspevok na rok 2019, na základe pomeru rozdelenia príspevku na rok 2019. Zvyšná časť príspevku, podľa odseku 2 písm. b), sa rozdelí medzi všetky cirkvi, ktoré požiadali o príspevok štátu pomerne podľa počtu ich veriacich, teda prípadne i tie, ktoré príspevok doteraz nepoberali. </w:t>
      </w:r>
    </w:p>
    <w:p w:rsidR="00F70B06" w:rsidRDefault="00F70B06" w:rsidP="00F70B06">
      <w:pPr>
        <w:jc w:val="both"/>
        <w:rPr>
          <w:rFonts w:ascii="Times New Roman" w:hAnsi="Times New Roman"/>
          <w:sz w:val="24"/>
          <w:szCs w:val="24"/>
        </w:rPr>
      </w:pPr>
      <w:r w:rsidRPr="00BD5249">
        <w:rPr>
          <w:rFonts w:ascii="Times New Roman" w:hAnsi="Times New Roman"/>
          <w:sz w:val="24"/>
          <w:szCs w:val="24"/>
        </w:rPr>
        <w:t>V ods. 3 sa určuje povinnosť ministerstva zverejniť a oznámiť výšku príspevku konkrétnej cirkvi</w:t>
      </w:r>
      <w:r>
        <w:rPr>
          <w:rFonts w:ascii="Times New Roman" w:hAnsi="Times New Roman"/>
          <w:sz w:val="24"/>
          <w:szCs w:val="24"/>
        </w:rPr>
        <w:t xml:space="preserve"> a jeho poskytovanie mesačne</w:t>
      </w:r>
      <w:r w:rsidRPr="00BD5249">
        <w:rPr>
          <w:rFonts w:ascii="Times New Roman" w:hAnsi="Times New Roman"/>
          <w:sz w:val="24"/>
          <w:szCs w:val="24"/>
        </w:rPr>
        <w:t>.</w:t>
      </w:r>
      <w:r>
        <w:rPr>
          <w:rFonts w:ascii="Times New Roman" w:hAnsi="Times New Roman"/>
          <w:sz w:val="24"/>
          <w:szCs w:val="24"/>
        </w:rPr>
        <w:t xml:space="preserve"> </w:t>
      </w:r>
    </w:p>
    <w:p w:rsidR="00F70B06" w:rsidRPr="00BD5249" w:rsidRDefault="00F70B06" w:rsidP="00F70B06">
      <w:pPr>
        <w:jc w:val="both"/>
        <w:rPr>
          <w:rFonts w:ascii="Times New Roman" w:hAnsi="Times New Roman"/>
          <w:sz w:val="24"/>
          <w:szCs w:val="24"/>
        </w:rPr>
      </w:pPr>
      <w:r>
        <w:rPr>
          <w:rFonts w:ascii="Times New Roman" w:hAnsi="Times New Roman"/>
          <w:sz w:val="24"/>
          <w:szCs w:val="24"/>
        </w:rPr>
        <w:t xml:space="preserve">Ustanovenie ods. 4 odbremeňuje cirkvi, ktorým bol poskytovaný príspevok štátu podľa doterajšej právnej úpravy, od podávania žiadosti o príspevok štátu podľa tohto zákona. </w:t>
      </w:r>
      <w:r w:rsidRPr="00BD5249">
        <w:rPr>
          <w:rFonts w:ascii="Times New Roman" w:hAnsi="Times New Roman"/>
          <w:sz w:val="24"/>
          <w:szCs w:val="24"/>
        </w:rPr>
        <w:t>Do roku 2019 bol príspevok štátu poskyt</w:t>
      </w:r>
      <w:r>
        <w:rPr>
          <w:rFonts w:ascii="Times New Roman" w:hAnsi="Times New Roman"/>
          <w:sz w:val="24"/>
          <w:szCs w:val="24"/>
        </w:rPr>
        <w:t>ovaný</w:t>
      </w:r>
      <w:r w:rsidRPr="00BD5249">
        <w:rPr>
          <w:rFonts w:ascii="Times New Roman" w:hAnsi="Times New Roman"/>
          <w:sz w:val="24"/>
          <w:szCs w:val="24"/>
        </w:rPr>
        <w:t xml:space="preserve"> </w:t>
      </w:r>
      <w:r>
        <w:rPr>
          <w:rFonts w:ascii="Times New Roman" w:hAnsi="Times New Roman"/>
          <w:sz w:val="24"/>
          <w:szCs w:val="24"/>
        </w:rPr>
        <w:t xml:space="preserve">ústrediam a právnym subjektom </w:t>
      </w:r>
      <w:r w:rsidRPr="00BD5249">
        <w:rPr>
          <w:rFonts w:ascii="Times New Roman" w:hAnsi="Times New Roman"/>
          <w:sz w:val="24"/>
          <w:szCs w:val="24"/>
        </w:rPr>
        <w:t>jednotlivý</w:t>
      </w:r>
      <w:r>
        <w:rPr>
          <w:rFonts w:ascii="Times New Roman" w:hAnsi="Times New Roman"/>
          <w:sz w:val="24"/>
          <w:szCs w:val="24"/>
        </w:rPr>
        <w:t>ch</w:t>
      </w:r>
      <w:r w:rsidRPr="00BD5249">
        <w:rPr>
          <w:rFonts w:ascii="Times New Roman" w:hAnsi="Times New Roman"/>
          <w:sz w:val="24"/>
          <w:szCs w:val="24"/>
        </w:rPr>
        <w:t xml:space="preserve"> cirkv</w:t>
      </w:r>
      <w:r>
        <w:rPr>
          <w:rFonts w:ascii="Times New Roman" w:hAnsi="Times New Roman"/>
          <w:sz w:val="24"/>
          <w:szCs w:val="24"/>
        </w:rPr>
        <w:t xml:space="preserve">í (spolu 33 subjektov). </w:t>
      </w:r>
      <w:r w:rsidRPr="00BD5249">
        <w:rPr>
          <w:rFonts w:ascii="Times New Roman" w:hAnsi="Times New Roman"/>
          <w:sz w:val="24"/>
          <w:szCs w:val="24"/>
        </w:rPr>
        <w:t xml:space="preserve">Od roku 2020 </w:t>
      </w:r>
      <w:r>
        <w:rPr>
          <w:rFonts w:ascii="Times New Roman" w:hAnsi="Times New Roman"/>
          <w:sz w:val="24"/>
          <w:szCs w:val="24"/>
        </w:rPr>
        <w:t>sa</w:t>
      </w:r>
      <w:r w:rsidRPr="00BD5249">
        <w:rPr>
          <w:rFonts w:ascii="Times New Roman" w:hAnsi="Times New Roman"/>
          <w:sz w:val="24"/>
          <w:szCs w:val="24"/>
        </w:rPr>
        <w:t xml:space="preserve"> počíta s poskytnutím príspevku štátu cirkvi ako celku. </w:t>
      </w:r>
    </w:p>
    <w:p w:rsidR="00F70B06" w:rsidRPr="002344CA" w:rsidRDefault="00F70B06" w:rsidP="00F70B06">
      <w:pPr>
        <w:rPr>
          <w:rFonts w:ascii="Times" w:hAnsi="Times" w:cs="Times"/>
          <w:b/>
          <w:bCs/>
          <w:sz w:val="25"/>
          <w:szCs w:val="25"/>
        </w:rPr>
      </w:pPr>
      <w:r w:rsidRPr="002344CA">
        <w:rPr>
          <w:rFonts w:ascii="Times" w:hAnsi="Times" w:cs="Times"/>
          <w:b/>
          <w:bCs/>
          <w:sz w:val="25"/>
          <w:szCs w:val="25"/>
        </w:rPr>
        <w:t>K § 6:</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Ustanovenie § 6 ods. 1 stanovuje účel, na ktorý možno použiť príspevok štátu. Účel konkretizuje </w:t>
      </w:r>
      <w:r>
        <w:rPr>
          <w:rFonts w:ascii="Times New Roman" w:hAnsi="Times New Roman"/>
          <w:sz w:val="24"/>
          <w:szCs w:val="24"/>
        </w:rPr>
        <w:t xml:space="preserve">výpočtom </w:t>
      </w:r>
      <w:r w:rsidRPr="00BD5249">
        <w:rPr>
          <w:rFonts w:ascii="Times New Roman" w:hAnsi="Times New Roman"/>
          <w:sz w:val="24"/>
          <w:szCs w:val="24"/>
        </w:rPr>
        <w:t>možnos</w:t>
      </w:r>
      <w:r>
        <w:rPr>
          <w:rFonts w:ascii="Times New Roman" w:hAnsi="Times New Roman"/>
          <w:sz w:val="24"/>
          <w:szCs w:val="24"/>
        </w:rPr>
        <w:t xml:space="preserve">tí </w:t>
      </w:r>
      <w:r w:rsidRPr="00BD5249">
        <w:rPr>
          <w:rFonts w:ascii="Times New Roman" w:hAnsi="Times New Roman"/>
          <w:sz w:val="24"/>
          <w:szCs w:val="24"/>
        </w:rPr>
        <w:t>použi</w:t>
      </w:r>
      <w:r>
        <w:rPr>
          <w:rFonts w:ascii="Times New Roman" w:hAnsi="Times New Roman"/>
          <w:sz w:val="24"/>
          <w:szCs w:val="24"/>
        </w:rPr>
        <w:t>tia</w:t>
      </w:r>
      <w:r w:rsidRPr="00BD5249">
        <w:rPr>
          <w:rFonts w:ascii="Times New Roman" w:hAnsi="Times New Roman"/>
          <w:sz w:val="24"/>
          <w:szCs w:val="24"/>
        </w:rPr>
        <w:t xml:space="preserve"> príspevk</w:t>
      </w:r>
      <w:r>
        <w:rPr>
          <w:rFonts w:ascii="Times New Roman" w:hAnsi="Times New Roman"/>
          <w:sz w:val="24"/>
          <w:szCs w:val="24"/>
        </w:rPr>
        <w:t>u</w:t>
      </w:r>
      <w:r w:rsidRPr="00BD5249">
        <w:rPr>
          <w:rFonts w:ascii="Times New Roman" w:hAnsi="Times New Roman"/>
          <w:sz w:val="24"/>
          <w:szCs w:val="24"/>
        </w:rPr>
        <w:t xml:space="preserve"> štátu</w:t>
      </w:r>
      <w:r>
        <w:rPr>
          <w:rFonts w:ascii="Times New Roman" w:hAnsi="Times New Roman"/>
          <w:sz w:val="24"/>
          <w:szCs w:val="24"/>
        </w:rPr>
        <w:t>.</w:t>
      </w:r>
      <w:r w:rsidRPr="00BD5249">
        <w:rPr>
          <w:rFonts w:ascii="Times New Roman" w:hAnsi="Times New Roman"/>
          <w:sz w:val="24"/>
          <w:szCs w:val="24"/>
        </w:rPr>
        <w:t xml:space="preserve"> </w:t>
      </w:r>
      <w:r>
        <w:rPr>
          <w:rFonts w:ascii="Times New Roman" w:hAnsi="Times New Roman"/>
          <w:sz w:val="24"/>
          <w:szCs w:val="24"/>
        </w:rPr>
        <w:t xml:space="preserve">Cirkvi môžu príspevok štátu použiť </w:t>
      </w:r>
      <w:r w:rsidRPr="00BD5249">
        <w:rPr>
          <w:rFonts w:ascii="Times New Roman" w:hAnsi="Times New Roman"/>
          <w:sz w:val="24"/>
          <w:szCs w:val="24"/>
        </w:rPr>
        <w:t>na financovanie výdavkov súvisiacich s bohoslužobnou, výchovnou, kultúrnou a </w:t>
      </w:r>
      <w:r>
        <w:rPr>
          <w:rFonts w:ascii="Times New Roman" w:hAnsi="Times New Roman"/>
          <w:sz w:val="24"/>
          <w:szCs w:val="24"/>
        </w:rPr>
        <w:t>charitatívnou</w:t>
      </w:r>
      <w:r w:rsidRPr="00BD5249">
        <w:rPr>
          <w:rFonts w:ascii="Times New Roman" w:hAnsi="Times New Roman"/>
          <w:sz w:val="24"/>
          <w:szCs w:val="24"/>
        </w:rPr>
        <w:t xml:space="preserve"> činnosťou cirkvi, vrátane mzdových a </w:t>
      </w:r>
      <w:r>
        <w:rPr>
          <w:rFonts w:ascii="Times New Roman" w:hAnsi="Times New Roman"/>
          <w:sz w:val="24"/>
          <w:szCs w:val="24"/>
        </w:rPr>
        <w:t>prevádzkových</w:t>
      </w:r>
      <w:r w:rsidRPr="00BD5249">
        <w:rPr>
          <w:rFonts w:ascii="Times New Roman" w:hAnsi="Times New Roman"/>
          <w:sz w:val="24"/>
          <w:szCs w:val="24"/>
        </w:rPr>
        <w:t xml:space="preserve"> nákladov. Okrem financovania výdavkov súvisiacich s činnosťou cirkvi, ktorá vyplýva najmä z účelu jej založenia a základných článkov viery podľa základného dokumentu cirkvi, príspevok štátu je určený aj na platy zamestnancov cirkvi a všetkých povinných výdavkov súvisiacich s pracovnoprávnym pomerom, ako sú napríklad odvody na zdravotné poistenie a sociálne poistenie.</w:t>
      </w:r>
      <w:r>
        <w:rPr>
          <w:rFonts w:ascii="Times New Roman" w:hAnsi="Times New Roman"/>
          <w:sz w:val="24"/>
          <w:szCs w:val="24"/>
        </w:rPr>
        <w:t xml:space="preserve"> </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Podľa čl. 24 ods. 3 Ústavy Slovenskej republiky i podľa § 5 ods. 2 zákona č. 308/1991 Zb. o slobode náboženskej viery a postavení cirkví a náboženských spoločností </w:t>
      </w:r>
      <w:r>
        <w:rPr>
          <w:rFonts w:ascii="Times New Roman" w:hAnsi="Times New Roman"/>
          <w:sz w:val="24"/>
          <w:szCs w:val="24"/>
        </w:rPr>
        <w:t xml:space="preserve">v znení neskorších predpisov </w:t>
      </w:r>
      <w:r w:rsidRPr="00BD5249">
        <w:rPr>
          <w:rFonts w:ascii="Times New Roman" w:hAnsi="Times New Roman"/>
          <w:sz w:val="24"/>
          <w:szCs w:val="24"/>
        </w:rPr>
        <w:t xml:space="preserve">si cirkvi spravujú svoje záležitosti nezávisle od štátnych orgánov. Cirkvi a náboženské spoločnosti spravujú svoje záležitosti, najmä ustanovujú svoje orgány, ustanovujú svojich duchovných a zriaďujú rehoľné a iné inštitúcie nezávisle od štátnych orgánov. K nezávislému postaveniu cirkví patrí aj ich právo hospodáriť samostatne podľa vlastných rozpočtov, ktoré si samostatne schvaľujú spravidla na obdobie kalendárneho roka. </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Cirkvi sa skladajú z organizačných zložiek, ako sú napr. diecézy, </w:t>
      </w:r>
      <w:proofErr w:type="spellStart"/>
      <w:r w:rsidRPr="00BD5249">
        <w:rPr>
          <w:rFonts w:ascii="Times New Roman" w:hAnsi="Times New Roman"/>
          <w:sz w:val="24"/>
          <w:szCs w:val="24"/>
        </w:rPr>
        <w:t>eparchie</w:t>
      </w:r>
      <w:proofErr w:type="spellEnd"/>
      <w:r w:rsidRPr="00BD5249">
        <w:rPr>
          <w:rFonts w:ascii="Times New Roman" w:hAnsi="Times New Roman"/>
          <w:sz w:val="24"/>
          <w:szCs w:val="24"/>
        </w:rPr>
        <w:t>, dištrikty, farnosti, cirkevné zbory, náboženské obce, a iné subjekty odvodzujúce svoju právnu subjektivitu od príslušnej cirkvi. Príspevok štátu je preto určený v konečnom dôsledku na podporu činnosti všetkých týchto zložiek cirkvi</w:t>
      </w:r>
      <w:r>
        <w:rPr>
          <w:rFonts w:ascii="Times New Roman" w:hAnsi="Times New Roman"/>
          <w:sz w:val="24"/>
          <w:szCs w:val="24"/>
        </w:rPr>
        <w:t xml:space="preserve"> a ich prevádzkových nákladov</w:t>
      </w:r>
      <w:r w:rsidRPr="00BD5249">
        <w:rPr>
          <w:rFonts w:ascii="Times New Roman" w:hAnsi="Times New Roman"/>
          <w:sz w:val="24"/>
          <w:szCs w:val="24"/>
        </w:rPr>
        <w:t xml:space="preserve">. </w:t>
      </w:r>
    </w:p>
    <w:p w:rsidR="00F70B06" w:rsidRPr="00BD5249" w:rsidRDefault="00F70B06" w:rsidP="00F70B06">
      <w:pPr>
        <w:jc w:val="both"/>
        <w:rPr>
          <w:rFonts w:ascii="Times New Roman" w:hAnsi="Times New Roman"/>
          <w:sz w:val="24"/>
          <w:szCs w:val="24"/>
        </w:rPr>
      </w:pPr>
      <w:r>
        <w:rPr>
          <w:rFonts w:ascii="Times New Roman" w:hAnsi="Times New Roman"/>
          <w:sz w:val="24"/>
          <w:szCs w:val="24"/>
        </w:rPr>
        <w:t>Odsek 2 stanovuje,</w:t>
      </w:r>
      <w:r w:rsidRPr="00BD5249">
        <w:rPr>
          <w:rFonts w:ascii="Times New Roman" w:hAnsi="Times New Roman"/>
          <w:sz w:val="24"/>
          <w:szCs w:val="24"/>
        </w:rPr>
        <w:t xml:space="preserve"> na aké účely sa nemôže použiť finančný príspevok štátu.</w:t>
      </w:r>
    </w:p>
    <w:p w:rsidR="00F70B06" w:rsidRPr="002344CA" w:rsidRDefault="00F70B06" w:rsidP="00F70B06">
      <w:pPr>
        <w:rPr>
          <w:rFonts w:ascii="Times" w:hAnsi="Times" w:cs="Times"/>
          <w:b/>
          <w:bCs/>
          <w:sz w:val="25"/>
          <w:szCs w:val="25"/>
        </w:rPr>
      </w:pPr>
      <w:r>
        <w:rPr>
          <w:rFonts w:ascii="Times" w:hAnsi="Times" w:cs="Times"/>
          <w:b/>
          <w:bCs/>
          <w:sz w:val="25"/>
          <w:szCs w:val="25"/>
        </w:rPr>
        <w:t>K § 7</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 xml:space="preserve">Ods. 1 zakladá cirkvám povinnosť predkladať každoročne správu o hospodárení s poskytnutým </w:t>
      </w:r>
      <w:r w:rsidRPr="00BD5249">
        <w:rPr>
          <w:rFonts w:ascii="Times New Roman" w:hAnsi="Times New Roman"/>
          <w:sz w:val="24"/>
          <w:szCs w:val="24"/>
        </w:rPr>
        <w:lastRenderedPageBreak/>
        <w:t xml:space="preserve">príspevkom za predchádzajúci rok, pričom táto správa je verejná. Zabezpečuje sa tým transparentnosť použitia verejných prostriedkov. </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V záujme zabezpečenia správneho používania príspevku štátu cirkvami môže štát vykonávať kontrolu hospodárenia s príspevkom podľa osobitných predpisov, akým je napríklad zákon Národnej rady Slovenskej republiky č. 39/1993 Z. z. o Najvyššom kontrolnom úrade Slovenskej republiky v znení neskorších predpisov, alebo zákon č. 357/2015 Z. z. o finančnej kontrole a audite a o zmene a doplnení niektorých zákonov</w:t>
      </w:r>
      <w:r w:rsidRPr="00E23A2C">
        <w:rPr>
          <w:rFonts w:ascii="Times New Roman" w:hAnsi="Times New Roman"/>
          <w:sz w:val="24"/>
          <w:szCs w:val="24"/>
        </w:rPr>
        <w:t xml:space="preserve"> </w:t>
      </w:r>
      <w:r w:rsidRPr="00BD5249">
        <w:rPr>
          <w:rFonts w:ascii="Times New Roman" w:hAnsi="Times New Roman"/>
          <w:sz w:val="24"/>
          <w:szCs w:val="24"/>
        </w:rPr>
        <w:t xml:space="preserve">v znení neskorších predpisov. </w:t>
      </w:r>
      <w:r>
        <w:rPr>
          <w:rFonts w:ascii="Times New Roman" w:hAnsi="Times New Roman"/>
          <w:sz w:val="24"/>
          <w:szCs w:val="24"/>
        </w:rPr>
        <w:t xml:space="preserve">Sankčné ustanovenie odkazuje na § 31 </w:t>
      </w:r>
      <w:r w:rsidRPr="00BD5249">
        <w:rPr>
          <w:rFonts w:ascii="Times New Roman" w:hAnsi="Times New Roman"/>
          <w:sz w:val="24"/>
          <w:szCs w:val="24"/>
        </w:rPr>
        <w:t>zákon</w:t>
      </w:r>
      <w:r>
        <w:rPr>
          <w:rFonts w:ascii="Times New Roman" w:hAnsi="Times New Roman"/>
          <w:sz w:val="24"/>
          <w:szCs w:val="24"/>
        </w:rPr>
        <w:t>a</w:t>
      </w:r>
      <w:r w:rsidRPr="00BD5249">
        <w:rPr>
          <w:rFonts w:ascii="Times New Roman" w:hAnsi="Times New Roman"/>
          <w:sz w:val="24"/>
          <w:szCs w:val="24"/>
        </w:rPr>
        <w:t xml:space="preserve"> č. 523/2004 Z. z. o rozpočtových pravidlách verejnej správy a o zmene a doplnení niektorých zákonov v znení neskorších predpisov</w:t>
      </w:r>
      <w:r>
        <w:rPr>
          <w:rFonts w:ascii="Times New Roman" w:hAnsi="Times New Roman"/>
          <w:sz w:val="24"/>
          <w:szCs w:val="24"/>
        </w:rPr>
        <w:t xml:space="preserve">. </w:t>
      </w:r>
    </w:p>
    <w:p w:rsidR="00F70B06" w:rsidRDefault="00F70B06" w:rsidP="00F70B06">
      <w:pPr>
        <w:rPr>
          <w:rFonts w:ascii="Times" w:hAnsi="Times" w:cs="Times"/>
          <w:b/>
          <w:bCs/>
          <w:sz w:val="25"/>
          <w:szCs w:val="25"/>
        </w:rPr>
      </w:pPr>
      <w:r>
        <w:rPr>
          <w:rFonts w:ascii="Times" w:hAnsi="Times" w:cs="Times"/>
          <w:b/>
          <w:bCs/>
          <w:sz w:val="25"/>
          <w:szCs w:val="25"/>
        </w:rPr>
        <w:t>K § 8</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V tomto ustanovení sú taxatívne vymenované všeobecne záväzné právne predpisy, ktoré sa týmto zákonom zrušujú.</w:t>
      </w:r>
      <w:r>
        <w:rPr>
          <w:rFonts w:ascii="Times New Roman" w:hAnsi="Times New Roman"/>
          <w:sz w:val="24"/>
          <w:szCs w:val="24"/>
        </w:rPr>
        <w:t xml:space="preserve"> </w:t>
      </w:r>
    </w:p>
    <w:p w:rsidR="00F70B06" w:rsidRPr="002344CA" w:rsidRDefault="00F70B06" w:rsidP="00F70B06">
      <w:pPr>
        <w:rPr>
          <w:rFonts w:ascii="Times" w:hAnsi="Times" w:cs="Times"/>
          <w:b/>
          <w:bCs/>
          <w:sz w:val="25"/>
          <w:szCs w:val="25"/>
        </w:rPr>
      </w:pPr>
      <w:r>
        <w:rPr>
          <w:rFonts w:ascii="Times" w:hAnsi="Times" w:cs="Times"/>
          <w:b/>
          <w:bCs/>
          <w:sz w:val="25"/>
          <w:szCs w:val="25"/>
        </w:rPr>
        <w:t>K § 9</w:t>
      </w:r>
    </w:p>
    <w:p w:rsidR="00F70B06" w:rsidRPr="00BD5249" w:rsidRDefault="00F70B06" w:rsidP="00F70B06">
      <w:pPr>
        <w:jc w:val="both"/>
        <w:rPr>
          <w:rFonts w:ascii="Times New Roman" w:hAnsi="Times New Roman"/>
          <w:sz w:val="24"/>
          <w:szCs w:val="24"/>
        </w:rPr>
      </w:pPr>
      <w:r w:rsidRPr="00BD5249">
        <w:rPr>
          <w:rFonts w:ascii="Times New Roman" w:hAnsi="Times New Roman"/>
          <w:sz w:val="24"/>
          <w:szCs w:val="24"/>
        </w:rPr>
        <w:t>Účinnosť zákona sa navrhuje od</w:t>
      </w:r>
      <w:r>
        <w:rPr>
          <w:rFonts w:ascii="Times New Roman" w:hAnsi="Times New Roman"/>
          <w:sz w:val="24"/>
          <w:szCs w:val="24"/>
        </w:rPr>
        <w:t xml:space="preserve"> </w:t>
      </w:r>
      <w:r w:rsidRPr="00BD5249">
        <w:rPr>
          <w:rFonts w:ascii="Times New Roman" w:hAnsi="Times New Roman"/>
          <w:sz w:val="24"/>
          <w:szCs w:val="24"/>
        </w:rPr>
        <w:t>1. januára 2020</w:t>
      </w:r>
      <w:r>
        <w:rPr>
          <w:rFonts w:ascii="Times New Roman" w:hAnsi="Times New Roman"/>
          <w:sz w:val="24"/>
          <w:szCs w:val="24"/>
        </w:rPr>
        <w:t>, čiže od začiatku roka</w:t>
      </w:r>
      <w:r w:rsidRPr="00BD5249">
        <w:rPr>
          <w:rFonts w:ascii="Times New Roman" w:hAnsi="Times New Roman"/>
          <w:sz w:val="24"/>
          <w:szCs w:val="24"/>
        </w:rPr>
        <w:t xml:space="preserve">. </w:t>
      </w:r>
    </w:p>
    <w:p w:rsidR="002179E1" w:rsidRDefault="002179E1" w:rsidP="00F3325B">
      <w:pPr>
        <w:jc w:val="both"/>
        <w:rPr>
          <w:rFonts w:ascii="Times New Roman" w:hAnsi="Times New Roman"/>
          <w:sz w:val="24"/>
          <w:szCs w:val="24"/>
        </w:rPr>
      </w:pPr>
    </w:p>
    <w:p w:rsidR="00F70B06" w:rsidRDefault="007E5154" w:rsidP="00F3325B">
      <w:pPr>
        <w:jc w:val="both"/>
        <w:rPr>
          <w:rFonts w:ascii="Times New Roman" w:hAnsi="Times New Roman"/>
          <w:sz w:val="24"/>
          <w:szCs w:val="24"/>
        </w:rPr>
      </w:pPr>
      <w:r>
        <w:rPr>
          <w:rFonts w:ascii="Times New Roman" w:hAnsi="Times New Roman"/>
          <w:sz w:val="24"/>
          <w:szCs w:val="24"/>
        </w:rPr>
        <w:t>Návrh zákona schválila vláda Slovenskej republiky dňa</w:t>
      </w:r>
      <w:r w:rsidR="00F70B06">
        <w:rPr>
          <w:rFonts w:ascii="Times New Roman" w:hAnsi="Times New Roman"/>
          <w:sz w:val="24"/>
          <w:szCs w:val="24"/>
        </w:rPr>
        <w:t xml:space="preserve"> 21. augusta 2019</w:t>
      </w:r>
      <w:r>
        <w:rPr>
          <w:rFonts w:ascii="Times New Roman" w:hAnsi="Times New Roman"/>
          <w:sz w:val="24"/>
          <w:szCs w:val="24"/>
        </w:rPr>
        <w:t>.</w:t>
      </w:r>
    </w:p>
    <w:p w:rsidR="00F70B06" w:rsidRDefault="00F70B06" w:rsidP="00F3325B">
      <w:pPr>
        <w:jc w:val="both"/>
        <w:rPr>
          <w:rFonts w:ascii="Times New Roman" w:hAnsi="Times New Roman"/>
          <w:sz w:val="24"/>
          <w:szCs w:val="24"/>
        </w:rPr>
      </w:pPr>
      <w:bookmarkStart w:id="1" w:name="_GoBack"/>
      <w:bookmarkEnd w:id="1"/>
    </w:p>
    <w:p w:rsidR="00523017" w:rsidRDefault="00523017" w:rsidP="00F3325B">
      <w:pPr>
        <w:jc w:val="both"/>
        <w:rPr>
          <w:rFonts w:ascii="Times New Roman" w:hAnsi="Times New Roman"/>
          <w:sz w:val="24"/>
          <w:szCs w:val="24"/>
        </w:rPr>
      </w:pPr>
    </w:p>
    <w:p w:rsidR="00F70B06" w:rsidRDefault="00F70B06" w:rsidP="00F3325B">
      <w:pPr>
        <w:jc w:val="both"/>
        <w:rPr>
          <w:rFonts w:ascii="Times New Roman" w:hAnsi="Times New Roman"/>
          <w:sz w:val="24"/>
          <w:szCs w:val="24"/>
        </w:rPr>
      </w:pPr>
    </w:p>
    <w:p w:rsidR="00F70B06" w:rsidRDefault="00F70B06" w:rsidP="00523017">
      <w:pPr>
        <w:ind w:left="3119"/>
        <w:jc w:val="center"/>
        <w:rPr>
          <w:rFonts w:ascii="Times New Roman" w:hAnsi="Times New Roman"/>
          <w:sz w:val="24"/>
          <w:szCs w:val="24"/>
        </w:rPr>
      </w:pPr>
    </w:p>
    <w:p w:rsidR="00F70B06" w:rsidRPr="00523017" w:rsidRDefault="00523017" w:rsidP="00523017">
      <w:pPr>
        <w:spacing w:after="0"/>
        <w:ind w:left="3119"/>
        <w:jc w:val="center"/>
        <w:rPr>
          <w:rFonts w:ascii="Times New Roman" w:hAnsi="Times New Roman"/>
          <w:b/>
          <w:sz w:val="24"/>
          <w:szCs w:val="24"/>
        </w:rPr>
      </w:pPr>
      <w:r w:rsidRPr="00523017">
        <w:rPr>
          <w:rFonts w:ascii="Times New Roman" w:hAnsi="Times New Roman"/>
          <w:b/>
          <w:sz w:val="24"/>
          <w:szCs w:val="24"/>
        </w:rPr>
        <w:t xml:space="preserve">Peter </w:t>
      </w:r>
      <w:proofErr w:type="spellStart"/>
      <w:r w:rsidRPr="00523017">
        <w:rPr>
          <w:rFonts w:ascii="Times New Roman" w:hAnsi="Times New Roman"/>
          <w:b/>
          <w:sz w:val="24"/>
          <w:szCs w:val="24"/>
        </w:rPr>
        <w:t>Pellegrini</w:t>
      </w:r>
      <w:proofErr w:type="spellEnd"/>
    </w:p>
    <w:p w:rsidR="00523017" w:rsidRDefault="00523017" w:rsidP="00523017">
      <w:pPr>
        <w:spacing w:after="0"/>
        <w:ind w:left="3119"/>
        <w:jc w:val="center"/>
        <w:rPr>
          <w:rFonts w:ascii="Times New Roman" w:hAnsi="Times New Roman"/>
          <w:sz w:val="24"/>
          <w:szCs w:val="24"/>
        </w:rPr>
      </w:pPr>
      <w:r>
        <w:rPr>
          <w:rFonts w:ascii="Times New Roman" w:hAnsi="Times New Roman"/>
          <w:sz w:val="24"/>
          <w:szCs w:val="24"/>
        </w:rPr>
        <w:t>predseda vlády</w:t>
      </w:r>
    </w:p>
    <w:p w:rsidR="00523017" w:rsidRDefault="00523017" w:rsidP="00523017">
      <w:pPr>
        <w:spacing w:after="0"/>
        <w:ind w:left="3119"/>
        <w:jc w:val="center"/>
        <w:rPr>
          <w:rFonts w:ascii="Times New Roman" w:hAnsi="Times New Roman"/>
          <w:sz w:val="24"/>
          <w:szCs w:val="24"/>
        </w:rPr>
      </w:pPr>
      <w:r>
        <w:rPr>
          <w:rFonts w:ascii="Times New Roman" w:hAnsi="Times New Roman"/>
          <w:sz w:val="24"/>
          <w:szCs w:val="24"/>
        </w:rPr>
        <w:t>Slovenskej republiky</w:t>
      </w:r>
    </w:p>
    <w:p w:rsidR="00523017" w:rsidRDefault="00523017" w:rsidP="00523017">
      <w:pPr>
        <w:ind w:left="3119"/>
        <w:jc w:val="center"/>
        <w:rPr>
          <w:rFonts w:ascii="Times New Roman" w:hAnsi="Times New Roman"/>
          <w:sz w:val="24"/>
          <w:szCs w:val="24"/>
        </w:rPr>
      </w:pPr>
    </w:p>
    <w:p w:rsidR="00523017" w:rsidRDefault="00523017" w:rsidP="00523017">
      <w:pPr>
        <w:ind w:left="3119"/>
        <w:jc w:val="center"/>
        <w:rPr>
          <w:rFonts w:ascii="Times New Roman" w:hAnsi="Times New Roman"/>
          <w:sz w:val="24"/>
          <w:szCs w:val="24"/>
        </w:rPr>
      </w:pPr>
    </w:p>
    <w:p w:rsidR="00523017" w:rsidRDefault="00523017" w:rsidP="00523017">
      <w:pPr>
        <w:ind w:left="3119"/>
        <w:jc w:val="center"/>
        <w:rPr>
          <w:rFonts w:ascii="Times New Roman" w:hAnsi="Times New Roman"/>
          <w:sz w:val="24"/>
          <w:szCs w:val="24"/>
        </w:rPr>
      </w:pPr>
    </w:p>
    <w:p w:rsidR="00523017" w:rsidRPr="00523017" w:rsidRDefault="00523017" w:rsidP="00523017">
      <w:pPr>
        <w:spacing w:after="0"/>
        <w:ind w:left="3119"/>
        <w:jc w:val="center"/>
        <w:rPr>
          <w:rFonts w:ascii="Times New Roman" w:hAnsi="Times New Roman"/>
          <w:b/>
          <w:sz w:val="24"/>
          <w:szCs w:val="24"/>
        </w:rPr>
      </w:pPr>
      <w:r w:rsidRPr="00523017">
        <w:rPr>
          <w:rFonts w:ascii="Times New Roman" w:hAnsi="Times New Roman"/>
          <w:b/>
          <w:sz w:val="24"/>
          <w:szCs w:val="24"/>
        </w:rPr>
        <w:t xml:space="preserve">Ľubica </w:t>
      </w:r>
      <w:proofErr w:type="spellStart"/>
      <w:r w:rsidRPr="00523017">
        <w:rPr>
          <w:rFonts w:ascii="Times New Roman" w:hAnsi="Times New Roman"/>
          <w:b/>
          <w:sz w:val="24"/>
          <w:szCs w:val="24"/>
        </w:rPr>
        <w:t>Laššáková</w:t>
      </w:r>
      <w:proofErr w:type="spellEnd"/>
    </w:p>
    <w:p w:rsidR="00523017" w:rsidRDefault="00523017" w:rsidP="00523017">
      <w:pPr>
        <w:spacing w:after="0"/>
        <w:ind w:left="3119"/>
        <w:jc w:val="center"/>
        <w:rPr>
          <w:rFonts w:ascii="Times New Roman" w:hAnsi="Times New Roman"/>
          <w:sz w:val="24"/>
          <w:szCs w:val="24"/>
        </w:rPr>
      </w:pPr>
      <w:r>
        <w:rPr>
          <w:rFonts w:ascii="Times New Roman" w:hAnsi="Times New Roman"/>
          <w:sz w:val="24"/>
          <w:szCs w:val="24"/>
        </w:rPr>
        <w:t>ministerka kultúry</w:t>
      </w:r>
    </w:p>
    <w:p w:rsidR="00523017" w:rsidRPr="00F77DC7" w:rsidRDefault="00523017" w:rsidP="00523017">
      <w:pPr>
        <w:spacing w:after="0"/>
        <w:ind w:left="3119"/>
        <w:jc w:val="center"/>
        <w:rPr>
          <w:rFonts w:ascii="Times New Roman" w:hAnsi="Times New Roman"/>
          <w:sz w:val="24"/>
          <w:szCs w:val="24"/>
        </w:rPr>
      </w:pPr>
      <w:r>
        <w:rPr>
          <w:rFonts w:ascii="Times New Roman" w:hAnsi="Times New Roman"/>
          <w:sz w:val="24"/>
          <w:szCs w:val="24"/>
        </w:rPr>
        <w:t>Slovenskej republiky</w:t>
      </w:r>
    </w:p>
    <w:sectPr w:rsidR="00523017" w:rsidRPr="00F77DC7" w:rsidSect="00AB1F57">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7E" w:rsidRDefault="00CF707E" w:rsidP="002179E1">
      <w:pPr>
        <w:spacing w:after="0" w:line="240" w:lineRule="auto"/>
      </w:pPr>
      <w:r>
        <w:separator/>
      </w:r>
    </w:p>
  </w:endnote>
  <w:endnote w:type="continuationSeparator" w:id="0">
    <w:p w:rsidR="00CF707E" w:rsidRDefault="00CF707E" w:rsidP="0021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745409"/>
      <w:docPartObj>
        <w:docPartGallery w:val="Page Numbers (Bottom of Page)"/>
        <w:docPartUnique/>
      </w:docPartObj>
    </w:sdtPr>
    <w:sdtEndPr/>
    <w:sdtContent>
      <w:p w:rsidR="00F70B06" w:rsidRDefault="00F70B06" w:rsidP="00F3325B">
        <w:pPr>
          <w:pStyle w:val="Pta"/>
          <w:jc w:val="center"/>
        </w:pPr>
        <w:r>
          <w:fldChar w:fldCharType="begin"/>
        </w:r>
        <w:r>
          <w:instrText>PAGE   \* MERGEFORMAT</w:instrText>
        </w:r>
        <w:r>
          <w:fldChar w:fldCharType="separate"/>
        </w:r>
        <w:r w:rsidR="007E5154">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7E" w:rsidRDefault="00CF707E" w:rsidP="002179E1">
      <w:pPr>
        <w:spacing w:after="0" w:line="240" w:lineRule="auto"/>
      </w:pPr>
      <w:r>
        <w:separator/>
      </w:r>
    </w:p>
  </w:footnote>
  <w:footnote w:type="continuationSeparator" w:id="0">
    <w:p w:rsidR="00CF707E" w:rsidRDefault="00CF707E" w:rsidP="00217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04E20"/>
    <w:rsid w:val="000144C3"/>
    <w:rsid w:val="0002247E"/>
    <w:rsid w:val="00095F7F"/>
    <w:rsid w:val="000A218D"/>
    <w:rsid w:val="000B3F57"/>
    <w:rsid w:val="000F1207"/>
    <w:rsid w:val="0018334E"/>
    <w:rsid w:val="00194406"/>
    <w:rsid w:val="002179E1"/>
    <w:rsid w:val="00232134"/>
    <w:rsid w:val="002C2B40"/>
    <w:rsid w:val="002F00DB"/>
    <w:rsid w:val="003155AD"/>
    <w:rsid w:val="00327A2D"/>
    <w:rsid w:val="00353C46"/>
    <w:rsid w:val="003A35EB"/>
    <w:rsid w:val="003C009A"/>
    <w:rsid w:val="004C083B"/>
    <w:rsid w:val="00523017"/>
    <w:rsid w:val="005A1161"/>
    <w:rsid w:val="0061229B"/>
    <w:rsid w:val="00651EB7"/>
    <w:rsid w:val="00661635"/>
    <w:rsid w:val="006A0E56"/>
    <w:rsid w:val="00730901"/>
    <w:rsid w:val="00761851"/>
    <w:rsid w:val="00773CE7"/>
    <w:rsid w:val="007E5154"/>
    <w:rsid w:val="008461A5"/>
    <w:rsid w:val="00873337"/>
    <w:rsid w:val="008F1A80"/>
    <w:rsid w:val="008F5233"/>
    <w:rsid w:val="00984D60"/>
    <w:rsid w:val="009B3DA2"/>
    <w:rsid w:val="00A17C3D"/>
    <w:rsid w:val="00A56287"/>
    <w:rsid w:val="00A861E0"/>
    <w:rsid w:val="00AA4FD0"/>
    <w:rsid w:val="00AB1F57"/>
    <w:rsid w:val="00AB2B8F"/>
    <w:rsid w:val="00AD20CF"/>
    <w:rsid w:val="00B3505E"/>
    <w:rsid w:val="00B50E2A"/>
    <w:rsid w:val="00B51490"/>
    <w:rsid w:val="00B56733"/>
    <w:rsid w:val="00BA14D6"/>
    <w:rsid w:val="00BB2506"/>
    <w:rsid w:val="00C14C27"/>
    <w:rsid w:val="00C36BB9"/>
    <w:rsid w:val="00C5585A"/>
    <w:rsid w:val="00CD025D"/>
    <w:rsid w:val="00CF707E"/>
    <w:rsid w:val="00D02827"/>
    <w:rsid w:val="00D17ED7"/>
    <w:rsid w:val="00D463B0"/>
    <w:rsid w:val="00D710A5"/>
    <w:rsid w:val="00D8504E"/>
    <w:rsid w:val="00DC365C"/>
    <w:rsid w:val="00DD1B41"/>
    <w:rsid w:val="00DD7F25"/>
    <w:rsid w:val="00DF7EB5"/>
    <w:rsid w:val="00E74079"/>
    <w:rsid w:val="00E83706"/>
    <w:rsid w:val="00F10D72"/>
    <w:rsid w:val="00F3325B"/>
    <w:rsid w:val="00F44C37"/>
    <w:rsid w:val="00F70B06"/>
    <w:rsid w:val="00F77DC7"/>
    <w:rsid w:val="00F81BC4"/>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10A5"/>
    <w:pPr>
      <w:widowControl w:val="0"/>
      <w:adjustRightInd w:val="0"/>
    </w:pPr>
    <w:rPr>
      <w:rFonts w:ascii="Calibri" w:eastAsia="Times New Roman" w:hAnsi="Calibri" w:cs="Times New Roman"/>
    </w:rPr>
  </w:style>
  <w:style w:type="paragraph" w:styleId="Nadpis2">
    <w:name w:val="heading 2"/>
    <w:basedOn w:val="Normlny"/>
    <w:link w:val="Nadpis2Char"/>
    <w:uiPriority w:val="9"/>
    <w:qFormat/>
    <w:rsid w:val="002179E1"/>
    <w:pPr>
      <w:widowControl/>
      <w:adjustRightInd/>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Normlnywebov">
    <w:name w:val="Normal (Web)"/>
    <w:basedOn w:val="Normlny"/>
    <w:uiPriority w:val="99"/>
    <w:unhideWhenUsed/>
    <w:rsid w:val="009B3DA2"/>
    <w:pPr>
      <w:widowControl/>
      <w:adjustRightInd/>
      <w:spacing w:before="100" w:beforeAutospacing="1" w:after="100" w:afterAutospacing="1" w:line="240" w:lineRule="auto"/>
    </w:pPr>
    <w:rPr>
      <w:rFonts w:ascii="Times New Roman" w:hAnsi="Times New Roman"/>
      <w:sz w:val="24"/>
      <w:szCs w:val="24"/>
      <w:lang w:eastAsia="sk-SK"/>
    </w:rPr>
  </w:style>
  <w:style w:type="character" w:customStyle="1" w:styleId="Nadpis2Char">
    <w:name w:val="Nadpis 2 Char"/>
    <w:basedOn w:val="Predvolenpsmoodseku"/>
    <w:link w:val="Nadpis2"/>
    <w:uiPriority w:val="9"/>
    <w:rsid w:val="002179E1"/>
    <w:rPr>
      <w:rFonts w:ascii="Times New Roman" w:eastAsia="Times New Roman" w:hAnsi="Times New Roman" w:cs="Times New Roman"/>
      <w:b/>
      <w:bCs/>
      <w:sz w:val="36"/>
      <w:szCs w:val="36"/>
      <w:lang w:eastAsia="sk-SK"/>
    </w:rPr>
  </w:style>
  <w:style w:type="paragraph" w:styleId="Hlavika">
    <w:name w:val="header"/>
    <w:basedOn w:val="Normlny"/>
    <w:link w:val="HlavikaChar"/>
    <w:uiPriority w:val="99"/>
    <w:unhideWhenUsed/>
    <w:rsid w:val="002179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79E1"/>
    <w:rPr>
      <w:rFonts w:ascii="Calibri" w:eastAsia="Times New Roman" w:hAnsi="Calibri" w:cs="Times New Roman"/>
    </w:rPr>
  </w:style>
  <w:style w:type="paragraph" w:styleId="Pta">
    <w:name w:val="footer"/>
    <w:basedOn w:val="Normlny"/>
    <w:link w:val="PtaChar"/>
    <w:uiPriority w:val="99"/>
    <w:unhideWhenUsed/>
    <w:rsid w:val="002179E1"/>
    <w:pPr>
      <w:tabs>
        <w:tab w:val="center" w:pos="4536"/>
        <w:tab w:val="right" w:pos="9072"/>
      </w:tabs>
      <w:spacing w:after="0" w:line="240" w:lineRule="auto"/>
    </w:pPr>
  </w:style>
  <w:style w:type="character" w:customStyle="1" w:styleId="PtaChar">
    <w:name w:val="Päta Char"/>
    <w:basedOn w:val="Predvolenpsmoodseku"/>
    <w:link w:val="Pta"/>
    <w:uiPriority w:val="99"/>
    <w:rsid w:val="002179E1"/>
    <w:rPr>
      <w:rFonts w:ascii="Calibri" w:eastAsia="Times New Roman" w:hAnsi="Calibri" w:cs="Times New Roman"/>
    </w:rPr>
  </w:style>
  <w:style w:type="table" w:customStyle="1" w:styleId="Mriekatabuky1">
    <w:name w:val="Mriežka tabuľky1"/>
    <w:basedOn w:val="Normlnatabuka"/>
    <w:next w:val="Mriekatabuky"/>
    <w:uiPriority w:val="99"/>
    <w:unhideWhenUsed/>
    <w:rsid w:val="00F70B06"/>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etlmriekazvraznenie31">
    <w:name w:val="Svetlá mriežka – zvýraznenie 31"/>
    <w:basedOn w:val="Normlny"/>
    <w:qFormat/>
    <w:rsid w:val="00F70B06"/>
    <w:pPr>
      <w:suppressAutoHyphens/>
      <w:adjustRightInd/>
      <w:spacing w:after="0" w:line="240" w:lineRule="auto"/>
      <w:ind w:left="72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10A5"/>
    <w:pPr>
      <w:widowControl w:val="0"/>
      <w:adjustRightInd w:val="0"/>
    </w:pPr>
    <w:rPr>
      <w:rFonts w:ascii="Calibri" w:eastAsia="Times New Roman" w:hAnsi="Calibri" w:cs="Times New Roman"/>
    </w:rPr>
  </w:style>
  <w:style w:type="paragraph" w:styleId="Nadpis2">
    <w:name w:val="heading 2"/>
    <w:basedOn w:val="Normlny"/>
    <w:link w:val="Nadpis2Char"/>
    <w:uiPriority w:val="9"/>
    <w:qFormat/>
    <w:rsid w:val="002179E1"/>
    <w:pPr>
      <w:widowControl/>
      <w:adjustRightInd/>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Normlnywebov">
    <w:name w:val="Normal (Web)"/>
    <w:basedOn w:val="Normlny"/>
    <w:uiPriority w:val="99"/>
    <w:unhideWhenUsed/>
    <w:rsid w:val="009B3DA2"/>
    <w:pPr>
      <w:widowControl/>
      <w:adjustRightInd/>
      <w:spacing w:before="100" w:beforeAutospacing="1" w:after="100" w:afterAutospacing="1" w:line="240" w:lineRule="auto"/>
    </w:pPr>
    <w:rPr>
      <w:rFonts w:ascii="Times New Roman" w:hAnsi="Times New Roman"/>
      <w:sz w:val="24"/>
      <w:szCs w:val="24"/>
      <w:lang w:eastAsia="sk-SK"/>
    </w:rPr>
  </w:style>
  <w:style w:type="character" w:customStyle="1" w:styleId="Nadpis2Char">
    <w:name w:val="Nadpis 2 Char"/>
    <w:basedOn w:val="Predvolenpsmoodseku"/>
    <w:link w:val="Nadpis2"/>
    <w:uiPriority w:val="9"/>
    <w:rsid w:val="002179E1"/>
    <w:rPr>
      <w:rFonts w:ascii="Times New Roman" w:eastAsia="Times New Roman" w:hAnsi="Times New Roman" w:cs="Times New Roman"/>
      <w:b/>
      <w:bCs/>
      <w:sz w:val="36"/>
      <w:szCs w:val="36"/>
      <w:lang w:eastAsia="sk-SK"/>
    </w:rPr>
  </w:style>
  <w:style w:type="paragraph" w:styleId="Hlavika">
    <w:name w:val="header"/>
    <w:basedOn w:val="Normlny"/>
    <w:link w:val="HlavikaChar"/>
    <w:uiPriority w:val="99"/>
    <w:unhideWhenUsed/>
    <w:rsid w:val="002179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79E1"/>
    <w:rPr>
      <w:rFonts w:ascii="Calibri" w:eastAsia="Times New Roman" w:hAnsi="Calibri" w:cs="Times New Roman"/>
    </w:rPr>
  </w:style>
  <w:style w:type="paragraph" w:styleId="Pta">
    <w:name w:val="footer"/>
    <w:basedOn w:val="Normlny"/>
    <w:link w:val="PtaChar"/>
    <w:uiPriority w:val="99"/>
    <w:unhideWhenUsed/>
    <w:rsid w:val="002179E1"/>
    <w:pPr>
      <w:tabs>
        <w:tab w:val="center" w:pos="4536"/>
        <w:tab w:val="right" w:pos="9072"/>
      </w:tabs>
      <w:spacing w:after="0" w:line="240" w:lineRule="auto"/>
    </w:pPr>
  </w:style>
  <w:style w:type="character" w:customStyle="1" w:styleId="PtaChar">
    <w:name w:val="Päta Char"/>
    <w:basedOn w:val="Predvolenpsmoodseku"/>
    <w:link w:val="Pta"/>
    <w:uiPriority w:val="99"/>
    <w:rsid w:val="002179E1"/>
    <w:rPr>
      <w:rFonts w:ascii="Calibri" w:eastAsia="Times New Roman" w:hAnsi="Calibri" w:cs="Times New Roman"/>
    </w:rPr>
  </w:style>
  <w:style w:type="table" w:customStyle="1" w:styleId="Mriekatabuky1">
    <w:name w:val="Mriežka tabuľky1"/>
    <w:basedOn w:val="Normlnatabuka"/>
    <w:next w:val="Mriekatabuky"/>
    <w:uiPriority w:val="99"/>
    <w:unhideWhenUsed/>
    <w:rsid w:val="00F70B06"/>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etlmriekazvraznenie31">
    <w:name w:val="Svetlá mriežka – zvýraznenie 31"/>
    <w:basedOn w:val="Normlny"/>
    <w:qFormat/>
    <w:rsid w:val="00F70B06"/>
    <w:pPr>
      <w:suppressAutoHyphens/>
      <w:adjustRightInd/>
      <w:spacing w:after="0" w:line="240" w:lineRule="auto"/>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28.1.2019 8:37:43"/>
    <f:field ref="objchangedby" par="" text="Administrator, System"/>
    <f:field ref="objmodifiedat" par="" text="28.1.2019 8:37:44"/>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C2FAC56-2B2D-405F-8B94-A3DC2D11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4808</Words>
  <Characters>27408</Characters>
  <Application>Microsoft Office Word</Application>
  <DocSecurity>0</DocSecurity>
  <Lines>228</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karol.porubcin@culture.gov.sk</dc:creator>
  <cp:lastModifiedBy>Porubčin Karol</cp:lastModifiedBy>
  <cp:revision>5</cp:revision>
  <cp:lastPrinted>2019-08-06T09:33:00Z</cp:lastPrinted>
  <dcterms:created xsi:type="dcterms:W3CDTF">2019-08-16T14:47:00Z</dcterms:created>
  <dcterms:modified xsi:type="dcterms:W3CDTF">2019-08-16T16:17:00Z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Príprava materiálu</vt:lpwstr>
  </property>
  <property fmtid="{D5CDD505-2E9C-101B-9397-08002B2CF9AE}" pid="6" name="FSC#SKEDITIONSLOVLEX@103.510:povodpredpis">
    <vt:lpwstr>Slovlex (eLeg)</vt:lpwstr>
  </property>
  <property fmtid="{D5CDD505-2E9C-101B-9397-08002B2CF9AE}" pid="7" name="FSC#SKEDITIONSLOVLEX@103.510:legoblast">
    <vt:lpwstr>Cirkev</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Karol Porubčin</vt:lpwstr>
  </property>
  <property fmtid="{D5CDD505-2E9C-101B-9397-08002B2CF9AE}" pid="11" name="FSC#SKEDITIONSLOVLEX@103.510:zodppredkladatel">
    <vt:lpwstr>Ľubica Laššáková</vt:lpwstr>
  </property>
  <property fmtid="{D5CDD505-2E9C-101B-9397-08002B2CF9AE}" pid="12" name="FSC#SKEDITIONSLOVLEX@103.510:dalsipredkladatel">
    <vt:lpwstr/>
  </property>
  <property fmtid="{D5CDD505-2E9C-101B-9397-08002B2CF9AE}" pid="13" name="FSC#SKEDITIONSLOVLEX@103.510:nazovpredpis">
    <vt:lpwstr> o finančnej podpore činnosti cirkví a náboženských spoločností</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kultúry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Programové vyhlásenie Vlády SR</vt:lpwstr>
  </property>
  <property fmtid="{D5CDD505-2E9C-101B-9397-08002B2CF9AE}" pid="22" name="FSC#SKEDITIONSLOVLEX@103.510:plnynazovpredpis">
    <vt:lpwstr> Zákon o finančnej podpore činnosti cirkví a náboženských spoločností</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MK-218/2019-230/1377</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LP/2019/67</vt:lpwstr>
  </property>
  <property fmtid="{D5CDD505-2E9C-101B-9397-08002B2CF9AE}" pid="36" name="FSC#SKEDITIONSLOVLEX@103.510:typsprievdok">
    <vt:lpwstr>Dôvodová správa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kultúry</vt:lpwstr>
  </property>
  <property fmtid="{D5CDD505-2E9C-101B-9397-08002B2CF9AE}" pid="141" name="FSC#SKEDITIONSLOVLEX@103.510:funkciaZodpPredAkuzativ">
    <vt:lpwstr>ministerky kultúry</vt:lpwstr>
  </property>
  <property fmtid="{D5CDD505-2E9C-101B-9397-08002B2CF9AE}" pid="142" name="FSC#SKEDITIONSLOVLEX@103.510:funkciaZodpPredDativ">
    <vt:lpwstr>ministerke kultúry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Ľubica Laššáková_x000d_
ministerka kultúry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&lt;p&gt;Vláda Slovenskej republiky deklarovala vo svojom programovom vyhlásení zámer vypracovať novú legislatívnu úpravu financovania cirkví a náboženských spoločností. Ministerstvo kultúry SR sa dlhodobo zaoberá témou zmeny financovania cirkví. Financovanie c</vt:lpwstr>
  </property>
  <property fmtid="{D5CDD505-2E9C-101B-9397-08002B2CF9AE}" pid="149" name="FSC#COOSYSTEM@1.1:Container">
    <vt:lpwstr>COO.2145.1000.3.3179015</vt:lpwstr>
  </property>
  <property fmtid="{D5CDD505-2E9C-101B-9397-08002B2CF9AE}" pid="150" name="FSC#FSCFOLIO@1.1001:docpropproject">
    <vt:lpwstr/>
  </property>
  <property fmtid="{D5CDD505-2E9C-101B-9397-08002B2CF9AE}" pid="151" name="FSC#SKEDITIONSLOVLEX@103.510:aktualnyrok">
    <vt:lpwstr>2019</vt:lpwstr>
  </property>
  <property fmtid="{D5CDD505-2E9C-101B-9397-08002B2CF9AE}" pid="152" name="FSC#SKEDITIONSLOVLEX@103.510:vytvorenedna">
    <vt:lpwstr>28. 1. 2019</vt:lpwstr>
  </property>
</Properties>
</file>