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C" w:rsidRDefault="00814F1C">
      <w:pPr>
        <w:jc w:val="center"/>
        <w:rPr>
          <w:b/>
          <w:bCs/>
        </w:rPr>
      </w:pPr>
      <w:r>
        <w:rPr>
          <w:b/>
          <w:bCs/>
        </w:rPr>
        <w:t>TABUĽKA ZHODY</w:t>
      </w:r>
    </w:p>
    <w:p w:rsidR="007B6201" w:rsidRDefault="007B6201">
      <w:pPr>
        <w:jc w:val="center"/>
        <w:rPr>
          <w:b/>
          <w:bCs/>
        </w:rPr>
      </w:pPr>
    </w:p>
    <w:p w:rsidR="004979AF" w:rsidRPr="004979AF" w:rsidRDefault="002859D4" w:rsidP="00E60C66">
      <w:pPr>
        <w:pStyle w:val="Zkladntext"/>
        <w:jc w:val="center"/>
        <w:rPr>
          <w:b/>
        </w:rPr>
      </w:pPr>
      <w:r w:rsidRPr="004979AF">
        <w:rPr>
          <w:b/>
          <w:bCs/>
        </w:rPr>
        <w:t>k n</w:t>
      </w:r>
      <w:r w:rsidR="00612D6B" w:rsidRPr="004979AF">
        <w:rPr>
          <w:b/>
          <w:bCs/>
        </w:rPr>
        <w:t>ávrh</w:t>
      </w:r>
      <w:r w:rsidRPr="004979AF">
        <w:rPr>
          <w:b/>
          <w:bCs/>
        </w:rPr>
        <w:t>u</w:t>
      </w:r>
      <w:r w:rsidR="00612D6B" w:rsidRPr="004979AF">
        <w:rPr>
          <w:b/>
          <w:bCs/>
        </w:rPr>
        <w:t xml:space="preserve"> </w:t>
      </w:r>
      <w:r w:rsidR="004979AF" w:rsidRPr="00E60C66">
        <w:rPr>
          <w:b/>
        </w:rPr>
        <w:t>zákona, ktorým sa mení a dopĺňa zákon č. 139/1998 Z. z. o omamných látkach, psychotropných látkach a prípravkoch v znení neskorších predpisov.</w:t>
      </w:r>
    </w:p>
    <w:p w:rsidR="00814F1C" w:rsidRDefault="00814F1C"/>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961"/>
        <w:gridCol w:w="425"/>
        <w:gridCol w:w="426"/>
        <w:gridCol w:w="850"/>
        <w:gridCol w:w="47"/>
        <w:gridCol w:w="4489"/>
        <w:gridCol w:w="776"/>
        <w:gridCol w:w="1209"/>
      </w:tblGrid>
      <w:tr w:rsidR="0013535D" w:rsidTr="0013535D">
        <w:trPr>
          <w:cantSplit/>
        </w:trPr>
        <w:tc>
          <w:tcPr>
            <w:tcW w:w="6307" w:type="dxa"/>
            <w:gridSpan w:val="3"/>
          </w:tcPr>
          <w:p w:rsidR="0013535D" w:rsidRDefault="004979AF" w:rsidP="00E60C66">
            <w:pPr>
              <w:spacing w:before="240" w:after="120"/>
              <w:rPr>
                <w:b/>
                <w:bCs/>
                <w:color w:val="000000"/>
              </w:rPr>
            </w:pPr>
            <w:r>
              <w:rPr>
                <w:b/>
                <w:bCs/>
                <w:color w:val="000000"/>
              </w:rPr>
              <w:t>S</w:t>
            </w:r>
            <w:r w:rsidRPr="002F4566">
              <w:rPr>
                <w:b/>
                <w:bCs/>
                <w:color w:val="000000"/>
              </w:rPr>
              <w:t xml:space="preserve">mernica Európskeho parlamentu a Rady </w:t>
            </w:r>
            <w:r w:rsidRPr="00103480">
              <w:rPr>
                <w:b/>
                <w:bCs/>
                <w:color w:val="000000"/>
              </w:rPr>
              <w:t>(EÚ) 2017/2103</w:t>
            </w:r>
            <w:r>
              <w:rPr>
                <w:b/>
                <w:bCs/>
                <w:color w:val="000000"/>
              </w:rPr>
              <w:t xml:space="preserve"> </w:t>
            </w:r>
            <w:r w:rsidRPr="00103480">
              <w:rPr>
                <w:b/>
                <w:bCs/>
                <w:color w:val="000000"/>
              </w:rPr>
              <w:t>z 15. novembra 2017,</w:t>
            </w:r>
            <w:r>
              <w:rPr>
                <w:b/>
                <w:bCs/>
                <w:color w:val="000000"/>
              </w:rPr>
              <w:t xml:space="preserve"> </w:t>
            </w:r>
            <w:r w:rsidRPr="00103480">
              <w:rPr>
                <w:b/>
                <w:bCs/>
                <w:color w:val="000000"/>
              </w:rPr>
              <w:t>ktorou sa mení rámcové rozhodnutie Rady 2004/757/SVV s cieľom zahrnúť nové psychoaktívne látky do vymedzenia pojmu drogy a ktorou sa zrušuje rozhodnutie Rady 2005/387/SVV</w:t>
            </w:r>
          </w:p>
          <w:p w:rsidR="004C2C96" w:rsidRPr="00A83000" w:rsidRDefault="004C2C96" w:rsidP="00E60C66">
            <w:pPr>
              <w:spacing w:before="240" w:after="120"/>
              <w:rPr>
                <w:b/>
              </w:rPr>
            </w:pPr>
            <w:r>
              <w:rPr>
                <w:b/>
                <w:bCs/>
                <w:color w:val="000000"/>
              </w:rPr>
              <w:t>Delegovaná s</w:t>
            </w:r>
            <w:r w:rsidRPr="002F4566">
              <w:rPr>
                <w:b/>
                <w:bCs/>
                <w:color w:val="000000"/>
              </w:rPr>
              <w:t xml:space="preserve">mernica </w:t>
            </w:r>
            <w:r>
              <w:rPr>
                <w:b/>
                <w:bCs/>
                <w:color w:val="000000"/>
              </w:rPr>
              <w:t>Komisie (EÚ)</w:t>
            </w:r>
            <w:r w:rsidRPr="00103480">
              <w:rPr>
                <w:b/>
                <w:bCs/>
                <w:color w:val="000000"/>
              </w:rPr>
              <w:t xml:space="preserve"> 201</w:t>
            </w:r>
            <w:r>
              <w:rPr>
                <w:b/>
                <w:bCs/>
                <w:color w:val="000000"/>
              </w:rPr>
              <w:t>9</w:t>
            </w:r>
            <w:r w:rsidRPr="00103480">
              <w:rPr>
                <w:b/>
                <w:bCs/>
                <w:color w:val="000000"/>
              </w:rPr>
              <w:t>/3</w:t>
            </w:r>
            <w:r>
              <w:rPr>
                <w:b/>
                <w:bCs/>
                <w:color w:val="000000"/>
              </w:rPr>
              <w:t xml:space="preserve">69 </w:t>
            </w:r>
            <w:r w:rsidRPr="00103480">
              <w:rPr>
                <w:b/>
                <w:bCs/>
                <w:color w:val="000000"/>
              </w:rPr>
              <w:t>z 1</w:t>
            </w:r>
            <w:r>
              <w:rPr>
                <w:b/>
                <w:bCs/>
                <w:color w:val="000000"/>
              </w:rPr>
              <w:t>3</w:t>
            </w:r>
            <w:r w:rsidRPr="00103480">
              <w:rPr>
                <w:b/>
                <w:bCs/>
                <w:color w:val="000000"/>
              </w:rPr>
              <w:t xml:space="preserve">. </w:t>
            </w:r>
            <w:r>
              <w:rPr>
                <w:b/>
                <w:bCs/>
                <w:color w:val="000000"/>
              </w:rPr>
              <w:t>decem</w:t>
            </w:r>
            <w:r w:rsidRPr="00103480">
              <w:rPr>
                <w:b/>
                <w:bCs/>
                <w:color w:val="000000"/>
              </w:rPr>
              <w:t>bra 201</w:t>
            </w:r>
            <w:r>
              <w:rPr>
                <w:b/>
                <w:bCs/>
                <w:color w:val="000000"/>
              </w:rPr>
              <w:t>8</w:t>
            </w:r>
            <w:r w:rsidRPr="00103480">
              <w:rPr>
                <w:b/>
                <w:bCs/>
                <w:color w:val="000000"/>
              </w:rPr>
              <w:t>,</w:t>
            </w:r>
            <w:r>
              <w:rPr>
                <w:b/>
                <w:bCs/>
                <w:color w:val="000000"/>
              </w:rPr>
              <w:t xml:space="preserve"> </w:t>
            </w:r>
            <w:r w:rsidRPr="00103480">
              <w:rPr>
                <w:b/>
                <w:bCs/>
                <w:color w:val="000000"/>
              </w:rPr>
              <w:t xml:space="preserve">ktorou sa mení </w:t>
            </w:r>
            <w:r>
              <w:rPr>
                <w:b/>
                <w:bCs/>
                <w:color w:val="000000"/>
              </w:rPr>
              <w:t xml:space="preserve">príloha k </w:t>
            </w:r>
            <w:r w:rsidRPr="00103480">
              <w:rPr>
                <w:b/>
                <w:bCs/>
                <w:color w:val="000000"/>
              </w:rPr>
              <w:t>rámcové</w:t>
            </w:r>
            <w:r>
              <w:rPr>
                <w:b/>
                <w:bCs/>
                <w:color w:val="000000"/>
              </w:rPr>
              <w:t>mu</w:t>
            </w:r>
            <w:r w:rsidRPr="00103480">
              <w:rPr>
                <w:b/>
                <w:bCs/>
                <w:color w:val="000000"/>
              </w:rPr>
              <w:t xml:space="preserve"> rozhodnuti</w:t>
            </w:r>
            <w:r>
              <w:rPr>
                <w:b/>
                <w:bCs/>
                <w:color w:val="000000"/>
              </w:rPr>
              <w:t>u</w:t>
            </w:r>
            <w:r w:rsidRPr="00103480">
              <w:rPr>
                <w:b/>
                <w:bCs/>
                <w:color w:val="000000"/>
              </w:rPr>
              <w:t xml:space="preserve"> Rady 2004/757/SVV</w:t>
            </w:r>
            <w:r>
              <w:rPr>
                <w:b/>
                <w:bCs/>
                <w:color w:val="000000"/>
              </w:rPr>
              <w:t xml:space="preserve">, pokiaľ ide o </w:t>
            </w:r>
            <w:r w:rsidRPr="00103480">
              <w:rPr>
                <w:b/>
                <w:bCs/>
                <w:color w:val="000000"/>
              </w:rPr>
              <w:t>zahrn</w:t>
            </w:r>
            <w:r>
              <w:rPr>
                <w:b/>
                <w:bCs/>
                <w:color w:val="000000"/>
              </w:rPr>
              <w:t>utie</w:t>
            </w:r>
            <w:r w:rsidRPr="00103480">
              <w:rPr>
                <w:b/>
                <w:bCs/>
                <w:color w:val="000000"/>
              </w:rPr>
              <w:t xml:space="preserve"> nov</w:t>
            </w:r>
            <w:r>
              <w:rPr>
                <w:b/>
                <w:bCs/>
                <w:color w:val="000000"/>
              </w:rPr>
              <w:t>ých</w:t>
            </w:r>
            <w:r w:rsidRPr="00103480">
              <w:rPr>
                <w:b/>
                <w:bCs/>
                <w:color w:val="000000"/>
              </w:rPr>
              <w:t xml:space="preserve"> psychoaktívn</w:t>
            </w:r>
            <w:r>
              <w:rPr>
                <w:b/>
                <w:bCs/>
                <w:color w:val="000000"/>
              </w:rPr>
              <w:t>ych</w:t>
            </w:r>
            <w:r w:rsidRPr="00103480">
              <w:rPr>
                <w:b/>
                <w:bCs/>
                <w:color w:val="000000"/>
              </w:rPr>
              <w:t xml:space="preserve"> lát</w:t>
            </w:r>
            <w:r>
              <w:rPr>
                <w:b/>
                <w:bCs/>
                <w:color w:val="000000"/>
              </w:rPr>
              <w:t>o</w:t>
            </w:r>
            <w:r w:rsidRPr="00103480">
              <w:rPr>
                <w:b/>
                <w:bCs/>
                <w:color w:val="000000"/>
              </w:rPr>
              <w:t>k do vymedzenia pojmu drogy</w:t>
            </w:r>
          </w:p>
        </w:tc>
        <w:tc>
          <w:tcPr>
            <w:tcW w:w="7797" w:type="dxa"/>
            <w:gridSpan w:val="6"/>
          </w:tcPr>
          <w:p w:rsidR="0013535D" w:rsidRPr="00CC43DF" w:rsidRDefault="004979AF" w:rsidP="00CC43DF">
            <w:pPr>
              <w:pStyle w:val="Odsekzoznamu"/>
              <w:numPr>
                <w:ilvl w:val="0"/>
                <w:numId w:val="26"/>
              </w:numPr>
              <w:ind w:left="424" w:hanging="425"/>
              <w:jc w:val="left"/>
              <w:rPr>
                <w:b/>
                <w:bCs/>
              </w:rPr>
            </w:pPr>
            <w:r w:rsidRPr="00CC43DF">
              <w:rPr>
                <w:b/>
                <w:bCs/>
              </w:rPr>
              <w:t xml:space="preserve">Návrh </w:t>
            </w:r>
            <w:r w:rsidRPr="00CC43DF">
              <w:rPr>
                <w:b/>
              </w:rPr>
              <w:t>zákona, ktorým sa mení a dopĺňa zákon č. 139/1998 Z. z. o omamných látkach, psychotropných látkach a prípravkoch v znení neskorších predpisov</w:t>
            </w:r>
            <w:r w:rsidRPr="00CC43DF" w:rsidDel="0015396C">
              <w:rPr>
                <w:b/>
                <w:bCs/>
              </w:rPr>
              <w:t xml:space="preserve"> </w:t>
            </w:r>
          </w:p>
          <w:p w:rsidR="00466914" w:rsidRPr="00CC43DF" w:rsidRDefault="00466914" w:rsidP="00CC43DF">
            <w:pPr>
              <w:pStyle w:val="Odsekzoznamu"/>
              <w:numPr>
                <w:ilvl w:val="0"/>
                <w:numId w:val="26"/>
              </w:numPr>
              <w:ind w:left="424" w:hanging="424"/>
              <w:rPr>
                <w:b/>
                <w:bCs/>
              </w:rPr>
            </w:pPr>
            <w:r w:rsidRPr="00CC43DF">
              <w:rPr>
                <w:b/>
              </w:rPr>
              <w:t>Zákon č. 139/1998 Z. z. o omamných látkach, psychotropných látkach a prípravkoch v znení neskorších predpisov</w:t>
            </w:r>
            <w:r w:rsidRPr="00CC43DF" w:rsidDel="0015396C">
              <w:rPr>
                <w:b/>
                <w:bCs/>
              </w:rPr>
              <w:t xml:space="preserve"> </w:t>
            </w:r>
          </w:p>
          <w:p w:rsidR="00926D80" w:rsidRDefault="00D46A56" w:rsidP="00CC43DF">
            <w:pPr>
              <w:pStyle w:val="Odsekzoznamu"/>
              <w:numPr>
                <w:ilvl w:val="0"/>
                <w:numId w:val="26"/>
              </w:numPr>
              <w:ind w:left="430" w:hanging="430"/>
              <w:jc w:val="left"/>
              <w:rPr>
                <w:b/>
              </w:rPr>
            </w:pPr>
            <w:r>
              <w:rPr>
                <w:b/>
              </w:rPr>
              <w:t>Z</w:t>
            </w:r>
            <w:r w:rsidRPr="00CC43DF">
              <w:rPr>
                <w:b/>
              </w:rPr>
              <w:t>ákon č. 575/2001 Z. z. o organizácii činnosti vlády a organizácii ústrednej štátnej správy</w:t>
            </w:r>
          </w:p>
          <w:p w:rsidR="004C2C96" w:rsidRPr="00CC43DF" w:rsidRDefault="004C2C96" w:rsidP="00CC43DF">
            <w:pPr>
              <w:pStyle w:val="Odsekzoznamu"/>
              <w:numPr>
                <w:ilvl w:val="0"/>
                <w:numId w:val="26"/>
              </w:numPr>
              <w:ind w:left="430" w:hanging="430"/>
              <w:jc w:val="left"/>
              <w:rPr>
                <w:b/>
              </w:rPr>
            </w:pPr>
            <w:r>
              <w:rPr>
                <w:b/>
              </w:rPr>
              <w:t>Z</w:t>
            </w:r>
            <w:r w:rsidRPr="00134BE1">
              <w:rPr>
                <w:b/>
              </w:rPr>
              <w:t>ákon</w:t>
            </w:r>
            <w:r>
              <w:rPr>
                <w:b/>
              </w:rPr>
              <w:t xml:space="preserve"> č. 287/2018 Z. z.</w:t>
            </w:r>
            <w:r w:rsidRPr="00134BE1">
              <w:rPr>
                <w:b/>
              </w:rPr>
              <w:t>, ktorým sa mení a dopĺňa zákon č. 139/1998 Z. z. o omamných látkach, psychotropných látkach a prípravkoch v znení neskorších predpisov</w:t>
            </w:r>
          </w:p>
        </w:tc>
      </w:tr>
      <w:tr w:rsidR="0013535D" w:rsidTr="00780A28">
        <w:tc>
          <w:tcPr>
            <w:tcW w:w="921" w:type="dxa"/>
          </w:tcPr>
          <w:p w:rsidR="0013535D" w:rsidRDefault="0013535D">
            <w:pPr>
              <w:jc w:val="center"/>
            </w:pPr>
            <w:r>
              <w:t>1</w:t>
            </w:r>
          </w:p>
        </w:tc>
        <w:tc>
          <w:tcPr>
            <w:tcW w:w="4961" w:type="dxa"/>
          </w:tcPr>
          <w:p w:rsidR="0013535D" w:rsidRDefault="0013535D">
            <w:pPr>
              <w:jc w:val="center"/>
            </w:pPr>
            <w:r>
              <w:t>2</w:t>
            </w:r>
          </w:p>
        </w:tc>
        <w:tc>
          <w:tcPr>
            <w:tcW w:w="425" w:type="dxa"/>
          </w:tcPr>
          <w:p w:rsidR="0013535D" w:rsidRDefault="0013535D">
            <w:pPr>
              <w:jc w:val="center"/>
            </w:pPr>
            <w:r>
              <w:t>3</w:t>
            </w:r>
          </w:p>
        </w:tc>
        <w:tc>
          <w:tcPr>
            <w:tcW w:w="426" w:type="dxa"/>
          </w:tcPr>
          <w:p w:rsidR="0013535D" w:rsidRDefault="0013535D">
            <w:pPr>
              <w:jc w:val="center"/>
            </w:pPr>
            <w:r>
              <w:t>4</w:t>
            </w:r>
          </w:p>
        </w:tc>
        <w:tc>
          <w:tcPr>
            <w:tcW w:w="850" w:type="dxa"/>
          </w:tcPr>
          <w:p w:rsidR="0013535D" w:rsidRDefault="0013535D">
            <w:pPr>
              <w:jc w:val="center"/>
            </w:pPr>
            <w:r>
              <w:t>5</w:t>
            </w:r>
          </w:p>
        </w:tc>
        <w:tc>
          <w:tcPr>
            <w:tcW w:w="4536" w:type="dxa"/>
            <w:gridSpan w:val="2"/>
          </w:tcPr>
          <w:p w:rsidR="0013535D" w:rsidRDefault="0013535D">
            <w:pPr>
              <w:jc w:val="center"/>
            </w:pPr>
            <w:r>
              <w:t>6</w:t>
            </w:r>
          </w:p>
        </w:tc>
        <w:tc>
          <w:tcPr>
            <w:tcW w:w="776" w:type="dxa"/>
          </w:tcPr>
          <w:p w:rsidR="0013535D" w:rsidRDefault="0013535D">
            <w:pPr>
              <w:jc w:val="center"/>
            </w:pPr>
            <w:r>
              <w:t>7</w:t>
            </w:r>
          </w:p>
        </w:tc>
        <w:tc>
          <w:tcPr>
            <w:tcW w:w="1209" w:type="dxa"/>
          </w:tcPr>
          <w:p w:rsidR="0013535D" w:rsidRDefault="0013535D">
            <w:pPr>
              <w:jc w:val="center"/>
            </w:pPr>
            <w:r>
              <w:t>8</w:t>
            </w:r>
          </w:p>
        </w:tc>
      </w:tr>
      <w:tr w:rsidR="0013535D" w:rsidTr="00780A28">
        <w:tc>
          <w:tcPr>
            <w:tcW w:w="921" w:type="dxa"/>
          </w:tcPr>
          <w:p w:rsidR="0013535D" w:rsidRDefault="0013535D" w:rsidP="0013535D">
            <w:pPr>
              <w:jc w:val="center"/>
            </w:pPr>
            <w:r>
              <w:t>Článok</w:t>
            </w:r>
          </w:p>
          <w:p w:rsidR="0013535D" w:rsidRDefault="0013535D" w:rsidP="0013535D">
            <w:pPr>
              <w:jc w:val="center"/>
            </w:pPr>
            <w:r>
              <w:t>(Č, O,V,P)</w:t>
            </w:r>
          </w:p>
        </w:tc>
        <w:tc>
          <w:tcPr>
            <w:tcW w:w="4961" w:type="dxa"/>
          </w:tcPr>
          <w:p w:rsidR="0013535D" w:rsidRPr="00A83000" w:rsidRDefault="0013535D" w:rsidP="0013535D">
            <w:pPr>
              <w:jc w:val="center"/>
            </w:pPr>
            <w:r>
              <w:t>Text</w:t>
            </w:r>
          </w:p>
        </w:tc>
        <w:tc>
          <w:tcPr>
            <w:tcW w:w="425" w:type="dxa"/>
          </w:tcPr>
          <w:p w:rsidR="0013535D" w:rsidRDefault="0013535D" w:rsidP="0013535D">
            <w:pPr>
              <w:jc w:val="center"/>
            </w:pPr>
          </w:p>
        </w:tc>
        <w:tc>
          <w:tcPr>
            <w:tcW w:w="426" w:type="dxa"/>
          </w:tcPr>
          <w:p w:rsidR="0013535D" w:rsidRDefault="0013535D" w:rsidP="0013535D">
            <w:r>
              <w:t>Číslo</w:t>
            </w:r>
          </w:p>
        </w:tc>
        <w:tc>
          <w:tcPr>
            <w:tcW w:w="897" w:type="dxa"/>
            <w:gridSpan w:val="2"/>
          </w:tcPr>
          <w:p w:rsidR="0013535D" w:rsidRDefault="0013535D" w:rsidP="0013535D">
            <w:pPr>
              <w:jc w:val="center"/>
            </w:pPr>
            <w:r>
              <w:t>Článok</w:t>
            </w:r>
          </w:p>
          <w:p w:rsidR="0013535D" w:rsidRDefault="0013535D" w:rsidP="0013535D">
            <w:pPr>
              <w:jc w:val="center"/>
            </w:pPr>
            <w:r>
              <w:t>(Č, O,V,P)</w:t>
            </w:r>
          </w:p>
        </w:tc>
        <w:tc>
          <w:tcPr>
            <w:tcW w:w="4489" w:type="dxa"/>
          </w:tcPr>
          <w:p w:rsidR="0013535D" w:rsidRDefault="0013535D" w:rsidP="0013535D">
            <w:pPr>
              <w:autoSpaceDE w:val="0"/>
              <w:autoSpaceDN w:val="0"/>
              <w:adjustRightInd w:val="0"/>
              <w:jc w:val="center"/>
            </w:pPr>
            <w:r>
              <w:t>Text</w:t>
            </w:r>
          </w:p>
        </w:tc>
        <w:tc>
          <w:tcPr>
            <w:tcW w:w="776" w:type="dxa"/>
          </w:tcPr>
          <w:p w:rsidR="0013535D" w:rsidRDefault="0013535D" w:rsidP="0013535D">
            <w:pPr>
              <w:jc w:val="center"/>
            </w:pPr>
            <w:r>
              <w:t>Zhoda</w:t>
            </w:r>
          </w:p>
        </w:tc>
        <w:tc>
          <w:tcPr>
            <w:tcW w:w="1209" w:type="dxa"/>
          </w:tcPr>
          <w:p w:rsidR="0013535D" w:rsidRDefault="0013535D" w:rsidP="0013535D">
            <w:pPr>
              <w:jc w:val="center"/>
            </w:pPr>
            <w:r>
              <w:t>Poznámky</w:t>
            </w:r>
          </w:p>
        </w:tc>
      </w:tr>
      <w:tr w:rsidR="001C3EC4" w:rsidTr="00780A28">
        <w:tc>
          <w:tcPr>
            <w:tcW w:w="921" w:type="dxa"/>
          </w:tcPr>
          <w:p w:rsidR="001C3EC4" w:rsidRDefault="001C3EC4" w:rsidP="001C3EC4">
            <w:pPr>
              <w:jc w:val="center"/>
            </w:pPr>
            <w:r>
              <w:t>Čl.1</w:t>
            </w:r>
          </w:p>
          <w:p w:rsidR="001C3EC4" w:rsidRDefault="001C3EC4" w:rsidP="001C3EC4">
            <w:pPr>
              <w:jc w:val="center"/>
            </w:pPr>
          </w:p>
          <w:p w:rsidR="001C3EC4" w:rsidRDefault="001C3EC4" w:rsidP="001C3EC4">
            <w:pPr>
              <w:jc w:val="center"/>
            </w:pPr>
          </w:p>
          <w:p w:rsidR="001C3EC4" w:rsidRDefault="001C3EC4" w:rsidP="001C3EC4">
            <w:pPr>
              <w:jc w:val="center"/>
            </w:pPr>
          </w:p>
          <w:p w:rsidR="001C3EC4" w:rsidRDefault="001C3EC4" w:rsidP="001C3EC4">
            <w:pPr>
              <w:jc w:val="center"/>
            </w:pPr>
          </w:p>
          <w:p w:rsidR="000B0F17" w:rsidRDefault="000B0F17" w:rsidP="00AB657F">
            <w:pPr>
              <w:jc w:val="center"/>
            </w:pPr>
          </w:p>
          <w:p w:rsidR="000B0F17" w:rsidRDefault="000B0F17" w:rsidP="00AB657F">
            <w:pPr>
              <w:jc w:val="center"/>
            </w:pPr>
          </w:p>
          <w:p w:rsidR="001C3EC4" w:rsidRDefault="001C3EC4" w:rsidP="00AB657F">
            <w:pPr>
              <w:jc w:val="center"/>
            </w:pPr>
            <w:r>
              <w:t xml:space="preserve">O: </w:t>
            </w:r>
            <w:r w:rsidR="00AB657F">
              <w:t>1</w:t>
            </w:r>
          </w:p>
          <w:p w:rsidR="000B0F17" w:rsidRDefault="000B0F17" w:rsidP="00AB657F">
            <w:pPr>
              <w:jc w:val="center"/>
            </w:pPr>
            <w:r>
              <w:t>P:a)</w:t>
            </w:r>
          </w:p>
          <w:p w:rsidR="000B0F17" w:rsidRDefault="000B0F17" w:rsidP="00AB657F">
            <w:pPr>
              <w:jc w:val="center"/>
            </w:pPr>
            <w:r>
              <w:t>b: 1</w:t>
            </w:r>
          </w:p>
          <w:p w:rsidR="009B7351" w:rsidRDefault="009B7351" w:rsidP="00AB657F">
            <w:pPr>
              <w:jc w:val="center"/>
            </w:pPr>
          </w:p>
          <w:p w:rsidR="009B7351" w:rsidRDefault="009B7351" w:rsidP="00AB657F">
            <w:pPr>
              <w:jc w:val="center"/>
            </w:pPr>
          </w:p>
          <w:p w:rsidR="009B7351" w:rsidRDefault="009B7351" w:rsidP="00AB657F">
            <w:pPr>
              <w:jc w:val="center"/>
            </w:pPr>
          </w:p>
          <w:p w:rsidR="009B7351" w:rsidRDefault="009B7351" w:rsidP="00AB657F">
            <w:pPr>
              <w:jc w:val="center"/>
            </w:pPr>
          </w:p>
          <w:p w:rsidR="009B7351" w:rsidRDefault="009B7351" w:rsidP="00AB657F">
            <w:pPr>
              <w:jc w:val="center"/>
            </w:pPr>
          </w:p>
          <w:p w:rsidR="009B7351" w:rsidRDefault="009B7351" w:rsidP="00AB657F">
            <w:pPr>
              <w:jc w:val="center"/>
            </w:pPr>
          </w:p>
          <w:p w:rsidR="009B7351" w:rsidRDefault="009B7351" w:rsidP="00AB657F">
            <w:pPr>
              <w:jc w:val="center"/>
            </w:pPr>
          </w:p>
          <w:p w:rsidR="009B7351" w:rsidRDefault="009B7351"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A8163D" w:rsidRDefault="00A8163D"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2A1DC0" w:rsidRDefault="002A1DC0" w:rsidP="00AB657F">
            <w:pPr>
              <w:jc w:val="center"/>
            </w:pPr>
          </w:p>
          <w:p w:rsidR="002A1DC0" w:rsidRDefault="002A1DC0" w:rsidP="00AB657F">
            <w:pPr>
              <w:jc w:val="center"/>
            </w:pPr>
          </w:p>
          <w:p w:rsidR="002A1DC0" w:rsidRDefault="002A1DC0"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1127D3" w:rsidRDefault="001127D3" w:rsidP="00AB657F">
            <w:pPr>
              <w:jc w:val="center"/>
            </w:pPr>
          </w:p>
          <w:p w:rsidR="002A1DC0" w:rsidRDefault="002A1DC0" w:rsidP="00AB657F">
            <w:pPr>
              <w:jc w:val="center"/>
            </w:pPr>
          </w:p>
          <w:p w:rsidR="002A1DC0" w:rsidRDefault="002A1DC0" w:rsidP="00AB657F">
            <w:pPr>
              <w:jc w:val="center"/>
            </w:pPr>
          </w:p>
          <w:p w:rsidR="002A1DC0" w:rsidRDefault="002A1DC0"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D46A56" w:rsidRDefault="00D46A56" w:rsidP="00AB657F">
            <w:pPr>
              <w:jc w:val="center"/>
            </w:pPr>
          </w:p>
          <w:p w:rsidR="001127D3" w:rsidRDefault="001127D3" w:rsidP="00AB657F">
            <w:pPr>
              <w:jc w:val="center"/>
            </w:pPr>
          </w:p>
          <w:p w:rsidR="001127D3" w:rsidRDefault="001127D3" w:rsidP="00AB657F">
            <w:pPr>
              <w:jc w:val="center"/>
            </w:pPr>
          </w:p>
          <w:p w:rsidR="009B7351" w:rsidRDefault="009B7351" w:rsidP="00AB657F">
            <w:pPr>
              <w:jc w:val="center"/>
            </w:pPr>
            <w:r>
              <w:t>Č:1</w:t>
            </w:r>
          </w:p>
          <w:p w:rsidR="009B7351" w:rsidRDefault="009B7351" w:rsidP="009B7351">
            <w:pPr>
              <w:jc w:val="center"/>
            </w:pPr>
            <w:r>
              <w:t>O: 1</w:t>
            </w:r>
          </w:p>
          <w:p w:rsidR="009B7351" w:rsidRDefault="009B7351" w:rsidP="009B7351">
            <w:pPr>
              <w:jc w:val="center"/>
            </w:pPr>
            <w:r>
              <w:t>P:b)</w:t>
            </w:r>
          </w:p>
          <w:p w:rsidR="009B7351" w:rsidRDefault="009B7351" w:rsidP="009B7351">
            <w:pPr>
              <w:jc w:val="center"/>
            </w:pPr>
            <w:r>
              <w:t>b: 4</w:t>
            </w:r>
          </w:p>
          <w:p w:rsidR="009B7351" w:rsidRDefault="009B7351" w:rsidP="00AB657F">
            <w:pPr>
              <w:jc w:val="center"/>
            </w:pPr>
          </w:p>
        </w:tc>
        <w:tc>
          <w:tcPr>
            <w:tcW w:w="4961" w:type="dxa"/>
          </w:tcPr>
          <w:p w:rsidR="003D31A3" w:rsidRPr="00103480" w:rsidRDefault="003D31A3" w:rsidP="003D31A3">
            <w:pPr>
              <w:spacing w:before="360" w:after="120"/>
              <w:jc w:val="center"/>
              <w:rPr>
                <w:i/>
                <w:iCs/>
                <w:color w:val="000000"/>
              </w:rPr>
            </w:pPr>
            <w:r w:rsidRPr="00103480">
              <w:rPr>
                <w:i/>
                <w:iCs/>
                <w:color w:val="000000"/>
              </w:rPr>
              <w:lastRenderedPageBreak/>
              <w:t>Článok 1</w:t>
            </w:r>
          </w:p>
          <w:p w:rsidR="003D31A3" w:rsidRPr="00103480" w:rsidRDefault="003D31A3" w:rsidP="003D31A3">
            <w:pPr>
              <w:spacing w:before="60" w:after="120"/>
              <w:jc w:val="center"/>
              <w:rPr>
                <w:b/>
                <w:bCs/>
                <w:color w:val="000000"/>
              </w:rPr>
            </w:pPr>
            <w:r w:rsidRPr="00103480">
              <w:rPr>
                <w:b/>
                <w:bCs/>
                <w:color w:val="000000"/>
              </w:rPr>
              <w:t>Zmeny rámcového rozhodnutia 2004/757/SVV</w:t>
            </w:r>
          </w:p>
          <w:p w:rsidR="003D31A3" w:rsidRPr="00103480" w:rsidRDefault="003D31A3" w:rsidP="003D31A3">
            <w:pPr>
              <w:spacing w:before="120"/>
              <w:rPr>
                <w:color w:val="000000"/>
              </w:rPr>
            </w:pPr>
            <w:r w:rsidRPr="00103480">
              <w:rPr>
                <w:color w:val="000000"/>
              </w:rPr>
              <w:t>Rámcové rozhodnutie 2004/757/SVV sa mení takto:</w:t>
            </w: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D31A3" w:rsidRPr="00103480" w:rsidTr="003D31A3">
              <w:trPr>
                <w:tblCellSpacing w:w="0" w:type="dxa"/>
              </w:trPr>
              <w:tc>
                <w:tcPr>
                  <w:tcW w:w="180" w:type="dxa"/>
                  <w:hideMark/>
                </w:tcPr>
                <w:p w:rsidR="003D31A3" w:rsidRPr="00103480" w:rsidRDefault="003D31A3" w:rsidP="003D31A3">
                  <w:pPr>
                    <w:spacing w:before="120"/>
                    <w:rPr>
                      <w:color w:val="000000"/>
                    </w:rPr>
                  </w:pPr>
                  <w:r w:rsidRPr="00103480">
                    <w:rPr>
                      <w:color w:val="000000"/>
                    </w:rPr>
                    <w:t>1.</w:t>
                  </w:r>
                </w:p>
              </w:tc>
              <w:tc>
                <w:tcPr>
                  <w:tcW w:w="8892" w:type="dxa"/>
                  <w:hideMark/>
                </w:tcPr>
                <w:p w:rsidR="003D31A3" w:rsidRPr="00103480" w:rsidRDefault="003D31A3" w:rsidP="003D31A3">
                  <w:pPr>
                    <w:spacing w:before="120"/>
                    <w:rPr>
                      <w:color w:val="000000"/>
                    </w:rPr>
                  </w:pPr>
                  <w:r w:rsidRPr="00103480">
                    <w:rPr>
                      <w:color w:val="000000"/>
                    </w:rPr>
                    <w:t>Článok 1 sa mení takto:</w:t>
                  </w:r>
                </w:p>
                <w:tbl>
                  <w:tblPr>
                    <w:tblW w:w="5000" w:type="pct"/>
                    <w:tblCellSpacing w:w="0" w:type="dxa"/>
                    <w:tblLayout w:type="fixed"/>
                    <w:tblCellMar>
                      <w:left w:w="0" w:type="dxa"/>
                      <w:right w:w="0" w:type="dxa"/>
                    </w:tblCellMar>
                    <w:tblLook w:val="04A0" w:firstRow="1" w:lastRow="0" w:firstColumn="1" w:lastColumn="0" w:noHBand="0" w:noVBand="1"/>
                  </w:tblPr>
                  <w:tblGrid>
                    <w:gridCol w:w="108"/>
                    <w:gridCol w:w="4608"/>
                  </w:tblGrid>
                  <w:tr w:rsidR="003D31A3" w:rsidRPr="00103480" w:rsidTr="003D31A3">
                    <w:trPr>
                      <w:tblCellSpacing w:w="0" w:type="dxa"/>
                    </w:trPr>
                    <w:tc>
                      <w:tcPr>
                        <w:tcW w:w="187" w:type="dxa"/>
                        <w:hideMark/>
                      </w:tcPr>
                      <w:p w:rsidR="003D31A3" w:rsidRPr="00103480" w:rsidRDefault="003D31A3">
                        <w:pPr>
                          <w:spacing w:before="120"/>
                          <w:rPr>
                            <w:color w:val="000000"/>
                          </w:rPr>
                        </w:pPr>
                        <w:r w:rsidRPr="00103480">
                          <w:rPr>
                            <w:color w:val="000000"/>
                          </w:rPr>
                          <w:t>a</w:t>
                        </w:r>
                      </w:p>
                    </w:tc>
                    <w:tc>
                      <w:tcPr>
                        <w:tcW w:w="8705" w:type="dxa"/>
                        <w:hideMark/>
                      </w:tcPr>
                      <w:p w:rsidR="003D31A3" w:rsidRPr="00103480" w:rsidRDefault="003D31A3" w:rsidP="003D31A3">
                        <w:pPr>
                          <w:spacing w:before="120"/>
                          <w:rPr>
                            <w:color w:val="000000"/>
                          </w:rPr>
                        </w:pPr>
                        <w:r>
                          <w:rPr>
                            <w:color w:val="000000"/>
                          </w:rPr>
                          <w:t xml:space="preserve"> </w:t>
                        </w:r>
                        <w:r w:rsidRPr="00103480">
                          <w:rPr>
                            <w:color w:val="000000"/>
                          </w:rPr>
                          <w:t>Bod 1 sa nahrádza takto:</w:t>
                        </w:r>
                      </w:p>
                      <w:tbl>
                        <w:tblPr>
                          <w:tblW w:w="5000" w:type="pct"/>
                          <w:tblCellSpacing w:w="0" w:type="dxa"/>
                          <w:tblLayout w:type="fixed"/>
                          <w:tblCellMar>
                            <w:left w:w="0" w:type="dxa"/>
                            <w:right w:w="0" w:type="dxa"/>
                          </w:tblCellMar>
                          <w:tblLook w:val="04A0" w:firstRow="1" w:lastRow="0" w:firstColumn="1" w:lastColumn="0" w:noHBand="0" w:noVBand="1"/>
                        </w:tblPr>
                        <w:tblGrid>
                          <w:gridCol w:w="161"/>
                          <w:gridCol w:w="4447"/>
                        </w:tblGrid>
                        <w:tr w:rsidR="003D31A3" w:rsidRPr="00103480" w:rsidTr="003D31A3">
                          <w:trPr>
                            <w:tblCellSpacing w:w="0" w:type="dxa"/>
                          </w:trPr>
                          <w:tc>
                            <w:tcPr>
                              <w:tcW w:w="287" w:type="dxa"/>
                              <w:hideMark/>
                            </w:tcPr>
                            <w:p w:rsidR="003D31A3" w:rsidRPr="00103480" w:rsidRDefault="003D31A3">
                              <w:pPr>
                                <w:spacing w:before="120"/>
                                <w:rPr>
                                  <w:color w:val="000000"/>
                                </w:rPr>
                              </w:pPr>
                              <w:r w:rsidRPr="00103480">
                                <w:rPr>
                                  <w:color w:val="000000"/>
                                </w:rPr>
                                <w:t>„</w:t>
                              </w:r>
                            </w:p>
                          </w:tc>
                          <w:tc>
                            <w:tcPr>
                              <w:tcW w:w="8418" w:type="dxa"/>
                              <w:hideMark/>
                            </w:tcPr>
                            <w:p w:rsidR="003D31A3" w:rsidRPr="00103480" w:rsidRDefault="003D31A3" w:rsidP="003D31A3">
                              <w:pPr>
                                <w:spacing w:before="120"/>
                                <w:rPr>
                                  <w:color w:val="000000"/>
                                </w:rPr>
                              </w:pPr>
                              <w:r w:rsidRPr="00103480">
                                <w:rPr>
                                  <w:color w:val="000000"/>
                                </w:rPr>
                                <w:t>‚drogy‘ sú ktorékoľvek z týchto látok:</w:t>
                              </w:r>
                            </w:p>
                            <w:tbl>
                              <w:tblPr>
                                <w:tblW w:w="5000" w:type="pct"/>
                                <w:tblCellSpacing w:w="0" w:type="dxa"/>
                                <w:tblLayout w:type="fixed"/>
                                <w:tblCellMar>
                                  <w:left w:w="0" w:type="dxa"/>
                                  <w:right w:w="0" w:type="dxa"/>
                                </w:tblCellMar>
                                <w:tblLook w:val="04A0" w:firstRow="1" w:lastRow="0" w:firstColumn="1" w:lastColumn="0" w:noHBand="0" w:noVBand="1"/>
                              </w:tblPr>
                              <w:tblGrid>
                                <w:gridCol w:w="108"/>
                                <w:gridCol w:w="4339"/>
                              </w:tblGrid>
                              <w:tr w:rsidR="003D31A3" w:rsidRPr="00103480" w:rsidTr="003D31A3">
                                <w:trPr>
                                  <w:tblCellSpacing w:w="0" w:type="dxa"/>
                                </w:trPr>
                                <w:tc>
                                  <w:tcPr>
                                    <w:tcW w:w="187" w:type="dxa"/>
                                    <w:hideMark/>
                                  </w:tcPr>
                                  <w:p w:rsidR="003D31A3" w:rsidRPr="00103480" w:rsidRDefault="003D31A3">
                                    <w:pPr>
                                      <w:spacing w:before="120"/>
                                      <w:rPr>
                                        <w:color w:val="000000"/>
                                      </w:rPr>
                                    </w:pPr>
                                    <w:r w:rsidRPr="00103480">
                                      <w:rPr>
                                        <w:color w:val="000000"/>
                                      </w:rPr>
                                      <w:lastRenderedPageBreak/>
                                      <w:t>a</w:t>
                                    </w:r>
                                  </w:p>
                                </w:tc>
                                <w:tc>
                                  <w:tcPr>
                                    <w:tcW w:w="8231" w:type="dxa"/>
                                    <w:hideMark/>
                                  </w:tcPr>
                                  <w:p w:rsidR="003D31A3" w:rsidRDefault="00F47793" w:rsidP="003D31A3">
                                    <w:pPr>
                                      <w:spacing w:before="120"/>
                                      <w:rPr>
                                        <w:color w:val="000000"/>
                                      </w:rPr>
                                    </w:pPr>
                                    <w:r>
                                      <w:rPr>
                                        <w:color w:val="000000"/>
                                      </w:rPr>
                                      <w:t>)</w:t>
                                    </w:r>
                                    <w:r w:rsidR="001E4BDE">
                                      <w:rPr>
                                        <w:color w:val="000000"/>
                                      </w:rPr>
                                      <w:t xml:space="preserve"> </w:t>
                                    </w:r>
                                    <w:r w:rsidR="003D31A3" w:rsidRPr="00103480">
                                      <w:rPr>
                                        <w:color w:val="000000"/>
                                      </w:rPr>
                                      <w:t>látka, na ktorú sa vzťahuje Jednotný dohovor OSN o omamných látkach z roku 1961 zmenený protokolom z roku 1972 alebo Dohovor OSN o psychotropných látkach z roku 1971;</w:t>
                                    </w: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F47793" w:rsidRDefault="00F47793" w:rsidP="003D31A3">
                                    <w:pPr>
                                      <w:spacing w:before="120"/>
                                      <w:rPr>
                                        <w:color w:val="000000"/>
                                      </w:rPr>
                                    </w:pPr>
                                  </w:p>
                                  <w:p w:rsidR="00A8163D" w:rsidRPr="00103480" w:rsidRDefault="00A8163D" w:rsidP="003D31A3">
                                    <w:pPr>
                                      <w:spacing w:before="120"/>
                                      <w:rPr>
                                        <w:color w:val="000000"/>
                                      </w:rPr>
                                    </w:pPr>
                                  </w:p>
                                </w:tc>
                              </w:tr>
                            </w:tbl>
                            <w:p w:rsidR="003D31A3" w:rsidRPr="00103480" w:rsidRDefault="003D31A3" w:rsidP="003D31A3">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81"/>
                                <w:gridCol w:w="4266"/>
                              </w:tblGrid>
                              <w:tr w:rsidR="003D31A3" w:rsidRPr="00103480" w:rsidTr="003D31A3">
                                <w:trPr>
                                  <w:tblCellSpacing w:w="0" w:type="dxa"/>
                                </w:trPr>
                                <w:tc>
                                  <w:tcPr>
                                    <w:tcW w:w="326" w:type="dxa"/>
                                    <w:hideMark/>
                                  </w:tcPr>
                                  <w:p w:rsidR="003D31A3" w:rsidRPr="00103480" w:rsidRDefault="003D31A3">
                                    <w:pPr>
                                      <w:spacing w:before="120"/>
                                      <w:rPr>
                                        <w:color w:val="000000"/>
                                      </w:rPr>
                                    </w:pPr>
                                    <w:r w:rsidRPr="00103480">
                                      <w:rPr>
                                        <w:color w:val="000000"/>
                                      </w:rPr>
                                      <w:t>b</w:t>
                                    </w:r>
                                  </w:p>
                                </w:tc>
                                <w:tc>
                                  <w:tcPr>
                                    <w:tcW w:w="8092" w:type="dxa"/>
                                    <w:hideMark/>
                                  </w:tcPr>
                                  <w:p w:rsidR="003D31A3" w:rsidRDefault="003D31A3" w:rsidP="003D31A3">
                                    <w:pPr>
                                      <w:spacing w:before="120"/>
                                      <w:rPr>
                                        <w:color w:val="000000"/>
                                      </w:rPr>
                                    </w:pPr>
                                    <w:r w:rsidRPr="00103480">
                                      <w:rPr>
                                        <w:color w:val="000000"/>
                                      </w:rPr>
                                      <w:t>ktorákoľvek spome</w:t>
                                    </w:r>
                                    <w:r w:rsidR="001127D3">
                                      <w:rPr>
                                        <w:color w:val="000000"/>
                                      </w:rPr>
                                      <w:t>dzi látok uvedených v prílohe;</w:t>
                                    </w:r>
                                  </w:p>
                                  <w:p w:rsidR="001127D3" w:rsidRDefault="001127D3" w:rsidP="003D31A3">
                                    <w:pPr>
                                      <w:spacing w:before="120"/>
                                      <w:rPr>
                                        <w:color w:val="000000"/>
                                      </w:rPr>
                                    </w:pPr>
                                  </w:p>
                                  <w:p w:rsidR="001127D3" w:rsidRDefault="001127D3" w:rsidP="003D31A3">
                                    <w:pPr>
                                      <w:spacing w:before="120"/>
                                      <w:rPr>
                                        <w:color w:val="000000"/>
                                      </w:rPr>
                                    </w:pPr>
                                  </w:p>
                                  <w:p w:rsidR="001127D3" w:rsidRDefault="001127D3" w:rsidP="003D31A3">
                                    <w:pPr>
                                      <w:spacing w:before="120"/>
                                      <w:rPr>
                                        <w:color w:val="000000"/>
                                      </w:rPr>
                                    </w:pPr>
                                  </w:p>
                                  <w:p w:rsidR="001127D3" w:rsidRDefault="001127D3" w:rsidP="003D31A3">
                                    <w:pPr>
                                      <w:spacing w:before="120"/>
                                      <w:rPr>
                                        <w:color w:val="000000"/>
                                      </w:rPr>
                                    </w:pPr>
                                  </w:p>
                                  <w:p w:rsidR="001127D3" w:rsidRDefault="001127D3" w:rsidP="003D31A3">
                                    <w:pPr>
                                      <w:spacing w:before="120"/>
                                      <w:rPr>
                                        <w:color w:val="000000"/>
                                      </w:rPr>
                                    </w:pPr>
                                  </w:p>
                                  <w:p w:rsidR="001127D3" w:rsidRDefault="001127D3"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Pr="00103480" w:rsidRDefault="002A1DC0" w:rsidP="003D31A3">
                                    <w:pPr>
                                      <w:spacing w:before="120"/>
                                      <w:rPr>
                                        <w:color w:val="000000"/>
                                      </w:rPr>
                                    </w:pPr>
                                  </w:p>
                                </w:tc>
                              </w:tr>
                            </w:tbl>
                            <w:p w:rsidR="003D31A3" w:rsidRPr="00103480" w:rsidRDefault="003D31A3" w:rsidP="003D31A3">
                              <w:pPr>
                                <w:rPr>
                                  <w:color w:val="000000"/>
                                </w:rPr>
                              </w:pPr>
                            </w:p>
                          </w:tc>
                        </w:tr>
                      </w:tbl>
                      <w:p w:rsidR="003D31A3" w:rsidRPr="00103480" w:rsidRDefault="003D31A3" w:rsidP="003D31A3">
                        <w:pPr>
                          <w:rPr>
                            <w:color w:val="000000"/>
                          </w:rPr>
                        </w:pPr>
                      </w:p>
                    </w:tc>
                  </w:tr>
                </w:tbl>
                <w:p w:rsidR="003D31A3" w:rsidRPr="00103480" w:rsidRDefault="003D31A3" w:rsidP="003D31A3">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15"/>
                    <w:gridCol w:w="4601"/>
                  </w:tblGrid>
                  <w:tr w:rsidR="003D31A3" w:rsidRPr="00103480" w:rsidTr="003D31A3">
                    <w:trPr>
                      <w:tblCellSpacing w:w="0" w:type="dxa"/>
                    </w:trPr>
                    <w:tc>
                      <w:tcPr>
                        <w:tcW w:w="200" w:type="dxa"/>
                        <w:hideMark/>
                      </w:tcPr>
                      <w:p w:rsidR="003D31A3" w:rsidRPr="00103480" w:rsidRDefault="003D31A3">
                        <w:pPr>
                          <w:spacing w:before="120"/>
                          <w:rPr>
                            <w:color w:val="000000"/>
                          </w:rPr>
                        </w:pPr>
                        <w:r w:rsidRPr="00103480">
                          <w:rPr>
                            <w:color w:val="000000"/>
                          </w:rPr>
                          <w:t>b</w:t>
                        </w:r>
                      </w:p>
                    </w:tc>
                    <w:tc>
                      <w:tcPr>
                        <w:tcW w:w="8692" w:type="dxa"/>
                        <w:hideMark/>
                      </w:tcPr>
                      <w:p w:rsidR="003D31A3" w:rsidRPr="00103480" w:rsidRDefault="001127D3" w:rsidP="003D31A3">
                        <w:pPr>
                          <w:spacing w:before="120"/>
                          <w:rPr>
                            <w:color w:val="000000"/>
                          </w:rPr>
                        </w:pPr>
                        <w:r>
                          <w:rPr>
                            <w:color w:val="000000"/>
                          </w:rPr>
                          <w:t xml:space="preserve">) </w:t>
                        </w:r>
                        <w:r w:rsidR="003D31A3" w:rsidRPr="00103480">
                          <w:rPr>
                            <w:color w:val="000000"/>
                          </w:rPr>
                          <w:t>dopĺňajú sa tieto body:</w:t>
                        </w:r>
                      </w:p>
                      <w:tbl>
                        <w:tblPr>
                          <w:tblW w:w="5000" w:type="pct"/>
                          <w:tblCellSpacing w:w="0" w:type="dxa"/>
                          <w:tblLayout w:type="fixed"/>
                          <w:tblCellMar>
                            <w:left w:w="0" w:type="dxa"/>
                            <w:right w:w="0" w:type="dxa"/>
                          </w:tblCellMar>
                          <w:tblLook w:val="04A0" w:firstRow="1" w:lastRow="0" w:firstColumn="1" w:lastColumn="0" w:noHBand="0" w:noVBand="1"/>
                        </w:tblPr>
                        <w:tblGrid>
                          <w:gridCol w:w="161"/>
                          <w:gridCol w:w="4440"/>
                        </w:tblGrid>
                        <w:tr w:rsidR="003D31A3" w:rsidRPr="00103480" w:rsidTr="003D31A3">
                          <w:trPr>
                            <w:tblCellSpacing w:w="0" w:type="dxa"/>
                          </w:trPr>
                          <w:tc>
                            <w:tcPr>
                              <w:tcW w:w="287" w:type="dxa"/>
                              <w:hideMark/>
                            </w:tcPr>
                            <w:p w:rsidR="003D31A3" w:rsidRPr="00103480" w:rsidRDefault="003D31A3">
                              <w:pPr>
                                <w:spacing w:before="120"/>
                                <w:rPr>
                                  <w:color w:val="000000"/>
                                </w:rPr>
                              </w:pPr>
                              <w:r w:rsidRPr="00103480">
                                <w:rPr>
                                  <w:color w:val="000000"/>
                                </w:rPr>
                                <w:t>„</w:t>
                              </w:r>
                            </w:p>
                          </w:tc>
                          <w:tc>
                            <w:tcPr>
                              <w:tcW w:w="8405" w:type="dxa"/>
                              <w:hideMark/>
                            </w:tcPr>
                            <w:p w:rsidR="003D31A3" w:rsidRDefault="003D31A3" w:rsidP="003D31A3">
                              <w:pPr>
                                <w:spacing w:before="120"/>
                                <w:rPr>
                                  <w:color w:val="000000"/>
                                </w:rPr>
                              </w:pPr>
                              <w:r w:rsidRPr="00103480">
                                <w:rPr>
                                  <w:color w:val="000000"/>
                                </w:rPr>
                                <w:t>‚nová psychoaktívna látka‘ je látka v čistej forme alebo v prípravku, na ktorú sa nevzťahuje Jednotný dohovor OSN o omamných látkach z roku 1961 zmenený protokolom z roku 1972 ani Dohovor OSN o psychotropných látkach z roku 1971, ktorá však môže predstavovať porovnateľné zdravotné alebo spoločenské riziká, aké predstavujú látky, na ktoré sa vzťahujú uvedené dohovory;</w:t>
                              </w: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Default="002A1DC0" w:rsidP="003D31A3">
                              <w:pPr>
                                <w:spacing w:before="120"/>
                                <w:rPr>
                                  <w:color w:val="000000"/>
                                </w:rPr>
                              </w:pPr>
                            </w:p>
                            <w:p w:rsidR="002A1DC0" w:rsidRPr="00103480" w:rsidRDefault="002A1DC0" w:rsidP="003D31A3">
                              <w:pPr>
                                <w:spacing w:before="120"/>
                                <w:rPr>
                                  <w:color w:val="000000"/>
                                </w:rPr>
                              </w:pPr>
                            </w:p>
                          </w:tc>
                        </w:tr>
                      </w:tbl>
                      <w:p w:rsidR="003D31A3" w:rsidRPr="00103480" w:rsidRDefault="003D31A3" w:rsidP="003D31A3">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15"/>
                          <w:gridCol w:w="4486"/>
                        </w:tblGrid>
                        <w:tr w:rsidR="003D31A3" w:rsidRPr="00103480" w:rsidTr="003D31A3">
                          <w:trPr>
                            <w:tblCellSpacing w:w="0" w:type="dxa"/>
                          </w:trPr>
                          <w:tc>
                            <w:tcPr>
                              <w:tcW w:w="200" w:type="dxa"/>
                              <w:hideMark/>
                            </w:tcPr>
                            <w:p w:rsidR="003D31A3" w:rsidRPr="00103480" w:rsidRDefault="003D31A3" w:rsidP="003D31A3">
                              <w:pPr>
                                <w:spacing w:before="120"/>
                                <w:rPr>
                                  <w:color w:val="000000"/>
                                </w:rPr>
                              </w:pPr>
                              <w:r w:rsidRPr="00103480">
                                <w:rPr>
                                  <w:color w:val="000000"/>
                                </w:rPr>
                                <w:t>5.</w:t>
                              </w:r>
                            </w:p>
                          </w:tc>
                          <w:tc>
                            <w:tcPr>
                              <w:tcW w:w="8492" w:type="dxa"/>
                              <w:hideMark/>
                            </w:tcPr>
                            <w:p w:rsidR="003D31A3" w:rsidRPr="00103480" w:rsidRDefault="003D31A3" w:rsidP="003D31A3">
                              <w:pPr>
                                <w:spacing w:before="120"/>
                                <w:rPr>
                                  <w:color w:val="000000"/>
                                </w:rPr>
                              </w:pPr>
                              <w:r w:rsidRPr="00103480">
                                <w:rPr>
                                  <w:color w:val="000000"/>
                                </w:rPr>
                                <w:t>‚prípravok‘ je zmes obsahujúca jednu alebo viaceré nové psychoaktívne látky.“</w:t>
                              </w:r>
                            </w:p>
                          </w:tc>
                        </w:tr>
                      </w:tbl>
                      <w:p w:rsidR="003D31A3" w:rsidRPr="00103480" w:rsidRDefault="003D31A3" w:rsidP="003D31A3">
                        <w:pPr>
                          <w:rPr>
                            <w:color w:val="000000"/>
                          </w:rPr>
                        </w:pPr>
                      </w:p>
                    </w:tc>
                  </w:tr>
                </w:tbl>
                <w:p w:rsidR="003D31A3" w:rsidRPr="00103480" w:rsidRDefault="003D31A3" w:rsidP="003D31A3">
                  <w:pPr>
                    <w:rPr>
                      <w:color w:val="000000"/>
                    </w:rPr>
                  </w:pPr>
                </w:p>
              </w:tc>
            </w:tr>
          </w:tbl>
          <w:p w:rsidR="001C3EC4" w:rsidRPr="001C3EC4" w:rsidRDefault="001C3EC4" w:rsidP="00E60C66">
            <w:pPr>
              <w:spacing w:before="120"/>
            </w:pPr>
          </w:p>
        </w:tc>
        <w:tc>
          <w:tcPr>
            <w:tcW w:w="425" w:type="dxa"/>
          </w:tcPr>
          <w:p w:rsidR="006413DE" w:rsidRDefault="006413DE" w:rsidP="001C3EC4">
            <w:pPr>
              <w:jc w:val="center"/>
            </w:pPr>
          </w:p>
          <w:p w:rsidR="006413DE" w:rsidRDefault="006413DE" w:rsidP="001C3EC4">
            <w:pPr>
              <w:jc w:val="center"/>
            </w:pPr>
          </w:p>
          <w:p w:rsidR="006413DE" w:rsidRDefault="006413DE" w:rsidP="001C3EC4">
            <w:pPr>
              <w:jc w:val="center"/>
            </w:pPr>
          </w:p>
          <w:p w:rsidR="006413DE" w:rsidRDefault="006413DE"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EF6C49" w:rsidRDefault="00EF6C49" w:rsidP="001C3EC4">
            <w:pPr>
              <w:jc w:val="center"/>
            </w:pPr>
          </w:p>
          <w:p w:rsidR="00EF6C49" w:rsidRDefault="002A1DC0" w:rsidP="001C3EC4">
            <w:pPr>
              <w:jc w:val="center"/>
            </w:pPr>
            <w:r>
              <w:t>N</w:t>
            </w: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EF6C49" w:rsidRDefault="00EF6C49" w:rsidP="001C3EC4">
            <w:pPr>
              <w:jc w:val="center"/>
            </w:pPr>
          </w:p>
          <w:p w:rsidR="001C3EC4" w:rsidRDefault="00AF7B03" w:rsidP="001C3EC4">
            <w:pPr>
              <w:jc w:val="center"/>
            </w:pPr>
            <w:r>
              <w:t>N</w:t>
            </w: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r>
              <w:t>N</w:t>
            </w: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r>
              <w:t>N</w:t>
            </w: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tc>
        <w:tc>
          <w:tcPr>
            <w:tcW w:w="426" w:type="dxa"/>
          </w:tcPr>
          <w:p w:rsidR="001C3EC4" w:rsidRDefault="001C3EC4" w:rsidP="001C3EC4"/>
        </w:tc>
        <w:tc>
          <w:tcPr>
            <w:tcW w:w="897" w:type="dxa"/>
            <w:gridSpan w:val="2"/>
          </w:tcPr>
          <w:p w:rsidR="00F47793" w:rsidRDefault="00F47793" w:rsidP="001C3EC4">
            <w:pPr>
              <w:jc w:val="center"/>
            </w:pPr>
          </w:p>
          <w:p w:rsidR="00EF6C49" w:rsidRDefault="00F47793" w:rsidP="001C3EC4">
            <w:pPr>
              <w:jc w:val="center"/>
            </w:pPr>
            <w:r>
              <w:t>I</w:t>
            </w:r>
            <w:r w:rsidR="00466914">
              <w:t>I</w:t>
            </w:r>
          </w:p>
          <w:p w:rsidR="00A8163D" w:rsidRDefault="00A8163D" w:rsidP="001C3EC4">
            <w:pPr>
              <w:jc w:val="center"/>
            </w:pPr>
            <w:r>
              <w:t xml:space="preserve">§ </w:t>
            </w:r>
            <w:r w:rsidR="00CF668C">
              <w:t>2</w:t>
            </w:r>
          </w:p>
          <w:p w:rsidR="00A8163D" w:rsidRDefault="00A8163D" w:rsidP="001C3EC4">
            <w:pPr>
              <w:jc w:val="center"/>
            </w:pPr>
          </w:p>
          <w:p w:rsidR="00A8163D" w:rsidRDefault="00A8163D" w:rsidP="001C3EC4">
            <w:pPr>
              <w:jc w:val="center"/>
            </w:pPr>
            <w:r>
              <w:t xml:space="preserve">O: </w:t>
            </w:r>
            <w:r w:rsidR="00F47793">
              <w:t>1</w:t>
            </w:r>
          </w:p>
          <w:p w:rsidR="00EF6C49" w:rsidRDefault="00EF6C49" w:rsidP="001C3EC4">
            <w:pPr>
              <w:jc w:val="center"/>
            </w:pPr>
          </w:p>
          <w:p w:rsidR="00EF6C49" w:rsidRDefault="00EF6C49" w:rsidP="001C3EC4">
            <w:pPr>
              <w:jc w:val="center"/>
            </w:pPr>
          </w:p>
          <w:p w:rsidR="00EF6C49" w:rsidRDefault="00EF6C49" w:rsidP="001C3EC4">
            <w:pPr>
              <w:jc w:val="center"/>
            </w:pPr>
          </w:p>
          <w:p w:rsidR="00EF6C49" w:rsidRPr="00CC43DF" w:rsidRDefault="00F47793" w:rsidP="001C3EC4">
            <w:pPr>
              <w:jc w:val="center"/>
              <w:rPr>
                <w:b/>
              </w:rPr>
            </w:pPr>
            <w:r>
              <w:rPr>
                <w:b/>
              </w:rPr>
              <w:t>I</w:t>
            </w:r>
          </w:p>
          <w:p w:rsidR="00EF6C49" w:rsidRDefault="00EF6C49"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F47793">
            <w:pPr>
              <w:jc w:val="center"/>
            </w:pPr>
            <w:r>
              <w:t>II</w:t>
            </w:r>
          </w:p>
          <w:p w:rsidR="00F47793" w:rsidRDefault="00F47793" w:rsidP="00F47793">
            <w:pPr>
              <w:jc w:val="center"/>
            </w:pPr>
            <w:r>
              <w:t>§ 2</w:t>
            </w:r>
          </w:p>
          <w:p w:rsidR="00F47793" w:rsidRDefault="00F47793" w:rsidP="00F47793">
            <w:pPr>
              <w:jc w:val="center"/>
            </w:pPr>
            <w:r>
              <w:t>O: 2</w:t>
            </w:r>
          </w:p>
          <w:p w:rsidR="00F47793" w:rsidRDefault="00F47793" w:rsidP="00F47793">
            <w:pPr>
              <w:jc w:val="center"/>
            </w:pPr>
          </w:p>
          <w:p w:rsidR="00F47793" w:rsidRDefault="00F47793" w:rsidP="00F47793">
            <w:pPr>
              <w:jc w:val="center"/>
            </w:pPr>
          </w:p>
          <w:p w:rsidR="00F47793" w:rsidRDefault="00F47793" w:rsidP="00F47793">
            <w:pPr>
              <w:jc w:val="center"/>
            </w:pPr>
          </w:p>
          <w:p w:rsidR="00F47793" w:rsidRPr="00353151" w:rsidRDefault="00F47793" w:rsidP="00F47793">
            <w:pPr>
              <w:jc w:val="center"/>
              <w:rPr>
                <w:b/>
              </w:rPr>
            </w:pPr>
            <w:r>
              <w:rPr>
                <w:b/>
              </w:rPr>
              <w:t>I</w:t>
            </w:r>
          </w:p>
          <w:p w:rsidR="00F47793" w:rsidRDefault="00F47793" w:rsidP="00F47793">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r>
              <w:t>§ 3</w:t>
            </w: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r>
              <w:t>O: 1</w:t>
            </w: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CF668C" w:rsidRDefault="00CF668C"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r>
              <w:t>§ 2</w:t>
            </w:r>
          </w:p>
          <w:p w:rsidR="005531C5" w:rsidRDefault="005531C5" w:rsidP="001C3EC4">
            <w:pPr>
              <w:jc w:val="center"/>
            </w:pPr>
            <w:r>
              <w:t>O: 3</w:t>
            </w: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1C3EC4">
            <w:pPr>
              <w:jc w:val="center"/>
            </w:pPr>
          </w:p>
          <w:p w:rsidR="002A1DC0" w:rsidRDefault="002A1DC0" w:rsidP="002A1DC0">
            <w:pPr>
              <w:jc w:val="center"/>
            </w:pPr>
            <w:r>
              <w:t>§ 2</w:t>
            </w:r>
          </w:p>
          <w:p w:rsidR="002A1DC0" w:rsidRDefault="002A1DC0" w:rsidP="002A1DC0">
            <w:pPr>
              <w:jc w:val="center"/>
            </w:pPr>
            <w:r>
              <w:t>O: 4</w:t>
            </w:r>
          </w:p>
          <w:p w:rsidR="002A1DC0" w:rsidRDefault="002A1DC0" w:rsidP="001C3EC4">
            <w:pPr>
              <w:jc w:val="center"/>
            </w:pPr>
          </w:p>
          <w:p w:rsidR="002A1DC0" w:rsidRDefault="002A1DC0" w:rsidP="001C3EC4">
            <w:pPr>
              <w:jc w:val="center"/>
            </w:pPr>
          </w:p>
          <w:p w:rsidR="005531C5" w:rsidRDefault="005531C5" w:rsidP="001C3EC4">
            <w:pPr>
              <w:jc w:val="center"/>
            </w:pPr>
          </w:p>
          <w:p w:rsidR="00CF668C" w:rsidRDefault="00CF668C" w:rsidP="001C3EC4">
            <w:pPr>
              <w:jc w:val="center"/>
            </w:pPr>
          </w:p>
          <w:p w:rsidR="00CF668C" w:rsidRDefault="00CF668C" w:rsidP="001C3EC4">
            <w:pPr>
              <w:jc w:val="center"/>
            </w:pPr>
          </w:p>
        </w:tc>
        <w:tc>
          <w:tcPr>
            <w:tcW w:w="4489" w:type="dxa"/>
          </w:tcPr>
          <w:p w:rsidR="00EF6C49" w:rsidRDefault="00EF6C49">
            <w:pPr>
              <w:pStyle w:val="Odsekzoznamu"/>
              <w:ind w:left="0"/>
              <w:jc w:val="left"/>
            </w:pPr>
          </w:p>
          <w:p w:rsidR="00A8163D" w:rsidRDefault="00A8163D">
            <w:pPr>
              <w:pStyle w:val="Odsekzoznamu"/>
              <w:ind w:left="0"/>
              <w:jc w:val="center"/>
            </w:pPr>
            <w:r>
              <w:t xml:space="preserve">§ </w:t>
            </w:r>
            <w:r w:rsidR="00CF668C">
              <w:t>2</w:t>
            </w:r>
          </w:p>
          <w:p w:rsidR="00CF668C" w:rsidRDefault="00CF668C">
            <w:pPr>
              <w:pStyle w:val="Odsekzoznamu"/>
              <w:ind w:left="0"/>
              <w:jc w:val="center"/>
            </w:pPr>
            <w:r w:rsidRPr="00CF668C">
              <w:t>Základné pojmy</w:t>
            </w:r>
          </w:p>
          <w:p w:rsidR="00944AA1" w:rsidRDefault="00944AA1" w:rsidP="00CC43DF">
            <w:pPr>
              <w:pStyle w:val="Odsekzoznamu"/>
              <w:ind w:left="0"/>
              <w:jc w:val="left"/>
            </w:pPr>
          </w:p>
          <w:p w:rsidR="00A8163D" w:rsidRDefault="00944AA1" w:rsidP="00CC43DF">
            <w:pPr>
              <w:pStyle w:val="Odsekzoznamu"/>
              <w:ind w:left="0"/>
              <w:jc w:val="left"/>
            </w:pPr>
            <w:r w:rsidRPr="00944AA1">
              <w:t>(1) Omamné látky sú látky vyvolávajúce návyk a psychickú a fyzickú závislosť ľudí charakterizovanú zmenami správania sa so závažnými zdravotnými a psychosociálnymi následkami</w:t>
            </w:r>
            <w:r w:rsidRPr="00CC43DF">
              <w:rPr>
                <w:b/>
              </w:rPr>
              <w:t>, na ktoré sa vzťahuje medzinárodný dohovor, ktorým je Slovenská republika viazaná.</w:t>
            </w:r>
            <w:r w:rsidRPr="00CC43DF">
              <w:rPr>
                <w:b/>
                <w:vertAlign w:val="superscript"/>
              </w:rPr>
              <w:t>1</w:t>
            </w:r>
            <w:r w:rsidRPr="00CC43DF">
              <w:rPr>
                <w:b/>
              </w:rPr>
              <w:t>).</w:t>
            </w:r>
          </w:p>
          <w:p w:rsidR="00944AA1" w:rsidRDefault="00944AA1" w:rsidP="00CC43DF">
            <w:pPr>
              <w:pStyle w:val="Odsekzoznamu"/>
              <w:ind w:left="0"/>
              <w:jc w:val="left"/>
            </w:pPr>
          </w:p>
          <w:p w:rsidR="00944AA1" w:rsidRDefault="00944AA1" w:rsidP="00CC43DF">
            <w:pPr>
              <w:pStyle w:val="Odsekzoznamu"/>
              <w:ind w:left="0"/>
            </w:pPr>
            <w:r>
              <w:lastRenderedPageBreak/>
              <w:t>Poznámka pod čiarou k odkazu 1 znie:</w:t>
            </w:r>
          </w:p>
          <w:p w:rsidR="00944AA1" w:rsidRDefault="00944AA1" w:rsidP="00CC43DF">
            <w:pPr>
              <w:pStyle w:val="Odsekzoznamu"/>
              <w:ind w:left="0"/>
            </w:pPr>
            <w:r>
              <w:t>„</w:t>
            </w:r>
            <w:r>
              <w:rPr>
                <w:vertAlign w:val="superscript"/>
              </w:rPr>
              <w:t>1</w:t>
            </w:r>
            <w:r>
              <w:t>) Jednotný dohovor o omamných látkach (v</w:t>
            </w:r>
            <w:r w:rsidRPr="008D47A0">
              <w:t>yhláška ministra zahraničných vecí č. 47/1965 Zb</w:t>
            </w:r>
            <w:r>
              <w:t xml:space="preserve">. </w:t>
            </w:r>
            <w:r w:rsidRPr="008D47A0">
              <w:t>v znení oznámenia Federálneho ministerstva zahraničných vecí č. 458/1991 Zb.</w:t>
            </w:r>
            <w:r>
              <w:t>).“.</w:t>
            </w:r>
          </w:p>
          <w:p w:rsidR="00944AA1" w:rsidRDefault="00944AA1" w:rsidP="00CC43DF">
            <w:pPr>
              <w:pStyle w:val="Odsekzoznamu"/>
              <w:ind w:left="0"/>
              <w:jc w:val="left"/>
            </w:pPr>
          </w:p>
          <w:p w:rsidR="00944AA1" w:rsidRPr="00CC43DF" w:rsidRDefault="00944AA1" w:rsidP="00CC43DF">
            <w:pPr>
              <w:pStyle w:val="Odsekzoznamu"/>
              <w:ind w:left="0"/>
              <w:jc w:val="left"/>
              <w:rPr>
                <w:b/>
              </w:rPr>
            </w:pPr>
            <w:r w:rsidRPr="00944AA1">
              <w:t>(2) Psychotropné látky sú látky ovplyvňujúce stav ľudskej psychiky pôsobením na centrálny nervový systém s menej závažnými zdravotnými a psychosociálnymi následkami</w:t>
            </w:r>
            <w:r>
              <w:t xml:space="preserve">, </w:t>
            </w:r>
            <w:r w:rsidRPr="00CC43DF">
              <w:rPr>
                <w:b/>
              </w:rPr>
              <w:t>na ktoré sa vzťahuje medzinárodný dohovor, ktorým je Slovenská republika viazaná .</w:t>
            </w:r>
            <w:r w:rsidRPr="00CC43DF">
              <w:rPr>
                <w:b/>
                <w:vertAlign w:val="superscript"/>
              </w:rPr>
              <w:t>1a</w:t>
            </w:r>
            <w:r w:rsidRPr="00CC43DF">
              <w:rPr>
                <w:b/>
              </w:rPr>
              <w:t>)</w:t>
            </w:r>
          </w:p>
          <w:p w:rsidR="00944AA1" w:rsidRDefault="00944AA1" w:rsidP="00CC43DF">
            <w:pPr>
              <w:pStyle w:val="Odsekzoznamu"/>
              <w:ind w:left="0"/>
              <w:jc w:val="left"/>
            </w:pPr>
          </w:p>
          <w:p w:rsidR="00944AA1" w:rsidRDefault="00944AA1" w:rsidP="00CC43DF">
            <w:pPr>
              <w:pStyle w:val="Odsekzoznamu"/>
              <w:ind w:left="0"/>
            </w:pPr>
            <w:r>
              <w:t>Poznámka pod čiarou k odkazu 1a znie:</w:t>
            </w:r>
          </w:p>
          <w:p w:rsidR="00944AA1" w:rsidRPr="00EE15E5" w:rsidRDefault="00944AA1" w:rsidP="00CC43DF">
            <w:pPr>
              <w:pStyle w:val="Odsekzoznamu"/>
              <w:ind w:left="0"/>
            </w:pPr>
            <w:r>
              <w:t>„</w:t>
            </w:r>
            <w:r>
              <w:rPr>
                <w:vertAlign w:val="superscript"/>
              </w:rPr>
              <w:t xml:space="preserve">1a </w:t>
            </w:r>
            <w:r>
              <w:t>)</w:t>
            </w:r>
            <w:r w:rsidRPr="008D47A0">
              <w:t xml:space="preserve"> Dohovor o psychotropných látkach</w:t>
            </w:r>
            <w:r>
              <w:t xml:space="preserve"> (v</w:t>
            </w:r>
            <w:r w:rsidRPr="008D47A0">
              <w:t>yhláška ministra z</w:t>
            </w:r>
            <w:r>
              <w:t>ahraničných vecí č. 62/1989 Zb.).“.</w:t>
            </w:r>
          </w:p>
          <w:p w:rsidR="00944AA1" w:rsidRDefault="00944AA1" w:rsidP="00CC43DF">
            <w:pPr>
              <w:pStyle w:val="Odsekzoznamu"/>
              <w:ind w:left="0"/>
              <w:jc w:val="left"/>
            </w:pPr>
          </w:p>
          <w:p w:rsidR="00F47793" w:rsidRDefault="00F47793" w:rsidP="00CC43DF">
            <w:pPr>
              <w:pStyle w:val="Odsekzoznamu"/>
              <w:ind w:left="88"/>
              <w:jc w:val="center"/>
            </w:pPr>
            <w:r>
              <w:t>§ 3</w:t>
            </w:r>
          </w:p>
          <w:p w:rsidR="00F47793" w:rsidRDefault="00F47793" w:rsidP="00CC43DF">
            <w:pPr>
              <w:pStyle w:val="Odsekzoznamu"/>
              <w:ind w:left="88"/>
              <w:jc w:val="center"/>
            </w:pPr>
          </w:p>
          <w:p w:rsidR="00F47793" w:rsidRDefault="00F47793" w:rsidP="00CC43DF">
            <w:pPr>
              <w:pStyle w:val="Odsekzoznamu"/>
              <w:ind w:left="88"/>
              <w:jc w:val="center"/>
            </w:pPr>
            <w:r>
              <w:t>Zaraďovanie omamných látok a psychotropných látok</w:t>
            </w:r>
          </w:p>
          <w:p w:rsidR="00F47793" w:rsidRDefault="00F47793" w:rsidP="00CC43DF">
            <w:pPr>
              <w:pStyle w:val="Odsekzoznamu"/>
              <w:ind w:left="88"/>
              <w:jc w:val="center"/>
            </w:pPr>
          </w:p>
          <w:p w:rsidR="00944AA1" w:rsidRDefault="00F47793" w:rsidP="00CC43DF">
            <w:pPr>
              <w:pStyle w:val="Odsekzoznamu"/>
              <w:ind w:left="0"/>
              <w:jc w:val="left"/>
            </w:pPr>
            <w:r>
              <w:tab/>
              <w:t xml:space="preserve">(1) Omamné látky a psychotropné látky sa zaraďujú podľa ich účinkov na zdravie do troch skupín uvedených v prílohe č. 1, z ktorých sa vyraďujú alebo preraďujú do inej skupiny podľa rozhodnutia Medzinárodného úradu pre kontrolu omamných látok pri Organizácii Spojených </w:t>
            </w:r>
            <w:r>
              <w:lastRenderedPageBreak/>
              <w:t>národov (ďalej len "medzinárodný úrad"), na základe právne záväzných aktov Európskej únie alebo na základe odôvodneného podnetu Ministerstva zdravotníctva Slovenskej republiky (ďalej len "ministerstvo").</w:t>
            </w:r>
          </w:p>
          <w:p w:rsidR="00944AA1" w:rsidRDefault="00944AA1" w:rsidP="00CC43DF">
            <w:pPr>
              <w:pStyle w:val="Odsekzoznamu"/>
              <w:ind w:left="0"/>
              <w:jc w:val="left"/>
            </w:pPr>
          </w:p>
          <w:p w:rsidR="00944AA1" w:rsidRDefault="00944AA1" w:rsidP="00CC43DF">
            <w:pPr>
              <w:pStyle w:val="Odsekzoznamu"/>
              <w:ind w:left="0"/>
              <w:jc w:val="left"/>
            </w:pPr>
          </w:p>
          <w:p w:rsidR="005531C5" w:rsidRDefault="005531C5" w:rsidP="00CC43DF">
            <w:pPr>
              <w:pStyle w:val="Odsekzoznamu"/>
              <w:spacing w:after="160"/>
              <w:ind w:left="0"/>
              <w:contextualSpacing/>
              <w:jc w:val="left"/>
            </w:pPr>
          </w:p>
          <w:p w:rsidR="00226463" w:rsidRDefault="00226463" w:rsidP="00226463">
            <w:pPr>
              <w:pStyle w:val="Odsekzoznamu"/>
              <w:ind w:left="0"/>
              <w:jc w:val="center"/>
            </w:pPr>
            <w:r>
              <w:t>§ 2</w:t>
            </w:r>
          </w:p>
          <w:p w:rsidR="00226463" w:rsidRDefault="00226463" w:rsidP="00226463">
            <w:pPr>
              <w:pStyle w:val="Odsekzoznamu"/>
              <w:ind w:left="0"/>
              <w:jc w:val="center"/>
            </w:pPr>
            <w:r w:rsidRPr="00CF668C">
              <w:t>Základné pojmy</w:t>
            </w:r>
          </w:p>
          <w:p w:rsidR="00226463" w:rsidRDefault="00226463" w:rsidP="00226463">
            <w:pPr>
              <w:pStyle w:val="Odsekzoznamu"/>
              <w:jc w:val="left"/>
            </w:pPr>
          </w:p>
          <w:p w:rsidR="00226463" w:rsidRPr="000D2D8F" w:rsidRDefault="00226463" w:rsidP="00226463">
            <w:pPr>
              <w:pStyle w:val="Odsekzoznamu"/>
              <w:numPr>
                <w:ilvl w:val="0"/>
                <w:numId w:val="19"/>
              </w:numPr>
              <w:spacing w:after="160"/>
              <w:ind w:left="229" w:hanging="229"/>
              <w:contextualSpacing/>
              <w:jc w:val="left"/>
            </w:pPr>
            <w:r w:rsidRPr="00B72E0D">
              <w:t xml:space="preserve">V § 2 sa za odsek 2 vkladá  nový odsek 3, </w:t>
            </w:r>
            <w:r w:rsidRPr="000D2D8F">
              <w:t>ktorý znie:</w:t>
            </w:r>
          </w:p>
          <w:p w:rsidR="00226463" w:rsidRPr="005B25B6" w:rsidRDefault="00226463" w:rsidP="00226463">
            <w:pPr>
              <w:rPr>
                <w:b/>
              </w:rPr>
            </w:pPr>
            <w:r w:rsidRPr="005B25B6">
              <w:rPr>
                <w:b/>
              </w:rPr>
              <w:t>„(3) Za omamnú látku a psychotropnú látku sa považuje aj látka v čistej forme alebo v prípravku</w:t>
            </w:r>
          </w:p>
          <w:p w:rsidR="00226463" w:rsidRPr="00CC43DF" w:rsidRDefault="00226463" w:rsidP="00CC43DF">
            <w:pPr>
              <w:pStyle w:val="Odsekzoznamu"/>
              <w:numPr>
                <w:ilvl w:val="0"/>
                <w:numId w:val="21"/>
              </w:numPr>
              <w:spacing w:after="200"/>
              <w:contextualSpacing/>
              <w:rPr>
                <w:b/>
              </w:rPr>
            </w:pPr>
            <w:r w:rsidRPr="00CC43DF">
              <w:rPr>
                <w:b/>
              </w:rPr>
              <w:t>na ktorú sa nevzťahujú osobitné medzinárodné dohovory,</w:t>
            </w:r>
            <w:r w:rsidRPr="00CC43DF">
              <w:rPr>
                <w:b/>
                <w:vertAlign w:val="superscript"/>
              </w:rPr>
              <w:t>1</w:t>
            </w:r>
            <w:r w:rsidRPr="00CC43DF">
              <w:rPr>
                <w:b/>
              </w:rPr>
              <w:t>)</w:t>
            </w:r>
          </w:p>
          <w:p w:rsidR="00F47793" w:rsidRPr="00CC43DF" w:rsidRDefault="00226463" w:rsidP="00CC43DF">
            <w:pPr>
              <w:pStyle w:val="Odsekzoznamu"/>
              <w:numPr>
                <w:ilvl w:val="0"/>
                <w:numId w:val="21"/>
              </w:numPr>
              <w:spacing w:after="200"/>
              <w:contextualSpacing/>
              <w:jc w:val="left"/>
            </w:pPr>
            <w:r w:rsidRPr="00F47793">
              <w:rPr>
                <w:b/>
              </w:rPr>
              <w:t>ktorá môže predstavovať porovnateľné zdravotné riziko alebo spoločenské riziko ako látka, na ktorú sa vzťahujú osobitné medzinárodné dohovory</w:t>
            </w:r>
            <w:r w:rsidRPr="00F47793">
              <w:rPr>
                <w:b/>
                <w:vertAlign w:val="superscript"/>
              </w:rPr>
              <w:t>1</w:t>
            </w:r>
            <w:r w:rsidRPr="00F47793">
              <w:rPr>
                <w:b/>
              </w:rPr>
              <w:t>)</w:t>
            </w:r>
            <w:r w:rsidRPr="00CC43DF">
              <w:rPr>
                <w:b/>
              </w:rPr>
              <w:t xml:space="preserve"> </w:t>
            </w:r>
            <w:r w:rsidRPr="00D46A56">
              <w:t>a</w:t>
            </w:r>
          </w:p>
          <w:p w:rsidR="00226463" w:rsidRDefault="00226463" w:rsidP="00CC43DF">
            <w:pPr>
              <w:pStyle w:val="Odsekzoznamu"/>
              <w:numPr>
                <w:ilvl w:val="0"/>
                <w:numId w:val="21"/>
              </w:numPr>
              <w:spacing w:after="200"/>
              <w:contextualSpacing/>
              <w:jc w:val="left"/>
            </w:pPr>
            <w:r>
              <w:t>ktorá sa má na základe osobitného predpisu1</w:t>
            </w:r>
            <w:r w:rsidRPr="00F47793">
              <w:rPr>
                <w:vertAlign w:val="superscript"/>
              </w:rPr>
              <w:t>a</w:t>
            </w:r>
            <w:r>
              <w:t>) podrobiť kontrolným opatreniam.“.</w:t>
            </w:r>
          </w:p>
          <w:p w:rsidR="00226463" w:rsidRDefault="00226463" w:rsidP="00226463">
            <w:pPr>
              <w:pStyle w:val="Odsekzoznamu"/>
              <w:jc w:val="left"/>
            </w:pPr>
          </w:p>
          <w:p w:rsidR="00226463" w:rsidRDefault="00226463" w:rsidP="00226463">
            <w:pPr>
              <w:pStyle w:val="Odsekzoznamu"/>
              <w:ind w:left="142"/>
              <w:jc w:val="left"/>
            </w:pPr>
            <w:r w:rsidRPr="008D47A0">
              <w:t>Poznámk</w:t>
            </w:r>
            <w:r>
              <w:t>y</w:t>
            </w:r>
            <w:r w:rsidRPr="008D47A0">
              <w:t xml:space="preserve"> pod čiarou k odkaz</w:t>
            </w:r>
            <w:r>
              <w:t>om</w:t>
            </w:r>
            <w:r w:rsidRPr="008D47A0">
              <w:t xml:space="preserve"> 1 </w:t>
            </w:r>
            <w:r>
              <w:t xml:space="preserve">a 1a </w:t>
            </w:r>
            <w:r w:rsidRPr="008D47A0">
              <w:t>zne</w:t>
            </w:r>
            <w:r>
              <w:t>jú</w:t>
            </w:r>
            <w:r w:rsidRPr="008D47A0">
              <w:t>:</w:t>
            </w:r>
          </w:p>
          <w:p w:rsidR="00226463" w:rsidRPr="008D47A0" w:rsidRDefault="00226463" w:rsidP="00226463">
            <w:pPr>
              <w:pStyle w:val="Odsekzoznamu"/>
              <w:ind w:left="142"/>
              <w:jc w:val="left"/>
            </w:pPr>
          </w:p>
          <w:p w:rsidR="00226463" w:rsidRPr="008D47A0" w:rsidRDefault="00226463" w:rsidP="00226463">
            <w:pPr>
              <w:pStyle w:val="Odsekzoznamu"/>
              <w:ind w:left="0"/>
              <w:jc w:val="left"/>
            </w:pPr>
            <w:r>
              <w:lastRenderedPageBreak/>
              <w:t>„</w:t>
            </w:r>
            <w:r w:rsidRPr="008D47A0">
              <w:rPr>
                <w:vertAlign w:val="superscript"/>
              </w:rPr>
              <w:t xml:space="preserve">1 </w:t>
            </w:r>
            <w:r w:rsidRPr="008D47A0">
              <w:t>) Vyhláška  ministra zahraničných vecí č. 47/1965 Zb. o Jednotnom dohovore o omamných látkach v znení oznámenia Federálneho ministerstva zahraničných vecí č. 458/1991 Zb.</w:t>
            </w:r>
          </w:p>
          <w:p w:rsidR="00226463" w:rsidRPr="008D47A0" w:rsidRDefault="00226463" w:rsidP="00226463">
            <w:pPr>
              <w:pStyle w:val="Odsekzoznamu"/>
              <w:ind w:left="0"/>
              <w:jc w:val="left"/>
            </w:pPr>
            <w:r w:rsidRPr="008D47A0">
              <w:t>Vyhláška ministra zahraničných vecí č. 62/1989 Zb. o Dohovore o psychotropných látkach.</w:t>
            </w:r>
          </w:p>
          <w:p w:rsidR="00226463" w:rsidRDefault="00226463" w:rsidP="00226463">
            <w:r>
              <w:rPr>
                <w:vertAlign w:val="superscript"/>
              </w:rPr>
              <w:t xml:space="preserve">   1a</w:t>
            </w:r>
            <w:r w:rsidRPr="008D47A0">
              <w:t>)</w:t>
            </w:r>
            <w:r>
              <w:t xml:space="preserve"> N</w:t>
            </w:r>
            <w:r w:rsidRPr="00C2424A">
              <w:t>ariadeni</w:t>
            </w:r>
            <w:r>
              <w:t>e</w:t>
            </w:r>
            <w:r w:rsidRPr="00C2424A">
              <w:t xml:space="preserve"> Európskeho parlamentu a Rady č. 1920/2006 z 12. decembra 2006 o Európskom monitorovacom centre pre drogy a drogovú závislosť (Ú. v. EÚ L 376, 27.12.2006,) v znení nariadenia Európskeho parlamentu a Rady č. 2101/2017 z</w:t>
            </w:r>
            <w:r>
              <w:t> </w:t>
            </w:r>
            <w:r w:rsidRPr="00C2424A">
              <w:t>15</w:t>
            </w:r>
            <w:r>
              <w:t>.</w:t>
            </w:r>
            <w:r w:rsidRPr="00C2424A">
              <w:t xml:space="preserve"> novembra 2017, ktorým sa mení nariadenie (ES) č. 1920/2006, pokiaľ ide o výmenu informácií, systém včasného varovania a postup posudzovania rizika v oblasti nových psychoaktívnych látok (Ú. v. EÚ L 305, 21. 11.</w:t>
            </w:r>
            <w:r>
              <w:t xml:space="preserve"> </w:t>
            </w:r>
            <w:r w:rsidRPr="00C2424A">
              <w:t>2017).</w:t>
            </w:r>
            <w:r>
              <w:t>“.</w:t>
            </w:r>
          </w:p>
          <w:p w:rsidR="002A1DC0" w:rsidRDefault="002A1DC0" w:rsidP="00CC43DF">
            <w:r w:rsidRPr="004C3BE1">
              <w:t xml:space="preserve">Doterajšie odseky </w:t>
            </w:r>
            <w:r>
              <w:t>3</w:t>
            </w:r>
            <w:r w:rsidRPr="004C3BE1">
              <w:t xml:space="preserve"> až </w:t>
            </w:r>
            <w:r>
              <w:t>7</w:t>
            </w:r>
            <w:r w:rsidRPr="004C3BE1">
              <w:t xml:space="preserve"> sa označujú ako odseky </w:t>
            </w:r>
            <w:r>
              <w:t>4</w:t>
            </w:r>
            <w:r w:rsidRPr="004C3BE1">
              <w:t xml:space="preserve"> až</w:t>
            </w:r>
            <w:r>
              <w:t xml:space="preserve"> 8</w:t>
            </w:r>
            <w:r w:rsidRPr="004C3BE1">
              <w:t>.</w:t>
            </w:r>
          </w:p>
          <w:p w:rsidR="002A1DC0" w:rsidRDefault="002A1DC0" w:rsidP="00CC43DF"/>
          <w:p w:rsidR="002A1DC0" w:rsidRPr="00686541" w:rsidRDefault="002A1DC0" w:rsidP="00CC43DF">
            <w:pPr>
              <w:pStyle w:val="Odsekzoznamu"/>
              <w:numPr>
                <w:ilvl w:val="0"/>
                <w:numId w:val="23"/>
              </w:numPr>
              <w:spacing w:after="160"/>
              <w:contextualSpacing/>
              <w:jc w:val="left"/>
              <w:rPr>
                <w:bCs/>
              </w:rPr>
            </w:pPr>
            <w:r w:rsidRPr="00686541">
              <w:rPr>
                <w:bCs/>
              </w:rPr>
              <w:t>V § 2 odsek 4 znie:</w:t>
            </w:r>
          </w:p>
          <w:p w:rsidR="002A1DC0" w:rsidRDefault="002A1DC0" w:rsidP="00CC43DF">
            <w:pPr>
              <w:pStyle w:val="Odsekzoznamu"/>
              <w:ind w:left="0"/>
              <w:jc w:val="left"/>
              <w:rPr>
                <w:bCs/>
              </w:rPr>
            </w:pPr>
            <w:r>
              <w:rPr>
                <w:bCs/>
              </w:rPr>
              <w:t>(4) Prípravky sú zmesi obsahujúce jednu alebo viac</w:t>
            </w:r>
          </w:p>
          <w:p w:rsidR="002A1DC0" w:rsidRPr="008845BA" w:rsidRDefault="002A1DC0" w:rsidP="00CC43DF">
            <w:pPr>
              <w:pStyle w:val="Odsekzoznamu"/>
              <w:widowControl w:val="0"/>
              <w:numPr>
                <w:ilvl w:val="0"/>
                <w:numId w:val="22"/>
              </w:numPr>
              <w:autoSpaceDE w:val="0"/>
              <w:autoSpaceDN w:val="0"/>
              <w:adjustRightInd w:val="0"/>
              <w:ind w:left="371" w:hanging="283"/>
              <w:contextualSpacing/>
              <w:jc w:val="left"/>
            </w:pPr>
            <w:r w:rsidRPr="008845BA">
              <w:t>omamných látok alebo psychotropných látok, a to bez ohľadu na ich fyzikálny stav, okrem prírodne sa vyskytujúcich</w:t>
            </w:r>
            <w:r w:rsidRPr="008845BA">
              <w:rPr>
                <w:rFonts w:ascii="Arial" w:hAnsi="Arial" w:cs="Arial"/>
                <w:sz w:val="16"/>
                <w:szCs w:val="16"/>
              </w:rPr>
              <w:t xml:space="preserve"> </w:t>
            </w:r>
            <w:r w:rsidRPr="008845BA">
              <w:t xml:space="preserve">zmesí látok a roztokov látok,  </w:t>
            </w:r>
          </w:p>
          <w:p w:rsidR="002A1DC0" w:rsidRPr="00CC43DF" w:rsidRDefault="002A1DC0" w:rsidP="00CC43DF">
            <w:pPr>
              <w:pStyle w:val="Odsekzoznamu"/>
              <w:widowControl w:val="0"/>
              <w:numPr>
                <w:ilvl w:val="0"/>
                <w:numId w:val="22"/>
              </w:numPr>
              <w:autoSpaceDE w:val="0"/>
              <w:autoSpaceDN w:val="0"/>
              <w:adjustRightInd w:val="0"/>
              <w:ind w:left="371" w:hanging="283"/>
              <w:contextualSpacing/>
              <w:jc w:val="left"/>
            </w:pPr>
            <w:r w:rsidRPr="002A1DC0">
              <w:t xml:space="preserve">potenciálne rizikových látok, ktorých chemická štruktúra a predpokladané </w:t>
            </w:r>
            <w:r w:rsidRPr="002A1DC0">
              <w:lastRenderedPageBreak/>
              <w:t xml:space="preserve">účinky sú podobné ako pri omamných látkach alebo psychotropných látkach (ďalej len "riziková látka")  </w:t>
            </w:r>
            <w:r w:rsidRPr="00CC43DF">
              <w:t>a</w:t>
            </w:r>
          </w:p>
          <w:p w:rsidR="002A1DC0" w:rsidRPr="002F45A4" w:rsidRDefault="002A1DC0" w:rsidP="00CC43DF">
            <w:pPr>
              <w:pStyle w:val="Odsekzoznamu"/>
              <w:numPr>
                <w:ilvl w:val="0"/>
                <w:numId w:val="22"/>
              </w:numPr>
              <w:spacing w:after="200"/>
              <w:ind w:left="371" w:hanging="283"/>
              <w:contextualSpacing/>
              <w:jc w:val="left"/>
            </w:pPr>
            <w:r>
              <w:t>látok na ktoré sa nevzťahujú osobitné medzinárodné dohovory,</w:t>
            </w:r>
            <w:r>
              <w:rPr>
                <w:vertAlign w:val="superscript"/>
              </w:rPr>
              <w:t>1</w:t>
            </w:r>
            <w:r>
              <w:t>) a </w:t>
            </w:r>
            <w:r w:rsidRPr="00D213AD">
              <w:t>ktor</w:t>
            </w:r>
            <w:r>
              <w:t xml:space="preserve">é </w:t>
            </w:r>
            <w:r w:rsidRPr="00D213AD">
              <w:t>môž</w:t>
            </w:r>
            <w:r>
              <w:t>u</w:t>
            </w:r>
            <w:r w:rsidRPr="00D213AD">
              <w:t xml:space="preserve"> predstavovať porovnateľné zdravotné riziko alebo spoločenské riziko ako látk</w:t>
            </w:r>
            <w:r>
              <w:t>y</w:t>
            </w:r>
            <w:r w:rsidRPr="00D213AD">
              <w:t>, na ktor</w:t>
            </w:r>
            <w:r>
              <w:t>é</w:t>
            </w:r>
            <w:r w:rsidRPr="00D213AD">
              <w:t xml:space="preserve"> sa vzťahujú osobitné medzinárodné dohovory</w:t>
            </w:r>
            <w:r>
              <w:t>.</w:t>
            </w:r>
            <w:r w:rsidRPr="00D213AD">
              <w:rPr>
                <w:vertAlign w:val="superscript"/>
              </w:rPr>
              <w:t>1</w:t>
            </w:r>
            <w:r w:rsidRPr="00D213AD">
              <w:t>)</w:t>
            </w:r>
          </w:p>
          <w:p w:rsidR="001C3EC4" w:rsidRDefault="005531C5">
            <w:pPr>
              <w:pStyle w:val="Odsekzoznamu"/>
              <w:ind w:left="0"/>
              <w:jc w:val="left"/>
            </w:pPr>
            <w:r>
              <w:t>.</w:t>
            </w:r>
          </w:p>
        </w:tc>
        <w:tc>
          <w:tcPr>
            <w:tcW w:w="776" w:type="dxa"/>
          </w:tcPr>
          <w:p w:rsidR="00C66884" w:rsidRDefault="00C66884"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r>
              <w:t>Ú</w:t>
            </w: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EF6C49" w:rsidP="001C3EC4">
            <w:pPr>
              <w:jc w:val="center"/>
            </w:pPr>
          </w:p>
          <w:p w:rsidR="00EF6C49" w:rsidRDefault="00A8163D" w:rsidP="001C3EC4">
            <w:pPr>
              <w:jc w:val="center"/>
            </w:pPr>
            <w:r>
              <w:t>Ú</w:t>
            </w: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p>
          <w:p w:rsidR="00F47793" w:rsidRDefault="00F47793" w:rsidP="001C3EC4">
            <w:pPr>
              <w:jc w:val="center"/>
            </w:pPr>
            <w:r>
              <w:t>Ú</w:t>
            </w: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EF6C49" w:rsidRDefault="00EF6C49"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r>
              <w:lastRenderedPageBreak/>
              <w:t>Ú</w:t>
            </w: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p>
          <w:p w:rsidR="003F2DEC" w:rsidRDefault="003F2DEC" w:rsidP="001C3EC4">
            <w:pPr>
              <w:jc w:val="center"/>
            </w:pPr>
            <w:r>
              <w:t>Ú</w:t>
            </w:r>
          </w:p>
        </w:tc>
        <w:tc>
          <w:tcPr>
            <w:tcW w:w="1209" w:type="dxa"/>
          </w:tcPr>
          <w:p w:rsidR="001C3EC4" w:rsidRDefault="001C3EC4"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5531C5" w:rsidRDefault="005531C5" w:rsidP="001C3EC4">
            <w:pPr>
              <w:jc w:val="center"/>
            </w:pPr>
          </w:p>
          <w:p w:rsidR="00E60C66" w:rsidRDefault="00E60C66" w:rsidP="001C3EC4">
            <w:pPr>
              <w:jc w:val="center"/>
            </w:pPr>
          </w:p>
        </w:tc>
      </w:tr>
      <w:tr w:rsidR="00092F11" w:rsidTr="00780A28">
        <w:tc>
          <w:tcPr>
            <w:tcW w:w="921" w:type="dxa"/>
          </w:tcPr>
          <w:p w:rsidR="00092F11" w:rsidRDefault="00092F11" w:rsidP="00092F11">
            <w:pPr>
              <w:jc w:val="center"/>
            </w:pPr>
            <w:r>
              <w:lastRenderedPageBreak/>
              <w:t xml:space="preserve">Čl. </w:t>
            </w:r>
            <w:r w:rsidR="00A8163D">
              <w:t>1</w:t>
            </w:r>
          </w:p>
          <w:p w:rsidR="00A8163D" w:rsidRDefault="00A8163D" w:rsidP="00092F11">
            <w:pPr>
              <w:jc w:val="center"/>
            </w:pPr>
          </w:p>
          <w:p w:rsidR="00A8163D" w:rsidRDefault="00A8163D" w:rsidP="00092F11">
            <w:pPr>
              <w:jc w:val="center"/>
            </w:pPr>
          </w:p>
          <w:p w:rsidR="00A8163D" w:rsidRDefault="00A8163D" w:rsidP="00092F11">
            <w:pPr>
              <w:jc w:val="center"/>
            </w:pPr>
            <w:r>
              <w:t>Čl. 1a</w:t>
            </w:r>
          </w:p>
          <w:p w:rsidR="00092F11" w:rsidRDefault="00092F11" w:rsidP="00092F11">
            <w:pPr>
              <w:jc w:val="center"/>
            </w:pPr>
          </w:p>
          <w:p w:rsidR="00092F11" w:rsidRDefault="00092F11" w:rsidP="00092F11">
            <w:pPr>
              <w:jc w:val="center"/>
            </w:pPr>
          </w:p>
          <w:p w:rsidR="00092F11" w:rsidRDefault="00092F11" w:rsidP="00092F11">
            <w:pPr>
              <w:jc w:val="center"/>
            </w:pPr>
            <w:r>
              <w:t>O: 1</w:t>
            </w:r>
          </w:p>
          <w:p w:rsidR="00092F11" w:rsidRDefault="00092F11" w:rsidP="00092F11">
            <w:pPr>
              <w:jc w:val="center"/>
            </w:pPr>
            <w:r>
              <w:t>B: 1</w:t>
            </w:r>
          </w:p>
          <w:p w:rsidR="00C66884" w:rsidRDefault="00C66884" w:rsidP="00092F11">
            <w:pPr>
              <w:jc w:val="center"/>
            </w:pPr>
          </w:p>
          <w:p w:rsidR="00C66884" w:rsidRDefault="00C66884" w:rsidP="00092F11">
            <w:pPr>
              <w:jc w:val="center"/>
            </w:pPr>
          </w:p>
          <w:p w:rsidR="00C66884" w:rsidRDefault="00C66884" w:rsidP="00092F11">
            <w:pPr>
              <w:jc w:val="center"/>
            </w:pPr>
          </w:p>
          <w:p w:rsidR="00C66884" w:rsidRDefault="00C66884" w:rsidP="00092F11">
            <w:pPr>
              <w:jc w:val="center"/>
            </w:pPr>
          </w:p>
          <w:p w:rsidR="00C66884" w:rsidRDefault="00C66884" w:rsidP="00092F11">
            <w:pPr>
              <w:jc w:val="center"/>
            </w:pPr>
          </w:p>
          <w:p w:rsidR="00C66884" w:rsidRDefault="00C66884" w:rsidP="00092F11">
            <w:pPr>
              <w:jc w:val="center"/>
            </w:pPr>
          </w:p>
          <w:p w:rsidR="00C66884" w:rsidRDefault="00C66884"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r>
              <w:t>B: 2</w:t>
            </w:r>
          </w:p>
          <w:p w:rsidR="00A8163D" w:rsidRDefault="00A8163D" w:rsidP="00092F11">
            <w:pPr>
              <w:jc w:val="center"/>
            </w:pPr>
          </w:p>
          <w:p w:rsidR="00C66884" w:rsidRDefault="00C66884"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C66884" w:rsidRDefault="00C66884" w:rsidP="00092F11">
            <w:pPr>
              <w:jc w:val="center"/>
            </w:pPr>
            <w:r>
              <w:t>B: 3</w:t>
            </w: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p>
          <w:p w:rsidR="00A8163D" w:rsidRDefault="00A8163D" w:rsidP="00092F11">
            <w:pPr>
              <w:jc w:val="center"/>
            </w:pPr>
            <w:r>
              <w:t>B: 4</w:t>
            </w:r>
          </w:p>
          <w:p w:rsidR="00A8163D" w:rsidRDefault="00A8163D" w:rsidP="00092F11">
            <w:pPr>
              <w:jc w:val="center"/>
            </w:pPr>
          </w:p>
          <w:p w:rsidR="00092F11" w:rsidRDefault="00092F11"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r>
              <w:t>B:4</w:t>
            </w:r>
          </w:p>
          <w:p w:rsidR="004E5506" w:rsidRDefault="004E5506" w:rsidP="001C3EC4">
            <w:pPr>
              <w:jc w:val="center"/>
            </w:pPr>
            <w:r>
              <w:t>ods. 2</w:t>
            </w:r>
          </w:p>
        </w:tc>
        <w:tc>
          <w:tcPr>
            <w:tcW w:w="4961" w:type="dxa"/>
          </w:tcPr>
          <w:p w:rsidR="003D31A3" w:rsidRPr="00103480" w:rsidRDefault="003D31A3" w:rsidP="003D31A3">
            <w:pPr>
              <w:spacing w:before="120"/>
              <w:rPr>
                <w:color w:val="000000"/>
              </w:rPr>
            </w:pPr>
            <w:r w:rsidRPr="00103480">
              <w:rPr>
                <w:color w:val="000000"/>
              </w:rPr>
              <w:lastRenderedPageBreak/>
              <w:t>Vkladajú sa tieto články:</w:t>
            </w:r>
          </w:p>
          <w:p w:rsidR="003D31A3" w:rsidRPr="00103480" w:rsidRDefault="003D31A3" w:rsidP="003D31A3">
            <w:pPr>
              <w:spacing w:before="360" w:after="120"/>
              <w:jc w:val="center"/>
              <w:rPr>
                <w:i/>
                <w:iCs/>
                <w:color w:val="000000"/>
              </w:rPr>
            </w:pPr>
            <w:r w:rsidRPr="00103480">
              <w:rPr>
                <w:i/>
                <w:iCs/>
                <w:color w:val="000000"/>
              </w:rPr>
              <w:t>„Článok 1a</w:t>
            </w:r>
          </w:p>
          <w:p w:rsidR="003D31A3" w:rsidRPr="00103480" w:rsidRDefault="003D31A3" w:rsidP="003D31A3">
            <w:pPr>
              <w:spacing w:before="60" w:after="120"/>
              <w:jc w:val="center"/>
              <w:rPr>
                <w:b/>
                <w:bCs/>
                <w:color w:val="000000"/>
              </w:rPr>
            </w:pPr>
            <w:r w:rsidRPr="00103480">
              <w:rPr>
                <w:b/>
                <w:bCs/>
                <w:color w:val="000000"/>
              </w:rPr>
              <w:t>Postup na zahrnutie nových psychoaktívnych látok do vymedzenia pojmu drogy</w:t>
            </w:r>
          </w:p>
          <w:p w:rsidR="003D31A3" w:rsidRPr="00103480" w:rsidRDefault="003D31A3" w:rsidP="003D31A3">
            <w:pPr>
              <w:spacing w:before="120"/>
              <w:rPr>
                <w:color w:val="000000"/>
              </w:rPr>
            </w:pPr>
            <w:r w:rsidRPr="00103480">
              <w:rPr>
                <w:color w:val="000000"/>
              </w:rPr>
              <w:t xml:space="preserve">1.   Na základe posúdenia rizika alebo kombinovaného posúdenia rizika, ktoré sa vykoná podľa článku 5c nariadenia Európskeho </w:t>
            </w:r>
            <w:r w:rsidRPr="00103480">
              <w:rPr>
                <w:color w:val="000000"/>
              </w:rPr>
              <w:lastRenderedPageBreak/>
              <w:t>parlamentu a Rady (ES) č. 1920/2006</w:t>
            </w:r>
            <w:hyperlink r:id="rId7" w:anchor="ntr*1-L_2017305SK.01001201-E0008" w:history="1">
              <w:r w:rsidRPr="00103480">
                <w:rPr>
                  <w:color w:val="0000FF"/>
                  <w:u w:val="single"/>
                </w:rPr>
                <w:t> (</w:t>
              </w:r>
              <w:r w:rsidRPr="00103480">
                <w:rPr>
                  <w:color w:val="0000FF"/>
                  <w:sz w:val="17"/>
                  <w:szCs w:val="17"/>
                  <w:u w:val="single"/>
                  <w:vertAlign w:val="superscript"/>
                </w:rPr>
                <w:t>*1</w:t>
              </w:r>
              <w:r w:rsidRPr="00103480">
                <w:rPr>
                  <w:color w:val="0000FF"/>
                  <w:u w:val="single"/>
                </w:rPr>
                <w:t>)</w:t>
              </w:r>
            </w:hyperlink>
            <w:r w:rsidRPr="00103480">
              <w:rPr>
                <w:color w:val="000000"/>
              </w:rPr>
              <w:t>, a v súlade s kritériami stanovenými v odseku 2 tohto článku Komisia bezodkladne prijme delegovaný akt v súlade s článkom 8a, ktorým sa mení príloha k tomuto rámcovému rozhodnutiu s cieľom doplniť do nej novú psychoaktívnu látku alebo nové psychoaktívne látky a stanoviť, že nová psychoaktívna látka alebo nové psychoaktívne látky predstavujú závažné riziká pre verejné zdravie a v náležitých prípadoch aj závažné spoločenské riziká na úrovni Únie a že je alebo sú zahrnuté do vymedzenia pojmu drogy.</w:t>
            </w:r>
          </w:p>
          <w:p w:rsidR="003D31A3" w:rsidRPr="00103480" w:rsidRDefault="003D31A3" w:rsidP="003D31A3">
            <w:pPr>
              <w:spacing w:before="120"/>
              <w:rPr>
                <w:color w:val="000000"/>
              </w:rPr>
            </w:pPr>
            <w:r w:rsidRPr="00103480">
              <w:rPr>
                <w:color w:val="000000"/>
              </w:rPr>
              <w:t>2.   Pri zvažovaní, či prijať delegovaný akt uvedený v odseku 1, Komisia zohľadní, či sú rozsah alebo spôsoby užívania novej psychoaktívnej látky a jej dostupnosť a potenciál rozšírenia v Únii značné a či ujma na zdraví spôsobená konzumáciou novej psychoaktívnej látky, ktorá súvisí s jej akútnou alebo chronickou toxicitou, a riziko jej zneužitia alebo potenciál vytvorenia závislosti majú život ohrozujúci charakter. Ujma na zdraví má život ohrozujúci charakter, ak nová psychoaktívna látka môže spôsobiť smrť alebo smrteľné poškodenie zdravia, závažnú chorobu, závažnú fyzickú alebo duševnú poruchu alebo rozsiahle rozšírenie chorôb vrátane prenosu vírusov prenášaných krvou.</w:t>
            </w:r>
          </w:p>
          <w:p w:rsidR="003D31A3" w:rsidRPr="00103480" w:rsidRDefault="003D31A3" w:rsidP="003D31A3">
            <w:pPr>
              <w:spacing w:before="120"/>
              <w:rPr>
                <w:color w:val="000000"/>
              </w:rPr>
            </w:pPr>
            <w:r w:rsidRPr="00103480">
              <w:rPr>
                <w:color w:val="000000"/>
              </w:rPr>
              <w:t xml:space="preserve">Okrem toho Komisia zohľadní, či je spoločenská ujma spôsobená novou psychoaktívnou látkou jednotlivcom a spoločnosti závažná, a najmä či </w:t>
            </w:r>
            <w:r w:rsidRPr="00103480">
              <w:rPr>
                <w:color w:val="000000"/>
              </w:rPr>
              <w:lastRenderedPageBreak/>
              <w:t>vplyvom novej psychoaktívnej látky na fungovanie v spoločnosti a na verejný poriadok dochádza k narušeniu verejného poriadku alebo či je príčinou násilného alebo antisociálneho správania, ktoré spôsobuje ujmu užívateľovi predmetnej látky alebo iným osobám alebo spôsobuje škodu na majetku, alebo či trestná činnosť vrátane organizovanej trestnej činnosti, ktoré sú spojené s novou psychoaktívnou látkou, sú systematické, či z nich vyplývajú vysoké nezákonné zisky alebo vysoké hospodárske náklady.</w:t>
            </w:r>
          </w:p>
          <w:p w:rsidR="003D31A3" w:rsidRPr="00103480" w:rsidRDefault="003D31A3" w:rsidP="003D31A3">
            <w:pPr>
              <w:spacing w:before="120"/>
              <w:rPr>
                <w:color w:val="000000"/>
              </w:rPr>
            </w:pPr>
            <w:r w:rsidRPr="00103480">
              <w:rPr>
                <w:color w:val="000000"/>
              </w:rPr>
              <w:t>3.   Ak do šiestich týždňov od dátumu doručenia správy o posúdení rizika alebo správy o kombinovanom posúdení rizika v súlade s článkom 5c ods. 6 nariadenia (ES) č. 1920/2006 Komisia dospeje k záveru, že nie je potrebné prijať delegovaný akt, ktorým sa nová psychoaktívna látka alebo látky zahrnú do vymedzenia pojmu drogy, predloží Európskemu parlamentu a Rade správu s vysvetlením dôvodov svojho konania.</w:t>
            </w:r>
          </w:p>
          <w:p w:rsidR="00D46A56" w:rsidRDefault="003D31A3" w:rsidP="003D31A3">
            <w:pPr>
              <w:spacing w:before="120"/>
              <w:rPr>
                <w:color w:val="000000"/>
              </w:rPr>
            </w:pPr>
            <w:r w:rsidRPr="00103480">
              <w:rPr>
                <w:color w:val="000000"/>
              </w:rPr>
              <w:t xml:space="preserve">4.   Členské štáty, ktoré tak ešte neurobili, uvedú so zreteľom na nové psychoaktívne látky, ktoré sa dopĺňajú do prílohy k tomuto rámcovému rozhodnutiu, do účinnosti zákony, iné právne predpisy a správne opatrenia potrebné na uplatňovanie ustanovení tohto rámcového rozhodnutia na predmetné nové psychoaktívne látky čo najskôr, najneskôr však do šiestich </w:t>
            </w:r>
            <w:r w:rsidRPr="00103480">
              <w:rPr>
                <w:color w:val="000000"/>
              </w:rPr>
              <w:lastRenderedPageBreak/>
              <w:t xml:space="preserve">mesiacov od nadobudnutia účinnosti delegovaného aktu, ktorým sa mení príloha. </w:t>
            </w:r>
          </w:p>
          <w:p w:rsidR="00D46A56" w:rsidRDefault="00D46A56" w:rsidP="003D31A3">
            <w:pPr>
              <w:spacing w:before="120"/>
              <w:rPr>
                <w:color w:val="000000"/>
              </w:rPr>
            </w:pPr>
          </w:p>
          <w:p w:rsidR="002845C9" w:rsidRDefault="002845C9" w:rsidP="003D31A3">
            <w:pPr>
              <w:spacing w:before="120"/>
              <w:rPr>
                <w:color w:val="000000"/>
              </w:rPr>
            </w:pPr>
          </w:p>
          <w:p w:rsidR="003D31A3" w:rsidRDefault="003D31A3" w:rsidP="003D31A3">
            <w:pPr>
              <w:spacing w:before="120"/>
              <w:rPr>
                <w:color w:val="000000"/>
              </w:rPr>
            </w:pPr>
            <w:r w:rsidRPr="00103480">
              <w:rPr>
                <w:color w:val="000000"/>
              </w:rPr>
              <w:t>Bezodkladne o tom informujú Komisiu.</w:t>
            </w:r>
          </w:p>
          <w:p w:rsidR="004E5506" w:rsidRDefault="004E5506" w:rsidP="003D31A3">
            <w:pPr>
              <w:spacing w:before="120"/>
              <w:rPr>
                <w:color w:val="000000"/>
              </w:rPr>
            </w:pPr>
          </w:p>
          <w:p w:rsidR="004E5506" w:rsidRDefault="004E5506" w:rsidP="003D31A3">
            <w:pPr>
              <w:spacing w:before="120"/>
              <w:rPr>
                <w:color w:val="000000"/>
              </w:rPr>
            </w:pPr>
          </w:p>
          <w:p w:rsidR="004E5506" w:rsidRDefault="004E5506" w:rsidP="003D31A3">
            <w:pPr>
              <w:spacing w:before="120"/>
              <w:rPr>
                <w:color w:val="000000"/>
              </w:rPr>
            </w:pPr>
          </w:p>
          <w:p w:rsidR="004E5506" w:rsidRDefault="004E5506" w:rsidP="003D31A3">
            <w:pPr>
              <w:spacing w:before="120"/>
              <w:rPr>
                <w:color w:val="000000"/>
              </w:rPr>
            </w:pPr>
          </w:p>
          <w:p w:rsidR="002845C9" w:rsidRPr="00103480" w:rsidRDefault="002845C9" w:rsidP="003D31A3">
            <w:pPr>
              <w:spacing w:before="120"/>
              <w:rPr>
                <w:color w:val="000000"/>
              </w:rPr>
            </w:pPr>
          </w:p>
          <w:p w:rsidR="00092F11" w:rsidRDefault="003D31A3" w:rsidP="00E60C66">
            <w:pPr>
              <w:spacing w:before="120"/>
              <w:rPr>
                <w:color w:val="000000"/>
              </w:rPr>
            </w:pPr>
            <w:r w:rsidRPr="00103480">
              <w:rPr>
                <w:color w:val="000000"/>
              </w:rPr>
              <w:t>Členské štáty uvedú priamo v prijatých ustanoveniach alebo pri ich úradnom uverejnení odkaz na toto rámcové rozhodnutie. Podrobnosti o odkaze a jeho znenie upravia členské štáty.</w:t>
            </w:r>
          </w:p>
          <w:p w:rsidR="002845C9" w:rsidRPr="002F4566" w:rsidRDefault="002845C9" w:rsidP="00E60C66">
            <w:pPr>
              <w:spacing w:before="120"/>
              <w:rPr>
                <w:i/>
                <w:iCs/>
                <w:color w:val="000000"/>
              </w:rPr>
            </w:pPr>
          </w:p>
        </w:tc>
        <w:tc>
          <w:tcPr>
            <w:tcW w:w="425" w:type="dxa"/>
          </w:tcPr>
          <w:p w:rsidR="00092F11" w:rsidRDefault="00092F11" w:rsidP="001C3EC4">
            <w:pPr>
              <w:jc w:val="center"/>
            </w:pPr>
          </w:p>
          <w:p w:rsidR="00092F11" w:rsidRDefault="00092F11" w:rsidP="001C3EC4">
            <w:pPr>
              <w:jc w:val="center"/>
            </w:pPr>
          </w:p>
          <w:p w:rsidR="00092F11" w:rsidRDefault="00092F11" w:rsidP="001C3EC4">
            <w:pPr>
              <w:jc w:val="center"/>
            </w:pPr>
          </w:p>
          <w:p w:rsidR="00092F11" w:rsidRDefault="00092F11" w:rsidP="001C3EC4">
            <w:pPr>
              <w:jc w:val="center"/>
            </w:pPr>
          </w:p>
          <w:p w:rsidR="00092F11" w:rsidRDefault="00092F11" w:rsidP="001C3EC4">
            <w:pPr>
              <w:jc w:val="center"/>
            </w:pPr>
          </w:p>
          <w:p w:rsidR="00092F11" w:rsidRDefault="00092F11" w:rsidP="001C3EC4">
            <w:pPr>
              <w:jc w:val="center"/>
            </w:pPr>
          </w:p>
          <w:p w:rsidR="00092F11" w:rsidRDefault="00092F11" w:rsidP="001C3EC4">
            <w:pPr>
              <w:jc w:val="center"/>
            </w:pPr>
          </w:p>
          <w:p w:rsidR="00092F11" w:rsidRDefault="004E5506" w:rsidP="001C3EC4">
            <w:pPr>
              <w:jc w:val="center"/>
            </w:pPr>
            <w:r>
              <w:t>n.a.</w:t>
            </w:r>
          </w:p>
          <w:p w:rsidR="00C66884" w:rsidRDefault="00C66884" w:rsidP="001C3EC4">
            <w:pPr>
              <w:jc w:val="center"/>
            </w:pPr>
          </w:p>
          <w:p w:rsidR="00C66884" w:rsidRDefault="00C66884" w:rsidP="001C3EC4">
            <w:pPr>
              <w:jc w:val="center"/>
            </w:pPr>
          </w:p>
          <w:p w:rsidR="00C66884" w:rsidRDefault="00C66884" w:rsidP="001C3EC4">
            <w:pPr>
              <w:jc w:val="center"/>
            </w:pPr>
          </w:p>
          <w:p w:rsidR="00C66884" w:rsidRDefault="00C66884" w:rsidP="001C3EC4">
            <w:pPr>
              <w:jc w:val="center"/>
            </w:pPr>
          </w:p>
          <w:p w:rsidR="00C66884" w:rsidRDefault="00C66884" w:rsidP="001C3EC4">
            <w:pPr>
              <w:jc w:val="center"/>
            </w:pPr>
          </w:p>
          <w:p w:rsidR="00C66884" w:rsidRDefault="00C66884"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r>
              <w:t>n.a.</w:t>
            </w: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r>
              <w:t>n.a.</w:t>
            </w: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r>
              <w:t>n.a.</w:t>
            </w: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A8163D" w:rsidP="001C3EC4">
            <w:pPr>
              <w:jc w:val="center"/>
            </w:pPr>
            <w:r>
              <w:t>N</w:t>
            </w: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AE3B44" w:rsidRDefault="00AE3B44" w:rsidP="001C3EC4">
            <w:pPr>
              <w:jc w:val="center"/>
            </w:pPr>
          </w:p>
          <w:p w:rsidR="004E5506" w:rsidRDefault="004E5506" w:rsidP="001C3EC4">
            <w:pPr>
              <w:jc w:val="center"/>
            </w:pPr>
          </w:p>
          <w:p w:rsidR="004E5506" w:rsidRDefault="004E5506" w:rsidP="001C3EC4">
            <w:pPr>
              <w:jc w:val="center"/>
            </w:pPr>
          </w:p>
          <w:p w:rsidR="004E5506" w:rsidRDefault="002845C9" w:rsidP="001C3EC4">
            <w:pPr>
              <w:jc w:val="center"/>
            </w:pPr>
            <w:r>
              <w:t>N</w:t>
            </w: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826D99" w:rsidRDefault="00826D99" w:rsidP="001C3EC4">
            <w:pPr>
              <w:jc w:val="center"/>
            </w:pPr>
            <w:r>
              <w:t>N</w:t>
            </w:r>
          </w:p>
          <w:p w:rsidR="00C66884" w:rsidRDefault="00C66884" w:rsidP="001C3EC4">
            <w:pPr>
              <w:jc w:val="center"/>
            </w:pPr>
          </w:p>
        </w:tc>
        <w:tc>
          <w:tcPr>
            <w:tcW w:w="426" w:type="dxa"/>
          </w:tcPr>
          <w:p w:rsidR="00092F11" w:rsidRDefault="00092F11" w:rsidP="001C3EC4"/>
        </w:tc>
        <w:tc>
          <w:tcPr>
            <w:tcW w:w="897" w:type="dxa"/>
            <w:gridSpan w:val="2"/>
          </w:tcPr>
          <w:p w:rsidR="00092F11" w:rsidRDefault="00092F11"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EF6C49" w:rsidRDefault="00EF6C49" w:rsidP="001C3EC4">
            <w:pPr>
              <w:jc w:val="center"/>
            </w:pPr>
          </w:p>
          <w:p w:rsidR="00CF668C" w:rsidRDefault="00CF668C"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42222B" w:rsidRDefault="00D46A56" w:rsidP="001C3EC4">
            <w:pPr>
              <w:jc w:val="center"/>
            </w:pPr>
            <w:r>
              <w:t>Č: II</w:t>
            </w:r>
          </w:p>
          <w:p w:rsidR="00E60C66" w:rsidRDefault="00E60C66" w:rsidP="001C3EC4">
            <w:pPr>
              <w:jc w:val="center"/>
            </w:pPr>
          </w:p>
          <w:p w:rsidR="00E60C66" w:rsidRDefault="00E60C66" w:rsidP="001C3EC4">
            <w:pPr>
              <w:jc w:val="center"/>
            </w:pPr>
          </w:p>
          <w:p w:rsidR="00E60C66" w:rsidRDefault="00E60C66" w:rsidP="001C3EC4">
            <w:pPr>
              <w:jc w:val="center"/>
            </w:pPr>
          </w:p>
          <w:p w:rsidR="0042222B" w:rsidRDefault="0042222B" w:rsidP="001C3EC4">
            <w:pPr>
              <w:jc w:val="center"/>
            </w:pPr>
          </w:p>
          <w:p w:rsidR="00A8163D" w:rsidRDefault="00A8163D" w:rsidP="001C3EC4">
            <w:pPr>
              <w:jc w:val="center"/>
            </w:pPr>
          </w:p>
          <w:p w:rsidR="00E60C66" w:rsidRDefault="00E60C66" w:rsidP="001C3EC4">
            <w:pPr>
              <w:jc w:val="center"/>
            </w:pPr>
          </w:p>
          <w:p w:rsidR="00E60C66" w:rsidRDefault="00E60C66"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E60C66" w:rsidRDefault="00E60C66" w:rsidP="001C3EC4">
            <w:pPr>
              <w:jc w:val="center"/>
            </w:pPr>
          </w:p>
          <w:p w:rsidR="00E60C66" w:rsidRDefault="00D46A56" w:rsidP="001C3EC4">
            <w:pPr>
              <w:jc w:val="center"/>
            </w:pPr>
            <w:r>
              <w:t>III.</w:t>
            </w:r>
          </w:p>
          <w:p w:rsidR="00D46A56" w:rsidRDefault="00D46A56" w:rsidP="001C3EC4">
            <w:pPr>
              <w:jc w:val="center"/>
            </w:pPr>
            <w:r>
              <w:t>§ 35</w:t>
            </w:r>
          </w:p>
          <w:p w:rsidR="00D46A56" w:rsidRDefault="00D46A56" w:rsidP="001C3EC4">
            <w:pPr>
              <w:jc w:val="center"/>
            </w:pPr>
            <w:r>
              <w:t>O. 7</w:t>
            </w: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r>
              <w:t>§ 4</w:t>
            </w:r>
            <w:r w:rsidR="003F2DEC">
              <w:t>2c</w:t>
            </w: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p>
          <w:p w:rsidR="00E60C66" w:rsidRDefault="00E60C66" w:rsidP="001C3EC4">
            <w:pPr>
              <w:jc w:val="center"/>
            </w:pPr>
            <w:r>
              <w:t>B: 12</w:t>
            </w:r>
          </w:p>
          <w:p w:rsidR="00E60C66" w:rsidRDefault="00E60C66" w:rsidP="001C3EC4">
            <w:pPr>
              <w:jc w:val="center"/>
            </w:pPr>
          </w:p>
          <w:p w:rsidR="00E60C66" w:rsidRDefault="00E60C66" w:rsidP="001C3EC4">
            <w:pPr>
              <w:jc w:val="center"/>
            </w:pPr>
          </w:p>
          <w:p w:rsidR="00A8163D" w:rsidRDefault="00A8163D" w:rsidP="001C3EC4">
            <w:pPr>
              <w:jc w:val="center"/>
            </w:pPr>
            <w:r>
              <w:t xml:space="preserve">Príloha </w:t>
            </w:r>
            <w:r w:rsidR="003F2DEC">
              <w:t>3</w:t>
            </w:r>
          </w:p>
          <w:p w:rsidR="00A8163D" w:rsidRDefault="00A8163D">
            <w:pPr>
              <w:jc w:val="center"/>
            </w:pPr>
          </w:p>
        </w:tc>
        <w:tc>
          <w:tcPr>
            <w:tcW w:w="4489" w:type="dxa"/>
          </w:tcPr>
          <w:p w:rsidR="00C66884" w:rsidRDefault="00C66884">
            <w:pPr>
              <w:pStyle w:val="Odsekzoznamu"/>
              <w:ind w:left="0" w:hanging="54"/>
              <w:jc w:val="left"/>
            </w:pPr>
          </w:p>
          <w:p w:rsidR="00826D99" w:rsidRDefault="00826D99">
            <w:pPr>
              <w:pStyle w:val="Odsekzoznamu"/>
              <w:ind w:left="0" w:hanging="54"/>
              <w:jc w:val="left"/>
            </w:pPr>
          </w:p>
          <w:p w:rsidR="00826D99" w:rsidRDefault="00826D99">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D46A56" w:rsidRDefault="00D46A56" w:rsidP="00D46A56">
            <w:pPr>
              <w:jc w:val="center"/>
              <w:rPr>
                <w:b/>
              </w:rPr>
            </w:pPr>
          </w:p>
          <w:p w:rsidR="00D46A56" w:rsidRDefault="00D46A56" w:rsidP="00D46A56">
            <w:pPr>
              <w:jc w:val="center"/>
              <w:rPr>
                <w:b/>
              </w:rPr>
            </w:pPr>
          </w:p>
          <w:p w:rsidR="00D46A56" w:rsidRDefault="00D46A56" w:rsidP="00D46A56">
            <w:pPr>
              <w:jc w:val="center"/>
              <w:rPr>
                <w:b/>
              </w:rPr>
            </w:pPr>
          </w:p>
          <w:p w:rsidR="00D46A56" w:rsidRDefault="00D46A56" w:rsidP="00D46A56">
            <w:pPr>
              <w:jc w:val="center"/>
              <w:rPr>
                <w:b/>
              </w:rPr>
            </w:pPr>
          </w:p>
          <w:p w:rsidR="00D46A56" w:rsidRPr="00206349" w:rsidRDefault="00D46A56" w:rsidP="00D46A56">
            <w:pPr>
              <w:jc w:val="center"/>
              <w:rPr>
                <w:b/>
              </w:rPr>
            </w:pPr>
            <w:r w:rsidRPr="00206349">
              <w:rPr>
                <w:b/>
              </w:rPr>
              <w:t>Čl. II</w:t>
            </w:r>
          </w:p>
          <w:p w:rsidR="00D46A56" w:rsidRPr="00206349" w:rsidRDefault="00D46A56" w:rsidP="00D46A56">
            <w:pPr>
              <w:jc w:val="center"/>
            </w:pPr>
          </w:p>
          <w:p w:rsidR="00D46A56" w:rsidRPr="00206349" w:rsidRDefault="00D46A56" w:rsidP="00D46A56">
            <w:pPr>
              <w:ind w:firstLine="709"/>
            </w:pPr>
            <w:r w:rsidRPr="00206349">
              <w:t xml:space="preserve">Tento zákon nadobúda účinnosť 1. </w:t>
            </w:r>
            <w:r>
              <w:t>októbra</w:t>
            </w:r>
            <w:r w:rsidRPr="00206349">
              <w:t xml:space="preserve">  201</w:t>
            </w:r>
            <w:r>
              <w:t>8</w:t>
            </w:r>
            <w:r w:rsidRPr="00206349">
              <w:t>.</w:t>
            </w:r>
          </w:p>
          <w:p w:rsidR="004E5506" w:rsidRDefault="004E5506">
            <w:pPr>
              <w:pStyle w:val="Odsekzoznamu"/>
              <w:ind w:left="0" w:hanging="54"/>
              <w:jc w:val="left"/>
            </w:pPr>
          </w:p>
          <w:p w:rsidR="004E5506" w:rsidRDefault="004E5506">
            <w:pPr>
              <w:pStyle w:val="Odsekzoznamu"/>
              <w:ind w:left="0" w:hanging="54"/>
              <w:jc w:val="left"/>
            </w:pPr>
          </w:p>
          <w:p w:rsidR="004E5506" w:rsidRDefault="004E5506">
            <w:pPr>
              <w:pStyle w:val="Odsekzoznamu"/>
              <w:ind w:left="0" w:hanging="54"/>
              <w:jc w:val="left"/>
            </w:pPr>
          </w:p>
          <w:p w:rsidR="002845C9" w:rsidRDefault="002845C9"/>
          <w:p w:rsidR="002845C9" w:rsidRDefault="002845C9"/>
          <w:p w:rsidR="002845C9" w:rsidRDefault="002845C9"/>
          <w:p w:rsidR="002845C9" w:rsidRDefault="002845C9"/>
          <w:p w:rsidR="00826D99" w:rsidRDefault="00826D99"/>
          <w:p w:rsidR="00826D99" w:rsidRDefault="00D46A56">
            <w:r w:rsidRPr="00CC43DF">
              <w:rPr>
                <w:iCs/>
              </w:rPr>
              <w:t>Ministerstvá a ostatné ústredné orgány štátnej správy v rozsahu vymedzenej pôsobnosti plnia voči orgánom Európskej únie informačnú a oznamovaciu povinnosť, ktorá im vyplýva z právne záväzných aktov týchto orgánov</w:t>
            </w:r>
            <w:r>
              <w:t>.“</w:t>
            </w:r>
          </w:p>
          <w:p w:rsidR="00826D99" w:rsidRDefault="00826D99"/>
          <w:p w:rsidR="002845C9" w:rsidRDefault="002845C9"/>
          <w:p w:rsidR="002845C9" w:rsidRDefault="002845C9"/>
          <w:p w:rsidR="003F2DEC" w:rsidRPr="00B92D96" w:rsidRDefault="003F2DEC" w:rsidP="00CC43DF">
            <w:pPr>
              <w:spacing w:after="160"/>
              <w:contextualSpacing/>
            </w:pPr>
            <w:r w:rsidRPr="00B92D96">
              <w:t>Za § 4</w:t>
            </w:r>
            <w:r>
              <w:t>2b</w:t>
            </w:r>
            <w:r w:rsidRPr="00B92D96">
              <w:t xml:space="preserve"> sa vkladá § 4</w:t>
            </w:r>
            <w:r>
              <w:t>2c</w:t>
            </w:r>
            <w:r w:rsidRPr="00B92D96">
              <w:t>, ktorý znie:</w:t>
            </w:r>
          </w:p>
          <w:p w:rsidR="003F2DEC" w:rsidRDefault="003F2DEC" w:rsidP="00CC43DF">
            <w:pPr>
              <w:ind w:left="426"/>
              <w:jc w:val="center"/>
            </w:pPr>
          </w:p>
          <w:p w:rsidR="003F2DEC" w:rsidRDefault="003F2DEC" w:rsidP="00CC43DF">
            <w:pPr>
              <w:ind w:left="426"/>
              <w:jc w:val="center"/>
            </w:pPr>
            <w:r>
              <w:t>§ 42c</w:t>
            </w:r>
          </w:p>
          <w:p w:rsidR="003F2DEC" w:rsidRDefault="003F2DEC" w:rsidP="00CC43DF">
            <w:pPr>
              <w:ind w:left="-54"/>
            </w:pPr>
            <w:r w:rsidRPr="004C3BE1">
              <w:t>Týmto zákonom sa preberajú právne záväzné akty Európskej únie uvedené v prílohe č. 3.“.</w:t>
            </w:r>
          </w:p>
          <w:p w:rsidR="004E5506" w:rsidRDefault="004E5506"/>
          <w:p w:rsidR="00826D99" w:rsidRDefault="00826D99"/>
          <w:p w:rsidR="004E5506" w:rsidRPr="00C2424A" w:rsidRDefault="004E5506">
            <w:pPr>
              <w:tabs>
                <w:tab w:val="left" w:pos="426"/>
              </w:tabs>
              <w:contextualSpacing/>
            </w:pPr>
            <w:r>
              <w:t>Zákon sa dopĺňa p</w:t>
            </w:r>
            <w:r w:rsidRPr="00836DE9">
              <w:t>ríloh</w:t>
            </w:r>
            <w:r>
              <w:t>ou</w:t>
            </w:r>
            <w:r w:rsidRPr="00836DE9">
              <w:t xml:space="preserve"> č. 3</w:t>
            </w:r>
            <w:r>
              <w:t>, ktorá</w:t>
            </w:r>
            <w:r w:rsidRPr="00836DE9">
              <w:t xml:space="preserve"> vrátane nadpisu znie:</w:t>
            </w:r>
          </w:p>
          <w:p w:rsidR="004E5506" w:rsidRPr="00C2424A" w:rsidRDefault="004E5506">
            <w:pPr>
              <w:pStyle w:val="Odsekzoznamu"/>
              <w:tabs>
                <w:tab w:val="left" w:pos="426"/>
                <w:tab w:val="left" w:pos="4770"/>
              </w:tabs>
              <w:jc w:val="left"/>
            </w:pPr>
            <w:r w:rsidRPr="00C2424A">
              <w:tab/>
            </w:r>
          </w:p>
          <w:p w:rsidR="004E5506" w:rsidRDefault="004E5506" w:rsidP="00CC43DF">
            <w:pPr>
              <w:pStyle w:val="Odsekzoznamu"/>
              <w:tabs>
                <w:tab w:val="left" w:pos="426"/>
              </w:tabs>
              <w:ind w:left="88"/>
              <w:jc w:val="left"/>
            </w:pPr>
            <w:r w:rsidRPr="00C2424A">
              <w:t>„</w:t>
            </w:r>
            <w:r w:rsidRPr="00836DE9">
              <w:t>Príloha č. 3 k zákonu č. 139/1998 Z. z</w:t>
            </w:r>
            <w:r>
              <w:t>.</w:t>
            </w:r>
          </w:p>
          <w:p w:rsidR="004E5506" w:rsidRPr="00C2424A" w:rsidRDefault="004E5506" w:rsidP="00CC43DF">
            <w:pPr>
              <w:pStyle w:val="Odsekzoznamu"/>
              <w:tabs>
                <w:tab w:val="left" w:pos="426"/>
              </w:tabs>
              <w:jc w:val="left"/>
            </w:pPr>
          </w:p>
          <w:p w:rsidR="004E5506" w:rsidRPr="00C2424A" w:rsidRDefault="004E5506" w:rsidP="00CC43DF">
            <w:pPr>
              <w:pStyle w:val="Odsekzoznamu"/>
              <w:ind w:left="88"/>
              <w:jc w:val="left"/>
            </w:pPr>
            <w:r w:rsidRPr="00C2424A">
              <w:t>Zoznam preberaných právne záväzných aktov Európskej únie</w:t>
            </w:r>
          </w:p>
          <w:p w:rsidR="004E5506" w:rsidRPr="00C2424A" w:rsidRDefault="004E5506" w:rsidP="00CC43DF">
            <w:pPr>
              <w:pStyle w:val="Odsekzoznamu"/>
              <w:ind w:left="0"/>
              <w:jc w:val="left"/>
            </w:pPr>
          </w:p>
          <w:p w:rsidR="00EF6C49" w:rsidRPr="0015396C" w:rsidRDefault="004E5506">
            <w:r w:rsidRPr="00836DE9">
              <w:t xml:space="preserve">Rámcové rozhodnutie Rady 2004/757/SVV z 25. októbra 2004, ktorým sa stanovujú minimálne ustanovenia o znakoch skutkových podstát trestných činov a trestov </w:t>
            </w:r>
            <w:r w:rsidRPr="00836DE9">
              <w:lastRenderedPageBreak/>
              <w:t>v oblasti nezákonného obchodu s drogami (Ú. v. EÚ L 335, 11. 11. 2004) v znení smernice (EÚ) 2017/2103 z 15. novembra 2017 (Ú. v. EÚ L 305, 21. 11. 2017)</w:t>
            </w:r>
            <w:r w:rsidRPr="00836DE9">
              <w:rPr>
                <w:bCs/>
                <w:color w:val="000000"/>
              </w:rPr>
              <w:t>.“.</w:t>
            </w:r>
          </w:p>
        </w:tc>
        <w:tc>
          <w:tcPr>
            <w:tcW w:w="776" w:type="dxa"/>
          </w:tcPr>
          <w:p w:rsidR="00C66884" w:rsidRDefault="00C66884"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A8163D" w:rsidRDefault="00A8163D" w:rsidP="001C3EC4">
            <w:pPr>
              <w:jc w:val="center"/>
            </w:pPr>
          </w:p>
          <w:p w:rsidR="004E5506" w:rsidRDefault="004E5506" w:rsidP="001C3EC4">
            <w:pPr>
              <w:jc w:val="center"/>
            </w:pPr>
          </w:p>
          <w:p w:rsidR="002845C9" w:rsidRDefault="002845C9" w:rsidP="001C3EC4">
            <w:pPr>
              <w:jc w:val="center"/>
            </w:pPr>
          </w:p>
          <w:p w:rsidR="002845C9" w:rsidRDefault="002845C9" w:rsidP="001C3EC4">
            <w:pPr>
              <w:jc w:val="center"/>
            </w:pPr>
          </w:p>
          <w:p w:rsidR="00A8163D" w:rsidRDefault="00A8163D" w:rsidP="001C3EC4">
            <w:pPr>
              <w:jc w:val="center"/>
            </w:pPr>
            <w:r>
              <w:t>Ú</w:t>
            </w: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r>
              <w:t>Ú</w:t>
            </w: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AE3B44" w:rsidRDefault="00AE3B44" w:rsidP="001C3EC4">
            <w:pPr>
              <w:jc w:val="center"/>
            </w:pPr>
          </w:p>
          <w:p w:rsidR="00AE3B44" w:rsidRDefault="00AE3B44" w:rsidP="001C3EC4">
            <w:pPr>
              <w:jc w:val="center"/>
            </w:pPr>
          </w:p>
          <w:p w:rsidR="00AE3B44" w:rsidRDefault="00AE3B44" w:rsidP="001C3EC4">
            <w:pPr>
              <w:jc w:val="center"/>
            </w:pPr>
          </w:p>
          <w:p w:rsidR="00826D99" w:rsidRDefault="00AE3B44" w:rsidP="001C3EC4">
            <w:pPr>
              <w:jc w:val="center"/>
            </w:pPr>
            <w:r>
              <w:t>Ú</w:t>
            </w: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p>
          <w:p w:rsidR="002845C9" w:rsidRDefault="002845C9" w:rsidP="001C3EC4">
            <w:pPr>
              <w:jc w:val="center"/>
            </w:pPr>
            <w:r>
              <w:t>Ú</w:t>
            </w:r>
          </w:p>
          <w:p w:rsidR="00826D99" w:rsidRDefault="00826D99"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4E5506" w:rsidP="001C3EC4">
            <w:pPr>
              <w:jc w:val="center"/>
            </w:pPr>
          </w:p>
          <w:p w:rsidR="004E5506" w:rsidRDefault="002845C9" w:rsidP="001C3EC4">
            <w:pPr>
              <w:jc w:val="center"/>
            </w:pPr>
            <w:r>
              <w:t>Ú</w:t>
            </w:r>
          </w:p>
          <w:p w:rsidR="004E5506" w:rsidRDefault="004E5506" w:rsidP="001C3EC4">
            <w:pPr>
              <w:jc w:val="center"/>
            </w:pPr>
          </w:p>
          <w:p w:rsidR="004E5506" w:rsidRDefault="004E5506"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p w:rsidR="00826D99" w:rsidRDefault="00826D99" w:rsidP="001C3EC4">
            <w:pPr>
              <w:jc w:val="center"/>
            </w:pPr>
          </w:p>
        </w:tc>
        <w:tc>
          <w:tcPr>
            <w:tcW w:w="1209" w:type="dxa"/>
          </w:tcPr>
          <w:p w:rsidR="00092F11" w:rsidRDefault="00092F11" w:rsidP="001C3EC4">
            <w:pPr>
              <w:jc w:val="center"/>
            </w:pPr>
          </w:p>
        </w:tc>
      </w:tr>
      <w:tr w:rsidR="00CF2F49" w:rsidTr="00780A28">
        <w:tc>
          <w:tcPr>
            <w:tcW w:w="921"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Čl. 1</w:t>
            </w:r>
          </w:p>
          <w:p w:rsidR="00CF2F49" w:rsidRDefault="00CF2F49" w:rsidP="00CF2F49">
            <w:pPr>
              <w:jc w:val="center"/>
            </w:pPr>
            <w:r>
              <w:t>Čl.: 1b</w:t>
            </w:r>
          </w:p>
          <w:p w:rsidR="00CF2F49" w:rsidRDefault="00CF2F49" w:rsidP="00CF2F49">
            <w:pPr>
              <w:jc w:val="center"/>
            </w:pPr>
          </w:p>
          <w:p w:rsidR="00CF2F49" w:rsidRDefault="00CF2F49" w:rsidP="00CF2F49">
            <w:pPr>
              <w:jc w:val="center"/>
            </w:pPr>
          </w:p>
          <w:p w:rsidR="00CF2F49" w:rsidRDefault="00CF2F49" w:rsidP="00CF2F49">
            <w:pPr>
              <w:jc w:val="center"/>
            </w:pPr>
            <w:r>
              <w:t>O: 1</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tc>
        <w:tc>
          <w:tcPr>
            <w:tcW w:w="4961" w:type="dxa"/>
          </w:tcPr>
          <w:p w:rsidR="00CF2F49" w:rsidRPr="00CC43DF" w:rsidRDefault="00CF2F49" w:rsidP="00CF2F49">
            <w:pPr>
              <w:spacing w:before="360" w:after="120"/>
              <w:jc w:val="center"/>
              <w:rPr>
                <w:iCs/>
                <w:color w:val="000000"/>
              </w:rPr>
            </w:pPr>
            <w:r w:rsidRPr="00CC43DF">
              <w:rPr>
                <w:iCs/>
                <w:color w:val="000000"/>
              </w:rPr>
              <w:t>Článok 1b</w:t>
            </w:r>
          </w:p>
          <w:p w:rsidR="00CF2F49" w:rsidRPr="00103480" w:rsidRDefault="00CF2F49" w:rsidP="00CF2F49">
            <w:pPr>
              <w:spacing w:before="60" w:after="120"/>
              <w:jc w:val="center"/>
              <w:rPr>
                <w:b/>
                <w:bCs/>
                <w:color w:val="000000"/>
              </w:rPr>
            </w:pPr>
            <w:r w:rsidRPr="00103480">
              <w:rPr>
                <w:b/>
                <w:bCs/>
                <w:color w:val="000000"/>
              </w:rPr>
              <w:t>Vnútroštátne kontrolné opatrenia</w:t>
            </w:r>
          </w:p>
          <w:p w:rsidR="00CF2F49" w:rsidRPr="00103480" w:rsidRDefault="00CF2F49" w:rsidP="00CF2F49">
            <w:pPr>
              <w:spacing w:before="120"/>
              <w:rPr>
                <w:color w:val="000000"/>
              </w:rPr>
            </w:pPr>
            <w:r w:rsidRPr="00103480">
              <w:rPr>
                <w:color w:val="000000"/>
              </w:rPr>
              <w:t>Bez toho, aby boli dotknuté povinnosti uložené členským štátom na základe tohto rámcového rozhodnutia, členské štáty môžu, so zreteľom na nové psychoaktívne látky, zachovať alebo zaviesť na svojom území akékoľvek vnútroštátne kontrolné opatrenia, ktoré považujú za vhodné.</w:t>
            </w:r>
          </w:p>
          <w:p w:rsidR="00CF2F49" w:rsidRPr="002F4566" w:rsidRDefault="00E6495F" w:rsidP="00CF2F49">
            <w:pPr>
              <w:spacing w:before="360" w:after="120"/>
              <w:rPr>
                <w:i/>
                <w:iCs/>
                <w:color w:val="000000"/>
              </w:rPr>
            </w:pPr>
            <w:hyperlink r:id="rId8" w:anchor="ntc*1-L_2017305SK.01001201-E0008" w:history="1">
              <w:r w:rsidR="00CF2F49" w:rsidRPr="00103480">
                <w:rPr>
                  <w:color w:val="0000FF"/>
                  <w:sz w:val="19"/>
                  <w:szCs w:val="19"/>
                  <w:u w:val="single"/>
                </w:rPr>
                <w:t>(</w:t>
              </w:r>
              <w:r w:rsidR="00CF2F49" w:rsidRPr="00103480">
                <w:rPr>
                  <w:color w:val="0000FF"/>
                  <w:sz w:val="13"/>
                  <w:szCs w:val="13"/>
                  <w:u w:val="single"/>
                  <w:vertAlign w:val="superscript"/>
                </w:rPr>
                <w:t>*1</w:t>
              </w:r>
              <w:r w:rsidR="00CF2F49" w:rsidRPr="00103480">
                <w:rPr>
                  <w:color w:val="0000FF"/>
                  <w:sz w:val="19"/>
                  <w:szCs w:val="19"/>
                  <w:u w:val="single"/>
                </w:rPr>
                <w:t>)</w:t>
              </w:r>
            </w:hyperlink>
            <w:r w:rsidR="00CF2F49" w:rsidRPr="00103480">
              <w:rPr>
                <w:color w:val="000000"/>
                <w:sz w:val="19"/>
                <w:szCs w:val="19"/>
              </w:rPr>
              <w:t> </w:t>
            </w:r>
            <w:r w:rsidR="00CF2F49" w:rsidRPr="00E60C66">
              <w:rPr>
                <w:color w:val="000000"/>
              </w:rPr>
              <w:t> Nariadenie Európskeho parlamentu a Rady (ES) č. 1920/2006 z 12. decembra 2006 o Európskom monitorovacom centre pre drogy a drogovú závislosť (</w:t>
            </w:r>
            <w:hyperlink r:id="rId9" w:history="1">
              <w:r w:rsidR="00CF2F49" w:rsidRPr="00E60C66">
                <w:rPr>
                  <w:color w:val="0000FF"/>
                  <w:u w:val="single"/>
                </w:rPr>
                <w:t>Ú. v. EÚ L 376, 27.12.2006, s. 1</w:t>
              </w:r>
            </w:hyperlink>
            <w:r w:rsidR="00CF2F49" w:rsidRPr="00E60C66">
              <w:rPr>
                <w:color w:val="000000"/>
              </w:rPr>
              <w:t>).“"</w:t>
            </w:r>
            <w:r w:rsidR="00CF2F49" w:rsidRPr="00103480">
              <w:rPr>
                <w:color w:val="000000"/>
                <w:sz w:val="19"/>
                <w:szCs w:val="19"/>
              </w:rPr>
              <w:t xml:space="preserve"> </w:t>
            </w: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tc>
        <w:tc>
          <w:tcPr>
            <w:tcW w:w="426" w:type="dxa"/>
          </w:tcPr>
          <w:p w:rsidR="00CF2F49" w:rsidRDefault="00CF2F49" w:rsidP="00CF2F49"/>
        </w:tc>
        <w:tc>
          <w:tcPr>
            <w:tcW w:w="897" w:type="dxa"/>
            <w:gridSpan w:val="2"/>
          </w:tcPr>
          <w:p w:rsidR="00CF2F49" w:rsidRDefault="00466914" w:rsidP="00CF2F49">
            <w:pPr>
              <w:jc w:val="center"/>
            </w:pPr>
            <w:r>
              <w:t>II.</w:t>
            </w:r>
          </w:p>
          <w:p w:rsidR="00CF2F49" w:rsidRDefault="00CF2F49" w:rsidP="00CF2F49">
            <w:pPr>
              <w:jc w:val="center"/>
            </w:pPr>
          </w:p>
          <w:p w:rsidR="00CF2F49" w:rsidRDefault="00CF2F49" w:rsidP="00CF2F49">
            <w:pPr>
              <w:jc w:val="center"/>
            </w:pPr>
            <w:r>
              <w:t>§ 3</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1</w:t>
            </w:r>
          </w:p>
        </w:tc>
        <w:tc>
          <w:tcPr>
            <w:tcW w:w="4489" w:type="dxa"/>
          </w:tcPr>
          <w:p w:rsidR="00CF2F49" w:rsidRDefault="00CF2F49" w:rsidP="00CF2F49">
            <w:pPr>
              <w:pStyle w:val="Odsekzoznamu"/>
              <w:ind w:left="0"/>
              <w:jc w:val="center"/>
            </w:pPr>
          </w:p>
          <w:p w:rsidR="00CF2F49" w:rsidRDefault="00CF2F49" w:rsidP="00CF2F49">
            <w:pPr>
              <w:pStyle w:val="Odsekzoznamu"/>
              <w:ind w:left="0"/>
              <w:jc w:val="center"/>
            </w:pPr>
          </w:p>
          <w:p w:rsidR="00CF2F49" w:rsidRDefault="00CF2F49" w:rsidP="00CF2F49">
            <w:pPr>
              <w:pStyle w:val="Odsekzoznamu"/>
              <w:ind w:left="0"/>
              <w:jc w:val="center"/>
            </w:pPr>
            <w:r>
              <w:t>§ 3</w:t>
            </w:r>
          </w:p>
          <w:p w:rsidR="00CF2F49" w:rsidRDefault="00CF2F49" w:rsidP="00CF2F49">
            <w:pPr>
              <w:pStyle w:val="Odsekzoznamu"/>
            </w:pPr>
          </w:p>
          <w:p w:rsidR="00CF2F49" w:rsidRDefault="00CF2F49" w:rsidP="00CF2F49">
            <w:pPr>
              <w:pStyle w:val="Odsekzoznamu"/>
              <w:ind w:left="0"/>
              <w:jc w:val="center"/>
            </w:pPr>
            <w:r>
              <w:t>Zaraďovanie omamných látok a psychotropných látok</w:t>
            </w:r>
          </w:p>
          <w:p w:rsidR="00CF2F49" w:rsidRDefault="00CF2F49" w:rsidP="00CF2F49">
            <w:pPr>
              <w:pStyle w:val="Odsekzoznamu"/>
            </w:pPr>
          </w:p>
          <w:p w:rsidR="00CF2F49" w:rsidRPr="00E60C66" w:rsidRDefault="00CF2F49" w:rsidP="00CF2F49">
            <w:pPr>
              <w:pStyle w:val="Odsekzoznamu"/>
              <w:ind w:left="0"/>
              <w:jc w:val="left"/>
              <w:rPr>
                <w:b/>
              </w:rPr>
            </w:pPr>
            <w:r>
              <w:t xml:space="preserve">(1) Omamné látky a psychotropné látky sa zaraďujú podľa ich účinkov na zdravie do troch skupín uvedených v prílohe č. 1, z ktorých sa vyraďujú alebo preraďujú do inej skupiny podľa rozhodnutia Medzinárodného úradu pre kontrolu omamných látok pri Organizácii Spojených národov (ďalej len "medzinárodný úrad"), na základe právne záväzných aktov Európskej únie </w:t>
            </w:r>
            <w:r w:rsidRPr="00E60C66">
              <w:rPr>
                <w:b/>
              </w:rPr>
              <w:t>alebo na základe odôvodneného podnetu Ministerstva zdravotníctva Slovenskej republiky (ďalej len "ministerstvo").</w:t>
            </w:r>
          </w:p>
          <w:p w:rsidR="00CF2F49" w:rsidRPr="00FD6B2D" w:rsidDel="00ED2EDC" w:rsidRDefault="00CF2F49" w:rsidP="00CF2F49"/>
        </w:tc>
        <w:tc>
          <w:tcPr>
            <w:tcW w:w="776"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Ú</w:t>
            </w:r>
          </w:p>
        </w:tc>
        <w:tc>
          <w:tcPr>
            <w:tcW w:w="1209"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tc>
      </w:tr>
      <w:tr w:rsidR="00CF2F49" w:rsidTr="00780A28">
        <w:tc>
          <w:tcPr>
            <w:tcW w:w="921" w:type="dxa"/>
          </w:tcPr>
          <w:p w:rsidR="00CF2F49" w:rsidRDefault="00CF2F49" w:rsidP="00CF2F49">
            <w:pPr>
              <w:jc w:val="center"/>
            </w:pPr>
            <w:r>
              <w:t>Čl. 1</w:t>
            </w:r>
          </w:p>
          <w:p w:rsidR="00CF2F49" w:rsidRDefault="00CF2F49" w:rsidP="00CF2F49">
            <w:pPr>
              <w:jc w:val="center"/>
            </w:pPr>
          </w:p>
          <w:p w:rsidR="00CF2F49" w:rsidRDefault="00CF2F49" w:rsidP="00CF2F49">
            <w:pPr>
              <w:jc w:val="center"/>
            </w:pPr>
          </w:p>
          <w:p w:rsidR="00CF2F49" w:rsidRDefault="00CF2F49" w:rsidP="00CF2F49">
            <w:pPr>
              <w:jc w:val="center"/>
            </w:pPr>
            <w:r>
              <w:t>Čl. 8a</w:t>
            </w:r>
          </w:p>
          <w:p w:rsidR="00CF2F49" w:rsidRDefault="00CF2F49" w:rsidP="00CF2F49">
            <w:pPr>
              <w:jc w:val="center"/>
            </w:pPr>
          </w:p>
          <w:p w:rsidR="00CF2F49" w:rsidRDefault="00CF2F49" w:rsidP="00CF2F49">
            <w:pPr>
              <w:jc w:val="center"/>
            </w:pPr>
            <w:r>
              <w:t>O: 1</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2</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3</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4</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5</w:t>
            </w:r>
          </w:p>
          <w:p w:rsidR="00CF2F49" w:rsidRDefault="00CF2F49" w:rsidP="00CF2F49">
            <w:pPr>
              <w:jc w:val="center"/>
            </w:pPr>
          </w:p>
          <w:p w:rsidR="00CF2F49" w:rsidRDefault="00CF2F49" w:rsidP="00CF2F49">
            <w:pPr>
              <w:jc w:val="center"/>
            </w:pPr>
          </w:p>
          <w:p w:rsidR="00CF2F49" w:rsidRDefault="00CF2F49" w:rsidP="00CF2F49">
            <w:pPr>
              <w:jc w:val="center"/>
            </w:pPr>
            <w:r>
              <w:lastRenderedPageBreak/>
              <w:t>O:6</w:t>
            </w:r>
          </w:p>
          <w:p w:rsidR="00CF2F49" w:rsidRDefault="00CF2F49" w:rsidP="00CF2F49">
            <w:pPr>
              <w:jc w:val="center"/>
            </w:pPr>
          </w:p>
          <w:p w:rsidR="00CF2F49" w:rsidRDefault="00CF2F49" w:rsidP="00CF2F49">
            <w:pPr>
              <w:jc w:val="center"/>
            </w:pPr>
          </w:p>
        </w:tc>
        <w:tc>
          <w:tcPr>
            <w:tcW w:w="4961" w:type="dxa"/>
          </w:tcPr>
          <w:p w:rsidR="00CF2F49" w:rsidRPr="00103480" w:rsidRDefault="00CF2F49" w:rsidP="00CF2F49">
            <w:pPr>
              <w:spacing w:before="120"/>
              <w:rPr>
                <w:color w:val="000000"/>
              </w:rPr>
            </w:pPr>
            <w:r w:rsidRPr="00103480">
              <w:rPr>
                <w:color w:val="000000"/>
              </w:rPr>
              <w:lastRenderedPageBreak/>
              <w:t>Vkladá sa tento článok:</w:t>
            </w:r>
          </w:p>
          <w:p w:rsidR="00CF2F49" w:rsidRPr="00103480" w:rsidRDefault="00CF2F49" w:rsidP="00CF2F49">
            <w:pPr>
              <w:spacing w:before="360" w:after="120"/>
              <w:jc w:val="center"/>
              <w:rPr>
                <w:i/>
                <w:iCs/>
                <w:color w:val="000000"/>
              </w:rPr>
            </w:pPr>
            <w:r w:rsidRPr="00103480">
              <w:rPr>
                <w:i/>
                <w:iCs/>
                <w:color w:val="000000"/>
              </w:rPr>
              <w:t>„Článok 8a</w:t>
            </w:r>
          </w:p>
          <w:p w:rsidR="00CF2F49" w:rsidRPr="00103480" w:rsidRDefault="00CF2F49" w:rsidP="00CF2F49">
            <w:pPr>
              <w:spacing w:before="60" w:after="120"/>
              <w:jc w:val="center"/>
              <w:rPr>
                <w:b/>
                <w:bCs/>
                <w:color w:val="000000"/>
              </w:rPr>
            </w:pPr>
            <w:r w:rsidRPr="00103480">
              <w:rPr>
                <w:b/>
                <w:bCs/>
                <w:color w:val="000000"/>
              </w:rPr>
              <w:t>Vykonávanie delegovania právomoci</w:t>
            </w:r>
          </w:p>
          <w:p w:rsidR="00CF2F49" w:rsidRPr="00103480" w:rsidRDefault="00CF2F49" w:rsidP="00CF2F49">
            <w:pPr>
              <w:spacing w:before="120"/>
              <w:rPr>
                <w:color w:val="000000"/>
              </w:rPr>
            </w:pPr>
            <w:r w:rsidRPr="00103480">
              <w:rPr>
                <w:color w:val="000000"/>
              </w:rPr>
              <w:t>1.   Komisii sa udeľuje právomoc prijímať delegované akty za podmienok stanovených v tomto článku.</w:t>
            </w:r>
          </w:p>
          <w:p w:rsidR="00CF2F49" w:rsidRPr="00103480" w:rsidRDefault="00CF2F49" w:rsidP="00CF2F49">
            <w:pPr>
              <w:spacing w:before="120"/>
              <w:rPr>
                <w:color w:val="000000"/>
              </w:rPr>
            </w:pPr>
            <w:r w:rsidRPr="00103480">
              <w:rPr>
                <w:color w:val="000000"/>
              </w:rPr>
              <w:lastRenderedPageBreak/>
              <w:t>2.   Právomoc prijímať delegované akty uvedené v článku 1a sa Komisii udeľuje na obdobie piatich rokov od 22. novembra 2017.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p w:rsidR="00CF2F49" w:rsidRPr="00103480" w:rsidRDefault="00CF2F49" w:rsidP="00CF2F49">
            <w:pPr>
              <w:spacing w:before="120"/>
              <w:rPr>
                <w:color w:val="000000"/>
              </w:rPr>
            </w:pPr>
            <w:r w:rsidRPr="00103480">
              <w:rPr>
                <w:color w:val="000000"/>
              </w:rPr>
              <w:t>3.   Delegovanie právomoci uvedené v článku 1a môže Európsky parlament alebo Rada kedykoľvek odvolať. Rozhodnutím o odvolaní sa ukončuje delegovanie právomoci, ktoré sa v ňom uvádza. Rozhodnutie nadobúda účinnosť dňom nasledujúcim po jeho uverejnení v </w:t>
            </w:r>
            <w:r w:rsidRPr="00103480">
              <w:rPr>
                <w:i/>
                <w:iCs/>
                <w:color w:val="000000"/>
              </w:rPr>
              <w:t>Úradnom vestníku Európskej únie</w:t>
            </w:r>
            <w:r w:rsidRPr="00103480">
              <w:rPr>
                <w:color w:val="000000"/>
              </w:rPr>
              <w:t xml:space="preserve"> alebo k neskoršiemu dátumu, ktorý je v ňom určený. Nie je ním dotknutá platnosť delegovaných aktov, ktoré už nadobudli účinnosť.</w:t>
            </w:r>
          </w:p>
          <w:p w:rsidR="00CF2F49" w:rsidRPr="00103480" w:rsidRDefault="00CF2F49" w:rsidP="00CF2F49">
            <w:pPr>
              <w:spacing w:before="120"/>
              <w:rPr>
                <w:color w:val="000000"/>
              </w:rPr>
            </w:pPr>
            <w:r w:rsidRPr="00103480">
              <w:rPr>
                <w:color w:val="000000"/>
              </w:rPr>
              <w:t>4.   Komisia pred prijatím delegovaného aktu konzultuje s expertmi určenými jednotlivými členskými štátmi v súlade so zásadami stanovenými v Medziinštitucionálnej dohode z 13. apríla 2016 o lepšej tvorbe práva</w:t>
            </w:r>
            <w:hyperlink r:id="rId10" w:anchor="ntr*2-L_2017305SK.01001201-E0009" w:history="1">
              <w:r w:rsidRPr="00103480">
                <w:rPr>
                  <w:color w:val="0000FF"/>
                  <w:u w:val="single"/>
                </w:rPr>
                <w:t> (</w:t>
              </w:r>
              <w:r w:rsidRPr="00103480">
                <w:rPr>
                  <w:color w:val="0000FF"/>
                  <w:sz w:val="17"/>
                  <w:szCs w:val="17"/>
                  <w:u w:val="single"/>
                  <w:vertAlign w:val="superscript"/>
                </w:rPr>
                <w:t>*2</w:t>
              </w:r>
              <w:r w:rsidRPr="00103480">
                <w:rPr>
                  <w:color w:val="0000FF"/>
                  <w:u w:val="single"/>
                </w:rPr>
                <w:t>)</w:t>
              </w:r>
            </w:hyperlink>
            <w:r w:rsidRPr="00103480">
              <w:rPr>
                <w:color w:val="000000"/>
              </w:rPr>
              <w:t>.</w:t>
            </w:r>
          </w:p>
          <w:p w:rsidR="00CF2F49" w:rsidRPr="00103480" w:rsidRDefault="00CF2F49" w:rsidP="00CF2F49">
            <w:pPr>
              <w:spacing w:before="120"/>
              <w:rPr>
                <w:color w:val="000000"/>
              </w:rPr>
            </w:pPr>
            <w:r w:rsidRPr="00103480">
              <w:rPr>
                <w:color w:val="000000"/>
              </w:rPr>
              <w:t>5.   Komisia oznamuje delegovaný akt hneď po prijatí súčasne Európskemu parlamentu a Rade.</w:t>
            </w:r>
          </w:p>
          <w:p w:rsidR="00CF2F49" w:rsidRPr="00E60C66" w:rsidRDefault="00CF2F49" w:rsidP="00CF2F49">
            <w:pPr>
              <w:spacing w:before="120"/>
            </w:pPr>
            <w:r w:rsidRPr="00103480">
              <w:rPr>
                <w:color w:val="000000"/>
              </w:rPr>
              <w:t xml:space="preserve">6.   Delegovaný akt prijatý podľa článku 1a nadobudne účinnosť, len ak Európsky parlament </w:t>
            </w:r>
            <w:r w:rsidRPr="00103480">
              <w:rPr>
                <w:color w:val="000000"/>
              </w:rPr>
              <w:lastRenderedPageBreak/>
              <w:t>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hyperlink r:id="rId11" w:anchor="ntc*2-L_2017305SK.01001201-E0009" w:history="1">
              <w:r w:rsidRPr="00103480">
                <w:rPr>
                  <w:color w:val="0000FF"/>
                  <w:sz w:val="19"/>
                  <w:szCs w:val="19"/>
                  <w:u w:val="single"/>
                </w:rPr>
                <w:t>(</w:t>
              </w:r>
              <w:r w:rsidRPr="00103480">
                <w:rPr>
                  <w:color w:val="0000FF"/>
                  <w:sz w:val="13"/>
                  <w:szCs w:val="13"/>
                  <w:u w:val="single"/>
                  <w:vertAlign w:val="superscript"/>
                </w:rPr>
                <w:t>*2</w:t>
              </w:r>
              <w:r w:rsidRPr="00103480">
                <w:rPr>
                  <w:color w:val="0000FF"/>
                  <w:sz w:val="19"/>
                  <w:szCs w:val="19"/>
                  <w:u w:val="single"/>
                </w:rPr>
                <w:t>)</w:t>
              </w:r>
            </w:hyperlink>
            <w:r w:rsidRPr="00103480">
              <w:rPr>
                <w:color w:val="000000"/>
                <w:sz w:val="19"/>
                <w:szCs w:val="19"/>
              </w:rPr>
              <w:t>  </w:t>
            </w:r>
            <w:hyperlink r:id="rId12" w:history="1">
              <w:r w:rsidRPr="00103480">
                <w:rPr>
                  <w:color w:val="0000FF"/>
                  <w:sz w:val="19"/>
                  <w:szCs w:val="19"/>
                  <w:u w:val="single"/>
                </w:rPr>
                <w:t>Ú. v. EÚ L 123, 12.5.2016, s. 1</w:t>
              </w:r>
            </w:hyperlink>
            <w:r w:rsidRPr="00103480">
              <w:rPr>
                <w:color w:val="000000"/>
                <w:sz w:val="19"/>
                <w:szCs w:val="19"/>
              </w:rPr>
              <w:t>.“"</w:t>
            </w: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r>
              <w:lastRenderedPageBreak/>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tc>
        <w:tc>
          <w:tcPr>
            <w:tcW w:w="426" w:type="dxa"/>
          </w:tcPr>
          <w:p w:rsidR="00CF2F49" w:rsidRDefault="00CF2F49" w:rsidP="00CF2F49"/>
        </w:tc>
        <w:tc>
          <w:tcPr>
            <w:tcW w:w="897" w:type="dxa"/>
            <w:gridSpan w:val="2"/>
          </w:tcPr>
          <w:p w:rsidR="00CF2F49" w:rsidRDefault="00CF2F49" w:rsidP="00CF2F49">
            <w:pPr>
              <w:jc w:val="center"/>
            </w:pPr>
          </w:p>
        </w:tc>
        <w:tc>
          <w:tcPr>
            <w:tcW w:w="4489" w:type="dxa"/>
          </w:tcPr>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Default="00CF2F49" w:rsidP="00CF2F49">
            <w:pPr>
              <w:pStyle w:val="Odsekzoznamu"/>
              <w:ind w:left="0"/>
            </w:pPr>
          </w:p>
          <w:p w:rsidR="00CF2F49" w:rsidRPr="00FD6B2D" w:rsidDel="00ED2EDC" w:rsidRDefault="00CF2F49" w:rsidP="00CF2F49">
            <w:pPr>
              <w:pStyle w:val="Odsekzoznamu"/>
              <w:ind w:left="0"/>
            </w:pPr>
          </w:p>
        </w:tc>
        <w:tc>
          <w:tcPr>
            <w:tcW w:w="776" w:type="dxa"/>
          </w:tcPr>
          <w:p w:rsidR="00CF2F49" w:rsidRDefault="00CF2F49" w:rsidP="00CF2F49">
            <w:pPr>
              <w:jc w:val="center"/>
            </w:pPr>
          </w:p>
        </w:tc>
        <w:tc>
          <w:tcPr>
            <w:tcW w:w="1209" w:type="dxa"/>
          </w:tcPr>
          <w:p w:rsidR="00CF2F49" w:rsidRDefault="00CF2F49" w:rsidP="00CF2F49">
            <w:pPr>
              <w:jc w:val="center"/>
            </w:pPr>
          </w:p>
        </w:tc>
      </w:tr>
      <w:tr w:rsidR="00CF2F49" w:rsidTr="00780A28">
        <w:tc>
          <w:tcPr>
            <w:tcW w:w="921" w:type="dxa"/>
          </w:tcPr>
          <w:p w:rsidR="00CF2F49" w:rsidRDefault="00CF2F49" w:rsidP="00CF2F49">
            <w:pPr>
              <w:jc w:val="center"/>
            </w:pPr>
            <w:r>
              <w:lastRenderedPageBreak/>
              <w:t>Čl. 1</w:t>
            </w:r>
          </w:p>
          <w:p w:rsidR="00CF2F49" w:rsidRDefault="00CF2F49" w:rsidP="00CF2F49">
            <w:pPr>
              <w:jc w:val="center"/>
            </w:pPr>
            <w:r>
              <w:t>b: 4</w:t>
            </w:r>
          </w:p>
          <w:p w:rsidR="00CF2F49" w:rsidRDefault="00CF2F49" w:rsidP="00CF2F49">
            <w:pPr>
              <w:jc w:val="center"/>
            </w:pPr>
          </w:p>
          <w:p w:rsidR="00CF2F49" w:rsidRDefault="00CF2F49" w:rsidP="00CF2F49">
            <w:pPr>
              <w:jc w:val="center"/>
            </w:pPr>
          </w:p>
          <w:p w:rsidR="00CF2F49" w:rsidRDefault="00CF2F49" w:rsidP="00CF2F49">
            <w:pPr>
              <w:jc w:val="center"/>
            </w:pPr>
            <w:r>
              <w:t>Čl. 2</w:t>
            </w:r>
          </w:p>
          <w:p w:rsidR="00CF2F49" w:rsidRDefault="00CF2F49" w:rsidP="00CF2F49">
            <w:pPr>
              <w:jc w:val="center"/>
            </w:pPr>
          </w:p>
          <w:p w:rsidR="00CF2F49" w:rsidRDefault="00CF2F49" w:rsidP="00CF2F49">
            <w:pPr>
              <w:jc w:val="center"/>
            </w:pPr>
          </w:p>
          <w:p w:rsidR="00CF2F49" w:rsidRDefault="00CF2F49" w:rsidP="00CF2F49">
            <w:pPr>
              <w:jc w:val="center"/>
            </w:pPr>
            <w:r>
              <w:t>O: 1</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2</w:t>
            </w:r>
          </w:p>
        </w:tc>
        <w:tc>
          <w:tcPr>
            <w:tcW w:w="4961" w:type="dxa"/>
          </w:tcPr>
          <w:tbl>
            <w:tblPr>
              <w:tblW w:w="5000" w:type="pct"/>
              <w:tblCellSpacing w:w="0" w:type="dxa"/>
              <w:tblLayout w:type="fixed"/>
              <w:tblCellMar>
                <w:left w:w="0" w:type="dxa"/>
                <w:right w:w="0" w:type="dxa"/>
              </w:tblCellMar>
              <w:tblLook w:val="04A0" w:firstRow="1" w:lastRow="0" w:firstColumn="1" w:lastColumn="0" w:noHBand="0" w:noVBand="1"/>
            </w:tblPr>
            <w:tblGrid>
              <w:gridCol w:w="151"/>
              <w:gridCol w:w="4670"/>
            </w:tblGrid>
            <w:tr w:rsidR="00CF2F49" w:rsidRPr="00103480" w:rsidTr="003D31A3">
              <w:trPr>
                <w:tblCellSpacing w:w="0" w:type="dxa"/>
              </w:trPr>
              <w:tc>
                <w:tcPr>
                  <w:tcW w:w="267" w:type="dxa"/>
                  <w:hideMark/>
                </w:tcPr>
                <w:p w:rsidR="00CF2F49" w:rsidRPr="00103480" w:rsidRDefault="00CF2F49" w:rsidP="00CF2F49">
                  <w:pPr>
                    <w:spacing w:before="120"/>
                    <w:rPr>
                      <w:color w:val="000000"/>
                    </w:rPr>
                  </w:pPr>
                  <w:r w:rsidRPr="00103480">
                    <w:rPr>
                      <w:color w:val="000000"/>
                    </w:rPr>
                    <w:t>4.</w:t>
                  </w:r>
                </w:p>
              </w:tc>
              <w:tc>
                <w:tcPr>
                  <w:tcW w:w="8805" w:type="dxa"/>
                  <w:hideMark/>
                </w:tcPr>
                <w:p w:rsidR="00CF2F49" w:rsidRPr="00103480" w:rsidRDefault="00CF2F49" w:rsidP="00CF2F49">
                  <w:pPr>
                    <w:spacing w:before="120"/>
                    <w:rPr>
                      <w:color w:val="000000"/>
                    </w:rPr>
                  </w:pPr>
                  <w:r w:rsidRPr="00103480">
                    <w:rPr>
                      <w:color w:val="000000"/>
                    </w:rPr>
                    <w:t>Dopĺňa sa príloha, ktorá je uvedená v prílohe k tejto smernici.</w:t>
                  </w:r>
                </w:p>
              </w:tc>
            </w:tr>
          </w:tbl>
          <w:p w:rsidR="00CF2F49" w:rsidRPr="00103480" w:rsidRDefault="00CF2F49" w:rsidP="00CF2F49">
            <w:pPr>
              <w:spacing w:before="360" w:after="120"/>
              <w:jc w:val="center"/>
              <w:rPr>
                <w:i/>
                <w:iCs/>
                <w:color w:val="000000"/>
              </w:rPr>
            </w:pPr>
            <w:r w:rsidRPr="00103480">
              <w:rPr>
                <w:i/>
                <w:iCs/>
                <w:color w:val="000000"/>
              </w:rPr>
              <w:t>Článok 2</w:t>
            </w:r>
          </w:p>
          <w:p w:rsidR="00CF2F49" w:rsidRPr="00103480" w:rsidRDefault="00CF2F49" w:rsidP="00CF2F49">
            <w:pPr>
              <w:spacing w:before="60" w:after="120"/>
              <w:jc w:val="center"/>
              <w:rPr>
                <w:b/>
                <w:bCs/>
                <w:color w:val="000000"/>
              </w:rPr>
            </w:pPr>
            <w:r w:rsidRPr="00103480">
              <w:rPr>
                <w:b/>
                <w:bCs/>
                <w:color w:val="000000"/>
              </w:rPr>
              <w:t>Transpozícia tejto smernice</w:t>
            </w:r>
          </w:p>
          <w:p w:rsidR="00CF2F49" w:rsidRPr="00103480" w:rsidRDefault="00CF2F49" w:rsidP="00CF2F49">
            <w:pPr>
              <w:spacing w:before="120"/>
              <w:rPr>
                <w:color w:val="000000"/>
              </w:rPr>
            </w:pPr>
            <w:r w:rsidRPr="00103480">
              <w:rPr>
                <w:color w:val="000000"/>
              </w:rPr>
              <w:t>Členské štáty uvedú do účinnosti zákony, iné právne predpisy a správne opatrenia potrebné na dosiahnutie súladu s touto smernicou do 23. novembra 2018. Bezodkladne Komisii oznámia znenie týchto ustanovení.</w:t>
            </w:r>
          </w:p>
          <w:p w:rsidR="00CF2F49" w:rsidRPr="002F4566" w:rsidRDefault="00CF2F49" w:rsidP="00CF2F49">
            <w:pPr>
              <w:spacing w:before="120"/>
              <w:rPr>
                <w:i/>
                <w:iCs/>
                <w:color w:val="000000"/>
              </w:rPr>
            </w:pPr>
            <w:r w:rsidRPr="00103480">
              <w:rPr>
                <w:color w:val="000000"/>
              </w:rPr>
              <w:t>Členské štáty uvedú priamo v prijatých ustanoveniach alebo pri ich úradnom uverejnení odkaz na túto smernicu. Podrobnosti o odkaze a jeho znenie upravia členské štáty.</w:t>
            </w: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w:t>
            </w:r>
          </w:p>
          <w:p w:rsidR="00CF2F49" w:rsidRDefault="00CF2F49" w:rsidP="00CF2F49">
            <w:pPr>
              <w:jc w:val="center"/>
            </w:pPr>
          </w:p>
          <w:p w:rsidR="00CF2F49" w:rsidRDefault="00CF2F49" w:rsidP="00CF2F49">
            <w:pPr>
              <w:jc w:val="center"/>
            </w:pPr>
          </w:p>
          <w:p w:rsidR="00CF2F49" w:rsidRDefault="00CF2F49" w:rsidP="00CF2F49">
            <w:pPr>
              <w:jc w:val="center"/>
            </w:pPr>
          </w:p>
        </w:tc>
        <w:tc>
          <w:tcPr>
            <w:tcW w:w="426" w:type="dxa"/>
          </w:tcPr>
          <w:p w:rsidR="00CF2F49" w:rsidRDefault="00CF2F49" w:rsidP="00CF2F49"/>
        </w:tc>
        <w:tc>
          <w:tcPr>
            <w:tcW w:w="897" w:type="dxa"/>
            <w:gridSpan w:val="2"/>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Čl. II</w:t>
            </w:r>
          </w:p>
          <w:p w:rsidR="00CF2F49" w:rsidRDefault="00CF2F49" w:rsidP="00CF2F49">
            <w:pPr>
              <w:jc w:val="center"/>
            </w:pPr>
          </w:p>
          <w:p w:rsidR="00CF2F49" w:rsidRDefault="00CF2F49" w:rsidP="00CF2F49">
            <w:pPr>
              <w:jc w:val="center"/>
            </w:pPr>
          </w:p>
          <w:p w:rsidR="00CF2F49" w:rsidRDefault="00CF2F49" w:rsidP="00CF2F49">
            <w:pPr>
              <w:jc w:val="center"/>
            </w:pPr>
            <w:r>
              <w:t>V: 1</w:t>
            </w:r>
          </w:p>
          <w:p w:rsidR="00CF2F49" w:rsidRDefault="00CF2F49" w:rsidP="00CF2F49">
            <w:pPr>
              <w:jc w:val="center"/>
            </w:pPr>
          </w:p>
          <w:p w:rsidR="00CF2F49" w:rsidRDefault="00CF2F49" w:rsidP="00CF2F49">
            <w:pPr>
              <w:jc w:val="center"/>
            </w:pPr>
            <w:r>
              <w:t>Čl. 1</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 42c</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bod: 12</w:t>
            </w:r>
          </w:p>
          <w:p w:rsidR="00CF2F49" w:rsidRDefault="00CF2F49" w:rsidP="00CF2F49">
            <w:pPr>
              <w:jc w:val="center"/>
            </w:pPr>
          </w:p>
          <w:p w:rsidR="00CF2F49" w:rsidRDefault="00CF2F49" w:rsidP="00CF2F49">
            <w:pPr>
              <w:jc w:val="center"/>
            </w:pPr>
          </w:p>
          <w:p w:rsidR="00CF2F49" w:rsidRDefault="00CF2F49" w:rsidP="00CF2F49">
            <w:pPr>
              <w:jc w:val="center"/>
            </w:pPr>
            <w:r>
              <w:t>Príloha 3</w:t>
            </w:r>
          </w:p>
        </w:tc>
        <w:tc>
          <w:tcPr>
            <w:tcW w:w="4489" w:type="dxa"/>
          </w:tcPr>
          <w:p w:rsidR="00CF2F49" w:rsidRDefault="00CF2F49" w:rsidP="00CF2F49">
            <w:pPr>
              <w:pStyle w:val="Odsekzoznamu"/>
              <w:tabs>
                <w:tab w:val="left" w:pos="181"/>
              </w:tabs>
              <w:ind w:left="0"/>
            </w:pPr>
          </w:p>
          <w:p w:rsidR="00CF2F49" w:rsidRDefault="00CF2F49" w:rsidP="00CF2F49">
            <w:pPr>
              <w:pStyle w:val="Odsekzoznamu"/>
              <w:tabs>
                <w:tab w:val="left" w:pos="181"/>
              </w:tabs>
              <w:ind w:left="0"/>
            </w:pPr>
          </w:p>
          <w:p w:rsidR="00CF2F49" w:rsidRDefault="00CF2F49" w:rsidP="00CF2F49">
            <w:pPr>
              <w:pStyle w:val="Odsekzoznamu"/>
              <w:tabs>
                <w:tab w:val="left" w:pos="181"/>
              </w:tabs>
              <w:ind w:left="0"/>
            </w:pPr>
          </w:p>
          <w:p w:rsidR="00CF2F49" w:rsidRDefault="00CF2F49" w:rsidP="00CF2F49">
            <w:pPr>
              <w:pStyle w:val="Odsekzoznamu"/>
              <w:tabs>
                <w:tab w:val="left" w:pos="181"/>
              </w:tabs>
              <w:ind w:left="0"/>
            </w:pPr>
          </w:p>
          <w:p w:rsidR="00CF2F49" w:rsidRDefault="00CF2F49" w:rsidP="00CF2F49">
            <w:pPr>
              <w:pStyle w:val="Odsekzoznamu"/>
              <w:tabs>
                <w:tab w:val="left" w:pos="181"/>
              </w:tabs>
              <w:ind w:left="0"/>
            </w:pPr>
          </w:p>
          <w:p w:rsidR="00CF2F49" w:rsidRPr="00206349" w:rsidRDefault="00CF2F49" w:rsidP="00CF2F49">
            <w:pPr>
              <w:jc w:val="center"/>
              <w:rPr>
                <w:b/>
              </w:rPr>
            </w:pPr>
            <w:r w:rsidRPr="00206349">
              <w:rPr>
                <w:b/>
              </w:rPr>
              <w:t>Čl. II</w:t>
            </w:r>
          </w:p>
          <w:p w:rsidR="00CF2F49" w:rsidRPr="00206349" w:rsidRDefault="00CF2F49" w:rsidP="00CF2F49">
            <w:pPr>
              <w:jc w:val="center"/>
            </w:pPr>
          </w:p>
          <w:p w:rsidR="00CF2F49" w:rsidRPr="00206349" w:rsidRDefault="00CF2F49" w:rsidP="00CF2F49">
            <w:r w:rsidRPr="00206349">
              <w:t xml:space="preserve">Tento zákon nadobúda účinnosť 1. </w:t>
            </w:r>
            <w:r>
              <w:t>októbra</w:t>
            </w:r>
            <w:r w:rsidRPr="00206349">
              <w:t xml:space="preserve">  201</w:t>
            </w:r>
            <w:r>
              <w:t>8</w:t>
            </w:r>
            <w:r w:rsidRPr="00206349">
              <w:t>.</w:t>
            </w:r>
          </w:p>
          <w:p w:rsidR="00CF2F49" w:rsidRDefault="00CF2F49" w:rsidP="00CF2F49">
            <w:pPr>
              <w:pStyle w:val="Odsekzoznamu"/>
              <w:tabs>
                <w:tab w:val="left" w:pos="181"/>
              </w:tabs>
              <w:ind w:left="0"/>
            </w:pPr>
          </w:p>
          <w:p w:rsidR="00CF2F49" w:rsidRDefault="00CF2F49" w:rsidP="00CF2F49">
            <w:pPr>
              <w:pStyle w:val="Odsekzoznamu"/>
              <w:tabs>
                <w:tab w:val="left" w:pos="181"/>
              </w:tabs>
              <w:ind w:left="0"/>
            </w:pPr>
          </w:p>
          <w:p w:rsidR="00CF2F49" w:rsidRPr="00B92D96" w:rsidRDefault="00CF2F49" w:rsidP="00CC43DF">
            <w:pPr>
              <w:spacing w:after="160"/>
              <w:contextualSpacing/>
            </w:pPr>
            <w:r w:rsidRPr="00B92D96">
              <w:t>Za § 4</w:t>
            </w:r>
            <w:r>
              <w:t>2b</w:t>
            </w:r>
            <w:r w:rsidRPr="00B92D96">
              <w:t xml:space="preserve"> sa vkladá § 4</w:t>
            </w:r>
            <w:r>
              <w:t>2c</w:t>
            </w:r>
            <w:r w:rsidRPr="00B92D96">
              <w:t>, ktorý znie:</w:t>
            </w:r>
          </w:p>
          <w:p w:rsidR="00CF2F49" w:rsidRDefault="00CF2F49" w:rsidP="00CC43DF">
            <w:pPr>
              <w:ind w:left="426"/>
              <w:jc w:val="center"/>
            </w:pPr>
          </w:p>
          <w:p w:rsidR="00CF2F49" w:rsidRDefault="00CF2F49" w:rsidP="00CC43DF">
            <w:pPr>
              <w:ind w:left="426"/>
              <w:jc w:val="center"/>
            </w:pPr>
            <w:r>
              <w:t>§ 42c</w:t>
            </w:r>
          </w:p>
          <w:p w:rsidR="00CF2F49" w:rsidRDefault="00CF2F49" w:rsidP="00CC43DF">
            <w:pPr>
              <w:ind w:left="-54"/>
            </w:pPr>
            <w:r w:rsidRPr="004C3BE1">
              <w:t>Týmto zákonom sa preberajú právne záväzné akty Európskej únie uvedené v prílohe č. 3.</w:t>
            </w:r>
          </w:p>
          <w:p w:rsidR="00CF2F49" w:rsidRDefault="00CF2F49" w:rsidP="00CF2F49"/>
          <w:p w:rsidR="00CF2F49" w:rsidRDefault="00CF2F49" w:rsidP="00CF2F49"/>
          <w:p w:rsidR="00CF2F49" w:rsidRDefault="00CF2F49" w:rsidP="00CF2F49"/>
          <w:p w:rsidR="00CF2F49" w:rsidRPr="00C2424A" w:rsidRDefault="00CF2F49" w:rsidP="00CF2F49">
            <w:pPr>
              <w:tabs>
                <w:tab w:val="left" w:pos="426"/>
              </w:tabs>
              <w:contextualSpacing/>
            </w:pPr>
            <w:r>
              <w:t>Zákon sa dopĺňa p</w:t>
            </w:r>
            <w:r w:rsidRPr="00836DE9">
              <w:t>ríloh</w:t>
            </w:r>
            <w:r>
              <w:t>ou</w:t>
            </w:r>
            <w:r w:rsidRPr="00836DE9">
              <w:t xml:space="preserve"> č. 3</w:t>
            </w:r>
            <w:r>
              <w:t>, ktorá</w:t>
            </w:r>
            <w:r w:rsidRPr="00836DE9">
              <w:t xml:space="preserve"> vrátane nadpisu znie:</w:t>
            </w:r>
          </w:p>
          <w:p w:rsidR="00CF2F49" w:rsidRPr="00C2424A" w:rsidRDefault="00CF2F49" w:rsidP="00CF2F49">
            <w:pPr>
              <w:pStyle w:val="Odsekzoznamu"/>
              <w:tabs>
                <w:tab w:val="left" w:pos="426"/>
                <w:tab w:val="left" w:pos="4770"/>
              </w:tabs>
              <w:jc w:val="left"/>
            </w:pPr>
            <w:r w:rsidRPr="00C2424A">
              <w:lastRenderedPageBreak/>
              <w:tab/>
            </w:r>
          </w:p>
          <w:p w:rsidR="00CF2F49" w:rsidRDefault="00CF2F49" w:rsidP="00CF2F49">
            <w:pPr>
              <w:pStyle w:val="Odsekzoznamu"/>
              <w:tabs>
                <w:tab w:val="left" w:pos="426"/>
              </w:tabs>
              <w:ind w:left="88"/>
              <w:jc w:val="right"/>
            </w:pPr>
            <w:r w:rsidRPr="00C2424A">
              <w:t>„</w:t>
            </w:r>
            <w:r w:rsidRPr="00836DE9">
              <w:t>Príloha č. 3 k zákonu č. 139/1998 Z. z</w:t>
            </w:r>
            <w:r>
              <w:t>.</w:t>
            </w:r>
          </w:p>
          <w:p w:rsidR="00CF2F49" w:rsidRPr="00C2424A" w:rsidRDefault="00CF2F49" w:rsidP="00CF2F49">
            <w:pPr>
              <w:pStyle w:val="Odsekzoznamu"/>
              <w:tabs>
                <w:tab w:val="left" w:pos="426"/>
              </w:tabs>
              <w:jc w:val="right"/>
            </w:pPr>
          </w:p>
          <w:p w:rsidR="00CF2F49" w:rsidRPr="00C2424A" w:rsidRDefault="00CF2F49" w:rsidP="00CF2F49">
            <w:pPr>
              <w:pStyle w:val="Odsekzoznamu"/>
              <w:ind w:left="88"/>
              <w:jc w:val="center"/>
            </w:pPr>
            <w:r w:rsidRPr="00C2424A">
              <w:t>Zoznam preberaných právne záväzných aktov Európskej únie</w:t>
            </w:r>
          </w:p>
          <w:p w:rsidR="00CF2F49" w:rsidRPr="00C2424A" w:rsidRDefault="00CF2F49" w:rsidP="00CF2F49">
            <w:pPr>
              <w:pStyle w:val="Odsekzoznamu"/>
              <w:ind w:left="0"/>
            </w:pPr>
          </w:p>
          <w:p w:rsidR="00CF2F49" w:rsidRPr="00FD6B2D" w:rsidDel="00ED2EDC" w:rsidRDefault="00CF2F49" w:rsidP="00CF2F49">
            <w:pPr>
              <w:pStyle w:val="Odsekzoznamu"/>
              <w:tabs>
                <w:tab w:val="left" w:pos="181"/>
              </w:tabs>
              <w:ind w:left="0"/>
              <w:jc w:val="left"/>
            </w:pPr>
            <w:r w:rsidRPr="00836DE9">
              <w:t>Rámcové rozhodnutie Rady 2004/757/SVV z 25. októbra 2004, ktorým sa stanovujú minimálne ustanovenia o znakoch skutkových podstát trestných činov a trestov v oblasti nezákonného obchodu s drogami (Ú. v. EÚ L 335, 11. 11. 2004) v znení smernice (EÚ) 2017/2103 z 15. novembra 2017 (Ú. v. EÚ L 305, 21. 11. 2017)</w:t>
            </w:r>
            <w:r w:rsidRPr="00836DE9">
              <w:rPr>
                <w:bCs/>
                <w:color w:val="000000"/>
              </w:rPr>
              <w:t>.“.</w:t>
            </w:r>
          </w:p>
        </w:tc>
        <w:tc>
          <w:tcPr>
            <w:tcW w:w="776"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Ú</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Ú</w:t>
            </w:r>
          </w:p>
          <w:p w:rsidR="00CF2F49" w:rsidRDefault="00CF2F49" w:rsidP="00CF2F49">
            <w:pPr>
              <w:jc w:val="center"/>
            </w:pPr>
          </w:p>
          <w:p w:rsidR="00CF2F49" w:rsidRDefault="00CF2F49" w:rsidP="00CF2F49">
            <w:pPr>
              <w:jc w:val="center"/>
            </w:pPr>
          </w:p>
          <w:p w:rsidR="00CF2F49" w:rsidRDefault="00CF2F49" w:rsidP="00CF2F49">
            <w:pPr>
              <w:jc w:val="center"/>
            </w:pPr>
            <w:r>
              <w:t>Ú</w:t>
            </w:r>
          </w:p>
          <w:p w:rsidR="00CF2F49" w:rsidRDefault="00CF2F4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p>
          <w:p w:rsidR="002845C9" w:rsidRDefault="002845C9" w:rsidP="00CF2F49">
            <w:pPr>
              <w:jc w:val="center"/>
            </w:pPr>
            <w:r>
              <w:t>Ú</w:t>
            </w:r>
          </w:p>
        </w:tc>
        <w:tc>
          <w:tcPr>
            <w:tcW w:w="1209" w:type="dxa"/>
          </w:tcPr>
          <w:p w:rsidR="00CF2F49" w:rsidRDefault="00CF2F49" w:rsidP="00CF2F49">
            <w:pPr>
              <w:jc w:val="center"/>
            </w:pPr>
          </w:p>
        </w:tc>
      </w:tr>
      <w:tr w:rsidR="00CF2F49" w:rsidTr="00780A28">
        <w:tc>
          <w:tcPr>
            <w:tcW w:w="921" w:type="dxa"/>
          </w:tcPr>
          <w:p w:rsidR="00CF2F49" w:rsidRDefault="00CF2F49" w:rsidP="00CF2F49">
            <w:pPr>
              <w:jc w:val="center"/>
            </w:pPr>
          </w:p>
          <w:p w:rsidR="00CF2F49" w:rsidRDefault="00CF2F49" w:rsidP="00CF2F49">
            <w:pPr>
              <w:jc w:val="center"/>
            </w:pPr>
            <w:r>
              <w:t>Čl. 3</w:t>
            </w:r>
          </w:p>
          <w:p w:rsidR="00CF2F49" w:rsidRDefault="00CF2F49" w:rsidP="00CF2F49">
            <w:pPr>
              <w:jc w:val="center"/>
            </w:pPr>
          </w:p>
          <w:p w:rsidR="00CF2F49" w:rsidRDefault="00CF2F49" w:rsidP="00CF2F49">
            <w:pPr>
              <w:jc w:val="center"/>
            </w:pPr>
          </w:p>
          <w:p w:rsidR="00CF2F49" w:rsidRDefault="00CF2F49" w:rsidP="00CF2F49">
            <w:pPr>
              <w:jc w:val="center"/>
            </w:pPr>
            <w:r>
              <w:t>O: 1</w:t>
            </w:r>
          </w:p>
          <w:p w:rsidR="00CF2F49" w:rsidRDefault="00CF2F49" w:rsidP="00CF2F49">
            <w:pPr>
              <w:jc w:val="center"/>
            </w:pPr>
          </w:p>
          <w:p w:rsidR="00CF2F49" w:rsidRDefault="00CF2F49" w:rsidP="00CF2F49">
            <w:pPr>
              <w:jc w:val="center"/>
            </w:pPr>
          </w:p>
          <w:p w:rsidR="00CF2F49" w:rsidRDefault="00CF2F49" w:rsidP="00CF2F49">
            <w:pPr>
              <w:jc w:val="center"/>
            </w:pPr>
            <w:r>
              <w:t>O: 2</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3</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lastRenderedPageBreak/>
              <w:t>O: 4</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5</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6</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7</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8</w:t>
            </w:r>
          </w:p>
        </w:tc>
        <w:tc>
          <w:tcPr>
            <w:tcW w:w="4961" w:type="dxa"/>
          </w:tcPr>
          <w:p w:rsidR="00CF2F49" w:rsidRPr="00103480" w:rsidRDefault="00CF2F49" w:rsidP="00CF2F49">
            <w:pPr>
              <w:spacing w:before="360" w:after="120"/>
              <w:jc w:val="center"/>
              <w:rPr>
                <w:i/>
                <w:iCs/>
                <w:color w:val="000000"/>
              </w:rPr>
            </w:pPr>
            <w:r w:rsidRPr="00103480">
              <w:rPr>
                <w:i/>
                <w:iCs/>
                <w:color w:val="000000"/>
              </w:rPr>
              <w:lastRenderedPageBreak/>
              <w:t>Článok 3</w:t>
            </w:r>
          </w:p>
          <w:p w:rsidR="00CF2F49" w:rsidRPr="00103480" w:rsidRDefault="00CF2F49" w:rsidP="00CF2F49">
            <w:pPr>
              <w:spacing w:before="60" w:after="120"/>
              <w:jc w:val="center"/>
              <w:rPr>
                <w:b/>
                <w:bCs/>
                <w:color w:val="000000"/>
              </w:rPr>
            </w:pPr>
            <w:r w:rsidRPr="00103480">
              <w:rPr>
                <w:b/>
                <w:bCs/>
                <w:color w:val="000000"/>
              </w:rPr>
              <w:t>Zrušenie rozhodnutia 2005/387/SVV</w:t>
            </w:r>
          </w:p>
          <w:p w:rsidR="00CF2F49" w:rsidRPr="00103480" w:rsidRDefault="00CF2F49" w:rsidP="00CF2F49">
            <w:pPr>
              <w:spacing w:before="120"/>
              <w:rPr>
                <w:color w:val="000000"/>
              </w:rPr>
            </w:pPr>
            <w:r w:rsidRPr="00103480">
              <w:rPr>
                <w:color w:val="000000"/>
              </w:rPr>
              <w:t>1.   Rozhodnutie 2005/387/SVV sa zrušuje s účinnosťou od 23. novembra 2018.</w:t>
            </w:r>
          </w:p>
          <w:p w:rsidR="00CF2F49" w:rsidRPr="00103480" w:rsidRDefault="00CF2F49" w:rsidP="00CF2F49">
            <w:pPr>
              <w:spacing w:before="120"/>
              <w:rPr>
                <w:color w:val="000000"/>
              </w:rPr>
            </w:pPr>
            <w:r w:rsidRPr="00103480">
              <w:rPr>
                <w:color w:val="000000"/>
              </w:rPr>
              <w:t>2.   Bez ohľadu na odsek 1 sa rozhodnutie 2005/387/SVV naďalej uplatňuje na nové psychoaktívne látky, v súvislosti s ktorými bola pred 23. novembrom 2018 predložená spoločná správa uvedená v článku 5 uvedeného rozhodnutia.</w:t>
            </w:r>
          </w:p>
          <w:p w:rsidR="00CF2F49" w:rsidRPr="00103480" w:rsidRDefault="00CF2F49" w:rsidP="00CF2F49">
            <w:pPr>
              <w:spacing w:before="120"/>
              <w:rPr>
                <w:color w:val="000000"/>
              </w:rPr>
            </w:pPr>
            <w:r w:rsidRPr="00103480">
              <w:rPr>
                <w:color w:val="000000"/>
              </w:rPr>
              <w:t>3.   Komisia prijme delegované akty v súlade s odsekmi 4 až 8 tohto článku, ktorými sa mení príloha k rámcovému rozhodnutiu 2004/757/SVV s cieľom doplniť ju o nové psychoaktívne látky uvedené v odseku 2 tohto článku.</w:t>
            </w:r>
          </w:p>
          <w:p w:rsidR="00CF2F49" w:rsidRPr="00103480" w:rsidRDefault="00CF2F49" w:rsidP="00CF2F49">
            <w:pPr>
              <w:spacing w:before="120"/>
              <w:rPr>
                <w:color w:val="000000"/>
              </w:rPr>
            </w:pPr>
            <w:r w:rsidRPr="00103480">
              <w:rPr>
                <w:color w:val="000000"/>
              </w:rPr>
              <w:lastRenderedPageBreak/>
              <w:t>4.   Právomoc prijímať delegované akty uvedené v odseku 3 sa Komisii udeľuje na obdobie dvoch rokov od 22. novembra 2017.</w:t>
            </w:r>
          </w:p>
          <w:p w:rsidR="00CF2F49" w:rsidRPr="00103480" w:rsidRDefault="00CF2F49" w:rsidP="00CF2F49">
            <w:pPr>
              <w:spacing w:before="120"/>
              <w:rPr>
                <w:color w:val="000000"/>
              </w:rPr>
            </w:pPr>
            <w:r w:rsidRPr="00103480">
              <w:rPr>
                <w:color w:val="000000"/>
              </w:rPr>
              <w:t>5.   Delegovanie právomoci uvedené v odseku 3 môže Európsky parlament alebo Rada kedykoľvek odvolať. Rozhodnutím o odvolaní sa ukončuje delegovanie právomoci, ktoré sa v ňom uvádza. Rozhodnutie nadobúda účinnosť dňom nasledujúcim po jeho uverejnení v </w:t>
            </w:r>
            <w:r w:rsidRPr="00103480">
              <w:rPr>
                <w:i/>
                <w:iCs/>
                <w:color w:val="000000"/>
              </w:rPr>
              <w:t>Úradnom vestníku Európskej únie</w:t>
            </w:r>
            <w:r w:rsidRPr="00103480">
              <w:rPr>
                <w:color w:val="000000"/>
              </w:rPr>
              <w:t xml:space="preserve"> alebo k neskoršiemu dátumu, ktorý je v ňom určený. Nie je ním dotknutá platnosť delegovaných aktov, ktoré už nadobudli účinnosť.</w:t>
            </w:r>
          </w:p>
          <w:p w:rsidR="00CF2F49" w:rsidRPr="00103480" w:rsidRDefault="00CF2F49" w:rsidP="00CF2F49">
            <w:pPr>
              <w:spacing w:before="120"/>
              <w:rPr>
                <w:color w:val="000000"/>
              </w:rPr>
            </w:pPr>
            <w:r w:rsidRPr="00103480">
              <w:rPr>
                <w:color w:val="000000"/>
              </w:rPr>
              <w:t>6.   Komisia pred prijatím delegovaného aktu konzultuje s odborníkmi určenými jednotlivými členskými štátmi v súlade so zásadami stanovenými v Medziinštitucionálnej dohode z 13. apríla 2016 o lepšej tvorbe práva.</w:t>
            </w:r>
          </w:p>
          <w:p w:rsidR="00CF2F49" w:rsidRPr="00103480" w:rsidRDefault="00CF2F49" w:rsidP="00CF2F49">
            <w:pPr>
              <w:spacing w:before="120"/>
              <w:rPr>
                <w:color w:val="000000"/>
              </w:rPr>
            </w:pPr>
            <w:r w:rsidRPr="00103480">
              <w:rPr>
                <w:color w:val="000000"/>
              </w:rPr>
              <w:t>7.   Komisia oznamuje delegovaný akt hneď po jeho prijatí súčasne Európskemu parlamentu a Rade.</w:t>
            </w:r>
          </w:p>
          <w:p w:rsidR="00CF2F49" w:rsidRPr="002F4566" w:rsidRDefault="00CF2F49" w:rsidP="00CF2F49">
            <w:pPr>
              <w:spacing w:before="120"/>
              <w:rPr>
                <w:i/>
                <w:iCs/>
                <w:color w:val="000000"/>
              </w:rPr>
            </w:pPr>
            <w:r w:rsidRPr="00103480">
              <w:rPr>
                <w:color w:val="000000"/>
              </w:rPr>
              <w:t xml:space="preserve">8.   Delegovaný akt prijatý podľa odseku 3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w:t>
            </w:r>
            <w:r w:rsidRPr="00103480">
              <w:rPr>
                <w:color w:val="000000"/>
              </w:rPr>
              <w:lastRenderedPageBreak/>
              <w:t>podnet Európskeho parlamentu alebo Rady sa táto lehota predĺži o dva mesiace.</w:t>
            </w: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tc>
        <w:tc>
          <w:tcPr>
            <w:tcW w:w="426" w:type="dxa"/>
          </w:tcPr>
          <w:p w:rsidR="00CF2F49" w:rsidRDefault="00CF2F49" w:rsidP="00CF2F49"/>
        </w:tc>
        <w:tc>
          <w:tcPr>
            <w:tcW w:w="897" w:type="dxa"/>
            <w:gridSpan w:val="2"/>
          </w:tcPr>
          <w:p w:rsidR="00CF2F49" w:rsidRDefault="00CF2F49" w:rsidP="00CF2F49">
            <w:pPr>
              <w:jc w:val="center"/>
            </w:pPr>
          </w:p>
        </w:tc>
        <w:tc>
          <w:tcPr>
            <w:tcW w:w="4489" w:type="dxa"/>
          </w:tcPr>
          <w:p w:rsidR="00CF2F49" w:rsidRPr="00FD6B2D" w:rsidDel="00ED2EDC" w:rsidRDefault="00CF2F49" w:rsidP="00CF2F49">
            <w:pPr>
              <w:pStyle w:val="Odsekzoznamu"/>
              <w:ind w:left="0"/>
              <w:jc w:val="left"/>
            </w:pPr>
          </w:p>
        </w:tc>
        <w:tc>
          <w:tcPr>
            <w:tcW w:w="776" w:type="dxa"/>
          </w:tcPr>
          <w:p w:rsidR="00CF2F49" w:rsidRDefault="00CF2F49" w:rsidP="00CF2F49">
            <w:pPr>
              <w:jc w:val="center"/>
            </w:pPr>
          </w:p>
        </w:tc>
        <w:tc>
          <w:tcPr>
            <w:tcW w:w="1209" w:type="dxa"/>
          </w:tcPr>
          <w:p w:rsidR="00CF2F49" w:rsidRDefault="00CF2F49" w:rsidP="00CF2F49">
            <w:pPr>
              <w:jc w:val="center"/>
            </w:pPr>
          </w:p>
        </w:tc>
      </w:tr>
      <w:tr w:rsidR="00CF2F49" w:rsidTr="00780A28">
        <w:tc>
          <w:tcPr>
            <w:tcW w:w="921" w:type="dxa"/>
          </w:tcPr>
          <w:p w:rsidR="00CF2F49" w:rsidRDefault="00CF2F49" w:rsidP="00CF2F49">
            <w:pPr>
              <w:jc w:val="center"/>
            </w:pPr>
          </w:p>
          <w:p w:rsidR="00CF2F49" w:rsidRDefault="00CF2F49" w:rsidP="00CF2F49">
            <w:pPr>
              <w:jc w:val="center"/>
            </w:pPr>
          </w:p>
          <w:p w:rsidR="00CF2F49" w:rsidRDefault="00CF2F49" w:rsidP="00CF2F49">
            <w:pPr>
              <w:jc w:val="center"/>
            </w:pPr>
            <w:r>
              <w:t>Čl. 4</w:t>
            </w:r>
          </w:p>
          <w:p w:rsidR="00CF2F49" w:rsidRDefault="00CF2F49" w:rsidP="00CF2F49">
            <w:pPr>
              <w:jc w:val="center"/>
            </w:pPr>
          </w:p>
          <w:p w:rsidR="00CF2F49" w:rsidRDefault="00CF2F49" w:rsidP="00CF2F49">
            <w:pPr>
              <w:jc w:val="center"/>
            </w:pPr>
          </w:p>
          <w:p w:rsidR="00CF2F49" w:rsidRDefault="00CF2F49" w:rsidP="00CF2F49">
            <w:pPr>
              <w:jc w:val="center"/>
            </w:pPr>
            <w:r>
              <w:t>O: 1</w:t>
            </w:r>
          </w:p>
        </w:tc>
        <w:tc>
          <w:tcPr>
            <w:tcW w:w="4961" w:type="dxa"/>
          </w:tcPr>
          <w:p w:rsidR="00CF2F49" w:rsidRPr="00103480" w:rsidRDefault="00CF2F49" w:rsidP="00CF2F49">
            <w:pPr>
              <w:spacing w:before="360" w:after="120"/>
              <w:jc w:val="center"/>
              <w:rPr>
                <w:i/>
                <w:iCs/>
                <w:color w:val="000000"/>
              </w:rPr>
            </w:pPr>
            <w:r w:rsidRPr="00103480">
              <w:rPr>
                <w:i/>
                <w:iCs/>
                <w:color w:val="000000"/>
              </w:rPr>
              <w:t>Článok 4</w:t>
            </w:r>
          </w:p>
          <w:p w:rsidR="00CF2F49" w:rsidRPr="00103480" w:rsidRDefault="00CF2F49" w:rsidP="00CF2F49">
            <w:pPr>
              <w:spacing w:before="60" w:after="120"/>
              <w:jc w:val="center"/>
              <w:rPr>
                <w:b/>
                <w:bCs/>
                <w:color w:val="000000"/>
              </w:rPr>
            </w:pPr>
            <w:r w:rsidRPr="00103480">
              <w:rPr>
                <w:b/>
                <w:bCs/>
                <w:color w:val="000000"/>
              </w:rPr>
              <w:t>Nadobudnutie účinnosti</w:t>
            </w:r>
          </w:p>
          <w:p w:rsidR="00CF2F49" w:rsidRPr="00103480" w:rsidRDefault="00CF2F49" w:rsidP="00CF2F49">
            <w:pPr>
              <w:spacing w:before="120"/>
              <w:rPr>
                <w:color w:val="000000"/>
              </w:rPr>
            </w:pPr>
            <w:r w:rsidRPr="00103480">
              <w:rPr>
                <w:color w:val="000000"/>
              </w:rPr>
              <w:t>Táto smernica nadobúda účinnosť dňom nasledujúcim po jej uverejnení v </w:t>
            </w:r>
            <w:r w:rsidRPr="00103480">
              <w:rPr>
                <w:i/>
                <w:iCs/>
                <w:color w:val="000000"/>
              </w:rPr>
              <w:t>Úradnom vestníku Európskej únie</w:t>
            </w:r>
            <w:r w:rsidRPr="00103480">
              <w:rPr>
                <w:color w:val="000000"/>
              </w:rPr>
              <w:t>.</w:t>
            </w:r>
          </w:p>
          <w:p w:rsidR="00CF2F49" w:rsidRPr="002F4566" w:rsidRDefault="00CF2F49" w:rsidP="00CF2F49">
            <w:pPr>
              <w:spacing w:before="120"/>
              <w:rPr>
                <w:i/>
                <w:iCs/>
                <w:color w:val="000000"/>
              </w:rPr>
            </w:pP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tc>
        <w:tc>
          <w:tcPr>
            <w:tcW w:w="426" w:type="dxa"/>
          </w:tcPr>
          <w:p w:rsidR="00CF2F49" w:rsidRDefault="00CF2F49" w:rsidP="00CF2F49"/>
        </w:tc>
        <w:tc>
          <w:tcPr>
            <w:tcW w:w="897" w:type="dxa"/>
            <w:gridSpan w:val="2"/>
          </w:tcPr>
          <w:p w:rsidR="00CF2F49" w:rsidRDefault="00CF2F49" w:rsidP="00CF2F49">
            <w:pPr>
              <w:jc w:val="center"/>
            </w:pPr>
          </w:p>
        </w:tc>
        <w:tc>
          <w:tcPr>
            <w:tcW w:w="4489" w:type="dxa"/>
          </w:tcPr>
          <w:p w:rsidR="00CF2F49" w:rsidRPr="00FD6B2D" w:rsidDel="00ED2EDC" w:rsidRDefault="00CF2F49" w:rsidP="00CF2F49">
            <w:pPr>
              <w:pStyle w:val="Odsekzoznamu"/>
              <w:ind w:left="0"/>
              <w:jc w:val="left"/>
            </w:pPr>
          </w:p>
        </w:tc>
        <w:tc>
          <w:tcPr>
            <w:tcW w:w="776" w:type="dxa"/>
          </w:tcPr>
          <w:p w:rsidR="00CF2F49" w:rsidRDefault="00CF2F49" w:rsidP="00CF2F49">
            <w:pPr>
              <w:jc w:val="center"/>
            </w:pPr>
          </w:p>
        </w:tc>
        <w:tc>
          <w:tcPr>
            <w:tcW w:w="1209" w:type="dxa"/>
          </w:tcPr>
          <w:p w:rsidR="00CF2F49" w:rsidRDefault="00CF2F49" w:rsidP="00CF2F49">
            <w:pPr>
              <w:jc w:val="center"/>
            </w:pPr>
          </w:p>
        </w:tc>
      </w:tr>
      <w:tr w:rsidR="00CF2F49" w:rsidTr="00780A28">
        <w:tc>
          <w:tcPr>
            <w:tcW w:w="921" w:type="dxa"/>
          </w:tcPr>
          <w:p w:rsidR="00CF2F49" w:rsidRDefault="00CF2F49" w:rsidP="00CF2F49">
            <w:pPr>
              <w:jc w:val="center"/>
            </w:pPr>
            <w:r>
              <w:t>Čl. 5</w:t>
            </w: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O: 1</w:t>
            </w:r>
          </w:p>
        </w:tc>
        <w:tc>
          <w:tcPr>
            <w:tcW w:w="4961" w:type="dxa"/>
          </w:tcPr>
          <w:p w:rsidR="00CF2F49" w:rsidRPr="00103480" w:rsidRDefault="00CF2F49" w:rsidP="00CF2F49">
            <w:pPr>
              <w:spacing w:before="360" w:after="120"/>
              <w:jc w:val="center"/>
              <w:rPr>
                <w:i/>
                <w:iCs/>
                <w:color w:val="000000"/>
              </w:rPr>
            </w:pPr>
            <w:r w:rsidRPr="00103480">
              <w:rPr>
                <w:i/>
                <w:iCs/>
                <w:color w:val="000000"/>
              </w:rPr>
              <w:t>Článok 5</w:t>
            </w:r>
          </w:p>
          <w:p w:rsidR="00CF2F49" w:rsidRPr="00103480" w:rsidRDefault="00CF2F49" w:rsidP="00CF2F49">
            <w:pPr>
              <w:spacing w:before="60" w:after="120"/>
              <w:jc w:val="center"/>
              <w:rPr>
                <w:b/>
                <w:bCs/>
                <w:color w:val="000000"/>
              </w:rPr>
            </w:pPr>
            <w:r w:rsidRPr="00103480">
              <w:rPr>
                <w:b/>
                <w:bCs/>
                <w:color w:val="000000"/>
              </w:rPr>
              <w:t>Adresáti</w:t>
            </w:r>
          </w:p>
          <w:p w:rsidR="00CF2F49" w:rsidRPr="00103480" w:rsidRDefault="00CF2F49" w:rsidP="00CF2F49">
            <w:pPr>
              <w:spacing w:before="120"/>
              <w:rPr>
                <w:color w:val="000000"/>
              </w:rPr>
            </w:pPr>
            <w:r w:rsidRPr="00103480">
              <w:rPr>
                <w:color w:val="000000"/>
              </w:rPr>
              <w:t>Táto smernica je určená členským štátom v súlade so zmluvami.</w:t>
            </w:r>
          </w:p>
          <w:p w:rsidR="00CF2F49" w:rsidRDefault="00CF2F49" w:rsidP="00CF2F49">
            <w:pPr>
              <w:rPr>
                <w:color w:val="000000"/>
              </w:rPr>
            </w:pPr>
          </w:p>
          <w:p w:rsidR="00CF2F49" w:rsidRPr="00103480" w:rsidRDefault="00CF2F49" w:rsidP="00CF2F49">
            <w:pPr>
              <w:rPr>
                <w:color w:val="000000"/>
              </w:rPr>
            </w:pPr>
            <w:r w:rsidRPr="00103480">
              <w:rPr>
                <w:color w:val="000000"/>
              </w:rPr>
              <w:t>V Štrasburgu 15. novembra 2017</w:t>
            </w:r>
          </w:p>
          <w:p w:rsidR="00CF2F49" w:rsidRDefault="00CF2F49" w:rsidP="00CF2F49">
            <w:pPr>
              <w:spacing w:before="60" w:after="60"/>
              <w:jc w:val="center"/>
              <w:rPr>
                <w:i/>
                <w:iCs/>
                <w:color w:val="000000"/>
              </w:rPr>
            </w:pPr>
          </w:p>
          <w:p w:rsidR="00CF2F49" w:rsidRPr="00103480" w:rsidRDefault="00CF2F49" w:rsidP="00CF2F49">
            <w:pPr>
              <w:spacing w:before="60" w:after="60"/>
              <w:jc w:val="center"/>
              <w:rPr>
                <w:color w:val="000000"/>
              </w:rPr>
            </w:pPr>
            <w:r w:rsidRPr="00103480">
              <w:rPr>
                <w:i/>
                <w:iCs/>
                <w:color w:val="000000"/>
              </w:rPr>
              <w:t>Za Európsky parlament</w:t>
            </w:r>
            <w:r w:rsidRPr="00103480">
              <w:rPr>
                <w:color w:val="000000"/>
              </w:rPr>
              <w:t xml:space="preserve"> </w:t>
            </w:r>
          </w:p>
          <w:p w:rsidR="00CF2F49" w:rsidRPr="00103480" w:rsidRDefault="00CF2F49" w:rsidP="00CF2F49">
            <w:pPr>
              <w:spacing w:before="60" w:after="60"/>
              <w:jc w:val="center"/>
              <w:rPr>
                <w:color w:val="000000"/>
              </w:rPr>
            </w:pPr>
            <w:r w:rsidRPr="00103480">
              <w:rPr>
                <w:i/>
                <w:iCs/>
                <w:color w:val="000000"/>
              </w:rPr>
              <w:t>predseda</w:t>
            </w:r>
            <w:r w:rsidRPr="00103480">
              <w:rPr>
                <w:color w:val="000000"/>
              </w:rPr>
              <w:t xml:space="preserve"> </w:t>
            </w:r>
          </w:p>
          <w:p w:rsidR="00CF2F49" w:rsidRPr="00103480" w:rsidRDefault="00CF2F49" w:rsidP="00CF2F49">
            <w:pPr>
              <w:spacing w:before="60" w:after="60"/>
              <w:jc w:val="center"/>
              <w:rPr>
                <w:color w:val="000000"/>
              </w:rPr>
            </w:pPr>
            <w:r w:rsidRPr="00103480">
              <w:rPr>
                <w:color w:val="000000"/>
              </w:rPr>
              <w:t>A. TAJANI</w:t>
            </w:r>
          </w:p>
          <w:p w:rsidR="00CF2F49" w:rsidRPr="00103480" w:rsidRDefault="00CF2F49" w:rsidP="00CF2F49">
            <w:pPr>
              <w:spacing w:before="60" w:after="60"/>
              <w:jc w:val="center"/>
              <w:rPr>
                <w:color w:val="000000"/>
              </w:rPr>
            </w:pPr>
            <w:r w:rsidRPr="00103480">
              <w:rPr>
                <w:i/>
                <w:iCs/>
                <w:color w:val="000000"/>
              </w:rPr>
              <w:t>Za Radu</w:t>
            </w:r>
            <w:r w:rsidRPr="00103480">
              <w:rPr>
                <w:color w:val="000000"/>
              </w:rPr>
              <w:t xml:space="preserve"> </w:t>
            </w:r>
          </w:p>
          <w:p w:rsidR="00CF2F49" w:rsidRPr="00103480" w:rsidRDefault="00CF2F49" w:rsidP="00CF2F49">
            <w:pPr>
              <w:spacing w:before="60" w:after="60"/>
              <w:jc w:val="center"/>
              <w:rPr>
                <w:color w:val="000000"/>
              </w:rPr>
            </w:pPr>
            <w:r w:rsidRPr="00103480">
              <w:rPr>
                <w:i/>
                <w:iCs/>
                <w:color w:val="000000"/>
              </w:rPr>
              <w:t>predseda</w:t>
            </w:r>
            <w:r w:rsidRPr="00103480">
              <w:rPr>
                <w:color w:val="000000"/>
              </w:rPr>
              <w:t xml:space="preserve"> </w:t>
            </w:r>
          </w:p>
          <w:p w:rsidR="00CF2F49" w:rsidRDefault="00CF2F49" w:rsidP="00CF2F49">
            <w:pPr>
              <w:spacing w:before="60" w:after="60"/>
              <w:jc w:val="center"/>
            </w:pPr>
            <w:r w:rsidRPr="00103480">
              <w:rPr>
                <w:color w:val="000000"/>
              </w:rPr>
              <w:t>M. MAASIKAS</w:t>
            </w:r>
          </w:p>
        </w:tc>
        <w:tc>
          <w:tcPr>
            <w:tcW w:w="425" w:type="dxa"/>
          </w:tcPr>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p>
          <w:p w:rsidR="00CF2F49" w:rsidRDefault="00CF2F49" w:rsidP="00CF2F49">
            <w:pPr>
              <w:jc w:val="center"/>
            </w:pPr>
            <w:r>
              <w:t>n.a.</w:t>
            </w:r>
          </w:p>
          <w:p w:rsidR="00CF2F49" w:rsidRDefault="00CF2F49" w:rsidP="00CF2F49">
            <w:pPr>
              <w:jc w:val="center"/>
            </w:pPr>
          </w:p>
        </w:tc>
        <w:tc>
          <w:tcPr>
            <w:tcW w:w="426" w:type="dxa"/>
          </w:tcPr>
          <w:p w:rsidR="00CF2F49" w:rsidRDefault="00CF2F49" w:rsidP="00CF2F49"/>
        </w:tc>
        <w:tc>
          <w:tcPr>
            <w:tcW w:w="897" w:type="dxa"/>
            <w:gridSpan w:val="2"/>
          </w:tcPr>
          <w:p w:rsidR="00CF2F49" w:rsidRDefault="00CF2F49" w:rsidP="00CF2F49">
            <w:pPr>
              <w:jc w:val="center"/>
            </w:pPr>
          </w:p>
        </w:tc>
        <w:tc>
          <w:tcPr>
            <w:tcW w:w="4489" w:type="dxa"/>
          </w:tcPr>
          <w:p w:rsidR="00CF2F49" w:rsidRDefault="00CF2F49" w:rsidP="00CF2F49">
            <w:pPr>
              <w:pStyle w:val="Odsekzoznamu"/>
              <w:tabs>
                <w:tab w:val="left" w:pos="256"/>
              </w:tabs>
              <w:autoSpaceDE w:val="0"/>
              <w:autoSpaceDN w:val="0"/>
              <w:adjustRightInd w:val="0"/>
              <w:ind w:left="0"/>
              <w:jc w:val="left"/>
            </w:pPr>
          </w:p>
        </w:tc>
        <w:tc>
          <w:tcPr>
            <w:tcW w:w="776" w:type="dxa"/>
          </w:tcPr>
          <w:p w:rsidR="00CF2F49" w:rsidRDefault="00CF2F49" w:rsidP="00CF2F49">
            <w:pPr>
              <w:jc w:val="center"/>
            </w:pPr>
          </w:p>
        </w:tc>
        <w:tc>
          <w:tcPr>
            <w:tcW w:w="1209" w:type="dxa"/>
          </w:tcPr>
          <w:p w:rsidR="00CF2F49" w:rsidRDefault="00CF2F49" w:rsidP="00CF2F49">
            <w:pPr>
              <w:jc w:val="center"/>
            </w:pPr>
          </w:p>
        </w:tc>
      </w:tr>
      <w:tr w:rsidR="003A3252" w:rsidTr="00780A28">
        <w:tc>
          <w:tcPr>
            <w:tcW w:w="921" w:type="dxa"/>
          </w:tcPr>
          <w:p w:rsidR="003A3252" w:rsidRDefault="003A3252" w:rsidP="003A3252">
            <w:pPr>
              <w:jc w:val="center"/>
            </w:pPr>
            <w:r>
              <w:t>Príloha</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r>
              <w:t>l: 1</w:t>
            </w:r>
          </w:p>
          <w:p w:rsidR="003A3252" w:rsidRDefault="003A3252" w:rsidP="003A3252">
            <w:pPr>
              <w:jc w:val="center"/>
            </w:pPr>
          </w:p>
          <w:p w:rsidR="003A3252" w:rsidRDefault="003A3252" w:rsidP="003A3252">
            <w:pPr>
              <w:jc w:val="center"/>
            </w:pPr>
          </w:p>
          <w:p w:rsidR="00686541" w:rsidRDefault="00686541" w:rsidP="003A3252">
            <w:pPr>
              <w:jc w:val="center"/>
            </w:pPr>
          </w:p>
          <w:p w:rsidR="003A3252" w:rsidRDefault="003A3252" w:rsidP="003A3252">
            <w:pPr>
              <w:jc w:val="center"/>
            </w:pPr>
            <w:r>
              <w:t>l: 2</w:t>
            </w:r>
          </w:p>
          <w:p w:rsidR="003A3252" w:rsidRDefault="003A3252" w:rsidP="003A3252">
            <w:pPr>
              <w:jc w:val="center"/>
            </w:pPr>
          </w:p>
          <w:p w:rsidR="003A3252" w:rsidRDefault="003A3252"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3A3252" w:rsidRDefault="003A3252" w:rsidP="003A3252">
            <w:pPr>
              <w:jc w:val="center"/>
            </w:pPr>
            <w:r>
              <w:t>l: 3</w:t>
            </w:r>
          </w:p>
          <w:p w:rsidR="003A3252" w:rsidRDefault="003A3252" w:rsidP="003A3252">
            <w:pPr>
              <w:jc w:val="center"/>
            </w:pPr>
          </w:p>
          <w:p w:rsidR="003A3252" w:rsidRDefault="003A3252" w:rsidP="003A3252">
            <w:pPr>
              <w:jc w:val="center"/>
            </w:pPr>
          </w:p>
          <w:p w:rsidR="003A3252" w:rsidRDefault="003A3252"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686541" w:rsidRDefault="00686541" w:rsidP="003A3252">
            <w:pPr>
              <w:jc w:val="center"/>
            </w:pPr>
          </w:p>
          <w:p w:rsidR="003A3252" w:rsidRDefault="003A3252" w:rsidP="003A3252">
            <w:pPr>
              <w:jc w:val="center"/>
            </w:pPr>
          </w:p>
          <w:p w:rsidR="003A3252" w:rsidRDefault="003A3252" w:rsidP="003A3252">
            <w:pPr>
              <w:jc w:val="center"/>
            </w:pPr>
            <w:r>
              <w:t>l: 4</w:t>
            </w:r>
          </w:p>
          <w:p w:rsidR="003A3252" w:rsidRDefault="003A3252" w:rsidP="003A3252">
            <w:pPr>
              <w:jc w:val="center"/>
            </w:pPr>
          </w:p>
          <w:p w:rsidR="003A3252" w:rsidRDefault="003A3252" w:rsidP="003A3252">
            <w:pPr>
              <w:jc w:val="center"/>
            </w:pPr>
          </w:p>
          <w:p w:rsidR="003A3252" w:rsidRDefault="003A3252" w:rsidP="003A3252">
            <w:pPr>
              <w:jc w:val="center"/>
            </w:pPr>
          </w:p>
          <w:p w:rsidR="00A12210" w:rsidRDefault="00A12210" w:rsidP="003A3252">
            <w:pPr>
              <w:jc w:val="center"/>
            </w:pPr>
          </w:p>
          <w:p w:rsidR="003A3252" w:rsidRDefault="003A3252" w:rsidP="003A3252">
            <w:pPr>
              <w:jc w:val="center"/>
            </w:pPr>
            <w:r>
              <w:t>l: 5</w:t>
            </w:r>
          </w:p>
          <w:p w:rsidR="00337F85" w:rsidRDefault="00337F85" w:rsidP="003A3252">
            <w:pPr>
              <w:jc w:val="center"/>
            </w:pPr>
          </w:p>
          <w:p w:rsidR="00337F85" w:rsidRDefault="00337F85" w:rsidP="003A3252">
            <w:pPr>
              <w:jc w:val="center"/>
            </w:pPr>
          </w:p>
          <w:p w:rsidR="003A3252" w:rsidRDefault="003A3252"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A3252" w:rsidRDefault="003A3252" w:rsidP="003A3252">
            <w:pPr>
              <w:jc w:val="center"/>
            </w:pPr>
            <w:r>
              <w:t>l: 6</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031FC" w:rsidRDefault="003031FC" w:rsidP="003A3252">
            <w:pPr>
              <w:jc w:val="center"/>
            </w:pPr>
          </w:p>
          <w:p w:rsidR="003031FC" w:rsidRDefault="003031FC" w:rsidP="003A3252">
            <w:pPr>
              <w:jc w:val="center"/>
            </w:pPr>
          </w:p>
          <w:p w:rsidR="00337F85" w:rsidRDefault="00337F85" w:rsidP="003A3252">
            <w:pPr>
              <w:jc w:val="center"/>
            </w:pPr>
          </w:p>
          <w:p w:rsidR="003A3252" w:rsidRDefault="003A3252" w:rsidP="003A3252">
            <w:pPr>
              <w:jc w:val="center"/>
            </w:pPr>
          </w:p>
          <w:p w:rsidR="003A3252" w:rsidRDefault="003A3252" w:rsidP="003A3252">
            <w:pPr>
              <w:jc w:val="center"/>
            </w:pPr>
            <w:r>
              <w:t>l: 7</w:t>
            </w:r>
          </w:p>
          <w:p w:rsidR="003A3252" w:rsidRDefault="003A3252"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3A3252" w:rsidRDefault="003A3252" w:rsidP="003A3252">
            <w:pPr>
              <w:jc w:val="center"/>
            </w:pPr>
            <w:r>
              <w:t>l: 8</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352FE" w:rsidRDefault="00B352FE" w:rsidP="003A3252">
            <w:pPr>
              <w:jc w:val="center"/>
            </w:pPr>
          </w:p>
          <w:p w:rsidR="00B23F63" w:rsidRDefault="00B23F63" w:rsidP="003A3252">
            <w:pPr>
              <w:jc w:val="center"/>
            </w:pPr>
          </w:p>
          <w:p w:rsidR="00B23F63" w:rsidRDefault="00B23F63" w:rsidP="003A3252">
            <w:pPr>
              <w:jc w:val="center"/>
            </w:pPr>
          </w:p>
          <w:p w:rsidR="00337F85" w:rsidRDefault="00337F85" w:rsidP="003A3252">
            <w:pPr>
              <w:jc w:val="center"/>
            </w:pPr>
          </w:p>
          <w:p w:rsidR="003A3252" w:rsidRDefault="003A3252" w:rsidP="003A3252">
            <w:pPr>
              <w:jc w:val="center"/>
            </w:pPr>
          </w:p>
          <w:p w:rsidR="003A3252" w:rsidRDefault="003A3252" w:rsidP="003A3252">
            <w:pPr>
              <w:jc w:val="center"/>
            </w:pPr>
            <w:r>
              <w:t>l: 9</w:t>
            </w:r>
          </w:p>
          <w:p w:rsidR="003A3252" w:rsidRDefault="003A3252" w:rsidP="003A3252">
            <w:pPr>
              <w:jc w:val="center"/>
            </w:pPr>
          </w:p>
          <w:p w:rsidR="003A3252" w:rsidRDefault="003A3252" w:rsidP="003A3252">
            <w:pPr>
              <w:jc w:val="center"/>
            </w:pPr>
          </w:p>
          <w:p w:rsidR="00B23F63" w:rsidRDefault="00B23F63" w:rsidP="003A3252">
            <w:pPr>
              <w:jc w:val="center"/>
            </w:pPr>
          </w:p>
          <w:p w:rsidR="00B23F63" w:rsidRDefault="00B23F63" w:rsidP="003A3252">
            <w:pPr>
              <w:jc w:val="center"/>
            </w:pPr>
          </w:p>
          <w:p w:rsidR="00337F85" w:rsidRDefault="00337F85" w:rsidP="003A3252">
            <w:pPr>
              <w:jc w:val="center"/>
            </w:pPr>
          </w:p>
          <w:p w:rsidR="00337F85" w:rsidRDefault="00337F85" w:rsidP="003A3252">
            <w:pPr>
              <w:jc w:val="center"/>
            </w:pPr>
          </w:p>
          <w:p w:rsidR="003A3252" w:rsidRDefault="003A3252" w:rsidP="003A3252">
            <w:pPr>
              <w:jc w:val="center"/>
            </w:pPr>
          </w:p>
          <w:p w:rsidR="003A3252" w:rsidRDefault="003A3252" w:rsidP="003A3252">
            <w:pPr>
              <w:jc w:val="center"/>
            </w:pPr>
            <w:r>
              <w:t>l: 10</w:t>
            </w:r>
          </w:p>
          <w:p w:rsidR="003A3252" w:rsidRDefault="003A3252" w:rsidP="003A3252">
            <w:pPr>
              <w:jc w:val="center"/>
            </w:pPr>
          </w:p>
          <w:p w:rsidR="003A3252" w:rsidRDefault="003A3252" w:rsidP="003A3252">
            <w:pPr>
              <w:jc w:val="center"/>
            </w:pPr>
          </w:p>
          <w:p w:rsidR="00B23F63" w:rsidRDefault="00B23F63" w:rsidP="003A3252">
            <w:pPr>
              <w:jc w:val="center"/>
            </w:pPr>
          </w:p>
          <w:p w:rsidR="003A3252" w:rsidRDefault="003A3252" w:rsidP="003A3252">
            <w:pPr>
              <w:jc w:val="center"/>
            </w:pPr>
          </w:p>
          <w:p w:rsidR="00B23F63" w:rsidRDefault="00B23F63" w:rsidP="003A3252">
            <w:pPr>
              <w:jc w:val="center"/>
            </w:pPr>
          </w:p>
          <w:p w:rsidR="003A3252" w:rsidRDefault="003A3252" w:rsidP="003A3252">
            <w:pPr>
              <w:jc w:val="center"/>
            </w:pPr>
            <w:r>
              <w:t>l: 11</w:t>
            </w:r>
          </w:p>
          <w:p w:rsidR="003A3252" w:rsidRDefault="003A3252" w:rsidP="003A3252">
            <w:pPr>
              <w:jc w:val="center"/>
            </w:pPr>
          </w:p>
          <w:p w:rsidR="003A3252" w:rsidRDefault="003A3252" w:rsidP="003A3252">
            <w:pPr>
              <w:jc w:val="center"/>
            </w:pPr>
          </w:p>
          <w:p w:rsidR="00B23F63" w:rsidRDefault="00B23F63" w:rsidP="003A3252">
            <w:pPr>
              <w:jc w:val="center"/>
            </w:pPr>
          </w:p>
          <w:p w:rsidR="00B23F63" w:rsidRDefault="00B23F63" w:rsidP="003A3252">
            <w:pPr>
              <w:jc w:val="center"/>
            </w:pPr>
          </w:p>
          <w:p w:rsidR="003A3252" w:rsidRDefault="003A3252" w:rsidP="003A3252">
            <w:pPr>
              <w:jc w:val="center"/>
            </w:pPr>
          </w:p>
          <w:p w:rsidR="00466914" w:rsidRDefault="00466914" w:rsidP="003A3252">
            <w:pPr>
              <w:jc w:val="center"/>
            </w:pPr>
          </w:p>
          <w:p w:rsidR="003A3252" w:rsidRDefault="003A3252" w:rsidP="003A3252">
            <w:pPr>
              <w:jc w:val="center"/>
            </w:pPr>
            <w:r>
              <w:t>l: 12</w:t>
            </w:r>
          </w:p>
          <w:p w:rsidR="003A3252" w:rsidRDefault="003A3252" w:rsidP="003A3252">
            <w:pPr>
              <w:jc w:val="center"/>
            </w:pPr>
          </w:p>
          <w:p w:rsidR="003A3252" w:rsidRDefault="003A3252" w:rsidP="003A3252">
            <w:pPr>
              <w:jc w:val="center"/>
            </w:pPr>
          </w:p>
        </w:tc>
        <w:tc>
          <w:tcPr>
            <w:tcW w:w="4961" w:type="dxa"/>
          </w:tcPr>
          <w:p w:rsidR="003A3252" w:rsidRPr="00103480" w:rsidRDefault="003A3252" w:rsidP="003A3252">
            <w:pPr>
              <w:spacing w:before="240" w:after="120"/>
              <w:jc w:val="center"/>
              <w:rPr>
                <w:b/>
                <w:bCs/>
                <w:color w:val="000000"/>
              </w:rPr>
            </w:pPr>
            <w:r w:rsidRPr="00103480">
              <w:rPr>
                <w:b/>
                <w:bCs/>
                <w:color w:val="000000"/>
              </w:rPr>
              <w:lastRenderedPageBreak/>
              <w:t>PRÍLOHA</w:t>
            </w:r>
          </w:p>
          <w:p w:rsidR="003A3252" w:rsidRPr="00103480" w:rsidRDefault="003A3252" w:rsidP="003A3252">
            <w:pPr>
              <w:spacing w:before="240" w:after="120"/>
              <w:rPr>
                <w:b/>
                <w:bCs/>
                <w:color w:val="000000"/>
              </w:rPr>
            </w:pPr>
            <w:r w:rsidRPr="00103480">
              <w:rPr>
                <w:b/>
                <w:bCs/>
                <w:color w:val="000000"/>
              </w:rPr>
              <w:t xml:space="preserve">Zoznam látok podľa článku 1 bodu 1 písm. b) </w:t>
            </w: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3A3252" w:rsidTr="00272E01">
              <w:trPr>
                <w:tblCellSpacing w:w="0" w:type="dxa"/>
              </w:trPr>
              <w:tc>
                <w:tcPr>
                  <w:tcW w:w="180" w:type="dxa"/>
                  <w:hideMark/>
                </w:tcPr>
                <w:p w:rsidR="003A3252" w:rsidRPr="003A3252" w:rsidRDefault="003A3252" w:rsidP="003A3252">
                  <w:pPr>
                    <w:spacing w:before="120"/>
                    <w:rPr>
                      <w:color w:val="000000"/>
                    </w:rPr>
                  </w:pPr>
                  <w:r w:rsidRPr="003A3252">
                    <w:rPr>
                      <w:color w:val="000000"/>
                    </w:rPr>
                    <w:lastRenderedPageBreak/>
                    <w:t>1.</w:t>
                  </w:r>
                </w:p>
              </w:tc>
              <w:tc>
                <w:tcPr>
                  <w:tcW w:w="8892" w:type="dxa"/>
                  <w:hideMark/>
                </w:tcPr>
                <w:p w:rsidR="003A3252" w:rsidRPr="003A3252" w:rsidRDefault="003A3252" w:rsidP="003A3252">
                  <w:pPr>
                    <w:spacing w:before="120"/>
                    <w:rPr>
                      <w:color w:val="000000"/>
                    </w:rPr>
                  </w:pPr>
                  <w:r w:rsidRPr="003A3252">
                    <w:rPr>
                      <w:color w:val="000000"/>
                    </w:rPr>
                    <w:t xml:space="preserve"> P-metyltioamfetamín alebo 4-metyltioamfetamín uvedený v rozhodnutí Rady 1999/615/SVV</w:t>
                  </w:r>
                  <w:hyperlink r:id="rId13" w:anchor="ntr1-L_2017305SK.01001802-E0001" w:history="1">
                    <w:r w:rsidRPr="003A3252">
                      <w:rPr>
                        <w:color w:val="0000FF"/>
                        <w:u w:val="single"/>
                      </w:rPr>
                      <w:t> (</w:t>
                    </w:r>
                    <w:r w:rsidRPr="003A3252">
                      <w:rPr>
                        <w:color w:val="0000FF"/>
                        <w:sz w:val="17"/>
                        <w:szCs w:val="17"/>
                        <w:u w:val="single"/>
                        <w:vertAlign w:val="superscript"/>
                      </w:rPr>
                      <w:t>1</w:t>
                    </w:r>
                    <w:r w:rsidRPr="003A3252">
                      <w:rPr>
                        <w:color w:val="0000FF"/>
                        <w:u w:val="single"/>
                      </w:rPr>
                      <w:t>)</w:t>
                    </w:r>
                  </w:hyperlink>
                  <w:r w:rsidRPr="003A3252">
                    <w:rPr>
                      <w:color w:val="000000"/>
                    </w:rPr>
                    <w:t>.</w:t>
                  </w:r>
                </w:p>
              </w:tc>
            </w:tr>
          </w:tbl>
          <w:p w:rsidR="003A3252" w:rsidRPr="003A3252"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3A3252" w:rsidTr="00272E01">
              <w:trPr>
                <w:tblCellSpacing w:w="0" w:type="dxa"/>
              </w:trPr>
              <w:tc>
                <w:tcPr>
                  <w:tcW w:w="180" w:type="dxa"/>
                  <w:hideMark/>
                </w:tcPr>
                <w:p w:rsidR="003A3252" w:rsidRPr="003A3252" w:rsidRDefault="003A3252" w:rsidP="003A3252">
                  <w:pPr>
                    <w:spacing w:before="120"/>
                    <w:rPr>
                      <w:color w:val="000000"/>
                    </w:rPr>
                  </w:pPr>
                  <w:r w:rsidRPr="003A3252">
                    <w:rPr>
                      <w:color w:val="000000"/>
                    </w:rPr>
                    <w:t>2.</w:t>
                  </w:r>
                </w:p>
              </w:tc>
              <w:tc>
                <w:tcPr>
                  <w:tcW w:w="8892" w:type="dxa"/>
                  <w:hideMark/>
                </w:tcPr>
                <w:p w:rsidR="003A3252" w:rsidRDefault="003A3252" w:rsidP="003A3252">
                  <w:pPr>
                    <w:spacing w:before="120"/>
                    <w:rPr>
                      <w:color w:val="000000"/>
                    </w:rPr>
                  </w:pPr>
                  <w:r w:rsidRPr="003A3252">
                    <w:rPr>
                      <w:color w:val="000000"/>
                    </w:rPr>
                    <w:t xml:space="preserve"> Parametoxy-metylamfetamín alebo N-metyl-1-(4-metoxy-fenyl)-2-aminopropán uvedený v rozhodnutí Rady 2002/188/SVV</w:t>
                  </w:r>
                  <w:hyperlink r:id="rId14" w:anchor="ntr2-L_2017305SK.01001802-E0002" w:history="1">
                    <w:r w:rsidRPr="003A3252">
                      <w:rPr>
                        <w:color w:val="0000FF"/>
                        <w:u w:val="single"/>
                      </w:rPr>
                      <w:t> (</w:t>
                    </w:r>
                    <w:r w:rsidRPr="003A3252">
                      <w:rPr>
                        <w:color w:val="0000FF"/>
                        <w:sz w:val="17"/>
                        <w:szCs w:val="17"/>
                        <w:u w:val="single"/>
                        <w:vertAlign w:val="superscript"/>
                      </w:rPr>
                      <w:t>2</w:t>
                    </w:r>
                    <w:r w:rsidRPr="003A3252">
                      <w:rPr>
                        <w:color w:val="0000FF"/>
                        <w:u w:val="single"/>
                      </w:rPr>
                      <w:t>)</w:t>
                    </w:r>
                  </w:hyperlink>
                  <w:r w:rsidRPr="003A3252">
                    <w:rPr>
                      <w:color w:val="000000"/>
                    </w:rPr>
                    <w:t>.</w:t>
                  </w:r>
                </w:p>
                <w:p w:rsidR="00686541" w:rsidRDefault="00686541" w:rsidP="003A3252">
                  <w:pPr>
                    <w:spacing w:before="120"/>
                    <w:rPr>
                      <w:color w:val="000000"/>
                    </w:rPr>
                  </w:pPr>
                </w:p>
                <w:p w:rsidR="00686541" w:rsidRPr="003A3252" w:rsidRDefault="00686541"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103480" w:rsidTr="00272E01">
              <w:trPr>
                <w:tblCellSpacing w:w="0" w:type="dxa"/>
              </w:trPr>
              <w:tc>
                <w:tcPr>
                  <w:tcW w:w="180" w:type="dxa"/>
                  <w:hideMark/>
                </w:tcPr>
                <w:p w:rsidR="003A3252" w:rsidRPr="00103480" w:rsidRDefault="003A3252" w:rsidP="003A3252">
                  <w:pPr>
                    <w:spacing w:before="120"/>
                    <w:rPr>
                      <w:color w:val="000000"/>
                    </w:rPr>
                  </w:pPr>
                  <w:r w:rsidRPr="00103480">
                    <w:rPr>
                      <w:color w:val="000000"/>
                    </w:rPr>
                    <w:t>3.</w:t>
                  </w:r>
                </w:p>
              </w:tc>
              <w:tc>
                <w:tcPr>
                  <w:tcW w:w="8892" w:type="dxa"/>
                  <w:hideMark/>
                </w:tcPr>
                <w:p w:rsidR="00686541" w:rsidRDefault="003A3252" w:rsidP="003A3252">
                  <w:pPr>
                    <w:spacing w:before="120"/>
                    <w:rPr>
                      <w:color w:val="000000"/>
                    </w:rPr>
                  </w:pPr>
                  <w:r>
                    <w:rPr>
                      <w:color w:val="000000"/>
                    </w:rPr>
                    <w:t xml:space="preserve"> </w:t>
                  </w:r>
                  <w:r w:rsidRPr="00103480">
                    <w:rPr>
                      <w:color w:val="000000"/>
                    </w:rPr>
                    <w:t xml:space="preserve">2,5-dimetoxy-4-jódfenetylamín, </w:t>
                  </w:r>
                </w:p>
                <w:p w:rsidR="00686541" w:rsidRDefault="003A3252" w:rsidP="003A3252">
                  <w:pPr>
                    <w:spacing w:before="120"/>
                    <w:rPr>
                      <w:color w:val="000000"/>
                    </w:rPr>
                  </w:pPr>
                  <w:r w:rsidRPr="00103480">
                    <w:rPr>
                      <w:color w:val="000000"/>
                    </w:rPr>
                    <w:t xml:space="preserve">2,5-dimetoxy-4-etyltiofenetylamín, </w:t>
                  </w:r>
                </w:p>
                <w:p w:rsidR="00686541" w:rsidRDefault="003A3252" w:rsidP="003A3252">
                  <w:pPr>
                    <w:spacing w:before="120"/>
                    <w:rPr>
                      <w:color w:val="000000"/>
                    </w:rPr>
                  </w:pPr>
                  <w:r w:rsidRPr="00103480">
                    <w:rPr>
                      <w:color w:val="000000"/>
                    </w:rPr>
                    <w:t>2,5-dimetoxy-4 (n) -propyltiofenetylamín a </w:t>
                  </w:r>
                </w:p>
                <w:p w:rsidR="003A3252" w:rsidRDefault="003A3252" w:rsidP="003A3252">
                  <w:pPr>
                    <w:spacing w:before="120"/>
                    <w:rPr>
                      <w:color w:val="000000"/>
                    </w:rPr>
                  </w:pPr>
                  <w:r w:rsidRPr="00103480">
                    <w:rPr>
                      <w:color w:val="000000"/>
                    </w:rPr>
                    <w:t>2,4,5-trimetoxyamfetamín uvedené v rozhodnutí Rady 2003/847/SVV</w:t>
                  </w:r>
                  <w:hyperlink r:id="rId15" w:anchor="ntr3-L_2017305SK.01001802-E0003" w:history="1">
                    <w:r w:rsidRPr="00103480">
                      <w:rPr>
                        <w:color w:val="0000FF"/>
                        <w:u w:val="single"/>
                      </w:rPr>
                      <w:t> (</w:t>
                    </w:r>
                    <w:r w:rsidRPr="00103480">
                      <w:rPr>
                        <w:color w:val="0000FF"/>
                        <w:sz w:val="17"/>
                        <w:szCs w:val="17"/>
                        <w:u w:val="single"/>
                        <w:vertAlign w:val="superscript"/>
                      </w:rPr>
                      <w:t>3</w:t>
                    </w:r>
                    <w:r w:rsidRPr="00103480">
                      <w:rPr>
                        <w:color w:val="0000FF"/>
                        <w:u w:val="single"/>
                      </w:rPr>
                      <w:t>)</w:t>
                    </w:r>
                  </w:hyperlink>
                  <w:r w:rsidRPr="00103480">
                    <w:rPr>
                      <w:color w:val="000000"/>
                    </w:rPr>
                    <w:t>.</w:t>
                  </w:r>
                </w:p>
                <w:p w:rsidR="00686541" w:rsidRDefault="00686541" w:rsidP="003A3252">
                  <w:pPr>
                    <w:spacing w:before="120"/>
                    <w:rPr>
                      <w:color w:val="000000"/>
                    </w:rPr>
                  </w:pPr>
                </w:p>
                <w:p w:rsidR="00686541" w:rsidRDefault="00686541" w:rsidP="003A3252">
                  <w:pPr>
                    <w:spacing w:before="120"/>
                    <w:rPr>
                      <w:color w:val="000000"/>
                    </w:rPr>
                  </w:pPr>
                </w:p>
                <w:p w:rsidR="00686541" w:rsidRPr="00103480" w:rsidRDefault="00686541"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103480" w:rsidTr="00272E01">
              <w:trPr>
                <w:tblCellSpacing w:w="0" w:type="dxa"/>
              </w:trPr>
              <w:tc>
                <w:tcPr>
                  <w:tcW w:w="180" w:type="dxa"/>
                  <w:hideMark/>
                </w:tcPr>
                <w:p w:rsidR="003A3252" w:rsidRPr="00103480" w:rsidRDefault="003A3252" w:rsidP="003A3252">
                  <w:pPr>
                    <w:spacing w:before="120"/>
                    <w:rPr>
                      <w:color w:val="000000"/>
                    </w:rPr>
                  </w:pPr>
                  <w:r w:rsidRPr="00103480">
                    <w:rPr>
                      <w:color w:val="000000"/>
                    </w:rPr>
                    <w:t>4.</w:t>
                  </w:r>
                </w:p>
              </w:tc>
              <w:tc>
                <w:tcPr>
                  <w:tcW w:w="8892" w:type="dxa"/>
                  <w:hideMark/>
                </w:tcPr>
                <w:p w:rsidR="003A3252" w:rsidRPr="00103480" w:rsidRDefault="003A3252" w:rsidP="003A3252">
                  <w:pPr>
                    <w:spacing w:before="120"/>
                    <w:rPr>
                      <w:color w:val="000000"/>
                    </w:rPr>
                  </w:pPr>
                  <w:r>
                    <w:rPr>
                      <w:color w:val="000000"/>
                    </w:rPr>
                    <w:t xml:space="preserve"> </w:t>
                  </w:r>
                  <w:r w:rsidRPr="00103480">
                    <w:rPr>
                      <w:color w:val="000000"/>
                    </w:rPr>
                    <w:t>1-benzylpiperazín alebo 1-benzyl-1,4-diazacyklohexán alebo N-benzylpiperazín alebo benzylpiperazín uvedený v rozhodnutí Rady 2008/206/SVV</w:t>
                  </w:r>
                  <w:hyperlink r:id="rId16" w:anchor="ntr4-L_2017305SK.01001802-E0004" w:history="1">
                    <w:r w:rsidRPr="00103480">
                      <w:rPr>
                        <w:color w:val="0000FF"/>
                        <w:u w:val="single"/>
                      </w:rPr>
                      <w:t> (</w:t>
                    </w:r>
                    <w:r w:rsidRPr="00103480">
                      <w:rPr>
                        <w:color w:val="0000FF"/>
                        <w:sz w:val="17"/>
                        <w:szCs w:val="17"/>
                        <w:u w:val="single"/>
                        <w:vertAlign w:val="superscript"/>
                      </w:rPr>
                      <w:t>4</w:t>
                    </w:r>
                    <w:r w:rsidRPr="00103480">
                      <w:rPr>
                        <w:color w:val="0000FF"/>
                        <w:u w:val="single"/>
                      </w:rPr>
                      <w:t>)</w:t>
                    </w:r>
                  </w:hyperlink>
                  <w:r w:rsidRPr="00103480">
                    <w:rPr>
                      <w:color w:val="000000"/>
                    </w:rPr>
                    <w:t>.</w:t>
                  </w: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42"/>
              <w:gridCol w:w="4679"/>
            </w:tblGrid>
            <w:tr w:rsidR="003A3252" w:rsidRPr="00103480" w:rsidTr="00272E01">
              <w:trPr>
                <w:tblCellSpacing w:w="0" w:type="dxa"/>
              </w:trPr>
              <w:tc>
                <w:tcPr>
                  <w:tcW w:w="250" w:type="dxa"/>
                  <w:hideMark/>
                </w:tcPr>
                <w:p w:rsidR="003A3252" w:rsidRPr="00103480" w:rsidRDefault="003A3252" w:rsidP="003A3252">
                  <w:pPr>
                    <w:spacing w:before="120"/>
                    <w:rPr>
                      <w:color w:val="000000"/>
                    </w:rPr>
                  </w:pPr>
                  <w:r w:rsidRPr="00103480">
                    <w:rPr>
                      <w:color w:val="000000"/>
                    </w:rPr>
                    <w:t>5.</w:t>
                  </w:r>
                </w:p>
              </w:tc>
              <w:tc>
                <w:tcPr>
                  <w:tcW w:w="8822" w:type="dxa"/>
                  <w:hideMark/>
                </w:tcPr>
                <w:p w:rsidR="003A3252" w:rsidRDefault="003A3252" w:rsidP="003A3252">
                  <w:pPr>
                    <w:spacing w:before="120"/>
                    <w:rPr>
                      <w:color w:val="000000"/>
                    </w:rPr>
                  </w:pPr>
                  <w:r>
                    <w:rPr>
                      <w:color w:val="000000"/>
                    </w:rPr>
                    <w:t xml:space="preserve"> </w:t>
                  </w:r>
                  <w:r w:rsidRPr="00103480">
                    <w:rPr>
                      <w:color w:val="000000"/>
                    </w:rPr>
                    <w:t>4-metylmetkathinón uvedený v rozhodnutí Rady 2010/759/EÚ</w:t>
                  </w:r>
                  <w:hyperlink r:id="rId17" w:anchor="ntr5-L_2017305SK.01001802-E0005" w:history="1">
                    <w:r w:rsidRPr="00103480">
                      <w:rPr>
                        <w:color w:val="0000FF"/>
                        <w:u w:val="single"/>
                      </w:rPr>
                      <w:t> (</w:t>
                    </w:r>
                    <w:r w:rsidRPr="00103480">
                      <w:rPr>
                        <w:color w:val="0000FF"/>
                        <w:sz w:val="17"/>
                        <w:szCs w:val="17"/>
                        <w:u w:val="single"/>
                        <w:vertAlign w:val="superscript"/>
                      </w:rPr>
                      <w:t>5</w:t>
                    </w:r>
                    <w:r w:rsidRPr="00103480">
                      <w:rPr>
                        <w:color w:val="0000FF"/>
                        <w:u w:val="single"/>
                      </w:rPr>
                      <w:t>)</w:t>
                    </w:r>
                  </w:hyperlink>
                  <w:r w:rsidRPr="00103480">
                    <w:rPr>
                      <w:color w:val="000000"/>
                    </w:rPr>
                    <w:t>.</w:t>
                  </w:r>
                </w:p>
                <w:p w:rsidR="00337F85" w:rsidRDefault="00337F85" w:rsidP="003A3252">
                  <w:pPr>
                    <w:spacing w:before="120"/>
                    <w:rPr>
                      <w:color w:val="000000"/>
                    </w:rPr>
                  </w:pPr>
                </w:p>
                <w:p w:rsidR="00337F85" w:rsidRPr="00103480" w:rsidRDefault="00337F85"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103480" w:rsidTr="00272E01">
              <w:trPr>
                <w:tblCellSpacing w:w="0" w:type="dxa"/>
              </w:trPr>
              <w:tc>
                <w:tcPr>
                  <w:tcW w:w="180" w:type="dxa"/>
                  <w:hideMark/>
                </w:tcPr>
                <w:p w:rsidR="003A3252" w:rsidRPr="00103480" w:rsidRDefault="003A3252" w:rsidP="003A3252">
                  <w:pPr>
                    <w:spacing w:before="120"/>
                    <w:rPr>
                      <w:color w:val="000000"/>
                    </w:rPr>
                  </w:pPr>
                  <w:r w:rsidRPr="00103480">
                    <w:rPr>
                      <w:color w:val="000000"/>
                    </w:rPr>
                    <w:lastRenderedPageBreak/>
                    <w:t>6.</w:t>
                  </w:r>
                </w:p>
              </w:tc>
              <w:tc>
                <w:tcPr>
                  <w:tcW w:w="8892" w:type="dxa"/>
                  <w:hideMark/>
                </w:tcPr>
                <w:p w:rsidR="003031FC" w:rsidRDefault="003A3252">
                  <w:pPr>
                    <w:spacing w:before="120"/>
                    <w:rPr>
                      <w:color w:val="000000"/>
                    </w:rPr>
                  </w:pPr>
                  <w:r>
                    <w:rPr>
                      <w:color w:val="000000"/>
                    </w:rPr>
                    <w:t xml:space="preserve"> </w:t>
                  </w:r>
                  <w:r w:rsidRPr="00103480">
                    <w:rPr>
                      <w:color w:val="000000"/>
                    </w:rPr>
                    <w:t>4-metyl-5- (4-metylfenyl) -4,5-dihydrooxazol-2-amín (4,4′-DMAR) a </w:t>
                  </w:r>
                </w:p>
                <w:p w:rsidR="00337F85" w:rsidRDefault="00337F85">
                  <w:pPr>
                    <w:spacing w:before="120"/>
                    <w:rPr>
                      <w:color w:val="000000"/>
                    </w:rPr>
                  </w:pPr>
                </w:p>
                <w:p w:rsidR="00DA0420" w:rsidRDefault="00DA0420">
                  <w:pPr>
                    <w:spacing w:before="120"/>
                    <w:rPr>
                      <w:color w:val="000000"/>
                    </w:rPr>
                  </w:pPr>
                </w:p>
                <w:p w:rsidR="003031FC" w:rsidRDefault="003A3252" w:rsidP="00CC43DF">
                  <w:pPr>
                    <w:spacing w:before="120"/>
                    <w:ind w:left="-117"/>
                    <w:rPr>
                      <w:color w:val="000000"/>
                    </w:rPr>
                  </w:pPr>
                  <w:r w:rsidRPr="00103480">
                    <w:rPr>
                      <w:color w:val="000000"/>
                    </w:rPr>
                    <w:t>1</w:t>
                  </w:r>
                  <w:r w:rsidR="00337F85">
                    <w:rPr>
                      <w:color w:val="000000"/>
                    </w:rPr>
                    <w:t>1</w:t>
                  </w:r>
                  <w:r w:rsidRPr="00103480">
                    <w:rPr>
                      <w:color w:val="000000"/>
                    </w:rPr>
                    <w:t>-cyklohexyl-4-(1,2-difenyletyl) piperazín (MT-45) uvedené vo vykonávacom rozhodnutí Rady (EÚ) 2015/1873</w:t>
                  </w:r>
                  <w:hyperlink r:id="rId18" w:anchor="ntr6-L_2017305SK.01001802-E0006" w:history="1">
                    <w:r w:rsidRPr="00103480">
                      <w:rPr>
                        <w:color w:val="0000FF"/>
                        <w:u w:val="single"/>
                      </w:rPr>
                      <w:t> (</w:t>
                    </w:r>
                    <w:r w:rsidRPr="00103480">
                      <w:rPr>
                        <w:color w:val="0000FF"/>
                        <w:sz w:val="17"/>
                        <w:szCs w:val="17"/>
                        <w:u w:val="single"/>
                        <w:vertAlign w:val="superscript"/>
                      </w:rPr>
                      <w:t>6</w:t>
                    </w:r>
                    <w:r w:rsidRPr="00103480">
                      <w:rPr>
                        <w:color w:val="0000FF"/>
                        <w:u w:val="single"/>
                      </w:rPr>
                      <w:t>)</w:t>
                    </w:r>
                  </w:hyperlink>
                  <w:r w:rsidRPr="00103480">
                    <w:rPr>
                      <w:color w:val="000000"/>
                    </w:rPr>
                    <w:t>.</w:t>
                  </w:r>
                </w:p>
                <w:p w:rsidR="003031FC" w:rsidRPr="00103480" w:rsidRDefault="003031FC" w:rsidP="00CC43DF">
                  <w:pPr>
                    <w:spacing w:before="120"/>
                    <w:ind w:left="-117"/>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15"/>
              <w:gridCol w:w="4706"/>
            </w:tblGrid>
            <w:tr w:rsidR="003A3252" w:rsidRPr="00103480" w:rsidTr="00272E01">
              <w:trPr>
                <w:tblCellSpacing w:w="0" w:type="dxa"/>
              </w:trPr>
              <w:tc>
                <w:tcPr>
                  <w:tcW w:w="200" w:type="dxa"/>
                  <w:hideMark/>
                </w:tcPr>
                <w:p w:rsidR="003A3252" w:rsidRPr="00103480" w:rsidRDefault="003A3252" w:rsidP="003A3252">
                  <w:pPr>
                    <w:spacing w:before="120"/>
                    <w:rPr>
                      <w:color w:val="000000"/>
                    </w:rPr>
                  </w:pPr>
                  <w:r w:rsidRPr="00103480">
                    <w:rPr>
                      <w:color w:val="000000"/>
                    </w:rPr>
                    <w:t>7.</w:t>
                  </w:r>
                </w:p>
              </w:tc>
              <w:tc>
                <w:tcPr>
                  <w:tcW w:w="8872" w:type="dxa"/>
                  <w:hideMark/>
                </w:tcPr>
                <w:p w:rsidR="003A3252" w:rsidRDefault="003A3252" w:rsidP="003A3252">
                  <w:pPr>
                    <w:spacing w:before="120"/>
                    <w:rPr>
                      <w:color w:val="000000"/>
                    </w:rPr>
                  </w:pPr>
                  <w:r>
                    <w:rPr>
                      <w:color w:val="000000"/>
                    </w:rPr>
                    <w:t xml:space="preserve"> </w:t>
                  </w:r>
                  <w:r w:rsidRPr="00103480">
                    <w:rPr>
                      <w:color w:val="000000"/>
                    </w:rPr>
                    <w:t>4-metylamfetamín uvedený vo vykonávacom rozhodnutí Rady (EÚ) 2015/1874</w:t>
                  </w:r>
                  <w:hyperlink r:id="rId19" w:anchor="ntr7-L_2017305SK.01001802-E0007" w:history="1">
                    <w:r w:rsidRPr="00103480">
                      <w:rPr>
                        <w:color w:val="0000FF"/>
                        <w:u w:val="single"/>
                      </w:rPr>
                      <w:t> (</w:t>
                    </w:r>
                    <w:r w:rsidRPr="00103480">
                      <w:rPr>
                        <w:color w:val="0000FF"/>
                        <w:sz w:val="17"/>
                        <w:szCs w:val="17"/>
                        <w:u w:val="single"/>
                        <w:vertAlign w:val="superscript"/>
                      </w:rPr>
                      <w:t>7</w:t>
                    </w:r>
                    <w:r w:rsidRPr="00103480">
                      <w:rPr>
                        <w:color w:val="0000FF"/>
                        <w:u w:val="single"/>
                      </w:rPr>
                      <w:t>)</w:t>
                    </w:r>
                  </w:hyperlink>
                  <w:r w:rsidRPr="00103480">
                    <w:rPr>
                      <w:color w:val="000000"/>
                    </w:rPr>
                    <w:t>.</w:t>
                  </w:r>
                </w:p>
                <w:p w:rsidR="00B352FE" w:rsidRDefault="00B352FE" w:rsidP="003A3252">
                  <w:pPr>
                    <w:spacing w:before="120"/>
                    <w:rPr>
                      <w:color w:val="000000"/>
                    </w:rPr>
                  </w:pPr>
                </w:p>
                <w:p w:rsidR="00B352FE" w:rsidRPr="00103480" w:rsidRDefault="00B352FE"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5"/>
              <w:gridCol w:w="4716"/>
            </w:tblGrid>
            <w:tr w:rsidR="003A3252" w:rsidRPr="00103480" w:rsidTr="00272E01">
              <w:trPr>
                <w:tblCellSpacing w:w="0" w:type="dxa"/>
              </w:trPr>
              <w:tc>
                <w:tcPr>
                  <w:tcW w:w="180" w:type="dxa"/>
                  <w:hideMark/>
                </w:tcPr>
                <w:p w:rsidR="003A3252" w:rsidRPr="00103480" w:rsidRDefault="003A3252" w:rsidP="003A3252">
                  <w:pPr>
                    <w:spacing w:before="120"/>
                    <w:rPr>
                      <w:color w:val="000000"/>
                    </w:rPr>
                  </w:pPr>
                  <w:r w:rsidRPr="00103480">
                    <w:rPr>
                      <w:color w:val="000000"/>
                    </w:rPr>
                    <w:t>8.</w:t>
                  </w:r>
                </w:p>
              </w:tc>
              <w:tc>
                <w:tcPr>
                  <w:tcW w:w="8892" w:type="dxa"/>
                  <w:hideMark/>
                </w:tcPr>
                <w:p w:rsidR="00B352FE" w:rsidRDefault="003A3252" w:rsidP="003A3252">
                  <w:pPr>
                    <w:spacing w:before="120"/>
                    <w:rPr>
                      <w:color w:val="000000"/>
                    </w:rPr>
                  </w:pPr>
                  <w:r>
                    <w:rPr>
                      <w:color w:val="000000"/>
                    </w:rPr>
                    <w:t xml:space="preserve"> </w:t>
                  </w:r>
                  <w:r w:rsidRPr="00103480">
                    <w:rPr>
                      <w:color w:val="000000"/>
                    </w:rPr>
                    <w:t xml:space="preserve">4-jód-2,5-dimetoxy-N- (2-metoxybenzyl) fenetylamín (25I-NBOMe), </w:t>
                  </w:r>
                </w:p>
                <w:p w:rsidR="00B352FE" w:rsidRDefault="003A3252" w:rsidP="003A3252">
                  <w:pPr>
                    <w:spacing w:before="120"/>
                    <w:rPr>
                      <w:color w:val="000000"/>
                    </w:rPr>
                  </w:pPr>
                  <w:r w:rsidRPr="00103480">
                    <w:rPr>
                      <w:color w:val="000000"/>
                    </w:rPr>
                    <w:t xml:space="preserve">3,4-dichlór-N- [[1-(dimetylamino) cyklohexyl] metyl] benzamid (AH-7921), </w:t>
                  </w:r>
                </w:p>
                <w:p w:rsidR="00B352FE" w:rsidRDefault="00B352FE" w:rsidP="003A3252">
                  <w:pPr>
                    <w:spacing w:before="120"/>
                    <w:rPr>
                      <w:color w:val="000000"/>
                    </w:rPr>
                  </w:pPr>
                </w:p>
                <w:p w:rsidR="00337F85" w:rsidRDefault="00337F85" w:rsidP="003A3252">
                  <w:pPr>
                    <w:spacing w:before="120"/>
                    <w:rPr>
                      <w:color w:val="000000"/>
                    </w:rPr>
                  </w:pPr>
                </w:p>
                <w:p w:rsidR="00B352FE" w:rsidRDefault="003A3252" w:rsidP="003A3252">
                  <w:pPr>
                    <w:spacing w:before="120"/>
                    <w:rPr>
                      <w:color w:val="000000"/>
                    </w:rPr>
                  </w:pPr>
                  <w:r w:rsidRPr="00103480">
                    <w:rPr>
                      <w:color w:val="000000"/>
                    </w:rPr>
                    <w:t>3,4-metyléndioxypyrovalerón (MDPV) a</w:t>
                  </w:r>
                </w:p>
                <w:p w:rsidR="00B352FE" w:rsidRDefault="00B352FE" w:rsidP="003A3252">
                  <w:pPr>
                    <w:spacing w:before="120"/>
                    <w:rPr>
                      <w:color w:val="000000"/>
                    </w:rPr>
                  </w:pPr>
                </w:p>
                <w:p w:rsidR="00B352FE" w:rsidRDefault="00B352FE" w:rsidP="003A3252">
                  <w:pPr>
                    <w:spacing w:before="120"/>
                    <w:rPr>
                      <w:color w:val="000000"/>
                    </w:rPr>
                  </w:pPr>
                </w:p>
                <w:p w:rsidR="00B23F63" w:rsidRDefault="00B23F63" w:rsidP="003A3252">
                  <w:pPr>
                    <w:spacing w:before="120"/>
                    <w:rPr>
                      <w:color w:val="000000"/>
                    </w:rPr>
                  </w:pPr>
                </w:p>
                <w:p w:rsidR="003A3252" w:rsidRDefault="003A3252">
                  <w:pPr>
                    <w:spacing w:before="120"/>
                    <w:rPr>
                      <w:color w:val="000000"/>
                    </w:rPr>
                  </w:pPr>
                  <w:r w:rsidRPr="00103480">
                    <w:rPr>
                      <w:color w:val="000000"/>
                    </w:rPr>
                    <w:t xml:space="preserve">2- (3-metoxyfenyl) -2- (etylamino) cyklohexanón (metoxetamín) uvedené </w:t>
                  </w:r>
                  <w:r w:rsidRPr="00103480">
                    <w:rPr>
                      <w:color w:val="000000"/>
                    </w:rPr>
                    <w:lastRenderedPageBreak/>
                    <w:t>vo vykonávacom rozhodnutí Rady (EÚ) 2015/1875</w:t>
                  </w:r>
                  <w:hyperlink r:id="rId20" w:anchor="ntr8-L_2017305SK.01001802-E0008" w:history="1">
                    <w:r w:rsidRPr="00103480">
                      <w:rPr>
                        <w:color w:val="0000FF"/>
                        <w:u w:val="single"/>
                      </w:rPr>
                      <w:t> (</w:t>
                    </w:r>
                    <w:r w:rsidRPr="00103480">
                      <w:rPr>
                        <w:color w:val="0000FF"/>
                        <w:sz w:val="17"/>
                        <w:szCs w:val="17"/>
                        <w:u w:val="single"/>
                        <w:vertAlign w:val="superscript"/>
                      </w:rPr>
                      <w:t>8</w:t>
                    </w:r>
                    <w:r w:rsidRPr="00103480">
                      <w:rPr>
                        <w:color w:val="0000FF"/>
                        <w:u w:val="single"/>
                      </w:rPr>
                      <w:t>)</w:t>
                    </w:r>
                  </w:hyperlink>
                  <w:r w:rsidRPr="00103480">
                    <w:rPr>
                      <w:color w:val="000000"/>
                    </w:rPr>
                    <w:t>.</w:t>
                  </w:r>
                </w:p>
                <w:p w:rsidR="00337F85" w:rsidRPr="00103480" w:rsidRDefault="00337F85">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09"/>
              <w:gridCol w:w="4712"/>
            </w:tblGrid>
            <w:tr w:rsidR="003A3252" w:rsidRPr="00103480" w:rsidTr="00272E01">
              <w:trPr>
                <w:tblCellSpacing w:w="0" w:type="dxa"/>
              </w:trPr>
              <w:tc>
                <w:tcPr>
                  <w:tcW w:w="188" w:type="dxa"/>
                  <w:hideMark/>
                </w:tcPr>
                <w:p w:rsidR="003A3252" w:rsidRPr="00103480" w:rsidRDefault="003A3252" w:rsidP="003A3252">
                  <w:pPr>
                    <w:spacing w:before="120"/>
                    <w:rPr>
                      <w:color w:val="000000"/>
                    </w:rPr>
                  </w:pPr>
                  <w:r w:rsidRPr="00103480">
                    <w:rPr>
                      <w:color w:val="000000"/>
                    </w:rPr>
                    <w:t>9.</w:t>
                  </w:r>
                </w:p>
              </w:tc>
              <w:tc>
                <w:tcPr>
                  <w:tcW w:w="8884" w:type="dxa"/>
                  <w:hideMark/>
                </w:tcPr>
                <w:p w:rsidR="003A3252" w:rsidRDefault="003A3252" w:rsidP="003A3252">
                  <w:pPr>
                    <w:spacing w:before="120"/>
                    <w:rPr>
                      <w:color w:val="000000"/>
                    </w:rPr>
                  </w:pPr>
                  <w:r>
                    <w:rPr>
                      <w:color w:val="000000"/>
                    </w:rPr>
                    <w:t xml:space="preserve"> </w:t>
                  </w:r>
                  <w:r w:rsidRPr="00103480">
                    <w:rPr>
                      <w:color w:val="000000"/>
                    </w:rPr>
                    <w:t>5-(2-aminopropyl)indol uvedený vo vykonávacom rozhodnutí Rady (EÚ) 2015/1876</w:t>
                  </w:r>
                  <w:hyperlink r:id="rId21" w:anchor="ntr9-L_2017305SK.01001802-E0009" w:history="1">
                    <w:r w:rsidRPr="00103480">
                      <w:rPr>
                        <w:color w:val="0000FF"/>
                        <w:u w:val="single"/>
                      </w:rPr>
                      <w:t> (</w:t>
                    </w:r>
                    <w:r w:rsidRPr="00103480">
                      <w:rPr>
                        <w:color w:val="0000FF"/>
                        <w:sz w:val="17"/>
                        <w:szCs w:val="17"/>
                        <w:u w:val="single"/>
                        <w:vertAlign w:val="superscript"/>
                      </w:rPr>
                      <w:t>9</w:t>
                    </w:r>
                    <w:r w:rsidRPr="00103480">
                      <w:rPr>
                        <w:color w:val="0000FF"/>
                        <w:u w:val="single"/>
                      </w:rPr>
                      <w:t>)</w:t>
                    </w:r>
                  </w:hyperlink>
                  <w:r w:rsidRPr="00103480">
                    <w:rPr>
                      <w:color w:val="000000"/>
                    </w:rPr>
                    <w:t>.</w:t>
                  </w:r>
                </w:p>
                <w:p w:rsidR="00B23F63" w:rsidRDefault="00B23F63" w:rsidP="003A3252">
                  <w:pPr>
                    <w:spacing w:before="120"/>
                    <w:rPr>
                      <w:color w:val="000000"/>
                    </w:rPr>
                  </w:pPr>
                </w:p>
                <w:p w:rsidR="00B23F63" w:rsidRDefault="00B23F63" w:rsidP="003A3252">
                  <w:pPr>
                    <w:spacing w:before="120"/>
                    <w:rPr>
                      <w:color w:val="000000"/>
                    </w:rPr>
                  </w:pPr>
                </w:p>
                <w:p w:rsidR="00337F85" w:rsidRPr="00103480" w:rsidRDefault="00337F85"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68"/>
              <w:gridCol w:w="4653"/>
            </w:tblGrid>
            <w:tr w:rsidR="003A3252" w:rsidRPr="00103480" w:rsidTr="00272E01">
              <w:trPr>
                <w:tblCellSpacing w:w="0" w:type="dxa"/>
              </w:trPr>
              <w:tc>
                <w:tcPr>
                  <w:tcW w:w="300" w:type="dxa"/>
                  <w:hideMark/>
                </w:tcPr>
                <w:p w:rsidR="003A3252" w:rsidRPr="00103480" w:rsidRDefault="003A3252" w:rsidP="003A3252">
                  <w:pPr>
                    <w:spacing w:before="120"/>
                    <w:rPr>
                      <w:color w:val="000000"/>
                    </w:rPr>
                  </w:pPr>
                  <w:r w:rsidRPr="00103480">
                    <w:rPr>
                      <w:color w:val="000000"/>
                    </w:rPr>
                    <w:t>10.</w:t>
                  </w:r>
                </w:p>
              </w:tc>
              <w:tc>
                <w:tcPr>
                  <w:tcW w:w="8772" w:type="dxa"/>
                  <w:hideMark/>
                </w:tcPr>
                <w:p w:rsidR="003A3252" w:rsidRDefault="003A3252" w:rsidP="003A3252">
                  <w:pPr>
                    <w:spacing w:before="120"/>
                    <w:rPr>
                      <w:color w:val="000000"/>
                    </w:rPr>
                  </w:pPr>
                  <w:r>
                    <w:rPr>
                      <w:color w:val="000000"/>
                    </w:rPr>
                    <w:t xml:space="preserve"> </w:t>
                  </w:r>
                  <w:r w:rsidRPr="00103480">
                    <w:rPr>
                      <w:color w:val="000000"/>
                    </w:rPr>
                    <w:t>1-fenyl-2-(pyrolidín-1-yl) pentán-1-ón (α-pyrolidínvalerofenón, α-PVP) uvedený vo vykonávacom rozhodnutí Rady (EÚ) 2016/1070</w:t>
                  </w:r>
                  <w:hyperlink r:id="rId22" w:anchor="ntr10-L_2017305SK.01001802-E0010" w:history="1">
                    <w:r w:rsidRPr="00103480">
                      <w:rPr>
                        <w:color w:val="0000FF"/>
                        <w:u w:val="single"/>
                      </w:rPr>
                      <w:t> (</w:t>
                    </w:r>
                    <w:r w:rsidRPr="00103480">
                      <w:rPr>
                        <w:color w:val="0000FF"/>
                        <w:sz w:val="17"/>
                        <w:szCs w:val="17"/>
                        <w:u w:val="single"/>
                        <w:vertAlign w:val="superscript"/>
                      </w:rPr>
                      <w:t>10</w:t>
                    </w:r>
                    <w:r w:rsidRPr="00103480">
                      <w:rPr>
                        <w:color w:val="0000FF"/>
                        <w:u w:val="single"/>
                      </w:rPr>
                      <w:t>)</w:t>
                    </w:r>
                  </w:hyperlink>
                  <w:r w:rsidRPr="00103480">
                    <w:rPr>
                      <w:color w:val="000000"/>
                    </w:rPr>
                    <w:t>.</w:t>
                  </w:r>
                </w:p>
                <w:p w:rsidR="00B23F63" w:rsidRPr="00103480" w:rsidRDefault="00B23F63"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68"/>
              <w:gridCol w:w="4653"/>
            </w:tblGrid>
            <w:tr w:rsidR="003A3252" w:rsidRPr="00103480" w:rsidTr="00272E01">
              <w:trPr>
                <w:tblCellSpacing w:w="0" w:type="dxa"/>
              </w:trPr>
              <w:tc>
                <w:tcPr>
                  <w:tcW w:w="300" w:type="dxa"/>
                  <w:hideMark/>
                </w:tcPr>
                <w:p w:rsidR="003A3252" w:rsidRPr="00103480" w:rsidRDefault="003A3252" w:rsidP="003A3252">
                  <w:pPr>
                    <w:spacing w:before="120"/>
                    <w:rPr>
                      <w:color w:val="000000"/>
                    </w:rPr>
                  </w:pPr>
                  <w:r w:rsidRPr="00103480">
                    <w:rPr>
                      <w:color w:val="000000"/>
                    </w:rPr>
                    <w:t>11.</w:t>
                  </w:r>
                </w:p>
              </w:tc>
              <w:tc>
                <w:tcPr>
                  <w:tcW w:w="8772" w:type="dxa"/>
                  <w:hideMark/>
                </w:tcPr>
                <w:p w:rsidR="003A3252" w:rsidRDefault="003A3252" w:rsidP="003A3252">
                  <w:pPr>
                    <w:spacing w:before="120"/>
                    <w:rPr>
                      <w:color w:val="000000"/>
                    </w:rPr>
                  </w:pPr>
                  <w:r>
                    <w:rPr>
                      <w:color w:val="000000"/>
                    </w:rPr>
                    <w:t xml:space="preserve"> </w:t>
                  </w:r>
                  <w:r w:rsidRPr="00103480">
                    <w:rPr>
                      <w:color w:val="000000"/>
                    </w:rPr>
                    <w:t>Metyl 2-[[1- (cyklohexylmetyl)-1H-indol-3-karbonyl]amino] -3,3-dimetylbutanoát (MDMB-CHMICA) uvedený vo vykonávacom rozhodnutí Rady (EÚ) 2017/369</w:t>
                  </w:r>
                  <w:hyperlink r:id="rId23" w:anchor="ntr11-L_2017305SK.01001802-E0011" w:history="1">
                    <w:r w:rsidRPr="00103480">
                      <w:rPr>
                        <w:color w:val="0000FF"/>
                        <w:u w:val="single"/>
                      </w:rPr>
                      <w:t> (</w:t>
                    </w:r>
                    <w:r w:rsidRPr="00103480">
                      <w:rPr>
                        <w:color w:val="0000FF"/>
                        <w:sz w:val="17"/>
                        <w:szCs w:val="17"/>
                        <w:u w:val="single"/>
                        <w:vertAlign w:val="superscript"/>
                      </w:rPr>
                      <w:t>11</w:t>
                    </w:r>
                    <w:r w:rsidRPr="00103480">
                      <w:rPr>
                        <w:color w:val="0000FF"/>
                        <w:u w:val="single"/>
                      </w:rPr>
                      <w:t>)</w:t>
                    </w:r>
                  </w:hyperlink>
                  <w:r w:rsidRPr="00103480">
                    <w:rPr>
                      <w:color w:val="000000"/>
                    </w:rPr>
                    <w:t>.</w:t>
                  </w:r>
                </w:p>
                <w:p w:rsidR="00466914" w:rsidRDefault="00466914" w:rsidP="003A3252">
                  <w:pPr>
                    <w:spacing w:before="120"/>
                    <w:rPr>
                      <w:color w:val="000000"/>
                    </w:rPr>
                  </w:pPr>
                </w:p>
                <w:p w:rsidR="00466914" w:rsidRPr="00103480" w:rsidRDefault="00466914" w:rsidP="003A3252">
                  <w:pPr>
                    <w:spacing w:before="120"/>
                    <w:rPr>
                      <w:color w:val="000000"/>
                    </w:rPr>
                  </w:pPr>
                </w:p>
              </w:tc>
            </w:tr>
          </w:tbl>
          <w:p w:rsidR="003A3252" w:rsidRPr="00103480" w:rsidRDefault="003A3252" w:rsidP="003A3252">
            <w:pPr>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68"/>
              <w:gridCol w:w="4653"/>
            </w:tblGrid>
            <w:tr w:rsidR="003A3252" w:rsidRPr="00103480" w:rsidTr="00272E01">
              <w:trPr>
                <w:tblCellSpacing w:w="0" w:type="dxa"/>
              </w:trPr>
              <w:tc>
                <w:tcPr>
                  <w:tcW w:w="300" w:type="dxa"/>
                  <w:hideMark/>
                </w:tcPr>
                <w:p w:rsidR="003A3252" w:rsidRPr="00103480" w:rsidRDefault="003A3252" w:rsidP="003A3252">
                  <w:pPr>
                    <w:spacing w:before="120"/>
                    <w:rPr>
                      <w:color w:val="000000"/>
                    </w:rPr>
                  </w:pPr>
                  <w:r w:rsidRPr="00103480">
                    <w:rPr>
                      <w:color w:val="000000"/>
                    </w:rPr>
                    <w:t>12.</w:t>
                  </w:r>
                </w:p>
              </w:tc>
              <w:tc>
                <w:tcPr>
                  <w:tcW w:w="8772" w:type="dxa"/>
                  <w:hideMark/>
                </w:tcPr>
                <w:p w:rsidR="003A3252" w:rsidRPr="00103480" w:rsidRDefault="003A3252" w:rsidP="003A3252">
                  <w:pPr>
                    <w:spacing w:before="120"/>
                    <w:rPr>
                      <w:color w:val="000000"/>
                    </w:rPr>
                  </w:pPr>
                  <w:r>
                    <w:rPr>
                      <w:color w:val="000000"/>
                    </w:rPr>
                    <w:t xml:space="preserve"> </w:t>
                  </w:r>
                  <w:r w:rsidRPr="00103480">
                    <w:rPr>
                      <w:color w:val="000000"/>
                    </w:rPr>
                    <w:t>N-(1-fenetylpiperidín-4-yl) -N-fenylakrylamid (akryloylfentanyl) uvedený vo vykonávacom rozhodnutí Rady (EÚ) 2017/1774</w:t>
                  </w:r>
                  <w:hyperlink r:id="rId24" w:anchor="ntr12-L_2017305SK.01001802-E0012" w:history="1">
                    <w:r w:rsidRPr="00103480">
                      <w:rPr>
                        <w:color w:val="0000FF"/>
                        <w:u w:val="single"/>
                      </w:rPr>
                      <w:t> (</w:t>
                    </w:r>
                    <w:r w:rsidRPr="00103480">
                      <w:rPr>
                        <w:color w:val="0000FF"/>
                        <w:sz w:val="17"/>
                        <w:szCs w:val="17"/>
                        <w:u w:val="single"/>
                        <w:vertAlign w:val="superscript"/>
                      </w:rPr>
                      <w:t>12</w:t>
                    </w:r>
                    <w:r w:rsidRPr="00103480">
                      <w:rPr>
                        <w:color w:val="0000FF"/>
                        <w:u w:val="single"/>
                      </w:rPr>
                      <w:t>)</w:t>
                    </w:r>
                  </w:hyperlink>
                  <w:r w:rsidRPr="00103480">
                    <w:rPr>
                      <w:color w:val="000000"/>
                    </w:rPr>
                    <w:t>.</w:t>
                  </w:r>
                </w:p>
              </w:tc>
            </w:tr>
          </w:tbl>
          <w:p w:rsidR="003A3252" w:rsidRPr="002F4566" w:rsidRDefault="003A3252" w:rsidP="003A3252">
            <w:pPr>
              <w:spacing w:before="120"/>
              <w:rPr>
                <w:i/>
                <w:iCs/>
                <w:color w:val="000000"/>
              </w:rPr>
            </w:pPr>
          </w:p>
        </w:tc>
        <w:tc>
          <w:tcPr>
            <w:tcW w:w="425" w:type="dxa"/>
          </w:tcPr>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466914" w:rsidRDefault="00466914" w:rsidP="003A3252">
            <w:pPr>
              <w:jc w:val="center"/>
            </w:pPr>
          </w:p>
          <w:p w:rsidR="003A3252" w:rsidRDefault="003A3252" w:rsidP="003A3252">
            <w:pPr>
              <w:jc w:val="center"/>
            </w:pPr>
            <w:r>
              <w:lastRenderedPageBreak/>
              <w:t>N</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r>
              <w:t>N</w:t>
            </w:r>
          </w:p>
          <w:p w:rsidR="003A3252" w:rsidRDefault="003A3252" w:rsidP="003A3252">
            <w:pPr>
              <w:jc w:val="center"/>
            </w:pPr>
          </w:p>
          <w:p w:rsidR="003A3252" w:rsidRDefault="003A3252" w:rsidP="003A3252">
            <w:pPr>
              <w:jc w:val="center"/>
            </w:pPr>
          </w:p>
          <w:p w:rsidR="003A3252" w:rsidRDefault="003A3252" w:rsidP="003A3252">
            <w:pPr>
              <w:jc w:val="center"/>
            </w:pPr>
          </w:p>
          <w:p w:rsidR="00686541" w:rsidRDefault="00686541" w:rsidP="003A3252">
            <w:pPr>
              <w:jc w:val="center"/>
            </w:pPr>
          </w:p>
          <w:p w:rsidR="00686541" w:rsidRDefault="00686541" w:rsidP="003A3252">
            <w:pPr>
              <w:jc w:val="center"/>
            </w:pPr>
          </w:p>
          <w:p w:rsidR="003A3252" w:rsidRDefault="003A3252" w:rsidP="003A3252">
            <w:pPr>
              <w:jc w:val="center"/>
            </w:pPr>
            <w:r>
              <w:t>N</w:t>
            </w:r>
          </w:p>
          <w:p w:rsidR="003A3252" w:rsidRDefault="00A12210" w:rsidP="003A3252">
            <w:pPr>
              <w:jc w:val="center"/>
            </w:pPr>
            <w:r>
              <w:t>N</w:t>
            </w:r>
          </w:p>
          <w:p w:rsidR="003A3252" w:rsidRDefault="003A3252" w:rsidP="003A3252">
            <w:pPr>
              <w:jc w:val="center"/>
            </w:pPr>
          </w:p>
          <w:p w:rsidR="003A3252" w:rsidRDefault="00A12210" w:rsidP="003A3252">
            <w:pPr>
              <w:jc w:val="center"/>
            </w:pPr>
            <w:r>
              <w:t>N</w:t>
            </w:r>
          </w:p>
          <w:p w:rsidR="003A3252" w:rsidRDefault="003A3252" w:rsidP="003A3252">
            <w:pPr>
              <w:jc w:val="center"/>
            </w:pPr>
          </w:p>
          <w:p w:rsidR="00686541" w:rsidRDefault="00A12210" w:rsidP="003A3252">
            <w:pPr>
              <w:jc w:val="center"/>
            </w:pPr>
            <w:r>
              <w:t>N</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r>
              <w:t>N</w:t>
            </w:r>
          </w:p>
          <w:p w:rsidR="003A3252" w:rsidRDefault="003A3252" w:rsidP="003A3252">
            <w:pPr>
              <w:jc w:val="center"/>
            </w:pPr>
          </w:p>
          <w:p w:rsidR="003A3252" w:rsidRDefault="003A3252" w:rsidP="003A3252">
            <w:pPr>
              <w:jc w:val="center"/>
            </w:pPr>
          </w:p>
          <w:p w:rsidR="00337F85" w:rsidRDefault="00337F85" w:rsidP="003A3252">
            <w:pPr>
              <w:jc w:val="center"/>
            </w:pPr>
          </w:p>
          <w:p w:rsidR="003A3252" w:rsidRDefault="003A3252" w:rsidP="003A3252">
            <w:pPr>
              <w:jc w:val="center"/>
            </w:pPr>
          </w:p>
          <w:p w:rsidR="003A3252" w:rsidRDefault="003A3252" w:rsidP="003A3252">
            <w:pPr>
              <w:jc w:val="center"/>
            </w:pPr>
            <w:r>
              <w:t>N</w:t>
            </w:r>
          </w:p>
          <w:p w:rsidR="003A3252" w:rsidRDefault="003A3252"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A3252" w:rsidRDefault="003A3252" w:rsidP="003A3252">
            <w:pPr>
              <w:jc w:val="center"/>
            </w:pPr>
            <w:r>
              <w:lastRenderedPageBreak/>
              <w:t>N</w:t>
            </w:r>
          </w:p>
          <w:p w:rsidR="003A3252" w:rsidRDefault="003A3252" w:rsidP="003A3252">
            <w:pPr>
              <w:jc w:val="center"/>
            </w:pPr>
          </w:p>
          <w:p w:rsidR="003A3252" w:rsidRDefault="003A3252" w:rsidP="003A3252">
            <w:pPr>
              <w:jc w:val="center"/>
            </w:pPr>
          </w:p>
          <w:p w:rsidR="00337F85" w:rsidRDefault="00337F85" w:rsidP="003A3252">
            <w:pPr>
              <w:jc w:val="center"/>
            </w:pPr>
          </w:p>
          <w:p w:rsidR="00DA0420" w:rsidRDefault="00DA0420" w:rsidP="003A3252">
            <w:pPr>
              <w:jc w:val="center"/>
            </w:pPr>
          </w:p>
          <w:p w:rsidR="003A3252" w:rsidRDefault="003031FC" w:rsidP="003A3252">
            <w:pPr>
              <w:jc w:val="center"/>
            </w:pPr>
            <w:r>
              <w:t>N</w:t>
            </w:r>
          </w:p>
          <w:p w:rsidR="003A3252" w:rsidRDefault="003A3252" w:rsidP="003A3252">
            <w:pPr>
              <w:jc w:val="center"/>
            </w:pPr>
          </w:p>
          <w:p w:rsidR="003A3252" w:rsidRDefault="003A3252" w:rsidP="003A3252">
            <w:pPr>
              <w:jc w:val="center"/>
            </w:pPr>
          </w:p>
          <w:p w:rsidR="003A3252" w:rsidRDefault="003A3252" w:rsidP="003A3252">
            <w:pPr>
              <w:jc w:val="center"/>
            </w:pPr>
          </w:p>
          <w:p w:rsidR="003031FC" w:rsidRDefault="003031FC" w:rsidP="003A3252">
            <w:pPr>
              <w:jc w:val="center"/>
            </w:pPr>
          </w:p>
          <w:p w:rsidR="00DA0420" w:rsidRDefault="00DA0420" w:rsidP="003A3252">
            <w:pPr>
              <w:jc w:val="center"/>
            </w:pPr>
          </w:p>
          <w:p w:rsidR="003A3252" w:rsidRDefault="003A3252" w:rsidP="003A3252">
            <w:pPr>
              <w:jc w:val="center"/>
            </w:pPr>
            <w:r>
              <w:t>N</w:t>
            </w:r>
          </w:p>
          <w:p w:rsidR="003A3252" w:rsidRDefault="003A3252" w:rsidP="003A3252">
            <w:pPr>
              <w:jc w:val="center"/>
            </w:pPr>
          </w:p>
          <w:p w:rsidR="003A3252" w:rsidRDefault="003A3252" w:rsidP="003A3252">
            <w:pPr>
              <w:jc w:val="center"/>
            </w:pPr>
          </w:p>
          <w:p w:rsidR="00B352FE" w:rsidRDefault="00B352FE" w:rsidP="003A3252">
            <w:pPr>
              <w:jc w:val="center"/>
            </w:pPr>
          </w:p>
          <w:p w:rsidR="003A3252" w:rsidRDefault="003A3252" w:rsidP="003A3252">
            <w:pPr>
              <w:jc w:val="center"/>
            </w:pPr>
          </w:p>
          <w:p w:rsidR="003A3252" w:rsidRDefault="003A3252" w:rsidP="003A3252">
            <w:pPr>
              <w:jc w:val="center"/>
            </w:pPr>
            <w:r>
              <w:t>N</w:t>
            </w:r>
          </w:p>
          <w:p w:rsidR="003A3252" w:rsidRDefault="003A3252" w:rsidP="003A3252">
            <w:pPr>
              <w:jc w:val="center"/>
            </w:pPr>
          </w:p>
          <w:p w:rsidR="00DA0420" w:rsidRDefault="00DA0420" w:rsidP="003A3252">
            <w:pPr>
              <w:jc w:val="center"/>
            </w:pPr>
          </w:p>
          <w:p w:rsidR="003A3252" w:rsidRDefault="003A3252" w:rsidP="003A3252">
            <w:pPr>
              <w:jc w:val="center"/>
            </w:pPr>
            <w:r>
              <w:t>N</w:t>
            </w:r>
          </w:p>
          <w:p w:rsidR="003A3252" w:rsidRDefault="003A3252" w:rsidP="003A3252">
            <w:pPr>
              <w:jc w:val="center"/>
            </w:pPr>
          </w:p>
          <w:p w:rsidR="003A3252" w:rsidRDefault="003A3252" w:rsidP="003A3252">
            <w:pPr>
              <w:jc w:val="center"/>
            </w:pPr>
          </w:p>
          <w:p w:rsidR="00337F85" w:rsidRDefault="00337F85" w:rsidP="003A3252">
            <w:pPr>
              <w:jc w:val="center"/>
            </w:pPr>
          </w:p>
          <w:p w:rsidR="00337F85" w:rsidRDefault="00337F85" w:rsidP="003A3252">
            <w:pPr>
              <w:jc w:val="center"/>
            </w:pPr>
          </w:p>
          <w:p w:rsidR="003A3252" w:rsidRDefault="003A3252" w:rsidP="003A3252">
            <w:pPr>
              <w:jc w:val="center"/>
            </w:pPr>
          </w:p>
          <w:p w:rsidR="003A3252" w:rsidRDefault="003A3252" w:rsidP="003A3252">
            <w:pPr>
              <w:jc w:val="center"/>
            </w:pPr>
            <w:r>
              <w:t>N</w:t>
            </w:r>
          </w:p>
          <w:p w:rsidR="003A3252" w:rsidRDefault="003A3252" w:rsidP="003A3252">
            <w:pPr>
              <w:jc w:val="center"/>
            </w:pPr>
          </w:p>
          <w:p w:rsidR="00B23F63" w:rsidRDefault="00B23F63" w:rsidP="003A3252">
            <w:pPr>
              <w:jc w:val="center"/>
            </w:pPr>
          </w:p>
          <w:p w:rsidR="00B23F63" w:rsidRDefault="00B23F63" w:rsidP="003A3252">
            <w:pPr>
              <w:jc w:val="center"/>
            </w:pPr>
          </w:p>
          <w:p w:rsidR="00B23F63" w:rsidRDefault="00B23F63" w:rsidP="003A3252">
            <w:pPr>
              <w:jc w:val="center"/>
            </w:pPr>
          </w:p>
          <w:p w:rsidR="00B23F63" w:rsidRDefault="00B23F63" w:rsidP="003A3252">
            <w:pPr>
              <w:jc w:val="center"/>
            </w:pPr>
          </w:p>
          <w:p w:rsidR="00B23F63" w:rsidRDefault="00B23F63" w:rsidP="003A3252">
            <w:pPr>
              <w:jc w:val="center"/>
            </w:pPr>
            <w:r>
              <w:t>N</w:t>
            </w:r>
          </w:p>
          <w:p w:rsidR="00466914" w:rsidRDefault="00466914" w:rsidP="003A3252">
            <w:pPr>
              <w:jc w:val="center"/>
            </w:pPr>
          </w:p>
          <w:p w:rsidR="00466914" w:rsidRDefault="00466914" w:rsidP="003A3252">
            <w:pPr>
              <w:jc w:val="center"/>
            </w:pPr>
          </w:p>
          <w:p w:rsidR="00466914" w:rsidRDefault="00466914" w:rsidP="003A3252">
            <w:pPr>
              <w:jc w:val="center"/>
            </w:pPr>
          </w:p>
          <w:p w:rsidR="00337F85" w:rsidRDefault="00337F85" w:rsidP="003A3252">
            <w:pPr>
              <w:jc w:val="center"/>
            </w:pPr>
          </w:p>
          <w:p w:rsidR="00337F85" w:rsidRDefault="00337F85" w:rsidP="003A3252">
            <w:pPr>
              <w:jc w:val="center"/>
            </w:pPr>
          </w:p>
          <w:p w:rsidR="00466914" w:rsidRDefault="00466914" w:rsidP="003A3252">
            <w:pPr>
              <w:jc w:val="center"/>
            </w:pPr>
            <w:r>
              <w:t>N</w:t>
            </w: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p>
          <w:p w:rsidR="00337F85" w:rsidRDefault="00337F85" w:rsidP="003A3252">
            <w:pPr>
              <w:jc w:val="center"/>
            </w:pPr>
          </w:p>
          <w:p w:rsidR="00466914" w:rsidRDefault="00466914" w:rsidP="003A3252">
            <w:pPr>
              <w:jc w:val="center"/>
            </w:pPr>
          </w:p>
          <w:p w:rsidR="00466914" w:rsidRDefault="00466914" w:rsidP="003A3252">
            <w:pPr>
              <w:jc w:val="center"/>
            </w:pPr>
            <w:r>
              <w:t>N</w:t>
            </w: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r>
              <w:t>N</w:t>
            </w: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p>
          <w:p w:rsidR="00466914" w:rsidRDefault="00466914" w:rsidP="003A3252">
            <w:pPr>
              <w:jc w:val="center"/>
            </w:pPr>
          </w:p>
          <w:p w:rsidR="00337F85" w:rsidRDefault="00337F85" w:rsidP="003A3252">
            <w:pPr>
              <w:jc w:val="center"/>
            </w:pPr>
          </w:p>
          <w:p w:rsidR="00466914" w:rsidRDefault="00466914" w:rsidP="003A3252">
            <w:pPr>
              <w:jc w:val="center"/>
            </w:pPr>
          </w:p>
          <w:p w:rsidR="00466914" w:rsidRDefault="00466914" w:rsidP="003A3252">
            <w:pPr>
              <w:jc w:val="center"/>
            </w:pPr>
            <w:r>
              <w:t>N</w:t>
            </w:r>
          </w:p>
        </w:tc>
        <w:tc>
          <w:tcPr>
            <w:tcW w:w="426" w:type="dxa"/>
          </w:tcPr>
          <w:p w:rsidR="003A3252" w:rsidRDefault="003A3252" w:rsidP="003A3252"/>
        </w:tc>
        <w:tc>
          <w:tcPr>
            <w:tcW w:w="897" w:type="dxa"/>
            <w:gridSpan w:val="2"/>
          </w:tcPr>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r>
              <w:lastRenderedPageBreak/>
              <w:t>I.</w:t>
            </w:r>
          </w:p>
          <w:p w:rsidR="00001A9B" w:rsidRDefault="00001A9B" w:rsidP="003A3252">
            <w:pPr>
              <w:jc w:val="center"/>
            </w:pPr>
          </w:p>
          <w:p w:rsidR="00001A9B" w:rsidRDefault="00001A9B" w:rsidP="003A3252">
            <w:pPr>
              <w:jc w:val="center"/>
            </w:pPr>
          </w:p>
          <w:p w:rsidR="00001A9B" w:rsidRDefault="00001A9B" w:rsidP="003A3252">
            <w:pPr>
              <w:jc w:val="center"/>
            </w:pPr>
          </w:p>
          <w:p w:rsidR="003A3252" w:rsidRDefault="00466914" w:rsidP="003A3252">
            <w:pPr>
              <w:jc w:val="center"/>
            </w:pPr>
            <w:r>
              <w:t>II.</w:t>
            </w: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p>
          <w:p w:rsidR="00001A9B" w:rsidRDefault="00001A9B" w:rsidP="003A3252">
            <w:pPr>
              <w:jc w:val="center"/>
            </w:pPr>
            <w:r>
              <w:t>II.</w:t>
            </w:r>
          </w:p>
          <w:p w:rsidR="00001A9B" w:rsidRDefault="00001A9B" w:rsidP="003A3252">
            <w:pPr>
              <w:jc w:val="center"/>
            </w:pPr>
          </w:p>
          <w:p w:rsidR="00001A9B" w:rsidRDefault="00001A9B" w:rsidP="003A3252">
            <w:pPr>
              <w:jc w:val="center"/>
            </w:pPr>
            <w:r>
              <w:t>II.</w:t>
            </w:r>
          </w:p>
          <w:p w:rsidR="00001A9B" w:rsidRDefault="00001A9B" w:rsidP="003A3252">
            <w:pPr>
              <w:jc w:val="center"/>
            </w:pPr>
          </w:p>
          <w:p w:rsidR="00001A9B" w:rsidRDefault="00001A9B" w:rsidP="003A3252">
            <w:pPr>
              <w:jc w:val="center"/>
            </w:pPr>
            <w:r>
              <w:t>II.</w:t>
            </w:r>
          </w:p>
          <w:p w:rsidR="00337F85" w:rsidRDefault="00337F85" w:rsidP="003A3252">
            <w:pPr>
              <w:jc w:val="center"/>
            </w:pPr>
          </w:p>
          <w:p w:rsidR="00337F85" w:rsidRDefault="00337F85" w:rsidP="003A3252">
            <w:pPr>
              <w:jc w:val="center"/>
            </w:pPr>
            <w:r>
              <w:t>II.</w:t>
            </w:r>
          </w:p>
          <w:p w:rsidR="00001A9B" w:rsidRDefault="00001A9B"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lastRenderedPageBreak/>
              <w:t>II.</w:t>
            </w:r>
          </w:p>
          <w:p w:rsidR="00337F85" w:rsidRDefault="00337F85" w:rsidP="003A3252">
            <w:pPr>
              <w:jc w:val="center"/>
            </w:pPr>
          </w:p>
          <w:p w:rsidR="00337F85" w:rsidRDefault="00337F85" w:rsidP="003A3252">
            <w:pPr>
              <w:jc w:val="center"/>
            </w:pPr>
          </w:p>
          <w:p w:rsidR="00337F85" w:rsidRDefault="00337F85" w:rsidP="003A3252">
            <w:pPr>
              <w:jc w:val="center"/>
            </w:pPr>
          </w:p>
          <w:p w:rsidR="00DA0420" w:rsidRDefault="00DA0420"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DA0420" w:rsidRDefault="00DA0420"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DA0420" w:rsidRDefault="00DA0420" w:rsidP="003A3252">
            <w:pPr>
              <w:jc w:val="center"/>
            </w:pPr>
          </w:p>
          <w:p w:rsidR="00DA0420" w:rsidRDefault="00DA0420"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DA0420" w:rsidRDefault="00DA0420" w:rsidP="003A3252">
            <w:pPr>
              <w:jc w:val="center"/>
            </w:pPr>
          </w:p>
          <w:p w:rsidR="00337F85" w:rsidRDefault="00337F85" w:rsidP="003A3252">
            <w:pPr>
              <w:jc w:val="center"/>
            </w:pPr>
            <w:r>
              <w:t>II.</w:t>
            </w: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337F85" w:rsidRDefault="00337F85" w:rsidP="003A3252">
            <w:pPr>
              <w:jc w:val="center"/>
            </w:pPr>
          </w:p>
          <w:p w:rsidR="00DA0420" w:rsidRDefault="00DA0420" w:rsidP="003A3252">
            <w:pPr>
              <w:jc w:val="center"/>
            </w:pPr>
          </w:p>
          <w:p w:rsidR="00337F85" w:rsidRDefault="00337F85" w:rsidP="003A3252">
            <w:pPr>
              <w:jc w:val="center"/>
            </w:pPr>
            <w:r>
              <w:t>II.</w:t>
            </w:r>
          </w:p>
        </w:tc>
        <w:tc>
          <w:tcPr>
            <w:tcW w:w="4489" w:type="dxa"/>
          </w:tcPr>
          <w:p w:rsidR="003A3252" w:rsidRDefault="003A3252" w:rsidP="003A3252">
            <w:pPr>
              <w:pStyle w:val="Odsekzoznamu"/>
              <w:tabs>
                <w:tab w:val="left" w:pos="284"/>
              </w:tabs>
              <w:ind w:left="-54"/>
            </w:pPr>
          </w:p>
          <w:p w:rsidR="003A3252" w:rsidRDefault="003A3252" w:rsidP="003A3252">
            <w:pPr>
              <w:pStyle w:val="Odsekzoznamu"/>
              <w:tabs>
                <w:tab w:val="left" w:pos="284"/>
              </w:tabs>
              <w:ind w:left="-54"/>
            </w:pPr>
          </w:p>
          <w:p w:rsidR="003A3252" w:rsidRDefault="003A3252" w:rsidP="003A3252">
            <w:pPr>
              <w:pStyle w:val="Odsekzoznamu"/>
              <w:tabs>
                <w:tab w:val="left" w:pos="284"/>
              </w:tabs>
              <w:ind w:left="-54"/>
            </w:pPr>
          </w:p>
          <w:p w:rsidR="003A3252" w:rsidRDefault="003A3252" w:rsidP="003A3252">
            <w:pPr>
              <w:pStyle w:val="Odsekzoznamu"/>
              <w:tabs>
                <w:tab w:val="left" w:pos="284"/>
              </w:tabs>
              <w:ind w:left="-54"/>
            </w:pPr>
          </w:p>
          <w:p w:rsidR="00466914" w:rsidRDefault="00466914" w:rsidP="003A3252">
            <w:pPr>
              <w:pStyle w:val="Odsekzoznamu"/>
              <w:tabs>
                <w:tab w:val="left" w:pos="284"/>
              </w:tabs>
              <w:ind w:left="-54"/>
            </w:pPr>
          </w:p>
          <w:p w:rsidR="00001A9B" w:rsidRDefault="00001A9B" w:rsidP="00CC43DF">
            <w:pPr>
              <w:pStyle w:val="Odsekzoznamu"/>
              <w:tabs>
                <w:tab w:val="left" w:pos="284"/>
              </w:tabs>
              <w:ind w:left="-54"/>
              <w:jc w:val="left"/>
              <w:rPr>
                <w:color w:val="000000"/>
              </w:rPr>
            </w:pPr>
            <w:r w:rsidRPr="003A3252">
              <w:rPr>
                <w:color w:val="000000"/>
              </w:rPr>
              <w:lastRenderedPageBreak/>
              <w:t>P-metyltioamfetamín</w:t>
            </w:r>
            <w:r>
              <w:rPr>
                <w:color w:val="000000"/>
              </w:rPr>
              <w:t>,</w:t>
            </w:r>
            <w:r w:rsidRPr="003A3252">
              <w:rPr>
                <w:color w:val="000000"/>
              </w:rPr>
              <w:t xml:space="preserve"> 4-metyltioamfetamín </w:t>
            </w:r>
          </w:p>
          <w:p w:rsidR="00001A9B" w:rsidRDefault="00001A9B" w:rsidP="00001A9B">
            <w:pPr>
              <w:pStyle w:val="Odsekzoznamu"/>
              <w:tabs>
                <w:tab w:val="left" w:pos="284"/>
              </w:tabs>
              <w:ind w:left="-54"/>
              <w:jc w:val="left"/>
            </w:pPr>
            <w:r w:rsidRPr="004A3CAF">
              <w:rPr>
                <w:b/>
              </w:rPr>
              <w:t>PL I. skupina</w:t>
            </w:r>
            <w:r>
              <w:t xml:space="preserve"> </w:t>
            </w:r>
          </w:p>
          <w:p w:rsidR="00466914" w:rsidRDefault="00466914" w:rsidP="003A3252">
            <w:pPr>
              <w:pStyle w:val="Odsekzoznamu"/>
              <w:tabs>
                <w:tab w:val="left" w:pos="284"/>
              </w:tabs>
              <w:ind w:left="-54"/>
            </w:pPr>
          </w:p>
          <w:p w:rsidR="003A3252" w:rsidRDefault="003A3252" w:rsidP="003A3252">
            <w:pPr>
              <w:pStyle w:val="Odsekzoznamu"/>
              <w:tabs>
                <w:tab w:val="left" w:pos="284"/>
              </w:tabs>
              <w:ind w:left="-54"/>
            </w:pPr>
          </w:p>
          <w:p w:rsidR="00686541" w:rsidRDefault="00686541" w:rsidP="00CC43DF">
            <w:pPr>
              <w:pStyle w:val="Odsekzoznamu"/>
              <w:tabs>
                <w:tab w:val="left" w:pos="284"/>
              </w:tabs>
              <w:ind w:left="-54"/>
              <w:jc w:val="left"/>
            </w:pPr>
            <w:r>
              <w:t xml:space="preserve"> </w:t>
            </w:r>
            <w:r w:rsidRPr="00686541">
              <w:t>para-Metoxymetylamfetamín, PMMA, chemicky N-metyl-1-(4-metoxyfenyl) propán-2-amín</w:t>
            </w:r>
            <w:r>
              <w:t xml:space="preserve">   </w:t>
            </w:r>
          </w:p>
          <w:p w:rsidR="00686541" w:rsidRDefault="00686541" w:rsidP="00CC43DF">
            <w:pPr>
              <w:pStyle w:val="Odsekzoznamu"/>
              <w:tabs>
                <w:tab w:val="left" w:pos="284"/>
              </w:tabs>
              <w:ind w:left="-54"/>
              <w:jc w:val="left"/>
            </w:pPr>
            <w:r w:rsidRPr="00CC43DF">
              <w:rPr>
                <w:b/>
              </w:rPr>
              <w:t>PL I. skupina</w:t>
            </w:r>
            <w:r>
              <w:t xml:space="preserve"> </w:t>
            </w:r>
          </w:p>
          <w:p w:rsidR="003A3252" w:rsidRDefault="003A3252" w:rsidP="00CC43DF">
            <w:pPr>
              <w:pStyle w:val="Odsekzoznamu"/>
              <w:tabs>
                <w:tab w:val="left" w:pos="284"/>
              </w:tabs>
              <w:ind w:left="-54"/>
              <w:jc w:val="left"/>
            </w:pPr>
            <w:r>
              <w:t>zákon 13/2004 Z. z.</w:t>
            </w:r>
          </w:p>
          <w:p w:rsidR="003A3252" w:rsidRDefault="003A3252" w:rsidP="003A3252">
            <w:pPr>
              <w:pStyle w:val="Odsekzoznamu"/>
              <w:tabs>
                <w:tab w:val="left" w:pos="284"/>
              </w:tabs>
              <w:ind w:left="-54"/>
            </w:pPr>
          </w:p>
          <w:p w:rsidR="003A3252" w:rsidRDefault="003A3252" w:rsidP="003A3252">
            <w:pPr>
              <w:pStyle w:val="Odsekzoznamu"/>
              <w:tabs>
                <w:tab w:val="left" w:pos="284"/>
              </w:tabs>
              <w:ind w:left="-54"/>
            </w:pPr>
          </w:p>
          <w:p w:rsidR="00686541" w:rsidRDefault="00686541" w:rsidP="00CC43DF">
            <w:pPr>
              <w:pStyle w:val="Odsekzoznamu"/>
              <w:tabs>
                <w:tab w:val="left" w:pos="284"/>
              </w:tabs>
              <w:ind w:left="-54"/>
              <w:jc w:val="left"/>
            </w:pPr>
            <w:r w:rsidRPr="00686541">
              <w:t>C-I, chemicky 2,5-dimetoxy-4-jódfenetylamín</w:t>
            </w:r>
          </w:p>
          <w:p w:rsidR="00686541" w:rsidRDefault="00686541" w:rsidP="00CC43DF">
            <w:pPr>
              <w:pStyle w:val="Odsekzoznamu"/>
              <w:tabs>
                <w:tab w:val="left" w:pos="284"/>
              </w:tabs>
              <w:ind w:left="-54"/>
              <w:jc w:val="left"/>
            </w:pPr>
            <w:r w:rsidRPr="00686541">
              <w:t>C-T-2, chemicky 2,5-dimetoxy-4-etyltiofenetylamín</w:t>
            </w:r>
          </w:p>
          <w:p w:rsidR="00686541" w:rsidRDefault="00686541" w:rsidP="00CC43DF">
            <w:pPr>
              <w:pStyle w:val="Odsekzoznamu"/>
              <w:tabs>
                <w:tab w:val="left" w:pos="284"/>
              </w:tabs>
              <w:ind w:left="-54"/>
              <w:jc w:val="left"/>
            </w:pPr>
            <w:r w:rsidRPr="00686541">
              <w:t>C-T-7, chemicky 2,5-dimetoxy-4n-propyltiofenetylamín</w:t>
            </w:r>
            <w:r>
              <w:t xml:space="preserve"> </w:t>
            </w:r>
          </w:p>
          <w:p w:rsidR="00686541" w:rsidRDefault="00686541" w:rsidP="00CC43DF">
            <w:pPr>
              <w:pStyle w:val="Odsekzoznamu"/>
              <w:tabs>
                <w:tab w:val="left" w:pos="284"/>
              </w:tabs>
              <w:ind w:left="-54"/>
              <w:jc w:val="left"/>
            </w:pPr>
            <w:r w:rsidRPr="00686541">
              <w:t>TMA-2, che</w:t>
            </w:r>
            <w:r>
              <w:t>micky 2,4,5-trimetoxyamfetamín</w:t>
            </w:r>
          </w:p>
          <w:p w:rsidR="00686541" w:rsidRPr="00CC43DF" w:rsidRDefault="00686541" w:rsidP="00CC43DF">
            <w:pPr>
              <w:pStyle w:val="Odsekzoznamu"/>
              <w:tabs>
                <w:tab w:val="left" w:pos="284"/>
              </w:tabs>
              <w:ind w:left="-54"/>
              <w:jc w:val="left"/>
              <w:rPr>
                <w:b/>
              </w:rPr>
            </w:pPr>
            <w:r w:rsidRPr="00CC43DF">
              <w:rPr>
                <w:b/>
              </w:rPr>
              <w:t xml:space="preserve">PL I. skupina </w:t>
            </w:r>
          </w:p>
          <w:p w:rsidR="003A3252" w:rsidRDefault="003A3252" w:rsidP="00CC43DF">
            <w:pPr>
              <w:pStyle w:val="Odsekzoznamu"/>
              <w:tabs>
                <w:tab w:val="left" w:pos="284"/>
              </w:tabs>
              <w:ind w:left="-54"/>
              <w:jc w:val="left"/>
            </w:pPr>
            <w:r>
              <w:t>zákon 468/2009 Z. z.</w:t>
            </w:r>
          </w:p>
          <w:p w:rsidR="003A3252" w:rsidRDefault="003A3252" w:rsidP="003A3252">
            <w:pPr>
              <w:pStyle w:val="Odsekzoznamu"/>
              <w:tabs>
                <w:tab w:val="left" w:pos="284"/>
              </w:tabs>
              <w:ind w:left="-54"/>
            </w:pPr>
          </w:p>
          <w:p w:rsidR="00A12210" w:rsidRDefault="00A12210" w:rsidP="003A3252">
            <w:pPr>
              <w:pStyle w:val="Odsekzoznamu"/>
              <w:tabs>
                <w:tab w:val="left" w:pos="284"/>
              </w:tabs>
              <w:ind w:left="-54"/>
            </w:pPr>
            <w:r w:rsidRPr="00A12210">
              <w:t>1-Benzylpiperazín, BZP, chemic</w:t>
            </w:r>
            <w:r>
              <w:t>ky 1-benzyl-1,4-diazacyklohexán</w:t>
            </w:r>
          </w:p>
          <w:p w:rsidR="00A12210" w:rsidRPr="004A3CAF" w:rsidRDefault="00A12210" w:rsidP="00A12210">
            <w:pPr>
              <w:pStyle w:val="Odsekzoznamu"/>
              <w:tabs>
                <w:tab w:val="left" w:pos="284"/>
              </w:tabs>
              <w:ind w:left="-54"/>
              <w:jc w:val="left"/>
              <w:rPr>
                <w:b/>
              </w:rPr>
            </w:pPr>
            <w:r w:rsidRPr="004A3CAF">
              <w:rPr>
                <w:b/>
              </w:rPr>
              <w:t xml:space="preserve">PL I. skupina </w:t>
            </w:r>
          </w:p>
          <w:p w:rsidR="003A3252" w:rsidRDefault="003A3252" w:rsidP="003A3252">
            <w:pPr>
              <w:pStyle w:val="Odsekzoznamu"/>
              <w:tabs>
                <w:tab w:val="left" w:pos="284"/>
              </w:tabs>
              <w:ind w:left="-54"/>
            </w:pPr>
            <w:r>
              <w:t>zákon 77/2009 Z. z.</w:t>
            </w:r>
          </w:p>
          <w:p w:rsidR="00A12210" w:rsidRDefault="00A12210" w:rsidP="003A3252">
            <w:pPr>
              <w:pStyle w:val="Odsekzoznamu"/>
              <w:tabs>
                <w:tab w:val="left" w:pos="284"/>
              </w:tabs>
              <w:ind w:left="-54"/>
            </w:pPr>
          </w:p>
          <w:p w:rsidR="00337F85" w:rsidRDefault="00337F85" w:rsidP="00CC43DF">
            <w:pPr>
              <w:pStyle w:val="Odsekzoznamu"/>
              <w:tabs>
                <w:tab w:val="left" w:pos="284"/>
              </w:tabs>
              <w:ind w:left="-54"/>
              <w:jc w:val="left"/>
            </w:pPr>
            <w:r w:rsidRPr="00DB489A">
              <w:rPr>
                <w:color w:val="000000"/>
              </w:rPr>
              <w:t xml:space="preserve">4-metylmetkathinón </w:t>
            </w:r>
            <w:r w:rsidRPr="00DB489A">
              <w:t>(4-MMC), chemicky 1-(4-metylfenyl)-2-(metylamino)propán-1-ón</w:t>
            </w:r>
          </w:p>
          <w:p w:rsidR="00337F85" w:rsidRDefault="00337F85" w:rsidP="00337F85">
            <w:pPr>
              <w:pStyle w:val="Odsekzoznamu"/>
              <w:tabs>
                <w:tab w:val="left" w:pos="284"/>
              </w:tabs>
              <w:ind w:left="-54"/>
              <w:jc w:val="left"/>
              <w:rPr>
                <w:b/>
              </w:rPr>
            </w:pPr>
            <w:r w:rsidRPr="004A3CAF">
              <w:rPr>
                <w:b/>
              </w:rPr>
              <w:t xml:space="preserve">PL I. skupina </w:t>
            </w:r>
          </w:p>
          <w:p w:rsidR="00337F85" w:rsidRDefault="00337F85" w:rsidP="00337F85">
            <w:pPr>
              <w:pStyle w:val="Odsekzoznamu"/>
              <w:tabs>
                <w:tab w:val="left" w:pos="284"/>
              </w:tabs>
              <w:ind w:left="-54"/>
              <w:jc w:val="left"/>
              <w:rPr>
                <w:b/>
              </w:rPr>
            </w:pPr>
          </w:p>
          <w:p w:rsidR="00337F85" w:rsidRPr="004A3CAF" w:rsidRDefault="00337F85" w:rsidP="00337F85">
            <w:pPr>
              <w:pStyle w:val="Odsekzoznamu"/>
              <w:tabs>
                <w:tab w:val="left" w:pos="284"/>
              </w:tabs>
              <w:ind w:left="-54"/>
              <w:jc w:val="left"/>
              <w:rPr>
                <w:b/>
              </w:rPr>
            </w:pPr>
          </w:p>
          <w:p w:rsidR="003A3252" w:rsidRDefault="003031FC" w:rsidP="00CC43DF">
            <w:pPr>
              <w:pStyle w:val="Odsekzoznamu"/>
              <w:tabs>
                <w:tab w:val="left" w:pos="284"/>
              </w:tabs>
              <w:ind w:left="-54"/>
              <w:jc w:val="left"/>
            </w:pPr>
            <w:r w:rsidRPr="003031FC">
              <w:lastRenderedPageBreak/>
              <w:t>4,4'-Dimetylaminorex, para-metyl-4-metylaminorex, 4,4'- DMAR, chemicky 4-metyl-5-(4-metylfenyl)-4,5-dihydro-1,3-oxazol-2-amín</w:t>
            </w:r>
          </w:p>
          <w:p w:rsidR="003031FC" w:rsidRPr="004A3CAF" w:rsidRDefault="003031FC" w:rsidP="003031FC">
            <w:pPr>
              <w:pStyle w:val="Odsekzoznamu"/>
              <w:tabs>
                <w:tab w:val="left" w:pos="284"/>
              </w:tabs>
              <w:ind w:left="-54"/>
              <w:jc w:val="left"/>
              <w:rPr>
                <w:b/>
              </w:rPr>
            </w:pPr>
            <w:r w:rsidRPr="004A3CAF">
              <w:rPr>
                <w:b/>
              </w:rPr>
              <w:t xml:space="preserve">PL I. skupina </w:t>
            </w:r>
          </w:p>
          <w:p w:rsidR="00DA0420" w:rsidRDefault="00DA0420" w:rsidP="00CC43DF">
            <w:pPr>
              <w:pStyle w:val="Odsekzoznamu"/>
              <w:tabs>
                <w:tab w:val="left" w:pos="284"/>
              </w:tabs>
              <w:ind w:left="-54"/>
              <w:jc w:val="left"/>
            </w:pPr>
          </w:p>
          <w:p w:rsidR="003031FC" w:rsidRDefault="003031FC" w:rsidP="00CC43DF">
            <w:pPr>
              <w:pStyle w:val="Odsekzoznamu"/>
              <w:tabs>
                <w:tab w:val="left" w:pos="284"/>
              </w:tabs>
              <w:ind w:left="-54"/>
              <w:jc w:val="left"/>
            </w:pPr>
            <w:r w:rsidRPr="003031FC">
              <w:t>MT-45, chemicky 1-cyklohexyl-4-(1,2-difenyletyl)piperazín</w:t>
            </w:r>
          </w:p>
          <w:p w:rsidR="003031FC" w:rsidRPr="004A3CAF" w:rsidRDefault="003031FC" w:rsidP="003031FC">
            <w:pPr>
              <w:pStyle w:val="Odsekzoznamu"/>
              <w:tabs>
                <w:tab w:val="left" w:pos="284"/>
              </w:tabs>
              <w:ind w:left="-54"/>
              <w:jc w:val="left"/>
              <w:rPr>
                <w:b/>
              </w:rPr>
            </w:pPr>
            <w:r>
              <w:rPr>
                <w:b/>
              </w:rPr>
              <w:t>O</w:t>
            </w:r>
            <w:r w:rsidRPr="004A3CAF">
              <w:rPr>
                <w:b/>
              </w:rPr>
              <w:t xml:space="preserve">L I. skupina </w:t>
            </w:r>
          </w:p>
          <w:p w:rsidR="003A3252" w:rsidRDefault="003A3252" w:rsidP="003A3252">
            <w:pPr>
              <w:pStyle w:val="Odsekzoznamu"/>
              <w:tabs>
                <w:tab w:val="left" w:pos="284"/>
              </w:tabs>
              <w:ind w:left="-54"/>
            </w:pPr>
            <w:r>
              <w:t>zákon 288/2017 Z. z.</w:t>
            </w:r>
          </w:p>
          <w:p w:rsidR="003A3252" w:rsidRDefault="003A3252" w:rsidP="003A3252">
            <w:pPr>
              <w:pStyle w:val="Odsekzoznamu"/>
              <w:tabs>
                <w:tab w:val="left" w:pos="284"/>
              </w:tabs>
              <w:ind w:left="-54"/>
            </w:pPr>
          </w:p>
          <w:p w:rsidR="00B352FE" w:rsidRDefault="003031FC" w:rsidP="00CC43DF">
            <w:pPr>
              <w:pStyle w:val="Odsekzoznamu"/>
              <w:tabs>
                <w:tab w:val="left" w:pos="284"/>
              </w:tabs>
              <w:ind w:left="-54"/>
              <w:jc w:val="left"/>
            </w:pPr>
            <w:r w:rsidRPr="003031FC">
              <w:t>4-Metylamfetamín, chemicky 1-(4-metylfenyl)-2-aminopropán</w:t>
            </w:r>
            <w:r w:rsidR="00B352FE">
              <w:t xml:space="preserve"> </w:t>
            </w:r>
          </w:p>
          <w:p w:rsidR="00B352FE" w:rsidRPr="004A3CAF" w:rsidRDefault="00B352FE" w:rsidP="00B352FE">
            <w:pPr>
              <w:pStyle w:val="Odsekzoznamu"/>
              <w:tabs>
                <w:tab w:val="left" w:pos="284"/>
              </w:tabs>
              <w:ind w:left="-54"/>
              <w:jc w:val="left"/>
              <w:rPr>
                <w:b/>
              </w:rPr>
            </w:pPr>
            <w:r w:rsidRPr="004A3CAF">
              <w:rPr>
                <w:b/>
              </w:rPr>
              <w:t xml:space="preserve">PL I. skupina </w:t>
            </w:r>
          </w:p>
          <w:p w:rsidR="003A3252" w:rsidRDefault="003A3252" w:rsidP="00CC43DF">
            <w:pPr>
              <w:pStyle w:val="Odsekzoznamu"/>
              <w:tabs>
                <w:tab w:val="left" w:pos="284"/>
              </w:tabs>
              <w:ind w:left="-54"/>
              <w:jc w:val="left"/>
            </w:pPr>
            <w:r>
              <w:t>zákon 43/2014 Z. z.</w:t>
            </w:r>
          </w:p>
          <w:p w:rsidR="003A3252" w:rsidRDefault="003A3252" w:rsidP="003A3252"/>
          <w:p w:rsidR="00B352FE" w:rsidRDefault="00B352FE" w:rsidP="003A3252">
            <w:pPr>
              <w:rPr>
                <w:color w:val="000000"/>
              </w:rPr>
            </w:pPr>
            <w:r w:rsidRPr="00B352FE">
              <w:rPr>
                <w:color w:val="000000"/>
              </w:rPr>
              <w:t>25I-NBOMe, chemicky 4-jód-2,5-dimetox</w:t>
            </w:r>
            <w:r>
              <w:rPr>
                <w:color w:val="000000"/>
              </w:rPr>
              <w:t>y-N-(2-metoxybenzyl)fenetylamín</w:t>
            </w:r>
          </w:p>
          <w:p w:rsidR="00B352FE" w:rsidRPr="004A3CAF" w:rsidRDefault="00B352FE" w:rsidP="00B352FE">
            <w:pPr>
              <w:pStyle w:val="Odsekzoznamu"/>
              <w:tabs>
                <w:tab w:val="left" w:pos="284"/>
              </w:tabs>
              <w:ind w:left="-54"/>
              <w:jc w:val="left"/>
              <w:rPr>
                <w:b/>
              </w:rPr>
            </w:pPr>
            <w:r w:rsidRPr="004A3CAF">
              <w:rPr>
                <w:b/>
              </w:rPr>
              <w:t xml:space="preserve">PL I. skupina </w:t>
            </w:r>
          </w:p>
          <w:p w:rsidR="003A3252" w:rsidRDefault="003A3252" w:rsidP="003A3252">
            <w:pPr>
              <w:rPr>
                <w:color w:val="000000"/>
              </w:rPr>
            </w:pPr>
            <w:r>
              <w:rPr>
                <w:color w:val="000000"/>
              </w:rPr>
              <w:t>zákon 148/2015 Z. z.</w:t>
            </w:r>
          </w:p>
          <w:p w:rsidR="00B352FE" w:rsidRDefault="00B352FE" w:rsidP="003A3252">
            <w:pPr>
              <w:rPr>
                <w:color w:val="000000"/>
              </w:rPr>
            </w:pPr>
            <w:r>
              <w:rPr>
                <w:color w:val="000000"/>
              </w:rPr>
              <w:t>A</w:t>
            </w:r>
            <w:r w:rsidRPr="00B352FE">
              <w:rPr>
                <w:color w:val="000000"/>
              </w:rPr>
              <w:t>H-7921, chemicky 3,4-dichlór-N-[[1-(dimetylamino)cyklohexyl]metyl] benzamid</w:t>
            </w:r>
          </w:p>
          <w:p w:rsidR="00B352FE" w:rsidRPr="004A3CAF" w:rsidRDefault="00B352FE" w:rsidP="00B352FE">
            <w:pPr>
              <w:pStyle w:val="Odsekzoznamu"/>
              <w:tabs>
                <w:tab w:val="left" w:pos="284"/>
              </w:tabs>
              <w:ind w:left="-54"/>
              <w:jc w:val="left"/>
              <w:rPr>
                <w:b/>
              </w:rPr>
            </w:pPr>
            <w:r w:rsidRPr="004A3CAF">
              <w:rPr>
                <w:b/>
              </w:rPr>
              <w:t xml:space="preserve">PL I. skupina </w:t>
            </w:r>
          </w:p>
          <w:p w:rsidR="003A3252" w:rsidRDefault="003A3252" w:rsidP="003A3252">
            <w:pPr>
              <w:rPr>
                <w:color w:val="000000"/>
              </w:rPr>
            </w:pPr>
            <w:r>
              <w:rPr>
                <w:color w:val="000000"/>
              </w:rPr>
              <w:t xml:space="preserve"> zákon 288/2017 Z. z.</w:t>
            </w:r>
          </w:p>
          <w:p w:rsidR="00337F85" w:rsidRDefault="00337F85" w:rsidP="003A3252">
            <w:pPr>
              <w:rPr>
                <w:color w:val="000000"/>
              </w:rPr>
            </w:pPr>
          </w:p>
          <w:p w:rsidR="00B352FE" w:rsidRDefault="00B352FE" w:rsidP="003A3252">
            <w:pPr>
              <w:rPr>
                <w:color w:val="000000"/>
              </w:rPr>
            </w:pPr>
            <w:r w:rsidRPr="00B352FE">
              <w:rPr>
                <w:color w:val="000000"/>
              </w:rPr>
              <w:t>Metyléndioxypyrovalerón, MDPV, chemicky (RS)-1-(benzo/d//1,3/dioxol-5-yl)-2- (pyrolidín-1-yl) pentán-1-ón</w:t>
            </w:r>
          </w:p>
          <w:p w:rsidR="00B352FE" w:rsidRPr="004A3CAF" w:rsidRDefault="00B352FE" w:rsidP="00B352FE">
            <w:pPr>
              <w:pStyle w:val="Odsekzoznamu"/>
              <w:tabs>
                <w:tab w:val="left" w:pos="284"/>
              </w:tabs>
              <w:ind w:left="-54"/>
              <w:jc w:val="left"/>
              <w:rPr>
                <w:b/>
              </w:rPr>
            </w:pPr>
            <w:r w:rsidRPr="004A3CAF">
              <w:rPr>
                <w:b/>
              </w:rPr>
              <w:t xml:space="preserve">PL I. skupina </w:t>
            </w:r>
          </w:p>
          <w:p w:rsidR="003A3252" w:rsidRDefault="003A3252" w:rsidP="003A3252">
            <w:pPr>
              <w:rPr>
                <w:color w:val="000000"/>
              </w:rPr>
            </w:pPr>
            <w:r>
              <w:rPr>
                <w:color w:val="000000"/>
              </w:rPr>
              <w:t>zákon 43/2011 Z. z.</w:t>
            </w:r>
          </w:p>
          <w:p w:rsidR="00337F85" w:rsidRDefault="00337F85" w:rsidP="003A3252">
            <w:pPr>
              <w:rPr>
                <w:color w:val="000000"/>
              </w:rPr>
            </w:pPr>
          </w:p>
          <w:p w:rsidR="00B23F63" w:rsidRDefault="00B23F63" w:rsidP="003A3252">
            <w:pPr>
              <w:rPr>
                <w:color w:val="000000"/>
              </w:rPr>
            </w:pPr>
            <w:r w:rsidRPr="00B23F63">
              <w:rPr>
                <w:color w:val="000000"/>
              </w:rPr>
              <w:lastRenderedPageBreak/>
              <w:t>Metoxetamín (MXE), chemicky 2-(3-metoxyfenyl)-2-(etylamino)cyklohexanón</w:t>
            </w:r>
          </w:p>
          <w:p w:rsidR="00B23F63" w:rsidRPr="004A3CAF" w:rsidRDefault="00B23F63" w:rsidP="00B23F63">
            <w:pPr>
              <w:pStyle w:val="Odsekzoznamu"/>
              <w:tabs>
                <w:tab w:val="left" w:pos="284"/>
              </w:tabs>
              <w:ind w:left="-54"/>
              <w:jc w:val="left"/>
              <w:rPr>
                <w:b/>
              </w:rPr>
            </w:pPr>
            <w:r w:rsidRPr="004A3CAF">
              <w:rPr>
                <w:b/>
              </w:rPr>
              <w:t xml:space="preserve">PL I. skupina </w:t>
            </w:r>
          </w:p>
          <w:p w:rsidR="003A3252" w:rsidRDefault="003A3252" w:rsidP="00B23F63">
            <w:pPr>
              <w:ind w:left="-55"/>
              <w:rPr>
                <w:color w:val="000000"/>
              </w:rPr>
            </w:pPr>
            <w:r>
              <w:rPr>
                <w:color w:val="000000"/>
              </w:rPr>
              <w:t>zákon 148/2015 Z. z.</w:t>
            </w:r>
          </w:p>
          <w:p w:rsidR="003A3252" w:rsidRDefault="003A3252" w:rsidP="003A3252">
            <w:pPr>
              <w:rPr>
                <w:color w:val="000000"/>
              </w:rPr>
            </w:pPr>
          </w:p>
          <w:p w:rsidR="00337F85" w:rsidRDefault="00337F85" w:rsidP="003A3252">
            <w:pPr>
              <w:rPr>
                <w:color w:val="000000"/>
              </w:rPr>
            </w:pPr>
          </w:p>
          <w:p w:rsidR="003A3252" w:rsidRDefault="00B23F63" w:rsidP="003A3252">
            <w:pPr>
              <w:rPr>
                <w:color w:val="000000"/>
              </w:rPr>
            </w:pPr>
            <w:r w:rsidRPr="00B23F63">
              <w:rPr>
                <w:color w:val="000000"/>
              </w:rPr>
              <w:t>5-(2-aminopropyl)indol,   5-API,   5-IT,   chemicky   2-(</w:t>
            </w:r>
            <w:r>
              <w:rPr>
                <w:color w:val="000000"/>
              </w:rPr>
              <w:t>1H-indol-5-yl)-1-metyl-etylamín</w:t>
            </w:r>
          </w:p>
          <w:p w:rsidR="00B23F63" w:rsidRPr="004A3CAF" w:rsidRDefault="00B23F63" w:rsidP="00B23F63">
            <w:pPr>
              <w:pStyle w:val="Odsekzoznamu"/>
              <w:tabs>
                <w:tab w:val="left" w:pos="284"/>
              </w:tabs>
              <w:ind w:left="-54"/>
              <w:jc w:val="left"/>
              <w:rPr>
                <w:b/>
              </w:rPr>
            </w:pPr>
            <w:r w:rsidRPr="004A3CAF">
              <w:rPr>
                <w:b/>
              </w:rPr>
              <w:t xml:space="preserve">PL I. skupina </w:t>
            </w:r>
          </w:p>
          <w:p w:rsidR="003A3252" w:rsidRDefault="003A3252" w:rsidP="003A3252">
            <w:pPr>
              <w:rPr>
                <w:color w:val="000000"/>
              </w:rPr>
            </w:pPr>
            <w:r>
              <w:rPr>
                <w:color w:val="000000"/>
              </w:rPr>
              <w:t>zákon 43/2014 Z. z.</w:t>
            </w:r>
          </w:p>
          <w:p w:rsidR="003A3252" w:rsidRDefault="003A3252" w:rsidP="003A3252">
            <w:pPr>
              <w:rPr>
                <w:color w:val="000000"/>
              </w:rPr>
            </w:pPr>
          </w:p>
          <w:p w:rsidR="003A3252" w:rsidRDefault="003A3252" w:rsidP="003A3252">
            <w:pPr>
              <w:rPr>
                <w:color w:val="000000"/>
              </w:rPr>
            </w:pPr>
          </w:p>
          <w:p w:rsidR="003A3252" w:rsidRDefault="00B23F63" w:rsidP="003A3252">
            <w:pPr>
              <w:rPr>
                <w:color w:val="000000"/>
              </w:rPr>
            </w:pPr>
            <w:r w:rsidRPr="00B23F63">
              <w:rPr>
                <w:color w:val="000000"/>
              </w:rPr>
              <w:t>Alfa-pyrolidínovalerofenón (alfa-PVP), chemicky 1-feny</w:t>
            </w:r>
            <w:r>
              <w:rPr>
                <w:color w:val="000000"/>
              </w:rPr>
              <w:t>l-2-(pyrolidín-1-yl)pentán-1-ón</w:t>
            </w:r>
          </w:p>
          <w:p w:rsidR="00B23F63" w:rsidRPr="004A3CAF" w:rsidRDefault="00B23F63" w:rsidP="00B23F63">
            <w:pPr>
              <w:pStyle w:val="Odsekzoznamu"/>
              <w:tabs>
                <w:tab w:val="left" w:pos="284"/>
              </w:tabs>
              <w:ind w:left="-54"/>
              <w:jc w:val="left"/>
              <w:rPr>
                <w:b/>
              </w:rPr>
            </w:pPr>
            <w:r w:rsidRPr="004A3CAF">
              <w:rPr>
                <w:b/>
              </w:rPr>
              <w:t xml:space="preserve">PL I. skupina </w:t>
            </w:r>
          </w:p>
          <w:p w:rsidR="003A3252" w:rsidRDefault="003A3252" w:rsidP="003A3252">
            <w:pPr>
              <w:rPr>
                <w:color w:val="000000"/>
              </w:rPr>
            </w:pPr>
            <w:r>
              <w:rPr>
                <w:color w:val="000000"/>
              </w:rPr>
              <w:t>zákon 288/2017 Z. z.</w:t>
            </w:r>
          </w:p>
          <w:p w:rsidR="003A3252" w:rsidRDefault="003A3252" w:rsidP="003A3252">
            <w:pPr>
              <w:rPr>
                <w:color w:val="000000"/>
              </w:rPr>
            </w:pPr>
          </w:p>
          <w:p w:rsidR="003A3252" w:rsidRDefault="00B23F63" w:rsidP="003A3252">
            <w:pPr>
              <w:rPr>
                <w:color w:val="000000"/>
              </w:rPr>
            </w:pPr>
            <w:r w:rsidRPr="00B23F63">
              <w:rPr>
                <w:color w:val="000000"/>
              </w:rPr>
              <w:t>MDMB-CHMICA, chemicky metyl (2S)-2-{[1-(cyklohexylmetyl)-1H-indol-3-yl]formamido}-3,3-dimetyl este</w:t>
            </w:r>
            <w:r>
              <w:rPr>
                <w:color w:val="000000"/>
              </w:rPr>
              <w:t>r kyseliny maslovej (butánovej)</w:t>
            </w:r>
          </w:p>
          <w:p w:rsidR="00B23F63" w:rsidRDefault="00B23F63" w:rsidP="00B23F63">
            <w:pPr>
              <w:pStyle w:val="Odsekzoznamu"/>
              <w:tabs>
                <w:tab w:val="left" w:pos="284"/>
              </w:tabs>
              <w:ind w:left="-54"/>
              <w:jc w:val="left"/>
              <w:rPr>
                <w:b/>
              </w:rPr>
            </w:pPr>
            <w:r w:rsidRPr="004A3CAF">
              <w:rPr>
                <w:b/>
              </w:rPr>
              <w:t xml:space="preserve">PL I. skupina </w:t>
            </w:r>
          </w:p>
          <w:p w:rsidR="00466914" w:rsidRDefault="00466914" w:rsidP="00466914">
            <w:pPr>
              <w:rPr>
                <w:color w:val="000000"/>
              </w:rPr>
            </w:pPr>
            <w:r>
              <w:rPr>
                <w:color w:val="000000"/>
              </w:rPr>
              <w:t>zákon 288/2017 Z. z.</w:t>
            </w:r>
          </w:p>
          <w:p w:rsidR="00466914" w:rsidRDefault="00466914" w:rsidP="00B23F63">
            <w:pPr>
              <w:pStyle w:val="Odsekzoznamu"/>
              <w:tabs>
                <w:tab w:val="left" w:pos="284"/>
              </w:tabs>
              <w:ind w:left="-54"/>
              <w:jc w:val="left"/>
              <w:rPr>
                <w:b/>
              </w:rPr>
            </w:pPr>
          </w:p>
          <w:p w:rsidR="00337F85" w:rsidRPr="004A3CAF" w:rsidRDefault="00337F85" w:rsidP="00B23F63">
            <w:pPr>
              <w:pStyle w:val="Odsekzoznamu"/>
              <w:tabs>
                <w:tab w:val="left" w:pos="284"/>
              </w:tabs>
              <w:ind w:left="-54"/>
              <w:jc w:val="left"/>
              <w:rPr>
                <w:b/>
              </w:rPr>
            </w:pPr>
          </w:p>
          <w:p w:rsidR="00466914" w:rsidRDefault="00466914" w:rsidP="003A3252">
            <w:pPr>
              <w:rPr>
                <w:color w:val="000000"/>
              </w:rPr>
            </w:pPr>
            <w:r w:rsidRPr="00466914">
              <w:rPr>
                <w:color w:val="000000"/>
              </w:rPr>
              <w:t>Akrylfentanyl, chemicky N-(1-fenyletyl-</w:t>
            </w:r>
            <w:r>
              <w:rPr>
                <w:color w:val="000000"/>
              </w:rPr>
              <w:t>4-piperidinyl)-N-fenylakrylamid</w:t>
            </w:r>
          </w:p>
          <w:p w:rsidR="00466914" w:rsidRPr="004A3CAF" w:rsidRDefault="00466914" w:rsidP="00466914">
            <w:pPr>
              <w:pStyle w:val="Odsekzoznamu"/>
              <w:tabs>
                <w:tab w:val="left" w:pos="284"/>
              </w:tabs>
              <w:ind w:left="-54"/>
              <w:jc w:val="left"/>
              <w:rPr>
                <w:b/>
              </w:rPr>
            </w:pPr>
            <w:r>
              <w:rPr>
                <w:b/>
              </w:rPr>
              <w:t>O</w:t>
            </w:r>
            <w:r w:rsidRPr="004A3CAF">
              <w:rPr>
                <w:b/>
              </w:rPr>
              <w:t xml:space="preserve">L I. skupina </w:t>
            </w:r>
          </w:p>
          <w:p w:rsidR="003A3252" w:rsidRDefault="003A3252" w:rsidP="003A3252">
            <w:pPr>
              <w:rPr>
                <w:color w:val="000000"/>
              </w:rPr>
            </w:pPr>
            <w:r>
              <w:rPr>
                <w:color w:val="000000"/>
              </w:rPr>
              <w:t>zákon 288/2017 Z. z.</w:t>
            </w:r>
          </w:p>
          <w:p w:rsidR="003A3252" w:rsidRPr="00134123" w:rsidDel="00ED2EDC" w:rsidRDefault="003A3252"/>
        </w:tc>
        <w:tc>
          <w:tcPr>
            <w:tcW w:w="776" w:type="dxa"/>
          </w:tcPr>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r>
              <w:lastRenderedPageBreak/>
              <w:t>Ú</w:t>
            </w:r>
          </w:p>
          <w:p w:rsidR="003A3252" w:rsidRDefault="003A3252" w:rsidP="003A3252">
            <w:pPr>
              <w:jc w:val="center"/>
            </w:pPr>
          </w:p>
          <w:p w:rsidR="003A3252" w:rsidRDefault="003A3252" w:rsidP="003A3252">
            <w:pPr>
              <w:jc w:val="center"/>
            </w:pPr>
          </w:p>
          <w:p w:rsidR="00DA0420" w:rsidRDefault="00DA0420"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DA0420" w:rsidRDefault="00DA0420"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DA0420" w:rsidRDefault="00DA0420" w:rsidP="003A3252">
            <w:pPr>
              <w:jc w:val="center"/>
            </w:pPr>
          </w:p>
          <w:p w:rsidR="003A3252" w:rsidRDefault="003A3252" w:rsidP="003A3252">
            <w:pPr>
              <w:jc w:val="center"/>
            </w:pPr>
            <w:r>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3A3252" w:rsidRDefault="003A3252" w:rsidP="003A3252">
            <w:pPr>
              <w:jc w:val="center"/>
            </w:pPr>
            <w:r>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3A3252" w:rsidRDefault="003A3252" w:rsidP="003A3252">
            <w:pPr>
              <w:jc w:val="center"/>
            </w:pPr>
            <w:r>
              <w:lastRenderedPageBreak/>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DA0420" w:rsidRDefault="00DA0420" w:rsidP="003A3252">
            <w:pPr>
              <w:jc w:val="center"/>
            </w:pPr>
          </w:p>
          <w:p w:rsidR="00DA0420" w:rsidRDefault="00DA0420"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3A3252" w:rsidRDefault="003A3252" w:rsidP="003A3252">
            <w:pPr>
              <w:jc w:val="center"/>
            </w:pPr>
          </w:p>
          <w:p w:rsidR="003A3252" w:rsidRDefault="003A3252" w:rsidP="003A3252">
            <w:pPr>
              <w:jc w:val="center"/>
            </w:pPr>
          </w:p>
          <w:p w:rsidR="00DA0420" w:rsidRDefault="00DA0420" w:rsidP="003A3252">
            <w:pPr>
              <w:jc w:val="center"/>
            </w:pPr>
          </w:p>
          <w:p w:rsidR="003A3252" w:rsidRDefault="003A3252" w:rsidP="003A3252">
            <w:pPr>
              <w:jc w:val="center"/>
            </w:pPr>
          </w:p>
          <w:p w:rsidR="003A3252" w:rsidRDefault="003A3252" w:rsidP="003A3252">
            <w:pPr>
              <w:jc w:val="center"/>
            </w:pPr>
            <w:r>
              <w:t>Ú</w:t>
            </w:r>
          </w:p>
          <w:p w:rsidR="003A3252" w:rsidRDefault="003A3252"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r>
              <w:lastRenderedPageBreak/>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r>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r>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r>
              <w:t>Ú</w:t>
            </w: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p>
          <w:p w:rsidR="00DA0420" w:rsidRDefault="00DA0420" w:rsidP="003A3252">
            <w:pPr>
              <w:jc w:val="center"/>
            </w:pPr>
            <w:r>
              <w:t>Ú</w:t>
            </w:r>
          </w:p>
        </w:tc>
        <w:tc>
          <w:tcPr>
            <w:tcW w:w="1209" w:type="dxa"/>
          </w:tcPr>
          <w:p w:rsidR="003A3252" w:rsidRDefault="003A3252" w:rsidP="003A3252">
            <w:pPr>
              <w:jc w:val="center"/>
            </w:pPr>
          </w:p>
        </w:tc>
      </w:tr>
      <w:tr w:rsidR="00775912" w:rsidTr="00780A28">
        <w:tc>
          <w:tcPr>
            <w:tcW w:w="921" w:type="dxa"/>
          </w:tcPr>
          <w:p w:rsidR="00775912" w:rsidRDefault="00775912" w:rsidP="003A3252">
            <w:pPr>
              <w:jc w:val="center"/>
            </w:pPr>
          </w:p>
          <w:p w:rsidR="00775912" w:rsidRDefault="00775912" w:rsidP="003A3252">
            <w:pPr>
              <w:jc w:val="center"/>
            </w:pPr>
          </w:p>
          <w:p w:rsidR="00775912" w:rsidRDefault="00775912" w:rsidP="003A3252">
            <w:pPr>
              <w:jc w:val="center"/>
            </w:pPr>
          </w:p>
          <w:p w:rsidR="00775912" w:rsidRDefault="00775912" w:rsidP="003A3252">
            <w:pPr>
              <w:jc w:val="center"/>
            </w:pPr>
            <w:r>
              <w:t>1</w:t>
            </w:r>
            <w:r w:rsidR="00607E29">
              <w:t>3</w:t>
            </w:r>
          </w:p>
          <w:p w:rsidR="00775912" w:rsidRDefault="00775912" w:rsidP="003A3252">
            <w:pPr>
              <w:jc w:val="center"/>
            </w:pPr>
          </w:p>
          <w:p w:rsidR="00775912" w:rsidRDefault="00775912" w:rsidP="003A3252">
            <w:pPr>
              <w:jc w:val="center"/>
            </w:pPr>
          </w:p>
          <w:p w:rsidR="00775912" w:rsidRDefault="00775912" w:rsidP="003A3252">
            <w:pPr>
              <w:jc w:val="center"/>
            </w:pPr>
          </w:p>
          <w:p w:rsidR="00775912" w:rsidRDefault="00775912" w:rsidP="003A3252">
            <w:pPr>
              <w:jc w:val="center"/>
            </w:pPr>
          </w:p>
          <w:p w:rsidR="00775912" w:rsidRDefault="00775912" w:rsidP="003A3252">
            <w:pPr>
              <w:jc w:val="center"/>
            </w:pPr>
          </w:p>
          <w:p w:rsidR="00775912" w:rsidRDefault="00607E29" w:rsidP="003A3252">
            <w:pPr>
              <w:jc w:val="center"/>
            </w:pPr>
            <w:r>
              <w:t>14</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r>
              <w:t>15</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r>
              <w:t>16</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775912" w:rsidRDefault="00775912" w:rsidP="003A3252">
            <w:pPr>
              <w:jc w:val="center"/>
            </w:pPr>
          </w:p>
          <w:p w:rsidR="00775912" w:rsidRDefault="00775912" w:rsidP="003A3252">
            <w:pPr>
              <w:jc w:val="center"/>
            </w:pPr>
          </w:p>
          <w:p w:rsidR="00775912" w:rsidRDefault="00775912" w:rsidP="003A3252">
            <w:pPr>
              <w:jc w:val="center"/>
            </w:pPr>
          </w:p>
        </w:tc>
        <w:tc>
          <w:tcPr>
            <w:tcW w:w="4961" w:type="dxa"/>
          </w:tcPr>
          <w:p w:rsidR="00775912" w:rsidRPr="00172480" w:rsidRDefault="00775912" w:rsidP="00775912">
            <w:pPr>
              <w:spacing w:before="100" w:beforeAutospacing="1" w:after="100" w:afterAutospacing="1"/>
            </w:pPr>
            <w:r w:rsidRPr="00172480">
              <w:t>Do zoznamu v prílohe k rámcovému rozhodnutiu 2004/757/SVV sa dopĺňa tento text:</w:t>
            </w:r>
          </w:p>
          <w:tbl>
            <w:tblPr>
              <w:tblW w:w="5000" w:type="pct"/>
              <w:tblCellSpacing w:w="0" w:type="dxa"/>
              <w:tblLayout w:type="fixed"/>
              <w:tblCellMar>
                <w:left w:w="0" w:type="dxa"/>
                <w:right w:w="0" w:type="dxa"/>
              </w:tblCellMar>
              <w:tblLook w:val="04A0" w:firstRow="1" w:lastRow="0" w:firstColumn="1" w:lastColumn="0" w:noHBand="0" w:noVBand="1"/>
            </w:tblPr>
            <w:tblGrid>
              <w:gridCol w:w="225"/>
              <w:gridCol w:w="4596"/>
            </w:tblGrid>
            <w:tr w:rsidR="00775912" w:rsidRPr="00172480" w:rsidTr="00775912">
              <w:trPr>
                <w:tblCellSpacing w:w="0" w:type="dxa"/>
              </w:trPr>
              <w:tc>
                <w:tcPr>
                  <w:tcW w:w="407" w:type="dxa"/>
                  <w:hideMark/>
                </w:tcPr>
                <w:p w:rsidR="00775912" w:rsidRPr="00172480" w:rsidRDefault="00775912">
                  <w:pPr>
                    <w:spacing w:before="100" w:beforeAutospacing="1" w:after="100" w:afterAutospacing="1"/>
                  </w:pPr>
                </w:p>
              </w:tc>
              <w:tc>
                <w:tcPr>
                  <w:tcW w:w="8665" w:type="dxa"/>
                  <w:hideMark/>
                </w:tcPr>
                <w:p w:rsidR="00775912" w:rsidRDefault="00775912" w:rsidP="00775912">
                  <w:r w:rsidRPr="00172480">
                    <w:t>N-fenyl-N-[1-(2-fenyletyl)piperidín-4-yl]furán-2-karboxamid (furanylfentanyl</w:t>
                  </w:r>
                </w:p>
                <w:p w:rsidR="00607E29" w:rsidRDefault="00607E29" w:rsidP="00CC43DF">
                  <w:pPr>
                    <w:pStyle w:val="Odsekzoznamu"/>
                    <w:numPr>
                      <w:ilvl w:val="0"/>
                      <w:numId w:val="19"/>
                    </w:numPr>
                    <w:ind w:left="53" w:hanging="283"/>
                  </w:pPr>
                </w:p>
                <w:p w:rsidR="00607E29" w:rsidRDefault="00607E29" w:rsidP="00CC43DF">
                  <w:pPr>
                    <w:pStyle w:val="Odsekzoznamu"/>
                    <w:numPr>
                      <w:ilvl w:val="0"/>
                      <w:numId w:val="19"/>
                    </w:numPr>
                    <w:ind w:left="53" w:hanging="283"/>
                  </w:pPr>
                </w:p>
                <w:p w:rsidR="00607E29" w:rsidRDefault="00607E29" w:rsidP="00CC43DF">
                  <w:pPr>
                    <w:pStyle w:val="Odsekzoznamu"/>
                    <w:numPr>
                      <w:ilvl w:val="0"/>
                      <w:numId w:val="19"/>
                    </w:numPr>
                    <w:ind w:left="53" w:hanging="283"/>
                  </w:pPr>
                </w:p>
                <w:p w:rsidR="00607E29" w:rsidRDefault="00607E29" w:rsidP="00CC43DF">
                  <w:pPr>
                    <w:pStyle w:val="Odsekzoznamu"/>
                    <w:numPr>
                      <w:ilvl w:val="0"/>
                      <w:numId w:val="19"/>
                    </w:numPr>
                    <w:ind w:left="53" w:hanging="283"/>
                  </w:pPr>
                </w:p>
                <w:p w:rsidR="00775912" w:rsidRDefault="00775912" w:rsidP="00CC43DF">
                  <w:pPr>
                    <w:pStyle w:val="Odsekzoznamu"/>
                    <w:numPr>
                      <w:ilvl w:val="0"/>
                      <w:numId w:val="19"/>
                    </w:numPr>
                    <w:ind w:left="53" w:hanging="283"/>
                  </w:pPr>
                  <w:r w:rsidRPr="00172480">
                    <w:t xml:space="preserve">N-(1-amino-3,3-dimetyl-1-oxobután-2-yl)-1-(cyklohexylmetyl)-1H-indazol-3-karboxamid (ADB-CHMINACA) </w:t>
                  </w:r>
                </w:p>
                <w:p w:rsidR="00775912" w:rsidRDefault="00775912" w:rsidP="00775912"/>
                <w:p w:rsidR="00607E29" w:rsidRDefault="00607E29" w:rsidP="00775912"/>
                <w:p w:rsidR="00607E29" w:rsidRDefault="00607E29" w:rsidP="00775912"/>
                <w:p w:rsidR="00607E29" w:rsidRDefault="00607E29" w:rsidP="00775912"/>
                <w:p w:rsidR="00775912" w:rsidRDefault="00607E29" w:rsidP="00775912">
                  <w:r w:rsidRPr="00172480">
                    <w:t>1-(4-kyanobutyl)-N-(2-fenylpropán-2-yl)-1H-indazol-3-karboxamid (CUMYL-4CN-BINACA)</w:t>
                  </w:r>
                </w:p>
                <w:p w:rsidR="00607E29" w:rsidRDefault="00607E29" w:rsidP="00775912"/>
                <w:p w:rsidR="00607E29" w:rsidRDefault="00607E29" w:rsidP="00775912"/>
                <w:p w:rsidR="00607E29" w:rsidRPr="00172480" w:rsidRDefault="00607E29" w:rsidP="00775912">
                  <w:r w:rsidRPr="00172480">
                    <w:t>N-fenyl-N-[1-(2-fenyletyl)piperidín-4-yl]cyklopropánkarboxamid (cyklopropylfentanyl)</w:t>
                  </w:r>
                  <w:r>
                    <w:t xml:space="preserve"> a</w:t>
                  </w:r>
                </w:p>
              </w:tc>
            </w:tr>
          </w:tbl>
          <w:p w:rsidR="00607E29" w:rsidRDefault="00607E29" w:rsidP="00CC43DF">
            <w:pPr>
              <w:spacing w:before="240" w:after="120"/>
              <w:ind w:left="280"/>
            </w:pPr>
          </w:p>
          <w:p w:rsidR="00775912" w:rsidRPr="00103480" w:rsidRDefault="00607E29" w:rsidP="00CC43DF">
            <w:pPr>
              <w:spacing w:before="240" w:after="120"/>
              <w:ind w:left="280"/>
              <w:rPr>
                <w:b/>
                <w:bCs/>
                <w:color w:val="000000"/>
              </w:rPr>
            </w:pPr>
            <w:r w:rsidRPr="00172480">
              <w:t>2-metoxy-N-fenyl-N-[1-(2-fenyletyl)piperidín-4-yl]acetamid (metoxyacetylfentanyl)</w:t>
            </w:r>
          </w:p>
        </w:tc>
        <w:tc>
          <w:tcPr>
            <w:tcW w:w="425" w:type="dxa"/>
          </w:tcPr>
          <w:p w:rsidR="00775912" w:rsidRDefault="00775912" w:rsidP="003A3252">
            <w:pPr>
              <w:jc w:val="center"/>
            </w:pPr>
          </w:p>
          <w:p w:rsidR="00775912" w:rsidRDefault="00775912" w:rsidP="003A3252">
            <w:pPr>
              <w:jc w:val="center"/>
            </w:pPr>
          </w:p>
          <w:p w:rsidR="00775912" w:rsidRDefault="00775912" w:rsidP="003A3252">
            <w:pPr>
              <w:jc w:val="center"/>
            </w:pPr>
          </w:p>
          <w:p w:rsidR="00775912" w:rsidRDefault="00607E29" w:rsidP="003A3252">
            <w:pPr>
              <w:jc w:val="center"/>
            </w:pPr>
            <w:r>
              <w:t>N</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r>
              <w:t>N</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r>
              <w:t>N</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r>
              <w:t>N</w:t>
            </w:r>
          </w:p>
          <w:p w:rsidR="00607E29" w:rsidRDefault="00607E29" w:rsidP="003A3252">
            <w:pPr>
              <w:jc w:val="center"/>
            </w:pPr>
          </w:p>
          <w:p w:rsidR="00607E29" w:rsidRDefault="00607E29" w:rsidP="003A3252">
            <w:pPr>
              <w:jc w:val="center"/>
            </w:pPr>
          </w:p>
          <w:p w:rsidR="00607E29" w:rsidRDefault="00607E29" w:rsidP="003A3252">
            <w:pPr>
              <w:jc w:val="center"/>
            </w:pPr>
          </w:p>
          <w:p w:rsidR="00607E29" w:rsidRDefault="00607E29" w:rsidP="003A3252">
            <w:pPr>
              <w:jc w:val="center"/>
            </w:pPr>
          </w:p>
          <w:p w:rsidR="004C2C96" w:rsidRDefault="004C2C96" w:rsidP="003A3252">
            <w:pPr>
              <w:jc w:val="center"/>
            </w:pPr>
          </w:p>
          <w:p w:rsidR="00607E29" w:rsidRDefault="00607E29" w:rsidP="003A3252">
            <w:pPr>
              <w:jc w:val="center"/>
            </w:pPr>
            <w:r>
              <w:t>N</w:t>
            </w:r>
          </w:p>
        </w:tc>
        <w:tc>
          <w:tcPr>
            <w:tcW w:w="426" w:type="dxa"/>
          </w:tcPr>
          <w:p w:rsidR="00775912" w:rsidRDefault="00775912" w:rsidP="00CC43DF">
            <w:pPr>
              <w:jc w:val="center"/>
            </w:pPr>
          </w:p>
          <w:p w:rsidR="004C2C96" w:rsidRDefault="004C2C96" w:rsidP="00CC43DF">
            <w:pPr>
              <w:jc w:val="center"/>
            </w:pPr>
          </w:p>
          <w:p w:rsidR="004C2C96" w:rsidRDefault="004C2C96" w:rsidP="00CC43DF">
            <w:pPr>
              <w:jc w:val="center"/>
            </w:pPr>
          </w:p>
          <w:p w:rsidR="004C2C96" w:rsidRDefault="004C2C96" w:rsidP="00CC43DF">
            <w:pPr>
              <w:jc w:val="center"/>
              <w:rPr>
                <w:b/>
              </w:rPr>
            </w:pPr>
            <w:r>
              <w:rPr>
                <w:b/>
              </w:rPr>
              <w:t>IV</w:t>
            </w: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r>
              <w:rPr>
                <w:b/>
              </w:rPr>
              <w:t>IV</w:t>
            </w: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r>
              <w:rPr>
                <w:b/>
              </w:rPr>
              <w:t>IV</w:t>
            </w: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r>
              <w:rPr>
                <w:b/>
              </w:rPr>
              <w:t>IV</w:t>
            </w: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Default="004C2C96" w:rsidP="00CC43DF">
            <w:pPr>
              <w:jc w:val="center"/>
              <w:rPr>
                <w:b/>
              </w:rPr>
            </w:pPr>
          </w:p>
          <w:p w:rsidR="004C2C96" w:rsidRPr="00CC43DF" w:rsidRDefault="004C2C96" w:rsidP="00CC43DF">
            <w:pPr>
              <w:jc w:val="center"/>
              <w:rPr>
                <w:b/>
              </w:rPr>
            </w:pPr>
            <w:r>
              <w:rPr>
                <w:b/>
              </w:rPr>
              <w:t>IV</w:t>
            </w:r>
          </w:p>
        </w:tc>
        <w:tc>
          <w:tcPr>
            <w:tcW w:w="897" w:type="dxa"/>
            <w:gridSpan w:val="2"/>
          </w:tcPr>
          <w:p w:rsidR="00775912" w:rsidRDefault="00775912" w:rsidP="00775912">
            <w:pPr>
              <w:jc w:val="center"/>
            </w:pPr>
          </w:p>
          <w:p w:rsidR="00775912" w:rsidRDefault="00775912" w:rsidP="00775912">
            <w:pPr>
              <w:jc w:val="center"/>
            </w:pPr>
            <w:r>
              <w:t>Príloha 1</w:t>
            </w:r>
          </w:p>
          <w:p w:rsidR="00775912" w:rsidRDefault="00775912" w:rsidP="00775912">
            <w:pPr>
              <w:jc w:val="center"/>
            </w:pPr>
            <w:r>
              <w:t>OL</w:t>
            </w:r>
          </w:p>
          <w:p w:rsidR="00775912" w:rsidRDefault="00775912" w:rsidP="00775912">
            <w:pPr>
              <w:jc w:val="center"/>
            </w:pPr>
            <w:r>
              <w:t>I.</w:t>
            </w:r>
          </w:p>
          <w:p w:rsidR="00775912" w:rsidRDefault="00775912" w:rsidP="00775912">
            <w:pPr>
              <w:jc w:val="center"/>
            </w:pPr>
            <w:r>
              <w:t>skupina</w:t>
            </w:r>
          </w:p>
          <w:p w:rsidR="00775912" w:rsidRDefault="00775912" w:rsidP="00775912">
            <w:pPr>
              <w:jc w:val="center"/>
            </w:pPr>
          </w:p>
          <w:p w:rsidR="00607E29" w:rsidRDefault="00607E29" w:rsidP="00775912">
            <w:pPr>
              <w:jc w:val="center"/>
            </w:pPr>
          </w:p>
          <w:p w:rsidR="00775912" w:rsidRDefault="00775912" w:rsidP="00775912">
            <w:pPr>
              <w:jc w:val="center"/>
            </w:pPr>
          </w:p>
          <w:p w:rsidR="00775912" w:rsidRDefault="00775912" w:rsidP="00775912">
            <w:pPr>
              <w:jc w:val="center"/>
            </w:pPr>
            <w:r>
              <w:t>Príloha1</w:t>
            </w:r>
          </w:p>
          <w:p w:rsidR="00775912" w:rsidRPr="00053F6E" w:rsidRDefault="00775912" w:rsidP="00775912">
            <w:pPr>
              <w:jc w:val="center"/>
            </w:pPr>
            <w:r>
              <w:t>PL</w:t>
            </w:r>
          </w:p>
          <w:p w:rsidR="00775912" w:rsidRDefault="00775912" w:rsidP="00775912">
            <w:pPr>
              <w:jc w:val="center"/>
            </w:pPr>
            <w:r>
              <w:t>I. skupina</w:t>
            </w:r>
          </w:p>
          <w:p w:rsidR="00775912" w:rsidRDefault="00775912" w:rsidP="003A3252">
            <w:pPr>
              <w:jc w:val="center"/>
            </w:pPr>
          </w:p>
          <w:p w:rsidR="00607E29" w:rsidRDefault="00607E29" w:rsidP="00607E29">
            <w:pPr>
              <w:jc w:val="center"/>
            </w:pPr>
            <w:r>
              <w:t>Príloha1</w:t>
            </w:r>
          </w:p>
          <w:p w:rsidR="00607E29" w:rsidRPr="00053F6E" w:rsidRDefault="00607E29" w:rsidP="00607E29">
            <w:pPr>
              <w:jc w:val="center"/>
            </w:pPr>
            <w:r>
              <w:t>PL</w:t>
            </w:r>
          </w:p>
          <w:p w:rsidR="00607E29" w:rsidRDefault="00607E29" w:rsidP="00607E29">
            <w:pPr>
              <w:jc w:val="center"/>
            </w:pPr>
            <w:r>
              <w:t>I. skupina</w:t>
            </w:r>
          </w:p>
          <w:p w:rsidR="00607E29" w:rsidRDefault="00607E29" w:rsidP="003A3252">
            <w:pPr>
              <w:jc w:val="center"/>
            </w:pPr>
          </w:p>
          <w:p w:rsidR="00607E29" w:rsidRDefault="00607E29" w:rsidP="00607E29">
            <w:pPr>
              <w:jc w:val="center"/>
            </w:pPr>
            <w:r>
              <w:t>Príloha 1</w:t>
            </w:r>
          </w:p>
          <w:p w:rsidR="00607E29" w:rsidRDefault="00607E29" w:rsidP="00607E29">
            <w:pPr>
              <w:jc w:val="center"/>
            </w:pPr>
            <w:r>
              <w:t>OL</w:t>
            </w:r>
          </w:p>
          <w:p w:rsidR="00607E29" w:rsidRDefault="00607E29" w:rsidP="00607E29">
            <w:pPr>
              <w:jc w:val="center"/>
            </w:pPr>
            <w:r>
              <w:t>I.</w:t>
            </w:r>
          </w:p>
          <w:p w:rsidR="00607E29" w:rsidRDefault="00607E29" w:rsidP="00607E29">
            <w:pPr>
              <w:jc w:val="center"/>
            </w:pPr>
            <w:r>
              <w:t>skupina</w:t>
            </w:r>
          </w:p>
          <w:p w:rsidR="00607E29" w:rsidRDefault="00607E29" w:rsidP="00607E29">
            <w:pPr>
              <w:jc w:val="center"/>
            </w:pPr>
          </w:p>
          <w:p w:rsidR="00607E29" w:rsidRDefault="00607E29" w:rsidP="00607E29">
            <w:pPr>
              <w:jc w:val="center"/>
            </w:pPr>
            <w:r>
              <w:t>Príloha 1</w:t>
            </w:r>
          </w:p>
          <w:p w:rsidR="00607E29" w:rsidRDefault="00607E29" w:rsidP="00607E29">
            <w:pPr>
              <w:jc w:val="center"/>
            </w:pPr>
            <w:r>
              <w:t>OL</w:t>
            </w:r>
          </w:p>
          <w:p w:rsidR="00607E29" w:rsidRDefault="00607E29" w:rsidP="00607E29">
            <w:pPr>
              <w:jc w:val="center"/>
            </w:pPr>
            <w:r>
              <w:t>I.</w:t>
            </w:r>
          </w:p>
          <w:p w:rsidR="00607E29" w:rsidRDefault="00607E29">
            <w:pPr>
              <w:jc w:val="center"/>
            </w:pPr>
            <w:r>
              <w:t>skupina</w:t>
            </w:r>
          </w:p>
        </w:tc>
        <w:tc>
          <w:tcPr>
            <w:tcW w:w="4489" w:type="dxa"/>
          </w:tcPr>
          <w:p w:rsidR="00775912" w:rsidRDefault="00775912" w:rsidP="00775912">
            <w:pPr>
              <w:pStyle w:val="Odsekzoznamu"/>
              <w:ind w:left="0"/>
              <w:jc w:val="left"/>
            </w:pPr>
          </w:p>
          <w:p w:rsidR="00775912" w:rsidRDefault="00775912" w:rsidP="00775912">
            <w:pPr>
              <w:pStyle w:val="Odsekzoznamu"/>
              <w:ind w:left="0"/>
              <w:jc w:val="left"/>
            </w:pPr>
          </w:p>
          <w:p w:rsidR="00775912" w:rsidRDefault="00775912" w:rsidP="00775912">
            <w:pPr>
              <w:pStyle w:val="Odsekzoznamu"/>
              <w:ind w:left="0"/>
              <w:jc w:val="left"/>
            </w:pPr>
          </w:p>
          <w:p w:rsidR="00775912" w:rsidRDefault="00775912" w:rsidP="00775912">
            <w:pPr>
              <w:pStyle w:val="Odsekzoznamu"/>
              <w:ind w:left="0"/>
              <w:jc w:val="left"/>
            </w:pPr>
            <w:r w:rsidRPr="004E6319">
              <w:t>Furanylfentanyl, chemicky N-fenyl-N-[1-(2-fenyletyl)-piperidín-4-yl]furán-2-karboxamid</w:t>
            </w:r>
          </w:p>
          <w:p w:rsidR="00607E29" w:rsidRDefault="00607E29" w:rsidP="00607E29">
            <w:pPr>
              <w:pStyle w:val="Odsekzoznamu"/>
              <w:ind w:left="0"/>
              <w:jc w:val="left"/>
            </w:pPr>
            <w:r>
              <w:t>zákon  č. 287/2018 Z. Z.</w:t>
            </w:r>
          </w:p>
          <w:p w:rsidR="00607E29" w:rsidRDefault="00607E29" w:rsidP="00775912">
            <w:pPr>
              <w:pStyle w:val="Odsekzoznamu"/>
              <w:ind w:left="0"/>
              <w:jc w:val="left"/>
            </w:pPr>
          </w:p>
          <w:p w:rsidR="00775912" w:rsidRDefault="00775912" w:rsidP="00775912">
            <w:pPr>
              <w:pStyle w:val="Odsekzoznamu"/>
              <w:ind w:left="0"/>
              <w:jc w:val="left"/>
            </w:pPr>
          </w:p>
          <w:p w:rsidR="00775912" w:rsidRDefault="00775912" w:rsidP="00775912">
            <w:pPr>
              <w:pStyle w:val="Odsekzoznamu"/>
              <w:ind w:left="0"/>
              <w:jc w:val="left"/>
            </w:pPr>
            <w:r w:rsidRPr="00227192">
              <w:t>ADB-CHMINACA, chemicky N-(1-amino-3,3-dimetyl-1-oxobután-2-yl)-1-(cyklohexylmetyl)-1H-indazol-3-karboxamid</w:t>
            </w:r>
          </w:p>
          <w:p w:rsidR="00607E29" w:rsidRDefault="00607E29" w:rsidP="00607E29">
            <w:pPr>
              <w:pStyle w:val="Odsekzoznamu"/>
              <w:ind w:left="0"/>
              <w:jc w:val="left"/>
            </w:pPr>
            <w:r>
              <w:t>zákon  č. 287/2018 Z. Z.</w:t>
            </w:r>
          </w:p>
          <w:p w:rsidR="00607E29" w:rsidRDefault="00607E29" w:rsidP="003A3252">
            <w:pPr>
              <w:pStyle w:val="Odsekzoznamu"/>
              <w:tabs>
                <w:tab w:val="left" w:pos="284"/>
              </w:tabs>
              <w:ind w:left="-54"/>
            </w:pPr>
          </w:p>
          <w:p w:rsidR="00607E29" w:rsidRDefault="00607E29" w:rsidP="00607E29">
            <w:pPr>
              <w:pStyle w:val="Odsekzoznamu"/>
              <w:ind w:left="0"/>
              <w:jc w:val="left"/>
            </w:pPr>
            <w:r w:rsidRPr="00227192">
              <w:t>CUMYL-4CN-BINACA, chemicky 1-(4-kyanobutyl)-N-fenylpropán-2-yl)-1H-indazol-3-karboxamid</w:t>
            </w:r>
          </w:p>
          <w:p w:rsidR="00607E29" w:rsidRDefault="00607E29" w:rsidP="00607E29">
            <w:pPr>
              <w:pStyle w:val="Odsekzoznamu"/>
              <w:ind w:left="0"/>
              <w:jc w:val="left"/>
            </w:pPr>
            <w:r>
              <w:t>zákon  č. 287/2018 Z. Z.</w:t>
            </w:r>
          </w:p>
          <w:p w:rsidR="00607E29" w:rsidRDefault="00607E29" w:rsidP="003A3252">
            <w:pPr>
              <w:pStyle w:val="Odsekzoznamu"/>
              <w:tabs>
                <w:tab w:val="left" w:pos="284"/>
              </w:tabs>
              <w:ind w:left="-54"/>
            </w:pPr>
          </w:p>
          <w:p w:rsidR="00607E29" w:rsidRDefault="00607E29" w:rsidP="003A3252">
            <w:pPr>
              <w:pStyle w:val="Odsekzoznamu"/>
              <w:tabs>
                <w:tab w:val="left" w:pos="284"/>
              </w:tabs>
              <w:ind w:left="-54"/>
            </w:pPr>
          </w:p>
          <w:p w:rsidR="00607E29" w:rsidRDefault="00607E29" w:rsidP="00607E29">
            <w:pPr>
              <w:pStyle w:val="Odsekzoznamu"/>
              <w:ind w:left="0"/>
              <w:jc w:val="left"/>
            </w:pPr>
            <w:r w:rsidRPr="004E6319">
              <w:t>Cyklopropylfentanyl, chemicky N-fenyl-N-[1-(2-fenyletylyl)piperidín-4-yl]cyklopropánkarboxamid</w:t>
            </w:r>
          </w:p>
          <w:p w:rsidR="00607E29" w:rsidRDefault="00607E29" w:rsidP="00607E29">
            <w:pPr>
              <w:pStyle w:val="Odsekzoznamu"/>
              <w:ind w:left="0"/>
              <w:jc w:val="left"/>
            </w:pPr>
            <w:r>
              <w:t>zákon  č. 287/2018 Z. Z.</w:t>
            </w:r>
          </w:p>
          <w:p w:rsidR="00607E29" w:rsidRDefault="00607E29" w:rsidP="003A3252">
            <w:pPr>
              <w:pStyle w:val="Odsekzoznamu"/>
              <w:tabs>
                <w:tab w:val="left" w:pos="284"/>
              </w:tabs>
              <w:ind w:left="-54"/>
            </w:pPr>
          </w:p>
          <w:p w:rsidR="00607E29" w:rsidRDefault="00607E29" w:rsidP="003A3252">
            <w:pPr>
              <w:pStyle w:val="Odsekzoznamu"/>
              <w:tabs>
                <w:tab w:val="left" w:pos="284"/>
              </w:tabs>
              <w:ind w:left="-54"/>
            </w:pPr>
          </w:p>
          <w:p w:rsidR="00607E29" w:rsidRDefault="00607E29" w:rsidP="00607E29">
            <w:pPr>
              <w:pStyle w:val="Odsekzoznamu"/>
              <w:ind w:left="0"/>
              <w:jc w:val="left"/>
            </w:pPr>
            <w:r w:rsidRPr="00FE7A78">
              <w:t>Metoxyacetylfentanyl, chemicky 2-metoxy-N-fenyl-N-[1-(2-fenyletyl)piperidín-4yl] acetamid</w:t>
            </w:r>
          </w:p>
          <w:p w:rsidR="00387159" w:rsidRDefault="00387159" w:rsidP="00387159">
            <w:pPr>
              <w:pStyle w:val="Odsekzoznamu"/>
              <w:ind w:left="0"/>
              <w:jc w:val="left"/>
            </w:pPr>
            <w:r>
              <w:t>zákon  č. 287/2018 Z. Z.</w:t>
            </w:r>
          </w:p>
          <w:p w:rsidR="00607E29" w:rsidRDefault="00607E29" w:rsidP="003A3252">
            <w:pPr>
              <w:pStyle w:val="Odsekzoznamu"/>
              <w:tabs>
                <w:tab w:val="left" w:pos="284"/>
              </w:tabs>
              <w:ind w:left="-54"/>
            </w:pPr>
          </w:p>
        </w:tc>
        <w:tc>
          <w:tcPr>
            <w:tcW w:w="776" w:type="dxa"/>
          </w:tcPr>
          <w:p w:rsidR="00775912" w:rsidRDefault="00775912"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r>
              <w:t>Ú</w:t>
            </w: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r>
              <w:t>Ú</w:t>
            </w: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r>
              <w:t>Ú</w:t>
            </w: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r>
              <w:t>Ú</w:t>
            </w: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p>
          <w:p w:rsidR="00387159" w:rsidRDefault="00387159" w:rsidP="003A3252">
            <w:pPr>
              <w:jc w:val="center"/>
            </w:pPr>
            <w:r>
              <w:t>Ú</w:t>
            </w:r>
          </w:p>
          <w:p w:rsidR="00387159" w:rsidRDefault="00387159" w:rsidP="003A3252">
            <w:pPr>
              <w:jc w:val="center"/>
            </w:pPr>
          </w:p>
        </w:tc>
        <w:tc>
          <w:tcPr>
            <w:tcW w:w="1209" w:type="dxa"/>
          </w:tcPr>
          <w:p w:rsidR="00775912" w:rsidRDefault="00775912" w:rsidP="003A3252">
            <w:pPr>
              <w:jc w:val="center"/>
            </w:pPr>
          </w:p>
        </w:tc>
      </w:tr>
      <w:tr w:rsidR="00387159" w:rsidTr="00780A28">
        <w:tc>
          <w:tcPr>
            <w:tcW w:w="921" w:type="dxa"/>
          </w:tcPr>
          <w:p w:rsidR="00387159" w:rsidRDefault="00387159" w:rsidP="00387159">
            <w:pPr>
              <w:jc w:val="center"/>
            </w:pPr>
            <w:r>
              <w:lastRenderedPageBreak/>
              <w:t>Čl. 2</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O: 1</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O: 2</w:t>
            </w:r>
          </w:p>
          <w:p w:rsidR="00387159" w:rsidRDefault="00387159" w:rsidP="00387159">
            <w:pPr>
              <w:jc w:val="center"/>
            </w:pPr>
          </w:p>
          <w:p w:rsidR="00387159" w:rsidRDefault="00387159" w:rsidP="00387159">
            <w:pPr>
              <w:jc w:val="center"/>
            </w:pPr>
          </w:p>
        </w:tc>
        <w:tc>
          <w:tcPr>
            <w:tcW w:w="4961" w:type="dxa"/>
          </w:tcPr>
          <w:p w:rsidR="00387159" w:rsidRPr="00172480" w:rsidRDefault="00387159" w:rsidP="00387159">
            <w:pPr>
              <w:spacing w:before="100" w:beforeAutospacing="1" w:after="100" w:afterAutospacing="1"/>
              <w:jc w:val="center"/>
            </w:pPr>
            <w:r w:rsidRPr="00172480">
              <w:t>Článok 2</w:t>
            </w:r>
          </w:p>
          <w:p w:rsidR="00387159" w:rsidRPr="00172480" w:rsidRDefault="00387159" w:rsidP="00387159">
            <w:pPr>
              <w:spacing w:before="100" w:beforeAutospacing="1" w:after="100" w:afterAutospacing="1"/>
              <w:jc w:val="center"/>
            </w:pPr>
            <w:r w:rsidRPr="00172480">
              <w:t>Transpozícia</w:t>
            </w:r>
          </w:p>
          <w:p w:rsidR="00387159" w:rsidRDefault="00387159" w:rsidP="00387159">
            <w:pPr>
              <w:spacing w:before="100" w:beforeAutospacing="1" w:after="100" w:afterAutospacing="1"/>
            </w:pPr>
            <w:r w:rsidRPr="00172480">
              <w:t>Členské štáty uvedú do účinnosti zákony, iné právne predpisy a správne opatrenia potrebné na dosiahnutie súladu s touto smernicou najneskôr do 7. septembra 2019. Zákony, iné právne predpisy a správne opatrenia potrebné na dosiahnutie súladu s bodom 16 prílohy k rámcovému rozhodnutiu 2004/757/SVV uvedeným v článku 1 tejto smernice, však uvedú však do účinnosti do 29. septembra 2019. Komisii bezodkladne oznámia znenie týchto ustanovení.</w:t>
            </w:r>
          </w:p>
          <w:p w:rsidR="00387159" w:rsidRPr="00172480" w:rsidRDefault="00387159" w:rsidP="00387159">
            <w:pPr>
              <w:pStyle w:val="Odsekzoznamu"/>
              <w:spacing w:before="100" w:beforeAutospacing="1" w:after="100" w:afterAutospacing="1"/>
              <w:ind w:left="720"/>
            </w:pPr>
          </w:p>
          <w:p w:rsidR="00387159" w:rsidRDefault="00387159" w:rsidP="00387159">
            <w:pPr>
              <w:spacing w:before="100" w:beforeAutospacing="1" w:after="100" w:afterAutospacing="1"/>
            </w:pPr>
            <w:r w:rsidRPr="00172480">
              <w:t>Členské štáty uvedú priamo v prijatých opatreniach alebo pri ich úradnom uverejnení odkaz na túto smernicu. Podrobnosti o odkaze upravia členské štáty.</w:t>
            </w:r>
          </w:p>
          <w:p w:rsidR="00387159" w:rsidRDefault="00387159" w:rsidP="00387159">
            <w:pPr>
              <w:spacing w:before="100" w:beforeAutospacing="1" w:after="100" w:afterAutospacing="1"/>
            </w:pPr>
          </w:p>
          <w:p w:rsidR="00387159" w:rsidRDefault="00387159" w:rsidP="00387159">
            <w:pPr>
              <w:spacing w:before="100" w:beforeAutospacing="1" w:after="100" w:afterAutospacing="1"/>
            </w:pPr>
          </w:p>
          <w:p w:rsidR="00387159" w:rsidRPr="00172480" w:rsidRDefault="00387159" w:rsidP="00387159">
            <w:pPr>
              <w:spacing w:before="100" w:beforeAutospacing="1" w:after="100" w:afterAutospacing="1"/>
            </w:pPr>
          </w:p>
          <w:p w:rsidR="00387159" w:rsidRPr="00172480" w:rsidRDefault="00387159" w:rsidP="00387159">
            <w:pPr>
              <w:spacing w:before="100" w:beforeAutospacing="1" w:after="100" w:afterAutospacing="1"/>
            </w:pPr>
            <w:r w:rsidRPr="00172480">
              <w:t>2.   Členské štáty oznámia Komisii znenie hlavných ustanovení vnútroštátnych právnych predpisov, ktoré prijmú v oblasti pôsobnosti tejto smernice.</w:t>
            </w:r>
            <w:r>
              <w:t xml:space="preserve"> </w:t>
            </w:r>
          </w:p>
        </w:tc>
        <w:tc>
          <w:tcPr>
            <w:tcW w:w="425" w:type="dxa"/>
          </w:tcPr>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N</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N</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n.a.</w:t>
            </w:r>
          </w:p>
          <w:p w:rsidR="00387159" w:rsidRDefault="00387159" w:rsidP="00387159">
            <w:pPr>
              <w:jc w:val="center"/>
            </w:pPr>
          </w:p>
        </w:tc>
        <w:tc>
          <w:tcPr>
            <w:tcW w:w="426" w:type="dxa"/>
          </w:tcPr>
          <w:p w:rsidR="00387159" w:rsidRDefault="00387159" w:rsidP="00387159"/>
        </w:tc>
        <w:tc>
          <w:tcPr>
            <w:tcW w:w="897" w:type="dxa"/>
            <w:gridSpan w:val="2"/>
          </w:tcPr>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4C2C96" w:rsidP="00387159">
            <w:pPr>
              <w:jc w:val="center"/>
            </w:pPr>
            <w:r>
              <w:t>II</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Pr="00CC43DF" w:rsidRDefault="004C2C96" w:rsidP="00387159">
            <w:pPr>
              <w:jc w:val="center"/>
              <w:rPr>
                <w:b/>
              </w:rPr>
            </w:pPr>
            <w:r>
              <w:rPr>
                <w:b/>
              </w:rPr>
              <w:t>IV</w:t>
            </w:r>
          </w:p>
          <w:p w:rsidR="00387159" w:rsidRDefault="00387159" w:rsidP="00387159">
            <w:pPr>
              <w:jc w:val="center"/>
            </w:pPr>
            <w:r>
              <w:t>P: 3</w:t>
            </w:r>
          </w:p>
          <w:p w:rsidR="00387159" w:rsidRDefault="00387159" w:rsidP="00387159">
            <w:pPr>
              <w:jc w:val="center"/>
            </w:pPr>
          </w:p>
          <w:p w:rsidR="00387159" w:rsidRDefault="00387159" w:rsidP="00387159">
            <w:pPr>
              <w:jc w:val="center"/>
            </w:pPr>
            <w:r>
              <w:t>b.: 2</w:t>
            </w:r>
          </w:p>
          <w:p w:rsidR="00387159" w:rsidRDefault="00387159" w:rsidP="00387159">
            <w:pPr>
              <w:jc w:val="center"/>
            </w:pPr>
          </w:p>
        </w:tc>
        <w:tc>
          <w:tcPr>
            <w:tcW w:w="4489" w:type="dxa"/>
          </w:tcPr>
          <w:p w:rsidR="00387159" w:rsidRDefault="00387159" w:rsidP="00387159">
            <w:pPr>
              <w:pStyle w:val="Odsekzoznamu"/>
              <w:ind w:left="0" w:hanging="54"/>
              <w:jc w:val="left"/>
            </w:pPr>
            <w:r>
              <w:t xml:space="preserve">Zákon č. 288/2018 Z. z.,, </w:t>
            </w:r>
            <w:r w:rsidRPr="007D51E9">
              <w:t>ktorým sa mení a dopĺňa zákon č. 139/1998 Z.</w:t>
            </w:r>
            <w:r>
              <w:t xml:space="preserve"> </w:t>
            </w:r>
            <w:r w:rsidRPr="007D51E9">
              <w:t>z. o omamných látkach, psychotropných látkach a prípravkoch v znení neskorších predpisov</w:t>
            </w:r>
            <w:r>
              <w:t xml:space="preserve"> a </w:t>
            </w:r>
            <w:r w:rsidRPr="00D44058">
              <w:t xml:space="preserve">ktorým sa dopĺňa zákon č. 576/2004 Z.. o zdravotnej starostlivosti, službách súvisiacich s poskytovaním zdravotnej starostlivosti a o zmene a doplnení niektorých zákonov </w:t>
            </w:r>
            <w:r>
              <w:t xml:space="preserve">v </w:t>
            </w:r>
            <w:r w:rsidRPr="00D44058">
              <w:t>znení neskorších predpisov</w:t>
            </w:r>
          </w:p>
          <w:p w:rsidR="00387159" w:rsidRDefault="00387159" w:rsidP="00387159">
            <w:pPr>
              <w:pStyle w:val="Odsekzoznamu"/>
              <w:ind w:left="0" w:hanging="54"/>
              <w:jc w:val="left"/>
            </w:pPr>
          </w:p>
          <w:p w:rsidR="00387159" w:rsidRDefault="00387159" w:rsidP="00387159">
            <w:pPr>
              <w:pStyle w:val="Odsekzoznamu"/>
              <w:ind w:left="0" w:hanging="54"/>
              <w:jc w:val="left"/>
            </w:pPr>
            <w:r w:rsidRPr="00D44058">
              <w:t>Tento zákon nadobúda účinnosť 1. novembra 2018.</w:t>
            </w:r>
          </w:p>
          <w:p w:rsidR="00387159" w:rsidRDefault="00387159" w:rsidP="00387159">
            <w:pPr>
              <w:pStyle w:val="Odsekzoznamu"/>
              <w:ind w:left="0" w:hanging="54"/>
              <w:jc w:val="left"/>
            </w:pPr>
          </w:p>
          <w:p w:rsidR="00387159" w:rsidRDefault="00387159" w:rsidP="00387159">
            <w:pPr>
              <w:pStyle w:val="Odsekzoznamu"/>
              <w:ind w:left="0" w:hanging="54"/>
              <w:jc w:val="left"/>
            </w:pPr>
          </w:p>
          <w:p w:rsidR="00387159" w:rsidRDefault="00387159" w:rsidP="00387159">
            <w:pPr>
              <w:pStyle w:val="Odsekzoznamu"/>
              <w:ind w:left="0" w:hanging="54"/>
              <w:jc w:val="left"/>
            </w:pPr>
          </w:p>
          <w:p w:rsidR="00387159" w:rsidRDefault="00387159" w:rsidP="00387159">
            <w:pPr>
              <w:pStyle w:val="Odsekzoznamu"/>
              <w:ind w:left="0" w:hanging="54"/>
              <w:jc w:val="left"/>
            </w:pPr>
          </w:p>
          <w:p w:rsidR="00387159" w:rsidRDefault="00387159" w:rsidP="00387159">
            <w:pPr>
              <w:pStyle w:val="Odsekzoznamu"/>
              <w:ind w:left="0" w:hanging="54"/>
              <w:jc w:val="left"/>
            </w:pPr>
          </w:p>
          <w:p w:rsidR="00387159" w:rsidRDefault="00387159" w:rsidP="00387159">
            <w:pPr>
              <w:pStyle w:val="Odsekzoznamu"/>
              <w:tabs>
                <w:tab w:val="left" w:pos="284"/>
                <w:tab w:val="left" w:pos="426"/>
              </w:tabs>
              <w:spacing w:after="160" w:line="360" w:lineRule="auto"/>
              <w:ind w:left="0"/>
              <w:contextualSpacing/>
              <w:rPr>
                <w:bCs/>
                <w:color w:val="000000"/>
              </w:rPr>
            </w:pPr>
            <w:r>
              <w:rPr>
                <w:bCs/>
                <w:color w:val="000000"/>
              </w:rPr>
              <w:t>Príloha č. 3 sa dopĺňa bodom 2, ktorý znie:</w:t>
            </w:r>
          </w:p>
          <w:p w:rsidR="00387159" w:rsidRPr="006C40B5" w:rsidRDefault="00387159" w:rsidP="00387159">
            <w:pPr>
              <w:pStyle w:val="Odsekzoznamu"/>
              <w:rPr>
                <w:bCs/>
                <w:color w:val="000000"/>
              </w:rPr>
            </w:pPr>
          </w:p>
          <w:p w:rsidR="00387159" w:rsidRDefault="00387159" w:rsidP="00387159">
            <w:pPr>
              <w:pStyle w:val="Odsekzoznamu"/>
              <w:ind w:left="0"/>
              <w:jc w:val="left"/>
            </w:pPr>
            <w:r>
              <w:rPr>
                <w:bCs/>
                <w:color w:val="000000"/>
              </w:rPr>
              <w:t xml:space="preserve">„2. Delegovaná smernica  Komisie (EÚ) 2019/369 z 13. decembra 2018, ktorou sa mení príloha k rámcovému rozhodnutiu Rady 2004/757/SVV, pokiaľ ide o zahrnutie nových psychoaktívnych látok do vymedzenia pojmu drogy </w:t>
            </w:r>
            <w:r w:rsidRPr="00D264BB">
              <w:rPr>
                <w:bCs/>
                <w:color w:val="000000"/>
              </w:rPr>
              <w:t>(Ú.</w:t>
            </w:r>
            <w:r>
              <w:rPr>
                <w:bCs/>
                <w:color w:val="000000"/>
              </w:rPr>
              <w:t xml:space="preserve"> </w:t>
            </w:r>
            <w:r w:rsidRPr="00D264BB">
              <w:rPr>
                <w:bCs/>
                <w:color w:val="000000"/>
              </w:rPr>
              <w:t xml:space="preserve">v. EÚ L </w:t>
            </w:r>
            <w:r>
              <w:rPr>
                <w:bCs/>
                <w:color w:val="000000"/>
              </w:rPr>
              <w:t>66</w:t>
            </w:r>
            <w:r w:rsidRPr="00D264BB">
              <w:rPr>
                <w:bCs/>
                <w:color w:val="000000"/>
              </w:rPr>
              <w:t xml:space="preserve">, </w:t>
            </w:r>
            <w:r>
              <w:rPr>
                <w:bCs/>
                <w:color w:val="000000"/>
              </w:rPr>
              <w:t xml:space="preserve"> 7</w:t>
            </w:r>
            <w:r w:rsidRPr="00D264BB">
              <w:rPr>
                <w:bCs/>
                <w:color w:val="000000"/>
              </w:rPr>
              <w:t>.</w:t>
            </w:r>
            <w:r>
              <w:rPr>
                <w:bCs/>
                <w:color w:val="000000"/>
              </w:rPr>
              <w:t xml:space="preserve"> 3</w:t>
            </w:r>
            <w:r w:rsidRPr="00D264BB">
              <w:rPr>
                <w:bCs/>
                <w:color w:val="000000"/>
              </w:rPr>
              <w:t>.</w:t>
            </w:r>
            <w:r>
              <w:rPr>
                <w:bCs/>
                <w:color w:val="000000"/>
              </w:rPr>
              <w:t xml:space="preserve"> </w:t>
            </w:r>
            <w:r w:rsidRPr="00D264BB">
              <w:rPr>
                <w:bCs/>
                <w:color w:val="000000"/>
              </w:rPr>
              <w:t>201</w:t>
            </w:r>
            <w:r>
              <w:rPr>
                <w:bCs/>
                <w:color w:val="000000"/>
              </w:rPr>
              <w:t>9</w:t>
            </w:r>
            <w:r w:rsidRPr="00D264BB">
              <w:rPr>
                <w:bCs/>
                <w:color w:val="000000"/>
              </w:rPr>
              <w:t>)</w:t>
            </w:r>
            <w:r>
              <w:rPr>
                <w:bCs/>
                <w:color w:val="000000"/>
              </w:rPr>
              <w:t xml:space="preserve">“. </w:t>
            </w:r>
          </w:p>
        </w:tc>
        <w:tc>
          <w:tcPr>
            <w:tcW w:w="776" w:type="dxa"/>
          </w:tcPr>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Ú</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Ú</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Ú</w:t>
            </w: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p>
        </w:tc>
        <w:tc>
          <w:tcPr>
            <w:tcW w:w="1209" w:type="dxa"/>
          </w:tcPr>
          <w:p w:rsidR="00387159" w:rsidRDefault="00387159" w:rsidP="00387159">
            <w:pPr>
              <w:jc w:val="center"/>
            </w:pPr>
          </w:p>
        </w:tc>
      </w:tr>
      <w:tr w:rsidR="00387159" w:rsidTr="00780A28">
        <w:tc>
          <w:tcPr>
            <w:tcW w:w="921" w:type="dxa"/>
          </w:tcPr>
          <w:p w:rsidR="00387159" w:rsidRDefault="00387159" w:rsidP="00387159">
            <w:pPr>
              <w:jc w:val="center"/>
            </w:pPr>
            <w:r>
              <w:t>Čl. 3</w:t>
            </w:r>
          </w:p>
          <w:p w:rsidR="00387159" w:rsidRDefault="00387159" w:rsidP="00387159">
            <w:pPr>
              <w:jc w:val="center"/>
            </w:pPr>
          </w:p>
        </w:tc>
        <w:tc>
          <w:tcPr>
            <w:tcW w:w="4961" w:type="dxa"/>
          </w:tcPr>
          <w:p w:rsidR="00387159" w:rsidRPr="00172480" w:rsidRDefault="00387159" w:rsidP="00387159">
            <w:pPr>
              <w:spacing w:before="100" w:beforeAutospacing="1" w:after="100" w:afterAutospacing="1"/>
              <w:jc w:val="center"/>
            </w:pPr>
            <w:r w:rsidRPr="00172480">
              <w:t>Článok 3</w:t>
            </w:r>
          </w:p>
          <w:p w:rsidR="00387159" w:rsidRPr="00172480" w:rsidRDefault="00387159" w:rsidP="00387159">
            <w:pPr>
              <w:spacing w:before="100" w:beforeAutospacing="1" w:after="100" w:afterAutospacing="1"/>
              <w:jc w:val="center"/>
            </w:pPr>
            <w:r w:rsidRPr="00172480">
              <w:t>Nadobudnutie účinnosti</w:t>
            </w:r>
          </w:p>
          <w:p w:rsidR="00387159" w:rsidRPr="00172480" w:rsidRDefault="00387159" w:rsidP="00387159">
            <w:pPr>
              <w:spacing w:before="100" w:beforeAutospacing="1" w:after="100" w:afterAutospacing="1"/>
              <w:jc w:val="center"/>
            </w:pPr>
            <w:r w:rsidRPr="00172480">
              <w:t>Táto smernica nadobúda účinnosť dvadsiatym dňom po jej uverejnení v Úradnom vestníku Európskej únie.</w:t>
            </w:r>
          </w:p>
        </w:tc>
        <w:tc>
          <w:tcPr>
            <w:tcW w:w="425" w:type="dxa"/>
          </w:tcPr>
          <w:p w:rsidR="00387159" w:rsidRDefault="00387159" w:rsidP="00387159">
            <w:pPr>
              <w:jc w:val="center"/>
            </w:pPr>
          </w:p>
          <w:p w:rsidR="00387159" w:rsidRDefault="00387159" w:rsidP="00387159">
            <w:pPr>
              <w:jc w:val="center"/>
            </w:pPr>
          </w:p>
          <w:p w:rsidR="00387159" w:rsidRDefault="00387159" w:rsidP="00387159">
            <w:pPr>
              <w:jc w:val="center"/>
            </w:pPr>
          </w:p>
          <w:p w:rsidR="00387159" w:rsidRDefault="00387159" w:rsidP="00387159">
            <w:pPr>
              <w:jc w:val="center"/>
            </w:pPr>
            <w:r>
              <w:t>n.a.</w:t>
            </w:r>
          </w:p>
          <w:p w:rsidR="00387159" w:rsidRDefault="00387159" w:rsidP="00387159">
            <w:pPr>
              <w:jc w:val="center"/>
            </w:pPr>
          </w:p>
          <w:p w:rsidR="00387159" w:rsidRDefault="00387159" w:rsidP="00387159">
            <w:pPr>
              <w:jc w:val="center"/>
            </w:pPr>
          </w:p>
        </w:tc>
        <w:tc>
          <w:tcPr>
            <w:tcW w:w="426" w:type="dxa"/>
          </w:tcPr>
          <w:p w:rsidR="00387159" w:rsidRDefault="00387159" w:rsidP="00387159"/>
        </w:tc>
        <w:tc>
          <w:tcPr>
            <w:tcW w:w="897" w:type="dxa"/>
            <w:gridSpan w:val="2"/>
          </w:tcPr>
          <w:p w:rsidR="00387159" w:rsidRDefault="00387159" w:rsidP="00387159">
            <w:pPr>
              <w:jc w:val="center"/>
            </w:pPr>
          </w:p>
        </w:tc>
        <w:tc>
          <w:tcPr>
            <w:tcW w:w="4489" w:type="dxa"/>
          </w:tcPr>
          <w:p w:rsidR="00387159" w:rsidRDefault="00387159" w:rsidP="00387159">
            <w:pPr>
              <w:pStyle w:val="Odsekzoznamu"/>
              <w:ind w:left="0" w:hanging="54"/>
              <w:jc w:val="left"/>
            </w:pPr>
          </w:p>
        </w:tc>
        <w:tc>
          <w:tcPr>
            <w:tcW w:w="776" w:type="dxa"/>
          </w:tcPr>
          <w:p w:rsidR="00387159" w:rsidRDefault="00387159" w:rsidP="00387159">
            <w:pPr>
              <w:jc w:val="center"/>
            </w:pPr>
          </w:p>
        </w:tc>
        <w:tc>
          <w:tcPr>
            <w:tcW w:w="1209" w:type="dxa"/>
          </w:tcPr>
          <w:p w:rsidR="00387159" w:rsidRDefault="00387159" w:rsidP="00387159">
            <w:pPr>
              <w:jc w:val="center"/>
            </w:pPr>
          </w:p>
        </w:tc>
      </w:tr>
      <w:tr w:rsidR="00387159" w:rsidTr="00780A28">
        <w:tc>
          <w:tcPr>
            <w:tcW w:w="921" w:type="dxa"/>
          </w:tcPr>
          <w:p w:rsidR="00387159" w:rsidRDefault="00387159" w:rsidP="00387159">
            <w:pPr>
              <w:jc w:val="center"/>
            </w:pPr>
            <w:r>
              <w:t>Čl. 4</w:t>
            </w:r>
          </w:p>
        </w:tc>
        <w:tc>
          <w:tcPr>
            <w:tcW w:w="4961" w:type="dxa"/>
          </w:tcPr>
          <w:p w:rsidR="00387159" w:rsidRPr="00172480" w:rsidRDefault="00387159" w:rsidP="00387159">
            <w:pPr>
              <w:spacing w:before="100" w:beforeAutospacing="1" w:after="100" w:afterAutospacing="1"/>
              <w:jc w:val="center"/>
            </w:pPr>
            <w:r w:rsidRPr="00172480">
              <w:t>Článok 4</w:t>
            </w:r>
          </w:p>
          <w:p w:rsidR="00387159" w:rsidRPr="00172480" w:rsidRDefault="00387159" w:rsidP="00387159">
            <w:pPr>
              <w:spacing w:before="100" w:beforeAutospacing="1" w:after="100" w:afterAutospacing="1"/>
              <w:jc w:val="center"/>
            </w:pPr>
            <w:r w:rsidRPr="00172480">
              <w:t>Táto smernica je určená členským štátom v súlade so zmluvami.</w:t>
            </w:r>
            <w:r>
              <w:t xml:space="preserve">  </w:t>
            </w:r>
          </w:p>
        </w:tc>
        <w:tc>
          <w:tcPr>
            <w:tcW w:w="425" w:type="dxa"/>
          </w:tcPr>
          <w:p w:rsidR="00387159" w:rsidRDefault="00387159" w:rsidP="00387159">
            <w:pPr>
              <w:jc w:val="center"/>
            </w:pPr>
          </w:p>
          <w:p w:rsidR="00387159" w:rsidRDefault="00387159" w:rsidP="00387159">
            <w:pPr>
              <w:jc w:val="center"/>
            </w:pPr>
          </w:p>
          <w:p w:rsidR="00387159" w:rsidRDefault="00387159" w:rsidP="00387159">
            <w:pPr>
              <w:jc w:val="center"/>
            </w:pPr>
            <w:r>
              <w:t>n.a.</w:t>
            </w:r>
          </w:p>
        </w:tc>
        <w:tc>
          <w:tcPr>
            <w:tcW w:w="426" w:type="dxa"/>
          </w:tcPr>
          <w:p w:rsidR="00387159" w:rsidRDefault="00387159" w:rsidP="00387159"/>
        </w:tc>
        <w:tc>
          <w:tcPr>
            <w:tcW w:w="897" w:type="dxa"/>
            <w:gridSpan w:val="2"/>
          </w:tcPr>
          <w:p w:rsidR="00387159" w:rsidRDefault="00387159" w:rsidP="00387159">
            <w:pPr>
              <w:jc w:val="center"/>
            </w:pPr>
          </w:p>
        </w:tc>
        <w:tc>
          <w:tcPr>
            <w:tcW w:w="4489" w:type="dxa"/>
          </w:tcPr>
          <w:p w:rsidR="00387159" w:rsidRDefault="00387159" w:rsidP="00387159">
            <w:pPr>
              <w:pStyle w:val="Odsekzoznamu"/>
              <w:ind w:left="0" w:hanging="54"/>
              <w:jc w:val="left"/>
            </w:pPr>
          </w:p>
        </w:tc>
        <w:tc>
          <w:tcPr>
            <w:tcW w:w="776" w:type="dxa"/>
          </w:tcPr>
          <w:p w:rsidR="00387159" w:rsidRDefault="00387159" w:rsidP="00387159">
            <w:pPr>
              <w:jc w:val="center"/>
            </w:pPr>
          </w:p>
        </w:tc>
        <w:tc>
          <w:tcPr>
            <w:tcW w:w="1209" w:type="dxa"/>
          </w:tcPr>
          <w:p w:rsidR="00387159" w:rsidRDefault="00387159" w:rsidP="00387159">
            <w:pPr>
              <w:jc w:val="center"/>
            </w:pPr>
          </w:p>
        </w:tc>
      </w:tr>
    </w:tbl>
    <w:p w:rsidR="00814F1C" w:rsidRDefault="00814F1C">
      <w:bookmarkStart w:id="0" w:name="_GoBack"/>
      <w:bookmarkEnd w:id="0"/>
    </w:p>
    <w:sectPr w:rsidR="00814F1C" w:rsidSect="001F6181">
      <w:footerReference w:type="default" r:id="rId25"/>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5F" w:rsidRDefault="00E6495F">
      <w:r>
        <w:separator/>
      </w:r>
    </w:p>
  </w:endnote>
  <w:endnote w:type="continuationSeparator" w:id="0">
    <w:p w:rsidR="00E6495F" w:rsidRDefault="00E6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Arial"/>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12" w:rsidRDefault="00775912" w:rsidP="00704CC1">
    <w:pPr>
      <w:pStyle w:val="Pta"/>
      <w:jc w:val="center"/>
    </w:pPr>
    <w:r>
      <w:t xml:space="preserve">- </w:t>
    </w:r>
    <w:r>
      <w:fldChar w:fldCharType="begin"/>
    </w:r>
    <w:r>
      <w:instrText xml:space="preserve"> PAGE </w:instrText>
    </w:r>
    <w:r>
      <w:fldChar w:fldCharType="separate"/>
    </w:r>
    <w:r w:rsidR="00CC43DF">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5F" w:rsidRDefault="00E6495F">
      <w:r>
        <w:separator/>
      </w:r>
    </w:p>
  </w:footnote>
  <w:footnote w:type="continuationSeparator" w:id="0">
    <w:p w:rsidR="00E6495F" w:rsidRDefault="00E6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AC"/>
    <w:multiLevelType w:val="hybridMultilevel"/>
    <w:tmpl w:val="796A3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3E0C77"/>
    <w:multiLevelType w:val="hybridMultilevel"/>
    <w:tmpl w:val="8C32CE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F491B"/>
    <w:multiLevelType w:val="hybridMultilevel"/>
    <w:tmpl w:val="BD40C8EC"/>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430358"/>
    <w:multiLevelType w:val="hybridMultilevel"/>
    <w:tmpl w:val="8F0C5012"/>
    <w:lvl w:ilvl="0" w:tplc="409032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5067C"/>
    <w:multiLevelType w:val="hybridMultilevel"/>
    <w:tmpl w:val="6F6CDF9A"/>
    <w:lvl w:ilvl="0" w:tplc="390CEC44">
      <w:start w:val="5"/>
      <w:numFmt w:val="decimal"/>
      <w:lvlText w:val="%1."/>
      <w:lvlJc w:val="left"/>
      <w:pPr>
        <w:tabs>
          <w:tab w:val="num" w:pos="720"/>
        </w:tabs>
        <w:ind w:left="36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DE1045"/>
    <w:multiLevelType w:val="hybridMultilevel"/>
    <w:tmpl w:val="B538A4AA"/>
    <w:lvl w:ilvl="0" w:tplc="1328590C">
      <w:start w:val="1"/>
      <w:numFmt w:val="decimal"/>
      <w:lvlText w:val="%1."/>
      <w:lvlJc w:val="left"/>
      <w:pPr>
        <w:ind w:left="448" w:hanging="360"/>
      </w:pPr>
      <w:rPr>
        <w:rFonts w:hint="default"/>
      </w:rPr>
    </w:lvl>
    <w:lvl w:ilvl="1" w:tplc="041B0019" w:tentative="1">
      <w:start w:val="1"/>
      <w:numFmt w:val="lowerLetter"/>
      <w:lvlText w:val="%2."/>
      <w:lvlJc w:val="left"/>
      <w:pPr>
        <w:ind w:left="1168" w:hanging="360"/>
      </w:pPr>
    </w:lvl>
    <w:lvl w:ilvl="2" w:tplc="041B001B" w:tentative="1">
      <w:start w:val="1"/>
      <w:numFmt w:val="lowerRoman"/>
      <w:lvlText w:val="%3."/>
      <w:lvlJc w:val="right"/>
      <w:pPr>
        <w:ind w:left="1888" w:hanging="180"/>
      </w:pPr>
    </w:lvl>
    <w:lvl w:ilvl="3" w:tplc="041B000F" w:tentative="1">
      <w:start w:val="1"/>
      <w:numFmt w:val="decimal"/>
      <w:lvlText w:val="%4."/>
      <w:lvlJc w:val="left"/>
      <w:pPr>
        <w:ind w:left="2608" w:hanging="360"/>
      </w:pPr>
    </w:lvl>
    <w:lvl w:ilvl="4" w:tplc="041B0019" w:tentative="1">
      <w:start w:val="1"/>
      <w:numFmt w:val="lowerLetter"/>
      <w:lvlText w:val="%5."/>
      <w:lvlJc w:val="left"/>
      <w:pPr>
        <w:ind w:left="3328" w:hanging="360"/>
      </w:pPr>
    </w:lvl>
    <w:lvl w:ilvl="5" w:tplc="041B001B" w:tentative="1">
      <w:start w:val="1"/>
      <w:numFmt w:val="lowerRoman"/>
      <w:lvlText w:val="%6."/>
      <w:lvlJc w:val="right"/>
      <w:pPr>
        <w:ind w:left="4048" w:hanging="180"/>
      </w:pPr>
    </w:lvl>
    <w:lvl w:ilvl="6" w:tplc="041B000F" w:tentative="1">
      <w:start w:val="1"/>
      <w:numFmt w:val="decimal"/>
      <w:lvlText w:val="%7."/>
      <w:lvlJc w:val="left"/>
      <w:pPr>
        <w:ind w:left="4768" w:hanging="360"/>
      </w:pPr>
    </w:lvl>
    <w:lvl w:ilvl="7" w:tplc="041B0019" w:tentative="1">
      <w:start w:val="1"/>
      <w:numFmt w:val="lowerLetter"/>
      <w:lvlText w:val="%8."/>
      <w:lvlJc w:val="left"/>
      <w:pPr>
        <w:ind w:left="5488" w:hanging="360"/>
      </w:pPr>
    </w:lvl>
    <w:lvl w:ilvl="8" w:tplc="041B001B" w:tentative="1">
      <w:start w:val="1"/>
      <w:numFmt w:val="lowerRoman"/>
      <w:lvlText w:val="%9."/>
      <w:lvlJc w:val="right"/>
      <w:pPr>
        <w:ind w:left="6208" w:hanging="180"/>
      </w:pPr>
    </w:lvl>
  </w:abstractNum>
  <w:abstractNum w:abstractNumId="6" w15:restartNumberingAfterBreak="0">
    <w:nsid w:val="1A8336BB"/>
    <w:multiLevelType w:val="hybridMultilevel"/>
    <w:tmpl w:val="F190D3AC"/>
    <w:lvl w:ilvl="0" w:tplc="041B000F">
      <w:start w:val="1"/>
      <w:numFmt w:val="decimal"/>
      <w:lvlText w:val="%1."/>
      <w:lvlJc w:val="left"/>
      <w:pPr>
        <w:ind w:left="720" w:hanging="360"/>
      </w:pPr>
      <w:rPr>
        <w:rFonts w:hint="default"/>
      </w:rPr>
    </w:lvl>
    <w:lvl w:ilvl="1" w:tplc="20387BF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9E5B18"/>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4C13AE"/>
    <w:multiLevelType w:val="hybridMultilevel"/>
    <w:tmpl w:val="5190838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A3E3EF2"/>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DA5359"/>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F13ED6"/>
    <w:multiLevelType w:val="hybridMultilevel"/>
    <w:tmpl w:val="8F0C5012"/>
    <w:lvl w:ilvl="0" w:tplc="409032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A140C1"/>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D217B9"/>
    <w:multiLevelType w:val="hybridMultilevel"/>
    <w:tmpl w:val="8F0C5012"/>
    <w:lvl w:ilvl="0" w:tplc="409032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795498"/>
    <w:multiLevelType w:val="hybridMultilevel"/>
    <w:tmpl w:val="3264938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CD56A7"/>
    <w:multiLevelType w:val="hybridMultilevel"/>
    <w:tmpl w:val="3E06F29E"/>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F6174C"/>
    <w:multiLevelType w:val="hybridMultilevel"/>
    <w:tmpl w:val="796A3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56009C"/>
    <w:multiLevelType w:val="hybridMultilevel"/>
    <w:tmpl w:val="5D7278D6"/>
    <w:lvl w:ilvl="0" w:tplc="B7582F20">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8" w15:restartNumberingAfterBreak="0">
    <w:nsid w:val="4CD554F0"/>
    <w:multiLevelType w:val="hybridMultilevel"/>
    <w:tmpl w:val="188059EC"/>
    <w:lvl w:ilvl="0" w:tplc="21E26584">
      <w:start w:val="1"/>
      <w:numFmt w:val="decimal"/>
      <w:lvlText w:val="%1."/>
      <w:lvlJc w:val="left"/>
      <w:pPr>
        <w:ind w:left="448" w:hanging="360"/>
      </w:pPr>
      <w:rPr>
        <w:rFonts w:hint="default"/>
      </w:rPr>
    </w:lvl>
    <w:lvl w:ilvl="1" w:tplc="041B0019" w:tentative="1">
      <w:start w:val="1"/>
      <w:numFmt w:val="lowerLetter"/>
      <w:lvlText w:val="%2."/>
      <w:lvlJc w:val="left"/>
      <w:pPr>
        <w:ind w:left="1168" w:hanging="360"/>
      </w:pPr>
    </w:lvl>
    <w:lvl w:ilvl="2" w:tplc="041B001B" w:tentative="1">
      <w:start w:val="1"/>
      <w:numFmt w:val="lowerRoman"/>
      <w:lvlText w:val="%3."/>
      <w:lvlJc w:val="right"/>
      <w:pPr>
        <w:ind w:left="1888" w:hanging="180"/>
      </w:pPr>
    </w:lvl>
    <w:lvl w:ilvl="3" w:tplc="041B000F" w:tentative="1">
      <w:start w:val="1"/>
      <w:numFmt w:val="decimal"/>
      <w:lvlText w:val="%4."/>
      <w:lvlJc w:val="left"/>
      <w:pPr>
        <w:ind w:left="2608" w:hanging="360"/>
      </w:pPr>
    </w:lvl>
    <w:lvl w:ilvl="4" w:tplc="041B0019" w:tentative="1">
      <w:start w:val="1"/>
      <w:numFmt w:val="lowerLetter"/>
      <w:lvlText w:val="%5."/>
      <w:lvlJc w:val="left"/>
      <w:pPr>
        <w:ind w:left="3328" w:hanging="360"/>
      </w:pPr>
    </w:lvl>
    <w:lvl w:ilvl="5" w:tplc="041B001B" w:tentative="1">
      <w:start w:val="1"/>
      <w:numFmt w:val="lowerRoman"/>
      <w:lvlText w:val="%6."/>
      <w:lvlJc w:val="right"/>
      <w:pPr>
        <w:ind w:left="4048" w:hanging="180"/>
      </w:pPr>
    </w:lvl>
    <w:lvl w:ilvl="6" w:tplc="041B000F" w:tentative="1">
      <w:start w:val="1"/>
      <w:numFmt w:val="decimal"/>
      <w:lvlText w:val="%7."/>
      <w:lvlJc w:val="left"/>
      <w:pPr>
        <w:ind w:left="4768" w:hanging="360"/>
      </w:pPr>
    </w:lvl>
    <w:lvl w:ilvl="7" w:tplc="041B0019" w:tentative="1">
      <w:start w:val="1"/>
      <w:numFmt w:val="lowerLetter"/>
      <w:lvlText w:val="%8."/>
      <w:lvlJc w:val="left"/>
      <w:pPr>
        <w:ind w:left="5488" w:hanging="360"/>
      </w:pPr>
    </w:lvl>
    <w:lvl w:ilvl="8" w:tplc="041B001B" w:tentative="1">
      <w:start w:val="1"/>
      <w:numFmt w:val="lowerRoman"/>
      <w:lvlText w:val="%9."/>
      <w:lvlJc w:val="right"/>
      <w:pPr>
        <w:ind w:left="6208" w:hanging="180"/>
      </w:pPr>
    </w:lvl>
  </w:abstractNum>
  <w:abstractNum w:abstractNumId="19" w15:restartNumberingAfterBreak="0">
    <w:nsid w:val="5C0732B3"/>
    <w:multiLevelType w:val="hybridMultilevel"/>
    <w:tmpl w:val="A676A664"/>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CC0C25"/>
    <w:multiLevelType w:val="hybridMultilevel"/>
    <w:tmpl w:val="0A8AA824"/>
    <w:lvl w:ilvl="0" w:tplc="EEF4AA9E">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F231053"/>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C24EDF"/>
    <w:multiLevelType w:val="hybridMultilevel"/>
    <w:tmpl w:val="4886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772B19"/>
    <w:multiLevelType w:val="hybridMultilevel"/>
    <w:tmpl w:val="540A58AA"/>
    <w:lvl w:ilvl="0" w:tplc="95AE9F8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B10C8D"/>
    <w:multiLevelType w:val="hybridMultilevel"/>
    <w:tmpl w:val="96FA8EB4"/>
    <w:lvl w:ilvl="0" w:tplc="041B000F">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7FF3642F"/>
    <w:multiLevelType w:val="hybridMultilevel"/>
    <w:tmpl w:val="057000C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4"/>
  </w:num>
  <w:num w:numId="4">
    <w:abstractNumId w:val="5"/>
  </w:num>
  <w:num w:numId="5">
    <w:abstractNumId w:val="9"/>
  </w:num>
  <w:num w:numId="6">
    <w:abstractNumId w:val="10"/>
  </w:num>
  <w:num w:numId="7">
    <w:abstractNumId w:val="12"/>
  </w:num>
  <w:num w:numId="8">
    <w:abstractNumId w:val="8"/>
  </w:num>
  <w:num w:numId="9">
    <w:abstractNumId w:val="21"/>
  </w:num>
  <w:num w:numId="10">
    <w:abstractNumId w:val="6"/>
  </w:num>
  <w:num w:numId="11">
    <w:abstractNumId w:val="7"/>
  </w:num>
  <w:num w:numId="12">
    <w:abstractNumId w:val="22"/>
  </w:num>
  <w:num w:numId="13">
    <w:abstractNumId w:val="16"/>
  </w:num>
  <w:num w:numId="14">
    <w:abstractNumId w:val="18"/>
  </w:num>
  <w:num w:numId="15">
    <w:abstractNumId w:val="2"/>
  </w:num>
  <w:num w:numId="16">
    <w:abstractNumId w:val="19"/>
  </w:num>
  <w:num w:numId="17">
    <w:abstractNumId w:val="0"/>
  </w:num>
  <w:num w:numId="18">
    <w:abstractNumId w:val="1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14"/>
  </w:num>
  <w:num w:numId="24">
    <w:abstractNumId w:val="3"/>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00"/>
    <w:rsid w:val="00001A9B"/>
    <w:rsid w:val="000210DE"/>
    <w:rsid w:val="00021163"/>
    <w:rsid w:val="0005327E"/>
    <w:rsid w:val="00053B92"/>
    <w:rsid w:val="00053DC6"/>
    <w:rsid w:val="00055369"/>
    <w:rsid w:val="0006426F"/>
    <w:rsid w:val="00066C4B"/>
    <w:rsid w:val="0007445B"/>
    <w:rsid w:val="00086C79"/>
    <w:rsid w:val="00092F11"/>
    <w:rsid w:val="000B0F17"/>
    <w:rsid w:val="001127D3"/>
    <w:rsid w:val="00115497"/>
    <w:rsid w:val="00116E7E"/>
    <w:rsid w:val="00132BE7"/>
    <w:rsid w:val="00134123"/>
    <w:rsid w:val="0013535D"/>
    <w:rsid w:val="0015396C"/>
    <w:rsid w:val="00177004"/>
    <w:rsid w:val="001978C7"/>
    <w:rsid w:val="001A2EF5"/>
    <w:rsid w:val="001A525A"/>
    <w:rsid w:val="001C3EC4"/>
    <w:rsid w:val="001E4BDE"/>
    <w:rsid w:val="001F6181"/>
    <w:rsid w:val="00216BD8"/>
    <w:rsid w:val="00220FDA"/>
    <w:rsid w:val="00226463"/>
    <w:rsid w:val="00272E01"/>
    <w:rsid w:val="002740D4"/>
    <w:rsid w:val="002743B1"/>
    <w:rsid w:val="00280D7C"/>
    <w:rsid w:val="002845C9"/>
    <w:rsid w:val="002859D4"/>
    <w:rsid w:val="002A1DC0"/>
    <w:rsid w:val="002A236D"/>
    <w:rsid w:val="002A4AB9"/>
    <w:rsid w:val="002A5AD4"/>
    <w:rsid w:val="002A66CB"/>
    <w:rsid w:val="002B0717"/>
    <w:rsid w:val="002C5A70"/>
    <w:rsid w:val="002C64AE"/>
    <w:rsid w:val="002C7D34"/>
    <w:rsid w:val="002C7E50"/>
    <w:rsid w:val="003031FC"/>
    <w:rsid w:val="00337F85"/>
    <w:rsid w:val="003775B6"/>
    <w:rsid w:val="0038120A"/>
    <w:rsid w:val="00382A0B"/>
    <w:rsid w:val="00387159"/>
    <w:rsid w:val="00397A1F"/>
    <w:rsid w:val="003A3252"/>
    <w:rsid w:val="003D31A3"/>
    <w:rsid w:val="003D5702"/>
    <w:rsid w:val="003F2DEC"/>
    <w:rsid w:val="003F4E4C"/>
    <w:rsid w:val="004050C0"/>
    <w:rsid w:val="0042222B"/>
    <w:rsid w:val="004228B2"/>
    <w:rsid w:val="004476D1"/>
    <w:rsid w:val="00466914"/>
    <w:rsid w:val="00482118"/>
    <w:rsid w:val="00490A45"/>
    <w:rsid w:val="004979AF"/>
    <w:rsid w:val="004A7A45"/>
    <w:rsid w:val="004B61CB"/>
    <w:rsid w:val="004C2C96"/>
    <w:rsid w:val="004E5506"/>
    <w:rsid w:val="004E6216"/>
    <w:rsid w:val="005021C2"/>
    <w:rsid w:val="00504C6F"/>
    <w:rsid w:val="00507DA5"/>
    <w:rsid w:val="0051422F"/>
    <w:rsid w:val="005247DE"/>
    <w:rsid w:val="00541B00"/>
    <w:rsid w:val="00551FD3"/>
    <w:rsid w:val="005531C5"/>
    <w:rsid w:val="00557BDA"/>
    <w:rsid w:val="005C670D"/>
    <w:rsid w:val="005D2958"/>
    <w:rsid w:val="00607E29"/>
    <w:rsid w:val="00610E57"/>
    <w:rsid w:val="00612D6B"/>
    <w:rsid w:val="006273D9"/>
    <w:rsid w:val="006413DE"/>
    <w:rsid w:val="006605CD"/>
    <w:rsid w:val="00667FC9"/>
    <w:rsid w:val="00683D6D"/>
    <w:rsid w:val="00686541"/>
    <w:rsid w:val="007008BE"/>
    <w:rsid w:val="00704CC1"/>
    <w:rsid w:val="00712543"/>
    <w:rsid w:val="00716220"/>
    <w:rsid w:val="00721D49"/>
    <w:rsid w:val="007269C6"/>
    <w:rsid w:val="00735532"/>
    <w:rsid w:val="00741995"/>
    <w:rsid w:val="0075041B"/>
    <w:rsid w:val="00764AFE"/>
    <w:rsid w:val="00775912"/>
    <w:rsid w:val="00776F81"/>
    <w:rsid w:val="00780A28"/>
    <w:rsid w:val="007A230C"/>
    <w:rsid w:val="007B0C70"/>
    <w:rsid w:val="007B6201"/>
    <w:rsid w:val="007C02E9"/>
    <w:rsid w:val="007F7C79"/>
    <w:rsid w:val="00814F1C"/>
    <w:rsid w:val="00824BF0"/>
    <w:rsid w:val="00826D99"/>
    <w:rsid w:val="008309B9"/>
    <w:rsid w:val="008608F5"/>
    <w:rsid w:val="00860DFA"/>
    <w:rsid w:val="008A4272"/>
    <w:rsid w:val="008B28F9"/>
    <w:rsid w:val="008E1B34"/>
    <w:rsid w:val="008E3DF2"/>
    <w:rsid w:val="00903DB8"/>
    <w:rsid w:val="0091634B"/>
    <w:rsid w:val="00922910"/>
    <w:rsid w:val="00925A1D"/>
    <w:rsid w:val="00926D80"/>
    <w:rsid w:val="009272C4"/>
    <w:rsid w:val="00944AA1"/>
    <w:rsid w:val="009469DB"/>
    <w:rsid w:val="009717B9"/>
    <w:rsid w:val="00982649"/>
    <w:rsid w:val="009B7351"/>
    <w:rsid w:val="009D7233"/>
    <w:rsid w:val="009E2D76"/>
    <w:rsid w:val="009F1C3F"/>
    <w:rsid w:val="009F686A"/>
    <w:rsid w:val="00A12210"/>
    <w:rsid w:val="00A167DA"/>
    <w:rsid w:val="00A16AE5"/>
    <w:rsid w:val="00A225E9"/>
    <w:rsid w:val="00A22E4D"/>
    <w:rsid w:val="00A314AB"/>
    <w:rsid w:val="00A339C5"/>
    <w:rsid w:val="00A63E83"/>
    <w:rsid w:val="00A73B92"/>
    <w:rsid w:val="00A8163D"/>
    <w:rsid w:val="00A83000"/>
    <w:rsid w:val="00A90AA1"/>
    <w:rsid w:val="00A9197A"/>
    <w:rsid w:val="00AB33A3"/>
    <w:rsid w:val="00AB657F"/>
    <w:rsid w:val="00AC3E11"/>
    <w:rsid w:val="00AC4EED"/>
    <w:rsid w:val="00AE2267"/>
    <w:rsid w:val="00AE3B44"/>
    <w:rsid w:val="00AF7B03"/>
    <w:rsid w:val="00B11ABA"/>
    <w:rsid w:val="00B23F63"/>
    <w:rsid w:val="00B34E23"/>
    <w:rsid w:val="00B352FE"/>
    <w:rsid w:val="00B54A19"/>
    <w:rsid w:val="00B604AB"/>
    <w:rsid w:val="00B951C2"/>
    <w:rsid w:val="00BB52EB"/>
    <w:rsid w:val="00BB7053"/>
    <w:rsid w:val="00BD40B5"/>
    <w:rsid w:val="00C10DBB"/>
    <w:rsid w:val="00C41039"/>
    <w:rsid w:val="00C66884"/>
    <w:rsid w:val="00C76585"/>
    <w:rsid w:val="00C77710"/>
    <w:rsid w:val="00C97A4B"/>
    <w:rsid w:val="00CB097B"/>
    <w:rsid w:val="00CC43DF"/>
    <w:rsid w:val="00CF2F49"/>
    <w:rsid w:val="00CF668C"/>
    <w:rsid w:val="00D00AA4"/>
    <w:rsid w:val="00D02787"/>
    <w:rsid w:val="00D16D11"/>
    <w:rsid w:val="00D25043"/>
    <w:rsid w:val="00D31176"/>
    <w:rsid w:val="00D46A56"/>
    <w:rsid w:val="00D519A2"/>
    <w:rsid w:val="00D56431"/>
    <w:rsid w:val="00D80C0F"/>
    <w:rsid w:val="00D81396"/>
    <w:rsid w:val="00DA0420"/>
    <w:rsid w:val="00DA4A6A"/>
    <w:rsid w:val="00DD756C"/>
    <w:rsid w:val="00DE7957"/>
    <w:rsid w:val="00DF1292"/>
    <w:rsid w:val="00DF4ABA"/>
    <w:rsid w:val="00DF5EAB"/>
    <w:rsid w:val="00E56590"/>
    <w:rsid w:val="00E60C66"/>
    <w:rsid w:val="00E6495F"/>
    <w:rsid w:val="00E71042"/>
    <w:rsid w:val="00E85A39"/>
    <w:rsid w:val="00E94E44"/>
    <w:rsid w:val="00EA028F"/>
    <w:rsid w:val="00EA10F2"/>
    <w:rsid w:val="00ED2EDC"/>
    <w:rsid w:val="00EF3F61"/>
    <w:rsid w:val="00EF6C49"/>
    <w:rsid w:val="00F05710"/>
    <w:rsid w:val="00F07969"/>
    <w:rsid w:val="00F129D7"/>
    <w:rsid w:val="00F20A34"/>
    <w:rsid w:val="00F310FB"/>
    <w:rsid w:val="00F33079"/>
    <w:rsid w:val="00F43549"/>
    <w:rsid w:val="00F47793"/>
    <w:rsid w:val="00F6097E"/>
    <w:rsid w:val="00F748C2"/>
    <w:rsid w:val="00F7680E"/>
    <w:rsid w:val="00F8260B"/>
    <w:rsid w:val="00FA51F4"/>
    <w:rsid w:val="00FD77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D538F-E4CA-45D9-88F9-F2F0323C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B604AB"/>
    <w:pPr>
      <w:keepNext/>
      <w:spacing w:before="240" w:after="60"/>
      <w:jc w:val="both"/>
      <w:outlineLvl w:val="0"/>
    </w:pPr>
    <w:rPr>
      <w:rFonts w:ascii="Arial" w:hAnsi="Arial" w:cs="Arial"/>
      <w:b/>
      <w:bCs/>
      <w:kern w:val="32"/>
      <w:sz w:val="32"/>
      <w:szCs w:val="32"/>
    </w:rPr>
  </w:style>
  <w:style w:type="paragraph" w:styleId="Nadpis2">
    <w:name w:val="heading 2"/>
    <w:basedOn w:val="Normlny"/>
    <w:next w:val="Normlny"/>
    <w:link w:val="Nadpis2Char"/>
    <w:unhideWhenUsed/>
    <w:qFormat/>
    <w:rsid w:val="007B0C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7269C6"/>
    <w:rPr>
      <w:rFonts w:ascii="Arial" w:hAnsi="Arial" w:cs="Arial"/>
      <w:b/>
      <w:bCs/>
      <w:kern w:val="32"/>
      <w:sz w:val="32"/>
      <w:szCs w:val="32"/>
    </w:rPr>
  </w:style>
  <w:style w:type="character" w:customStyle="1" w:styleId="Nadpis2Char">
    <w:name w:val="Nadpis 2 Char"/>
    <w:basedOn w:val="Predvolenpsmoodseku"/>
    <w:link w:val="Nadpis2"/>
    <w:uiPriority w:val="9"/>
    <w:rsid w:val="007B0C70"/>
    <w:rPr>
      <w:rFonts w:asciiTheme="majorHAnsi" w:eastAsiaTheme="majorEastAsia" w:hAnsiTheme="majorHAnsi" w:cstheme="majorBidi"/>
      <w:color w:val="2E74B5" w:themeColor="accent1" w:themeShade="BF"/>
      <w:sz w:val="26"/>
      <w:szCs w:val="26"/>
    </w:rPr>
  </w:style>
  <w:style w:type="paragraph" w:styleId="Zkladntext2">
    <w:name w:val="Body Text 2"/>
    <w:basedOn w:val="Normlny"/>
    <w:rsid w:val="00A83000"/>
    <w:pPr>
      <w:spacing w:after="120" w:line="480" w:lineRule="auto"/>
    </w:pPr>
  </w:style>
  <w:style w:type="paragraph" w:styleId="Zarkazkladnhotextu">
    <w:name w:val="Body Text Indent"/>
    <w:basedOn w:val="Normlny"/>
    <w:rsid w:val="00A83000"/>
    <w:pPr>
      <w:tabs>
        <w:tab w:val="left" w:pos="0"/>
        <w:tab w:val="right" w:pos="8953"/>
      </w:tabs>
      <w:overflowPunct w:val="0"/>
      <w:autoSpaceDE w:val="0"/>
      <w:autoSpaceDN w:val="0"/>
      <w:adjustRightInd w:val="0"/>
      <w:spacing w:line="360" w:lineRule="auto"/>
      <w:ind w:firstLine="284"/>
      <w:textAlignment w:val="baseline"/>
    </w:pPr>
    <w:rPr>
      <w:noProof/>
    </w:rPr>
  </w:style>
  <w:style w:type="paragraph" w:styleId="Zarkazkladnhotextu3">
    <w:name w:val="Body Text Indent 3"/>
    <w:basedOn w:val="Normlny"/>
    <w:rsid w:val="00B604AB"/>
    <w:pPr>
      <w:spacing w:after="120"/>
      <w:ind w:left="283"/>
      <w:jc w:val="both"/>
    </w:pPr>
    <w:rPr>
      <w:sz w:val="16"/>
      <w:szCs w:val="16"/>
    </w:rPr>
  </w:style>
  <w:style w:type="paragraph" w:styleId="Hlavika">
    <w:name w:val="header"/>
    <w:basedOn w:val="Normlny"/>
    <w:link w:val="HlavikaChar"/>
    <w:uiPriority w:val="99"/>
    <w:rsid w:val="00704CC1"/>
    <w:pPr>
      <w:tabs>
        <w:tab w:val="center" w:pos="4536"/>
        <w:tab w:val="right" w:pos="9072"/>
      </w:tabs>
    </w:pPr>
  </w:style>
  <w:style w:type="character" w:customStyle="1" w:styleId="HlavikaChar">
    <w:name w:val="Hlavička Char"/>
    <w:basedOn w:val="Predvolenpsmoodseku"/>
    <w:link w:val="Hlavika"/>
    <w:uiPriority w:val="99"/>
    <w:rsid w:val="007B0C70"/>
    <w:rPr>
      <w:sz w:val="24"/>
      <w:szCs w:val="24"/>
    </w:rPr>
  </w:style>
  <w:style w:type="paragraph" w:styleId="Pta">
    <w:name w:val="footer"/>
    <w:basedOn w:val="Normlny"/>
    <w:link w:val="PtaChar"/>
    <w:uiPriority w:val="99"/>
    <w:rsid w:val="00704CC1"/>
    <w:pPr>
      <w:tabs>
        <w:tab w:val="center" w:pos="4536"/>
        <w:tab w:val="right" w:pos="9072"/>
      </w:tabs>
    </w:pPr>
  </w:style>
  <w:style w:type="character" w:customStyle="1" w:styleId="PtaChar">
    <w:name w:val="Päta Char"/>
    <w:basedOn w:val="Predvolenpsmoodseku"/>
    <w:link w:val="Pta"/>
    <w:uiPriority w:val="99"/>
    <w:rsid w:val="007B0C70"/>
    <w:rPr>
      <w:sz w:val="24"/>
      <w:szCs w:val="24"/>
    </w:rPr>
  </w:style>
  <w:style w:type="paragraph" w:styleId="Textpoznmkypodiarou">
    <w:name w:val="footnote text"/>
    <w:basedOn w:val="Normlny"/>
    <w:semiHidden/>
    <w:rsid w:val="00FA51F4"/>
    <w:pPr>
      <w:jc w:val="both"/>
    </w:pPr>
    <w:rPr>
      <w:sz w:val="20"/>
      <w:szCs w:val="20"/>
    </w:rPr>
  </w:style>
  <w:style w:type="character" w:styleId="Odkaznapoznmkupodiarou">
    <w:name w:val="footnote reference"/>
    <w:semiHidden/>
    <w:rsid w:val="00FA51F4"/>
    <w:rPr>
      <w:vertAlign w:val="superscript"/>
    </w:rPr>
  </w:style>
  <w:style w:type="paragraph" w:styleId="Odsekzoznamu">
    <w:name w:val="List Paragraph"/>
    <w:aliases w:val="body,Odsek zoznamu2,Odsek"/>
    <w:basedOn w:val="Normlny"/>
    <w:link w:val="OdsekzoznamuChar"/>
    <w:uiPriority w:val="34"/>
    <w:qFormat/>
    <w:rsid w:val="00F129D7"/>
    <w:pPr>
      <w:ind w:left="708"/>
      <w:jc w:val="both"/>
    </w:pPr>
  </w:style>
  <w:style w:type="character" w:customStyle="1" w:styleId="TextbublinyChar">
    <w:name w:val="Text bubliny Char"/>
    <w:basedOn w:val="Predvolenpsmoodseku"/>
    <w:link w:val="Textbubliny"/>
    <w:uiPriority w:val="99"/>
    <w:semiHidden/>
    <w:rsid w:val="007B0C70"/>
    <w:rPr>
      <w:rFonts w:ascii="Tahoma" w:eastAsiaTheme="minorHAnsi" w:hAnsi="Tahoma" w:cs="Tahoma"/>
      <w:sz w:val="16"/>
      <w:szCs w:val="16"/>
      <w:lang w:eastAsia="en-US"/>
    </w:rPr>
  </w:style>
  <w:style w:type="paragraph" w:styleId="Textbubliny">
    <w:name w:val="Balloon Text"/>
    <w:basedOn w:val="Normlny"/>
    <w:link w:val="TextbublinyChar"/>
    <w:uiPriority w:val="99"/>
    <w:semiHidden/>
    <w:unhideWhenUsed/>
    <w:rsid w:val="007B0C70"/>
    <w:rPr>
      <w:rFonts w:ascii="Tahoma" w:eastAsiaTheme="minorHAnsi" w:hAnsi="Tahoma" w:cs="Tahoma"/>
      <w:sz w:val="16"/>
      <w:szCs w:val="16"/>
      <w:lang w:eastAsia="en-US"/>
    </w:rPr>
  </w:style>
  <w:style w:type="character" w:customStyle="1" w:styleId="tw4winMark">
    <w:name w:val="tw4winMark"/>
    <w:basedOn w:val="Predvolenpsmoodseku"/>
    <w:rsid w:val="007B0C70"/>
    <w:rPr>
      <w:rFonts w:ascii="Courier New" w:hAnsi="Courier New" w:cs="Courier New"/>
      <w:b w:val="0"/>
      <w:i w:val="0"/>
      <w:dstrike w:val="0"/>
      <w:noProof/>
      <w:vanish/>
      <w:color w:val="800080"/>
      <w:sz w:val="22"/>
      <w:szCs w:val="36"/>
      <w:effect w:val="none"/>
      <w:vertAlign w:val="subscript"/>
      <w:lang w:val="en-GB"/>
    </w:rPr>
  </w:style>
  <w:style w:type="paragraph" w:customStyle="1" w:styleId="BodyTextIndent1">
    <w:name w:val="Body Text Indent1"/>
    <w:rsid w:val="001C3EC4"/>
    <w:pPr>
      <w:pBdr>
        <w:top w:val="none" w:sz="96" w:space="31" w:color="FFFFFF" w:frame="1"/>
        <w:left w:val="none" w:sz="96" w:space="31" w:color="FFFFFF" w:frame="1"/>
        <w:bottom w:val="none" w:sz="96" w:space="31" w:color="FFFFFF" w:frame="1"/>
        <w:right w:val="none" w:sz="96" w:space="31" w:color="FFFFFF" w:frame="1"/>
      </w:pBdr>
      <w:ind w:left="360"/>
      <w:jc w:val="center"/>
    </w:pPr>
    <w:rPr>
      <w:rFonts w:cs="Arial Unicode MS"/>
      <w:color w:val="000000"/>
      <w:sz w:val="24"/>
      <w:szCs w:val="24"/>
      <w:u w:color="000000"/>
    </w:rPr>
  </w:style>
  <w:style w:type="character" w:customStyle="1" w:styleId="OdsekzoznamuChar">
    <w:name w:val="Odsek zoznamu Char"/>
    <w:aliases w:val="body Char,Odsek zoznamu2 Char,Odsek Char"/>
    <w:link w:val="Odsekzoznamu"/>
    <w:uiPriority w:val="34"/>
    <w:locked/>
    <w:rsid w:val="001C3EC4"/>
    <w:rPr>
      <w:sz w:val="24"/>
      <w:szCs w:val="24"/>
    </w:rPr>
  </w:style>
  <w:style w:type="paragraph" w:styleId="Obyajntext">
    <w:name w:val="Plain Text"/>
    <w:basedOn w:val="Normlny"/>
    <w:link w:val="ObyajntextChar"/>
    <w:rsid w:val="00F7680E"/>
    <w:rPr>
      <w:rFonts w:ascii="Courier New" w:hAnsi="Courier New"/>
      <w:sz w:val="20"/>
      <w:szCs w:val="20"/>
    </w:rPr>
  </w:style>
  <w:style w:type="character" w:customStyle="1" w:styleId="ObyajntextChar">
    <w:name w:val="Obyčajný text Char"/>
    <w:basedOn w:val="Predvolenpsmoodseku"/>
    <w:link w:val="Obyajntext"/>
    <w:rsid w:val="00F7680E"/>
    <w:rPr>
      <w:rFonts w:ascii="Courier New" w:hAnsi="Courier New"/>
    </w:rPr>
  </w:style>
  <w:style w:type="paragraph" w:styleId="Zkladntext">
    <w:name w:val="Body Text"/>
    <w:basedOn w:val="Normlny"/>
    <w:link w:val="ZkladntextChar"/>
    <w:uiPriority w:val="99"/>
    <w:semiHidden/>
    <w:unhideWhenUsed/>
    <w:rsid w:val="009F1C3F"/>
    <w:pPr>
      <w:spacing w:after="120"/>
    </w:pPr>
  </w:style>
  <w:style w:type="character" w:customStyle="1" w:styleId="ZkladntextChar">
    <w:name w:val="Základný text Char"/>
    <w:basedOn w:val="Predvolenpsmoodseku"/>
    <w:link w:val="Zkladntext"/>
    <w:uiPriority w:val="99"/>
    <w:semiHidden/>
    <w:rsid w:val="009F1C3F"/>
    <w:rPr>
      <w:sz w:val="24"/>
      <w:szCs w:val="24"/>
    </w:rPr>
  </w:style>
  <w:style w:type="paragraph" w:styleId="Textkomentra">
    <w:name w:val="annotation text"/>
    <w:basedOn w:val="Normlny"/>
    <w:link w:val="TextkomentraChar"/>
    <w:unhideWhenUsed/>
    <w:rsid w:val="005021C2"/>
    <w:rPr>
      <w:sz w:val="20"/>
      <w:szCs w:val="20"/>
    </w:rPr>
  </w:style>
  <w:style w:type="character" w:customStyle="1" w:styleId="TextkomentraChar">
    <w:name w:val="Text komentára Char"/>
    <w:basedOn w:val="Predvolenpsmoodseku"/>
    <w:link w:val="Textkomentra"/>
    <w:rsid w:val="005021C2"/>
  </w:style>
  <w:style w:type="paragraph" w:customStyle="1" w:styleId="Normlny1">
    <w:name w:val="Normálny1"/>
    <w:basedOn w:val="Normlny"/>
    <w:rsid w:val="00DA4A6A"/>
    <w:pPr>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SK/TXT/HTML/?uri=CELEX:32017L2103&amp;from=SK" TargetMode="External"/><Relationship Id="rId13" Type="http://schemas.openxmlformats.org/officeDocument/2006/relationships/hyperlink" Target="http://eur-lex.europa.eu/legal-content/SK/TXT/HTML/?uri=CELEX:32017L2103&amp;from=SK" TargetMode="External"/><Relationship Id="rId18" Type="http://schemas.openxmlformats.org/officeDocument/2006/relationships/hyperlink" Target="http://eur-lex.europa.eu/legal-content/SK/TXT/HTML/?uri=CELEX:32017L2103&amp;from=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ur-lex.europa.eu/legal-content/SK/TXT/HTML/?uri=CELEX:32017L2103&amp;from=SK" TargetMode="External"/><Relationship Id="rId7" Type="http://schemas.openxmlformats.org/officeDocument/2006/relationships/hyperlink" Target="http://eur-lex.europa.eu/legal-content/SK/TXT/HTML/?uri=CELEX:32017L2103&amp;from=SK" TargetMode="External"/><Relationship Id="rId12" Type="http://schemas.openxmlformats.org/officeDocument/2006/relationships/hyperlink" Target="http://eur-lex.europa.eu/legal-content/SK/AUTO/?uri=OJ:L:2016:123:TOC" TargetMode="External"/><Relationship Id="rId17" Type="http://schemas.openxmlformats.org/officeDocument/2006/relationships/hyperlink" Target="http://eur-lex.europa.eu/legal-content/SK/TXT/HTML/?uri=CELEX:32017L2103&amp;from=S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lex.europa.eu/legal-content/SK/TXT/HTML/?uri=CELEX:32017L2103&amp;from=SK" TargetMode="External"/><Relationship Id="rId20" Type="http://schemas.openxmlformats.org/officeDocument/2006/relationships/hyperlink" Target="http://eur-lex.europa.eu/legal-content/SK/TXT/HTML/?uri=CELEX:32017L2103&amp;from=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SK/TXT/HTML/?uri=CELEX:32017L2103&amp;from=SK" TargetMode="External"/><Relationship Id="rId24" Type="http://schemas.openxmlformats.org/officeDocument/2006/relationships/hyperlink" Target="http://eur-lex.europa.eu/legal-content/SK/TXT/HTML/?uri=CELEX:32017L2103&amp;from=SK" TargetMode="External"/><Relationship Id="rId5" Type="http://schemas.openxmlformats.org/officeDocument/2006/relationships/footnotes" Target="footnotes.xml"/><Relationship Id="rId15" Type="http://schemas.openxmlformats.org/officeDocument/2006/relationships/hyperlink" Target="http://eur-lex.europa.eu/legal-content/SK/TXT/HTML/?uri=CELEX:32017L2103&amp;from=SK" TargetMode="External"/><Relationship Id="rId23" Type="http://schemas.openxmlformats.org/officeDocument/2006/relationships/hyperlink" Target="http://eur-lex.europa.eu/legal-content/SK/TXT/HTML/?uri=CELEX:32017L2103&amp;from=SK" TargetMode="External"/><Relationship Id="rId10" Type="http://schemas.openxmlformats.org/officeDocument/2006/relationships/hyperlink" Target="http://eur-lex.europa.eu/legal-content/SK/TXT/HTML/?uri=CELEX:32017L2103&amp;from=SK" TargetMode="External"/><Relationship Id="rId19" Type="http://schemas.openxmlformats.org/officeDocument/2006/relationships/hyperlink" Target="http://eur-lex.europa.eu/legal-content/SK/TXT/HTML/?uri=CELEX:32017L2103&amp;from=SK" TargetMode="External"/><Relationship Id="rId4" Type="http://schemas.openxmlformats.org/officeDocument/2006/relationships/webSettings" Target="webSettings.xml"/><Relationship Id="rId9" Type="http://schemas.openxmlformats.org/officeDocument/2006/relationships/hyperlink" Target="http://eur-lex.europa.eu/legal-content/SK/AUTO/?uri=OJ:L:2006:376:TOC" TargetMode="External"/><Relationship Id="rId14" Type="http://schemas.openxmlformats.org/officeDocument/2006/relationships/hyperlink" Target="http://eur-lex.europa.eu/legal-content/SK/TXT/HTML/?uri=CELEX:32017L2103&amp;from=SK" TargetMode="External"/><Relationship Id="rId22" Type="http://schemas.openxmlformats.org/officeDocument/2006/relationships/hyperlink" Target="http://eur-lex.europa.eu/legal-content/SK/TXT/HTML/?uri=CELEX:32017L2103&amp;from=SK"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4077</Words>
  <Characters>23243</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TABUĽKA ZHODY</vt:lpstr>
    </vt:vector>
  </TitlesOfParts>
  <Company>Ministerstvo zdravotníctva SR</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Jozef Slaný</dc:creator>
  <cp:keywords/>
  <dc:description/>
  <cp:lastModifiedBy>Vincová Veronika</cp:lastModifiedBy>
  <cp:revision>2</cp:revision>
  <cp:lastPrinted>2018-05-15T07:19:00Z</cp:lastPrinted>
  <dcterms:created xsi:type="dcterms:W3CDTF">2019-08-14T18:07:00Z</dcterms:created>
  <dcterms:modified xsi:type="dcterms:W3CDTF">2019-08-14T18:07:00Z</dcterms:modified>
</cp:coreProperties>
</file>