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B5BB8" w14:textId="77777777" w:rsidR="005F32AD" w:rsidRPr="00066295" w:rsidRDefault="005F32AD" w:rsidP="005F32AD">
      <w:pPr>
        <w:pStyle w:val="Nzov"/>
        <w:spacing w:line="360" w:lineRule="auto"/>
        <w:jc w:val="both"/>
      </w:pPr>
      <w:r w:rsidRPr="00066295">
        <w:t>Osobitná časť</w:t>
      </w:r>
    </w:p>
    <w:p w14:paraId="371A9336" w14:textId="77777777" w:rsidR="005F32AD" w:rsidRPr="00066295" w:rsidRDefault="005F32AD" w:rsidP="005F32AD">
      <w:pPr>
        <w:pStyle w:val="Nzov"/>
        <w:spacing w:line="360" w:lineRule="auto"/>
        <w:jc w:val="both"/>
      </w:pPr>
    </w:p>
    <w:p w14:paraId="118E51A4" w14:textId="77777777" w:rsidR="005F32AD" w:rsidRPr="00066295" w:rsidRDefault="005F32AD" w:rsidP="005F32AD">
      <w:pPr>
        <w:pStyle w:val="Nzov"/>
        <w:spacing w:line="360" w:lineRule="auto"/>
        <w:jc w:val="both"/>
      </w:pPr>
      <w:r w:rsidRPr="00066295">
        <w:t>K čl. I</w:t>
      </w:r>
    </w:p>
    <w:p w14:paraId="085FDDE5" w14:textId="390BDBD9" w:rsidR="00CB75B7" w:rsidRPr="00066295" w:rsidRDefault="000057BF" w:rsidP="00CB75B7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</w:rPr>
        <w:t>K bodu 1</w:t>
      </w:r>
    </w:p>
    <w:p w14:paraId="16FDD998" w14:textId="657AB74D" w:rsidR="000057BF" w:rsidRPr="00066295" w:rsidRDefault="00931BDE" w:rsidP="001D307B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 xml:space="preserve">V § 2 sa navrhuje </w:t>
      </w:r>
      <w:r w:rsidR="000057BF" w:rsidRPr="00066295">
        <w:rPr>
          <w:b w:val="0"/>
        </w:rPr>
        <w:t>nov</w:t>
      </w:r>
      <w:r w:rsidR="00946376" w:rsidRPr="00066295">
        <w:rPr>
          <w:b w:val="0"/>
        </w:rPr>
        <w:t>é</w:t>
      </w:r>
      <w:r w:rsidR="000057BF" w:rsidRPr="00066295">
        <w:rPr>
          <w:b w:val="0"/>
        </w:rPr>
        <w:t xml:space="preserve"> znenie odseku 5. Ide o</w:t>
      </w:r>
      <w:r w:rsidR="00814688" w:rsidRPr="00066295">
        <w:rPr>
          <w:b w:val="0"/>
        </w:rPr>
        <w:t xml:space="preserve"> zosúladenie a </w:t>
      </w:r>
      <w:r w:rsidR="000057BF" w:rsidRPr="00066295">
        <w:rPr>
          <w:b w:val="0"/>
        </w:rPr>
        <w:t>spresnenie pojmu spracovanie</w:t>
      </w:r>
      <w:r w:rsidR="00814688" w:rsidRPr="00066295">
        <w:rPr>
          <w:b w:val="0"/>
        </w:rPr>
        <w:t xml:space="preserve"> s Jednotným dohovorom OSN z roku 1961</w:t>
      </w:r>
      <w:r w:rsidR="000057BF" w:rsidRPr="00066295">
        <w:rPr>
          <w:b w:val="0"/>
        </w:rPr>
        <w:t xml:space="preserve">. Cieľom je </w:t>
      </w:r>
      <w:r w:rsidR="00946376" w:rsidRPr="00066295">
        <w:rPr>
          <w:b w:val="0"/>
        </w:rPr>
        <w:t xml:space="preserve">odlíšiť spracovanie konopy, na ktorej pestovanie sa vyžaduje povolenie podľa tohto zákona od </w:t>
      </w:r>
      <w:r w:rsidR="00B71505" w:rsidRPr="00066295">
        <w:rPr>
          <w:b w:val="0"/>
        </w:rPr>
        <w:t xml:space="preserve">spracovania  </w:t>
      </w:r>
      <w:r w:rsidR="00946376" w:rsidRPr="00066295">
        <w:rPr>
          <w:b w:val="0"/>
        </w:rPr>
        <w:t>konopy uvedenej v osobitnom právnom predpise Európskej únie, na pestovanie ktorej sa vyžaduje podanie jednotnej žiadosti Pôdohospodárskej platobnej agentúre o poskytnutie priamych platieb v kalendárnom roku podľa osobitného právneho predpisu Európskej únie a na ktorej pestovanie sa nevyžaduje  povolenie podľa tohto zákona</w:t>
      </w:r>
      <w:r w:rsidR="00B71505" w:rsidRPr="00066295">
        <w:rPr>
          <w:b w:val="0"/>
        </w:rPr>
        <w:t>.</w:t>
      </w:r>
    </w:p>
    <w:p w14:paraId="12AC5618" w14:textId="271A0FF9" w:rsidR="000057BF" w:rsidRPr="00066295" w:rsidRDefault="00931BDE" w:rsidP="000057BF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>V § 2 sa n</w:t>
      </w:r>
      <w:r w:rsidR="000057BF" w:rsidRPr="00066295">
        <w:rPr>
          <w:b w:val="0"/>
        </w:rPr>
        <w:t>avrhuje a</w:t>
      </w:r>
      <w:r w:rsidR="00814688" w:rsidRPr="00066295">
        <w:rPr>
          <w:b w:val="0"/>
        </w:rPr>
        <w:t>j</w:t>
      </w:r>
      <w:r w:rsidR="000057BF" w:rsidRPr="00066295">
        <w:rPr>
          <w:b w:val="0"/>
        </w:rPr>
        <w:t xml:space="preserve"> nov</w:t>
      </w:r>
      <w:r w:rsidR="00946376" w:rsidRPr="00066295">
        <w:rPr>
          <w:b w:val="0"/>
        </w:rPr>
        <w:t>é</w:t>
      </w:r>
      <w:r w:rsidR="000057BF" w:rsidRPr="00066295">
        <w:rPr>
          <w:b w:val="0"/>
        </w:rPr>
        <w:t xml:space="preserve"> znenie odseku 6. Ide o spresnenie pojmu výroba.</w:t>
      </w:r>
      <w:r w:rsidR="00946376" w:rsidRPr="00066295">
        <w:rPr>
          <w:b w:val="0"/>
        </w:rPr>
        <w:t xml:space="preserve"> Cieľom je </w:t>
      </w:r>
      <w:r w:rsidR="00814688" w:rsidRPr="00066295">
        <w:rPr>
          <w:b w:val="0"/>
        </w:rPr>
        <w:t>umožniť povoľovanie</w:t>
      </w:r>
      <w:r w:rsidR="00946376" w:rsidRPr="00066295">
        <w:rPr>
          <w:b w:val="0"/>
        </w:rPr>
        <w:t xml:space="preserve"> izoláci</w:t>
      </w:r>
      <w:r w:rsidR="00814688" w:rsidRPr="00066295">
        <w:rPr>
          <w:b w:val="0"/>
        </w:rPr>
        <w:t>e</w:t>
      </w:r>
      <w:r w:rsidR="00946376" w:rsidRPr="00066295">
        <w:rPr>
          <w:b w:val="0"/>
        </w:rPr>
        <w:t xml:space="preserve"> omamných látok a psychotropných látok </w:t>
      </w:r>
      <w:r w:rsidR="00814688" w:rsidRPr="00066295">
        <w:rPr>
          <w:b w:val="0"/>
        </w:rPr>
        <w:t>nielen z maku siateho ale aj z </w:t>
      </w:r>
      <w:r w:rsidR="00946376" w:rsidRPr="00066295">
        <w:rPr>
          <w:b w:val="0"/>
        </w:rPr>
        <w:t>konop</w:t>
      </w:r>
      <w:r w:rsidR="00814688" w:rsidRPr="00066295">
        <w:rPr>
          <w:b w:val="0"/>
        </w:rPr>
        <w:t>nej rastliny</w:t>
      </w:r>
      <w:r w:rsidR="008341E3" w:rsidRPr="00066295">
        <w:rPr>
          <w:b w:val="0"/>
        </w:rPr>
        <w:t xml:space="preserve"> pre farmaceutický priemysel, keďže už bol v Slovenskej republike aj v USA registrovaný liek obsahujúci liečivá získané z konopy</w:t>
      </w:r>
      <w:r w:rsidR="00946376" w:rsidRPr="00066295">
        <w:rPr>
          <w:b w:val="0"/>
        </w:rPr>
        <w:t>.</w:t>
      </w:r>
    </w:p>
    <w:p w14:paraId="5B4D99CD" w14:textId="77777777" w:rsidR="00D23ED3" w:rsidRPr="00066295" w:rsidRDefault="00D23ED3" w:rsidP="000057BF">
      <w:pPr>
        <w:pStyle w:val="Nzov"/>
        <w:spacing w:line="360" w:lineRule="auto"/>
        <w:ind w:firstLine="851"/>
        <w:jc w:val="both"/>
        <w:rPr>
          <w:b w:val="0"/>
        </w:rPr>
      </w:pPr>
    </w:p>
    <w:p w14:paraId="1272BCA3" w14:textId="2D7C2438" w:rsidR="009A6EDA" w:rsidRPr="00066295" w:rsidRDefault="00D23ED3" w:rsidP="009A6EDA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</w:rPr>
        <w:t>K bodu 2</w:t>
      </w:r>
    </w:p>
    <w:p w14:paraId="0E8636EA" w14:textId="6831EF3D" w:rsidR="00D23ED3" w:rsidRPr="00066295" w:rsidRDefault="00D23ED3" w:rsidP="001D307B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>Navrhuj</w:t>
      </w:r>
      <w:r w:rsidR="008341E3" w:rsidRPr="00066295">
        <w:rPr>
          <w:b w:val="0"/>
        </w:rPr>
        <w:t>e</w:t>
      </w:r>
      <w:r w:rsidRPr="00066295">
        <w:rPr>
          <w:b w:val="0"/>
        </w:rPr>
        <w:t xml:space="preserve"> sa aj nov</w:t>
      </w:r>
      <w:r w:rsidR="008341E3" w:rsidRPr="00066295">
        <w:rPr>
          <w:b w:val="0"/>
        </w:rPr>
        <w:t>ý</w:t>
      </w:r>
      <w:r w:rsidRPr="00066295">
        <w:rPr>
          <w:b w:val="0"/>
        </w:rPr>
        <w:t xml:space="preserve"> poj</w:t>
      </w:r>
      <w:r w:rsidR="008341E3" w:rsidRPr="00066295">
        <w:rPr>
          <w:b w:val="0"/>
        </w:rPr>
        <w:t>e</w:t>
      </w:r>
      <w:r w:rsidRPr="00066295">
        <w:rPr>
          <w:b w:val="0"/>
        </w:rPr>
        <w:t>m</w:t>
      </w:r>
      <w:r w:rsidR="008341E3" w:rsidRPr="00066295">
        <w:rPr>
          <w:b w:val="0"/>
        </w:rPr>
        <w:t xml:space="preserve"> pre spracovateľskú organizáciu</w:t>
      </w:r>
      <w:r w:rsidRPr="00066295">
        <w:rPr>
          <w:b w:val="0"/>
        </w:rPr>
        <w:t>, ktor</w:t>
      </w:r>
      <w:r w:rsidR="008341E3" w:rsidRPr="00066295">
        <w:rPr>
          <w:b w:val="0"/>
        </w:rPr>
        <w:t>ý je v súlade</w:t>
      </w:r>
      <w:r w:rsidRPr="00066295">
        <w:rPr>
          <w:b w:val="0"/>
        </w:rPr>
        <w:t xml:space="preserve"> s Jednotn</w:t>
      </w:r>
      <w:r w:rsidR="008341E3" w:rsidRPr="00066295">
        <w:rPr>
          <w:b w:val="0"/>
        </w:rPr>
        <w:t>ým</w:t>
      </w:r>
      <w:r w:rsidRPr="00066295">
        <w:rPr>
          <w:b w:val="0"/>
        </w:rPr>
        <w:t xml:space="preserve"> dohovor</w:t>
      </w:r>
      <w:r w:rsidR="008341E3" w:rsidRPr="00066295">
        <w:rPr>
          <w:b w:val="0"/>
        </w:rPr>
        <w:t>om</w:t>
      </w:r>
      <w:r w:rsidRPr="00066295">
        <w:rPr>
          <w:b w:val="0"/>
        </w:rPr>
        <w:t xml:space="preserve"> OSN</w:t>
      </w:r>
      <w:r w:rsidR="008341E3" w:rsidRPr="00066295">
        <w:rPr>
          <w:b w:val="0"/>
        </w:rPr>
        <w:t xml:space="preserve"> o omamných látkach</w:t>
      </w:r>
      <w:r w:rsidRPr="00066295">
        <w:rPr>
          <w:b w:val="0"/>
        </w:rPr>
        <w:t xml:space="preserve"> z roku 1961. </w:t>
      </w:r>
    </w:p>
    <w:p w14:paraId="3035EBE9" w14:textId="77777777" w:rsidR="00D23ED3" w:rsidRPr="00066295" w:rsidRDefault="00D23ED3" w:rsidP="009A6EDA">
      <w:pPr>
        <w:pStyle w:val="Nzov"/>
        <w:spacing w:line="360" w:lineRule="auto"/>
        <w:jc w:val="both"/>
        <w:rPr>
          <w:b w:val="0"/>
        </w:rPr>
      </w:pPr>
    </w:p>
    <w:p w14:paraId="46066CA5" w14:textId="019CFC0A" w:rsidR="009A6EDA" w:rsidRPr="00066295" w:rsidRDefault="009A6EDA" w:rsidP="009A6EDA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</w:rPr>
        <w:t xml:space="preserve">K bodu </w:t>
      </w:r>
      <w:r w:rsidR="00D23ED3" w:rsidRPr="00066295">
        <w:rPr>
          <w:b w:val="0"/>
        </w:rPr>
        <w:t>3</w:t>
      </w:r>
      <w:r w:rsidRPr="00066295">
        <w:rPr>
          <w:b w:val="0"/>
        </w:rPr>
        <w:t xml:space="preserve"> </w:t>
      </w:r>
    </w:p>
    <w:p w14:paraId="79BDB874" w14:textId="7068A8A4" w:rsidR="009A6EDA" w:rsidRPr="00066295" w:rsidRDefault="009A6EDA" w:rsidP="001D307B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 xml:space="preserve">Dopĺňajú sa náležitosti žiadosti o vydanie povolenia. Navrhuje sa od žiadateľa o povolenie na pestovanie vyžadovať úradne osvedčenú kópiu povolenia na spracovanie podľa § 2 ods. 5  alebo na výrobu  podľa § 3 ods. 6 vydaného štátom, na území ktorého má spracovateľská organizácia </w:t>
      </w:r>
      <w:r w:rsidR="00C97F0C" w:rsidRPr="00066295">
        <w:rPr>
          <w:b w:val="0"/>
        </w:rPr>
        <w:t>miesto výkonu činnosti</w:t>
      </w:r>
      <w:r w:rsidRPr="00066295">
        <w:rPr>
          <w:b w:val="0"/>
        </w:rPr>
        <w:t xml:space="preserve">. Ak má zmluvná spracovateľská organizácia </w:t>
      </w:r>
      <w:r w:rsidR="00C97F0C" w:rsidRPr="00066295">
        <w:rPr>
          <w:b w:val="0"/>
        </w:rPr>
        <w:t>miesto výkonu činnosti</w:t>
      </w:r>
      <w:r w:rsidRPr="00066295">
        <w:rPr>
          <w:b w:val="0"/>
        </w:rPr>
        <w:t xml:space="preserve"> mimo územia Slovenskej republiky a v štáte, v ktorom má spracovateľská organizáci</w:t>
      </w:r>
      <w:r w:rsidR="00C97F0C" w:rsidRPr="00066295">
        <w:rPr>
          <w:b w:val="0"/>
        </w:rPr>
        <w:t>a miesto výkonu činnosti</w:t>
      </w:r>
      <w:r w:rsidRPr="00066295">
        <w:rPr>
          <w:b w:val="0"/>
        </w:rPr>
        <w:t xml:space="preserve"> sa požadované povolenie nevydáva, žiadateľ predloží potvrdenie príslušného orgánu o tom,  že v tomto štáte sa požadované povolenie nevydáva.   Týmto sa zabezpečuje, že pri vydávaní povolenia na pestovanie si Slovenská republika </w:t>
      </w:r>
      <w:r w:rsidR="00C97F0C" w:rsidRPr="00066295">
        <w:rPr>
          <w:b w:val="0"/>
        </w:rPr>
        <w:t xml:space="preserve">v súlade s požiadavkou Jednotného dohovoru OSN z roku 1961 </w:t>
      </w:r>
      <w:r w:rsidRPr="00066295">
        <w:rPr>
          <w:b w:val="0"/>
        </w:rPr>
        <w:t>overuje, či zmluvná spracovateľská organizácia vykonáva v danom štáte svoju činnosť zákonným spôsobom.</w:t>
      </w:r>
    </w:p>
    <w:p w14:paraId="079461EB" w14:textId="77777777" w:rsidR="008341E3" w:rsidRPr="00066295" w:rsidRDefault="008341E3" w:rsidP="0009183C">
      <w:pPr>
        <w:pStyle w:val="Nzov"/>
        <w:spacing w:line="360" w:lineRule="auto"/>
        <w:jc w:val="both"/>
        <w:rPr>
          <w:b w:val="0"/>
        </w:rPr>
      </w:pPr>
    </w:p>
    <w:p w14:paraId="7A1A9BB4" w14:textId="48D3FCC1" w:rsidR="0009183C" w:rsidRPr="00066295" w:rsidRDefault="0009183C" w:rsidP="0009183C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</w:rPr>
        <w:t>K bodu 4</w:t>
      </w:r>
    </w:p>
    <w:p w14:paraId="487E4FB6" w14:textId="7A0668A8" w:rsidR="0009183C" w:rsidRPr="00066295" w:rsidRDefault="0009183C" w:rsidP="0009183C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>Na žiadosť Ministerstva obrany SR sa dopĺňa odkaz na zákon  NR SR č.</w:t>
      </w:r>
      <w:r w:rsidRPr="00066295">
        <w:rPr>
          <w:rFonts w:ascii="Times" w:hAnsi="Times" w:cs="Times"/>
          <w:sz w:val="25"/>
          <w:szCs w:val="25"/>
        </w:rPr>
        <w:t xml:space="preserve">. </w:t>
      </w:r>
      <w:r w:rsidRPr="00066295">
        <w:rPr>
          <w:rFonts w:ascii="Times" w:hAnsi="Times" w:cs="Times"/>
          <w:b w:val="0"/>
          <w:sz w:val="25"/>
          <w:szCs w:val="25"/>
        </w:rPr>
        <w:t>198/1994 Z. z. o Vojenskom spravodajstve v znení zákona č. 444/2015 Z. z.</w:t>
      </w:r>
      <w:r w:rsidRPr="00066295">
        <w:rPr>
          <w:b w:val="0"/>
        </w:rPr>
        <w:t xml:space="preserve"> Nielen príslušník Slovenskej informačnej služby ale aj príslušník Vojenského spravodajstva bude oprávnený držať omamné látky a psychotropné látky.</w:t>
      </w:r>
    </w:p>
    <w:p w14:paraId="3CF96D8A" w14:textId="77777777" w:rsidR="00B32CD0" w:rsidRPr="00066295" w:rsidRDefault="00B32CD0" w:rsidP="00B32CD0">
      <w:pPr>
        <w:pStyle w:val="Nzov"/>
        <w:spacing w:line="360" w:lineRule="auto"/>
        <w:jc w:val="both"/>
        <w:rPr>
          <w:b w:val="0"/>
        </w:rPr>
      </w:pPr>
    </w:p>
    <w:p w14:paraId="6E16B8DD" w14:textId="5EB3D3FF" w:rsidR="00B71505" w:rsidRPr="00066295" w:rsidRDefault="00B71505" w:rsidP="00B71505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</w:rPr>
        <w:t xml:space="preserve">K bodu </w:t>
      </w:r>
      <w:r w:rsidR="0009183C" w:rsidRPr="00066295">
        <w:rPr>
          <w:b w:val="0"/>
        </w:rPr>
        <w:t>5</w:t>
      </w:r>
    </w:p>
    <w:p w14:paraId="6A2383A9" w14:textId="510CD01A" w:rsidR="00B71505" w:rsidRPr="00066295" w:rsidRDefault="00B71505" w:rsidP="001D307B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>Spresňuje sa, že na  odrody konopy siatej uvedené v osobitnom predpise,  ktoré sa môžu pestovať bez povolenia ministerstva, ak pred výsevom</w:t>
      </w:r>
      <w:r w:rsidR="00C97F0C" w:rsidRPr="00066295">
        <w:rPr>
          <w:b w:val="0"/>
        </w:rPr>
        <w:t xml:space="preserve"> poľnohospodár</w:t>
      </w:r>
      <w:r w:rsidRPr="00066295">
        <w:rPr>
          <w:b w:val="0"/>
        </w:rPr>
        <w:t xml:space="preserve"> podal </w:t>
      </w:r>
      <w:r w:rsidR="00C97F0C" w:rsidRPr="00066295">
        <w:rPr>
          <w:b w:val="0"/>
        </w:rPr>
        <w:t xml:space="preserve">Pôdohospodárskej </w:t>
      </w:r>
      <w:r w:rsidR="00A93AE9" w:rsidRPr="00066295">
        <w:rPr>
          <w:b w:val="0"/>
        </w:rPr>
        <w:t xml:space="preserve">platobnej agentúre </w:t>
      </w:r>
      <w:r w:rsidRPr="00066295">
        <w:rPr>
          <w:b w:val="0"/>
        </w:rPr>
        <w:t>pestovateľ jednotnú žiadosť o poskytnutie priamych platieb v kalendárnom roku, v ktorom tieto odrody konopy siatej pest</w:t>
      </w:r>
      <w:r w:rsidR="00A93AE9" w:rsidRPr="00066295">
        <w:rPr>
          <w:b w:val="0"/>
        </w:rPr>
        <w:t>uje</w:t>
      </w:r>
      <w:r w:rsidR="00C97F0C" w:rsidRPr="00066295">
        <w:rPr>
          <w:b w:val="0"/>
        </w:rPr>
        <w:t xml:space="preserve"> a Pôdohospodárska platobná agentúra žiadosť schválila,</w:t>
      </w:r>
      <w:r w:rsidR="00A93AE9" w:rsidRPr="00066295">
        <w:rPr>
          <w:b w:val="0"/>
        </w:rPr>
        <w:t xml:space="preserve"> sa nevyžaduje povolenie </w:t>
      </w:r>
      <w:r w:rsidR="00571F87" w:rsidRPr="00066295">
        <w:rPr>
          <w:b w:val="0"/>
        </w:rPr>
        <w:t>M</w:t>
      </w:r>
      <w:r w:rsidR="00A93AE9" w:rsidRPr="00066295">
        <w:rPr>
          <w:b w:val="0"/>
        </w:rPr>
        <w:t>inisterstva</w:t>
      </w:r>
      <w:r w:rsidR="00571F87" w:rsidRPr="00066295">
        <w:rPr>
          <w:b w:val="0"/>
        </w:rPr>
        <w:t xml:space="preserve"> zdravotníctva SR</w:t>
      </w:r>
      <w:r w:rsidR="00A93AE9" w:rsidRPr="00066295">
        <w:rPr>
          <w:b w:val="0"/>
        </w:rPr>
        <w:t xml:space="preserve"> na spracovanie</w:t>
      </w:r>
      <w:r w:rsidRPr="00066295">
        <w:rPr>
          <w:b w:val="0"/>
        </w:rPr>
        <w:t>.</w:t>
      </w:r>
    </w:p>
    <w:p w14:paraId="41B37ABE" w14:textId="77777777" w:rsidR="002345DB" w:rsidRPr="00066295" w:rsidRDefault="002345DB" w:rsidP="002345DB">
      <w:pPr>
        <w:pStyle w:val="Nzov"/>
        <w:spacing w:line="360" w:lineRule="auto"/>
        <w:jc w:val="both"/>
        <w:rPr>
          <w:b w:val="0"/>
        </w:rPr>
      </w:pPr>
    </w:p>
    <w:p w14:paraId="12078346" w14:textId="33D8B980" w:rsidR="002345DB" w:rsidRPr="00066295" w:rsidRDefault="00A93AE9" w:rsidP="002345DB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</w:rPr>
        <w:t xml:space="preserve">K bodu </w:t>
      </w:r>
      <w:r w:rsidR="0009183C" w:rsidRPr="00066295">
        <w:rPr>
          <w:b w:val="0"/>
        </w:rPr>
        <w:t>6</w:t>
      </w:r>
    </w:p>
    <w:p w14:paraId="69FA1C71" w14:textId="6CB9843C" w:rsidR="002345DB" w:rsidRPr="00066295" w:rsidRDefault="002345DB" w:rsidP="001D307B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 xml:space="preserve">V rámci elektronizácie štátnej a verejnej správy </w:t>
      </w:r>
      <w:r w:rsidR="009E6557" w:rsidRPr="00066295">
        <w:rPr>
          <w:b w:val="0"/>
        </w:rPr>
        <w:t xml:space="preserve">je </w:t>
      </w:r>
      <w:r w:rsidRPr="00066295">
        <w:rPr>
          <w:b w:val="0"/>
        </w:rPr>
        <w:t>požiadavka na špeciálny papier s hologramom, na ktorom sa vydáva povolenie bezpredmetn</w:t>
      </w:r>
      <w:r w:rsidR="009E6557" w:rsidRPr="00066295">
        <w:rPr>
          <w:b w:val="0"/>
        </w:rPr>
        <w:t>á</w:t>
      </w:r>
      <w:r w:rsidRPr="00066295">
        <w:rPr>
          <w:b w:val="0"/>
        </w:rPr>
        <w:t>.</w:t>
      </w:r>
    </w:p>
    <w:p w14:paraId="3AFFD9DE" w14:textId="77777777" w:rsidR="00946376" w:rsidRPr="00066295" w:rsidRDefault="00946376" w:rsidP="000057BF">
      <w:pPr>
        <w:pStyle w:val="Nzov"/>
        <w:spacing w:line="360" w:lineRule="auto"/>
        <w:ind w:firstLine="851"/>
        <w:jc w:val="both"/>
        <w:rPr>
          <w:b w:val="0"/>
        </w:rPr>
      </w:pPr>
    </w:p>
    <w:p w14:paraId="6A75AFE9" w14:textId="1C513181" w:rsidR="000057BF" w:rsidRPr="00066295" w:rsidRDefault="00946376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</w:rPr>
        <w:t xml:space="preserve">K bodu </w:t>
      </w:r>
      <w:r w:rsidR="0009183C" w:rsidRPr="00066295">
        <w:rPr>
          <w:b w:val="0"/>
        </w:rPr>
        <w:t>7</w:t>
      </w:r>
    </w:p>
    <w:p w14:paraId="1A6FA9FC" w14:textId="28D9F047" w:rsidR="00931BDE" w:rsidRPr="00066295" w:rsidRDefault="00D23ED3" w:rsidP="001D307B">
      <w:pPr>
        <w:spacing w:line="360" w:lineRule="auto"/>
        <w:ind w:firstLine="851"/>
        <w:jc w:val="both"/>
      </w:pPr>
      <w:r w:rsidRPr="00066295">
        <w:t>Navrhuje sa nové znenie § 15. V pôvodnom znení</w:t>
      </w:r>
      <w:r w:rsidR="00946376" w:rsidRPr="00066295">
        <w:t xml:space="preserve"> </w:t>
      </w:r>
      <w:r w:rsidR="00931BDE" w:rsidRPr="00066295">
        <w:t xml:space="preserve"> odseku 3</w:t>
      </w:r>
      <w:r w:rsidRPr="00066295">
        <w:t xml:space="preserve"> </w:t>
      </w:r>
      <w:r w:rsidR="00571F87" w:rsidRPr="00066295">
        <w:t xml:space="preserve">sa </w:t>
      </w:r>
      <w:r w:rsidR="00931BDE" w:rsidRPr="00066295">
        <w:t xml:space="preserve">spresňuje, že poľnohospodár môže pestovať odrodu konopy siatej uvedenú v osobitnom predpise bez povolenia podľa tohto zákona len v prípade, ak pred výsevom podal Pôdohospodárskej platobnej agentúre jednotnú žiadosť o poskytnutie priamych platieb v kalendárnom roku, v ktorom bude túto odrodu konopy siatej pestovať a platobná agentúra jeho žiadosť </w:t>
      </w:r>
      <w:r w:rsidR="00D55951">
        <w:t>prijala</w:t>
      </w:r>
      <w:r w:rsidR="00931BDE" w:rsidRPr="00066295">
        <w:t xml:space="preserve">. </w:t>
      </w:r>
    </w:p>
    <w:p w14:paraId="51FF63D0" w14:textId="77777777" w:rsidR="00F83487" w:rsidRPr="00066295" w:rsidRDefault="00F83487" w:rsidP="001D307B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 xml:space="preserve">Navrhuje sa doplniť </w:t>
      </w:r>
      <w:r w:rsidR="00B900C9" w:rsidRPr="00066295">
        <w:rPr>
          <w:b w:val="0"/>
        </w:rPr>
        <w:t xml:space="preserve">§ 15 o nové odseky, ktoré nadväzujú na odsek 3. </w:t>
      </w:r>
    </w:p>
    <w:p w14:paraId="4A5DF359" w14:textId="44FC333C" w:rsidR="00B900C9" w:rsidRPr="00066295" w:rsidRDefault="00B900C9" w:rsidP="001D307B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>V novom odseku 5 sa ukladá poľnohospodárom oznámiť Pôdohospodárskej platobnej agentúre a Ministerstvu zdravotníctva SR údaje o spracovateľskej organizácii, ktorej dodali úrodu a odovzdané množstvo konopy siatej uvedenej v osobitnom predpise,</w:t>
      </w:r>
    </w:p>
    <w:p w14:paraId="7394B767" w14:textId="2C98CFA3" w:rsidR="00285739" w:rsidRPr="00066295" w:rsidRDefault="00B900C9" w:rsidP="00285739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 xml:space="preserve">Cieľom navrhovaných ustanovení je získanie prehľadu o pestovaní a využití </w:t>
      </w:r>
      <w:r w:rsidR="00285739" w:rsidRPr="00066295">
        <w:rPr>
          <w:b w:val="0"/>
        </w:rPr>
        <w:t>konopy siatej uvedenej v osobitnom predpise</w:t>
      </w:r>
      <w:r w:rsidR="00571F87" w:rsidRPr="00066295">
        <w:rPr>
          <w:b w:val="0"/>
        </w:rPr>
        <w:t xml:space="preserve"> a pestovanej podľa § 15 ods. 3</w:t>
      </w:r>
      <w:r w:rsidR="00285739" w:rsidRPr="00066295">
        <w:rPr>
          <w:b w:val="0"/>
        </w:rPr>
        <w:t>.</w:t>
      </w:r>
    </w:p>
    <w:p w14:paraId="2BEE8936" w14:textId="4244611D" w:rsidR="00CB75B7" w:rsidRPr="00066295" w:rsidRDefault="00CB75B7" w:rsidP="00CB75B7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lastRenderedPageBreak/>
        <w:t>V záujme právnej istoty a jednoznačnosti sa navrhuje nové znenie § 15 ods.</w:t>
      </w:r>
      <w:r w:rsidR="00946376" w:rsidRPr="00066295">
        <w:rPr>
          <w:b w:val="0"/>
        </w:rPr>
        <w:t xml:space="preserve"> </w:t>
      </w:r>
      <w:r w:rsidRPr="00066295">
        <w:rPr>
          <w:b w:val="0"/>
        </w:rPr>
        <w:t xml:space="preserve">4. Jednoznačne sa určuje, že za spracovateľskú organizáciu, ktorej </w:t>
      </w:r>
      <w:r w:rsidR="00571F87" w:rsidRPr="00066295">
        <w:rPr>
          <w:b w:val="0"/>
        </w:rPr>
        <w:t>dodáva</w:t>
      </w:r>
      <w:r w:rsidRPr="00066295">
        <w:rPr>
          <w:b w:val="0"/>
        </w:rPr>
        <w:t xml:space="preserve"> pestovateľ konop</w:t>
      </w:r>
      <w:r w:rsidR="00571F87" w:rsidRPr="00066295">
        <w:rPr>
          <w:b w:val="0"/>
        </w:rPr>
        <w:t>nej rastliny</w:t>
      </w:r>
      <w:r w:rsidRPr="00066295">
        <w:rPr>
          <w:b w:val="0"/>
        </w:rPr>
        <w:t xml:space="preserve"> úrodu konop</w:t>
      </w:r>
      <w:r w:rsidR="00571F87" w:rsidRPr="00066295">
        <w:rPr>
          <w:b w:val="0"/>
        </w:rPr>
        <w:t>nej rastliny</w:t>
      </w:r>
      <w:r w:rsidRPr="00066295">
        <w:rPr>
          <w:b w:val="0"/>
        </w:rPr>
        <w:t xml:space="preserve"> sa považuje držiteľ povolenia na výrobu alebo držiteľ povolenia na spracovanie</w:t>
      </w:r>
      <w:r w:rsidR="009E6557" w:rsidRPr="00066295">
        <w:rPr>
          <w:b w:val="0"/>
        </w:rPr>
        <w:t xml:space="preserve"> podľa tohto zákona</w:t>
      </w:r>
      <w:r w:rsidR="00EA2A11" w:rsidRPr="00066295">
        <w:rPr>
          <w:b w:val="0"/>
        </w:rPr>
        <w:t xml:space="preserve"> alebo podľa právnych predpisov štátu, v ktorom má spracovateľská organizácia miesto výkonu činnosti</w:t>
      </w:r>
      <w:r w:rsidRPr="00066295">
        <w:rPr>
          <w:b w:val="0"/>
        </w:rPr>
        <w:t>.</w:t>
      </w:r>
    </w:p>
    <w:p w14:paraId="440882CF" w14:textId="11D9924E" w:rsidR="00DA7327" w:rsidRPr="00066295" w:rsidRDefault="00DA7327" w:rsidP="00CB75B7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>Cieľom nového znenia odseku 5 je uložiť držiteľovi povolenia povinnosť zaobchádzať s</w:t>
      </w:r>
      <w:r w:rsidR="00571F87" w:rsidRPr="00066295">
        <w:rPr>
          <w:b w:val="0"/>
        </w:rPr>
        <w:t> </w:t>
      </w:r>
      <w:r w:rsidRPr="00066295">
        <w:rPr>
          <w:b w:val="0"/>
        </w:rPr>
        <w:t>konop</w:t>
      </w:r>
      <w:r w:rsidR="00571F87" w:rsidRPr="00066295">
        <w:rPr>
          <w:b w:val="0"/>
        </w:rPr>
        <w:t>n</w:t>
      </w:r>
      <w:r w:rsidRPr="00066295">
        <w:rPr>
          <w:b w:val="0"/>
        </w:rPr>
        <w:t>ou</w:t>
      </w:r>
      <w:r w:rsidR="00571F87" w:rsidRPr="00066295">
        <w:rPr>
          <w:b w:val="0"/>
        </w:rPr>
        <w:t xml:space="preserve"> rastlinou</w:t>
      </w:r>
      <w:r w:rsidRPr="00066295">
        <w:rPr>
          <w:b w:val="0"/>
        </w:rPr>
        <w:t xml:space="preserve"> len v povolenom druhu a rozsahu činnosti.</w:t>
      </w:r>
    </w:p>
    <w:p w14:paraId="1BDEBDF2" w14:textId="7EE5ECDB" w:rsidR="005F32AD" w:rsidRPr="00066295" w:rsidRDefault="005F32AD" w:rsidP="005F32AD">
      <w:pPr>
        <w:pStyle w:val="Nzov"/>
        <w:spacing w:line="360" w:lineRule="auto"/>
        <w:jc w:val="both"/>
      </w:pPr>
    </w:p>
    <w:p w14:paraId="545075D0" w14:textId="71E4D8B5" w:rsidR="000B0070" w:rsidRPr="00066295" w:rsidRDefault="000B0070" w:rsidP="005F32AD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</w:rPr>
        <w:t>K bod</w:t>
      </w:r>
      <w:r w:rsidR="00CB75B7" w:rsidRPr="00066295">
        <w:rPr>
          <w:b w:val="0"/>
        </w:rPr>
        <w:t>u</w:t>
      </w:r>
      <w:r w:rsidRPr="00066295">
        <w:rPr>
          <w:b w:val="0"/>
        </w:rPr>
        <w:t xml:space="preserve"> </w:t>
      </w:r>
      <w:r w:rsidR="0009183C" w:rsidRPr="00066295">
        <w:rPr>
          <w:b w:val="0"/>
        </w:rPr>
        <w:t>8</w:t>
      </w:r>
    </w:p>
    <w:p w14:paraId="7A4AA76A" w14:textId="1C015167" w:rsidR="00C3280D" w:rsidRPr="00066295" w:rsidRDefault="00C3280D" w:rsidP="00C3280D">
      <w:pPr>
        <w:pStyle w:val="Nzov"/>
        <w:spacing w:line="360" w:lineRule="auto"/>
        <w:ind w:firstLine="993"/>
        <w:jc w:val="both"/>
        <w:rPr>
          <w:b w:val="0"/>
        </w:rPr>
      </w:pPr>
      <w:r w:rsidRPr="00066295">
        <w:rPr>
          <w:b w:val="0"/>
        </w:rPr>
        <w:t>Navrhuje sa nové znenie § 16 ods. 2. Ide o ustanovenie vzťahujúce sa na pestovateľov maku siateho, ktorí pestujú mak bez povolenia na potravinárske účely na ploche menšej ako 100 m</w:t>
      </w:r>
      <w:r w:rsidRPr="00066295">
        <w:rPr>
          <w:b w:val="0"/>
          <w:vertAlign w:val="superscript"/>
        </w:rPr>
        <w:t>2</w:t>
      </w:r>
      <w:r w:rsidRPr="00066295">
        <w:rPr>
          <w:b w:val="0"/>
        </w:rPr>
        <w:t>. Jednoznačne sa určuje, že pestovateľ je povinný makovú slamu zneškodniť  bezodkladným zapracovaním do pôdy alebo ju odovzdať spracovateľskej organizácii, ktorá musí byť držiteľom povolenia na výrobu podľa § 9 ods. 1 písm. b).</w:t>
      </w:r>
    </w:p>
    <w:p w14:paraId="799CA073" w14:textId="77777777" w:rsidR="00C3280D" w:rsidRPr="00066295" w:rsidRDefault="00C3280D" w:rsidP="00C3280D">
      <w:pPr>
        <w:pStyle w:val="Nzov"/>
        <w:spacing w:line="360" w:lineRule="auto"/>
        <w:ind w:firstLine="993"/>
        <w:jc w:val="both"/>
        <w:rPr>
          <w:b w:val="0"/>
        </w:rPr>
      </w:pPr>
    </w:p>
    <w:p w14:paraId="2C4B1D70" w14:textId="735A9674" w:rsidR="00C3280D" w:rsidRPr="00066295" w:rsidRDefault="00C3280D" w:rsidP="00C3280D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</w:rPr>
        <w:t xml:space="preserve">K bodu </w:t>
      </w:r>
      <w:r w:rsidR="0009183C" w:rsidRPr="00066295">
        <w:rPr>
          <w:b w:val="0"/>
        </w:rPr>
        <w:t>9</w:t>
      </w:r>
    </w:p>
    <w:p w14:paraId="16A7D674" w14:textId="4123894B" w:rsidR="000B0070" w:rsidRPr="00066295" w:rsidRDefault="000B0070" w:rsidP="00DA7327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 xml:space="preserve">V záujme právnej istoty a jednoznačnosti sa </w:t>
      </w:r>
      <w:r w:rsidR="00CB75B7" w:rsidRPr="00066295">
        <w:rPr>
          <w:b w:val="0"/>
        </w:rPr>
        <w:t>navrhuje nové znenie § 16 ods.4. Jednoznačne sa určuje, že za spracovateľskú organizáciu, ktorej odovzdáva pestovateľ maku siateho úrodu maku siateho sa považuje</w:t>
      </w:r>
      <w:r w:rsidRPr="00066295">
        <w:rPr>
          <w:b w:val="0"/>
        </w:rPr>
        <w:t xml:space="preserve"> držiteľ povolenia na výrobu </w:t>
      </w:r>
      <w:r w:rsidR="00CB75B7" w:rsidRPr="00066295">
        <w:rPr>
          <w:b w:val="0"/>
        </w:rPr>
        <w:t>alebo držiteľ povolenia na spracovanie.</w:t>
      </w:r>
    </w:p>
    <w:p w14:paraId="56D7B85E" w14:textId="77777777" w:rsidR="00966C17" w:rsidRPr="00066295" w:rsidRDefault="00966C17" w:rsidP="00966C17">
      <w:pPr>
        <w:pStyle w:val="Nzov"/>
        <w:spacing w:line="360" w:lineRule="auto"/>
        <w:jc w:val="both"/>
        <w:rPr>
          <w:b w:val="0"/>
          <w:bCs w:val="0"/>
        </w:rPr>
      </w:pPr>
    </w:p>
    <w:p w14:paraId="236B9546" w14:textId="754AE656" w:rsidR="00966C17" w:rsidRPr="00066295" w:rsidRDefault="00966C17" w:rsidP="00966C17">
      <w:pPr>
        <w:pStyle w:val="Nzov"/>
        <w:spacing w:line="360" w:lineRule="auto"/>
        <w:jc w:val="both"/>
        <w:rPr>
          <w:b w:val="0"/>
          <w:bCs w:val="0"/>
        </w:rPr>
      </w:pPr>
      <w:r w:rsidRPr="00066295">
        <w:rPr>
          <w:b w:val="0"/>
          <w:bCs w:val="0"/>
        </w:rPr>
        <w:t xml:space="preserve">K bodu </w:t>
      </w:r>
      <w:r w:rsidR="0009183C" w:rsidRPr="00066295">
        <w:rPr>
          <w:b w:val="0"/>
          <w:bCs w:val="0"/>
        </w:rPr>
        <w:t>10</w:t>
      </w:r>
    </w:p>
    <w:p w14:paraId="7D4CE59C" w14:textId="6F34EF9B" w:rsidR="00966C17" w:rsidRPr="00066295" w:rsidRDefault="00966C17" w:rsidP="00966C17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>V záujme zníženia administratívnej náročnosti navrhuje sa oznamovať výsledky inventarizácie len v prípadoch zistenia straty omamnej alebo psychotropnej látky.</w:t>
      </w:r>
    </w:p>
    <w:p w14:paraId="417E82B0" w14:textId="518D526E" w:rsidR="000F5465" w:rsidRPr="00066295" w:rsidRDefault="000F5465" w:rsidP="000F5465">
      <w:pPr>
        <w:pStyle w:val="Nzov"/>
        <w:spacing w:line="360" w:lineRule="auto"/>
        <w:jc w:val="both"/>
        <w:rPr>
          <w:b w:val="0"/>
          <w:bCs w:val="0"/>
        </w:rPr>
      </w:pPr>
    </w:p>
    <w:p w14:paraId="35A03382" w14:textId="5573575E" w:rsidR="00E40CE6" w:rsidRPr="00066295" w:rsidRDefault="00E40CE6" w:rsidP="000F5465">
      <w:pPr>
        <w:pStyle w:val="Nzov"/>
        <w:spacing w:line="360" w:lineRule="auto"/>
        <w:jc w:val="both"/>
        <w:rPr>
          <w:b w:val="0"/>
          <w:bCs w:val="0"/>
        </w:rPr>
      </w:pPr>
      <w:r w:rsidRPr="00066295">
        <w:rPr>
          <w:b w:val="0"/>
          <w:bCs w:val="0"/>
        </w:rPr>
        <w:t>K bodu 1</w:t>
      </w:r>
      <w:r w:rsidR="0009183C" w:rsidRPr="00066295">
        <w:rPr>
          <w:b w:val="0"/>
          <w:bCs w:val="0"/>
        </w:rPr>
        <w:t>1</w:t>
      </w:r>
    </w:p>
    <w:p w14:paraId="302091D1" w14:textId="7D8EE627" w:rsidR="00E40CE6" w:rsidRPr="00066295" w:rsidRDefault="00E40CE6" w:rsidP="00E40CE6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  <w:bCs w:val="0"/>
        </w:rPr>
        <w:t xml:space="preserve">Legislatívno-technická úprava v súvislosti so zavedením legislatívnej skratky pre </w:t>
      </w:r>
      <w:r w:rsidR="0009183C" w:rsidRPr="00066295">
        <w:rPr>
          <w:b w:val="0"/>
        </w:rPr>
        <w:t>P</w:t>
      </w:r>
      <w:r w:rsidRPr="00066295">
        <w:rPr>
          <w:b w:val="0"/>
        </w:rPr>
        <w:t>latobnú agentúru  v § 15 ods. 4. Je potrebné upraviť aj § 34 písmeno d).</w:t>
      </w:r>
    </w:p>
    <w:p w14:paraId="5958E403" w14:textId="77777777" w:rsidR="00E40CE6" w:rsidRPr="00066295" w:rsidRDefault="00E40CE6" w:rsidP="00E40CE6">
      <w:pPr>
        <w:pStyle w:val="Nzov"/>
        <w:spacing w:line="360" w:lineRule="auto"/>
        <w:ind w:firstLine="851"/>
        <w:jc w:val="both"/>
        <w:rPr>
          <w:b w:val="0"/>
          <w:bCs w:val="0"/>
        </w:rPr>
      </w:pPr>
    </w:p>
    <w:p w14:paraId="1534DECA" w14:textId="5501E66A" w:rsidR="000F5465" w:rsidRDefault="000F5465" w:rsidP="000F5465">
      <w:pPr>
        <w:pStyle w:val="Nzov"/>
        <w:spacing w:line="360" w:lineRule="auto"/>
        <w:jc w:val="both"/>
        <w:rPr>
          <w:b w:val="0"/>
          <w:bCs w:val="0"/>
        </w:rPr>
      </w:pPr>
      <w:r w:rsidRPr="00066295">
        <w:rPr>
          <w:b w:val="0"/>
          <w:bCs w:val="0"/>
        </w:rPr>
        <w:t xml:space="preserve">K bodu </w:t>
      </w:r>
      <w:r w:rsidR="00C3280D" w:rsidRPr="00066295">
        <w:rPr>
          <w:b w:val="0"/>
          <w:bCs w:val="0"/>
        </w:rPr>
        <w:t>1</w:t>
      </w:r>
      <w:r w:rsidR="0009183C" w:rsidRPr="00066295">
        <w:rPr>
          <w:b w:val="0"/>
          <w:bCs w:val="0"/>
        </w:rPr>
        <w:t>2</w:t>
      </w:r>
    </w:p>
    <w:p w14:paraId="44F15117" w14:textId="38F7B293" w:rsidR="000D02A9" w:rsidRDefault="000D02A9" w:rsidP="000D02A9">
      <w:pPr>
        <w:pStyle w:val="Nzov"/>
        <w:spacing w:line="360" w:lineRule="auto"/>
        <w:ind w:left="851"/>
        <w:jc w:val="both"/>
        <w:rPr>
          <w:b w:val="0"/>
          <w:bCs w:val="0"/>
        </w:rPr>
      </w:pPr>
      <w:r>
        <w:rPr>
          <w:b w:val="0"/>
          <w:bCs w:val="0"/>
        </w:rPr>
        <w:t>Legislatívno-technická úprava</w:t>
      </w:r>
    </w:p>
    <w:p w14:paraId="5735DF36" w14:textId="77777777" w:rsidR="000D02A9" w:rsidRPr="00066295" w:rsidRDefault="000D02A9" w:rsidP="000D02A9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</w:rPr>
        <w:t>K bodu 13</w:t>
      </w:r>
    </w:p>
    <w:p w14:paraId="1B0F0E09" w14:textId="77777777" w:rsidR="000D02A9" w:rsidRPr="00066295" w:rsidRDefault="000D02A9" w:rsidP="000F5465">
      <w:pPr>
        <w:pStyle w:val="Nzov"/>
        <w:spacing w:line="360" w:lineRule="auto"/>
        <w:jc w:val="both"/>
        <w:rPr>
          <w:b w:val="0"/>
          <w:bCs w:val="0"/>
        </w:rPr>
      </w:pPr>
    </w:p>
    <w:p w14:paraId="6BBDFA1F" w14:textId="7DC50031" w:rsidR="000F5465" w:rsidRPr="00066295" w:rsidRDefault="000F5465" w:rsidP="000F5465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>Navrhuje sa vypustiť v § 35 z kompetencie Ministerstva zdravotníctva SR zverejňovanie zoznamu držiteľov povolení</w:t>
      </w:r>
      <w:r w:rsidR="00571F87" w:rsidRPr="00066295">
        <w:rPr>
          <w:b w:val="0"/>
        </w:rPr>
        <w:t xml:space="preserve"> s uvedením</w:t>
      </w:r>
      <w:r w:rsidRPr="00066295">
        <w:rPr>
          <w:b w:val="0"/>
        </w:rPr>
        <w:t xml:space="preserve"> druh</w:t>
      </w:r>
      <w:r w:rsidR="00571F87" w:rsidRPr="00066295">
        <w:rPr>
          <w:b w:val="0"/>
        </w:rPr>
        <w:t>u</w:t>
      </w:r>
      <w:r w:rsidRPr="00066295">
        <w:rPr>
          <w:b w:val="0"/>
        </w:rPr>
        <w:t xml:space="preserve"> činnosti, na ktorú bolo vydané povolenie</w:t>
      </w:r>
      <w:r w:rsidR="00571F87" w:rsidRPr="00066295">
        <w:rPr>
          <w:b w:val="0"/>
        </w:rPr>
        <w:t xml:space="preserve"> a</w:t>
      </w:r>
      <w:r w:rsidRPr="00066295">
        <w:rPr>
          <w:b w:val="0"/>
        </w:rPr>
        <w:t xml:space="preserve"> zmeny údajov uvedených v povolení, dočasné pozastavenie činnosti a zrušenie alebo zánik povolenia vo Vestníku Ministerstva zdravotníctva Slovenskej republiky. Ministerstvo zdravotníctva SR z dôvodu ochrany a bezpečnosti  držiteľov povolení takéto zoznamy nezverejňovalo a preto navrhuje zrušiť túto právomoc.</w:t>
      </w:r>
    </w:p>
    <w:p w14:paraId="1F734B45" w14:textId="77777777" w:rsidR="000D02A9" w:rsidRDefault="000D02A9" w:rsidP="000D02A9">
      <w:pPr>
        <w:pStyle w:val="Nzov"/>
        <w:spacing w:line="360" w:lineRule="auto"/>
        <w:jc w:val="both"/>
        <w:rPr>
          <w:b w:val="0"/>
        </w:rPr>
      </w:pPr>
    </w:p>
    <w:p w14:paraId="10D0A74B" w14:textId="48271C3E" w:rsidR="000D02A9" w:rsidRPr="00066295" w:rsidRDefault="000D02A9" w:rsidP="000D02A9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</w:rPr>
        <w:t>K bodu 14</w:t>
      </w:r>
    </w:p>
    <w:p w14:paraId="64623C12" w14:textId="77777777" w:rsidR="00D30C75" w:rsidRPr="00066295" w:rsidRDefault="00D30C75" w:rsidP="007357A2">
      <w:pPr>
        <w:pStyle w:val="Nzov"/>
        <w:spacing w:line="360" w:lineRule="auto"/>
        <w:ind w:firstLine="851"/>
        <w:jc w:val="both"/>
        <w:rPr>
          <w:b w:val="0"/>
        </w:rPr>
      </w:pPr>
      <w:proofErr w:type="spellStart"/>
      <w:r w:rsidRPr="00066295">
        <w:rPr>
          <w:b w:val="0"/>
        </w:rPr>
        <w:t>Legislatívno</w:t>
      </w:r>
      <w:proofErr w:type="spellEnd"/>
      <w:r w:rsidRPr="00066295">
        <w:rPr>
          <w:b w:val="0"/>
        </w:rPr>
        <w:t xml:space="preserve"> - technická úprava súvisiaca s</w:t>
      </w:r>
      <w:r w:rsidR="007357A2" w:rsidRPr="00066295">
        <w:rPr>
          <w:b w:val="0"/>
        </w:rPr>
        <w:t xml:space="preserve"> vypusten</w:t>
      </w:r>
      <w:r w:rsidRPr="00066295">
        <w:rPr>
          <w:b w:val="0"/>
        </w:rPr>
        <w:t>ím</w:t>
      </w:r>
      <w:r w:rsidR="007357A2" w:rsidRPr="00066295">
        <w:rPr>
          <w:b w:val="0"/>
        </w:rPr>
        <w:t xml:space="preserve"> slova „zmluvnej“</w:t>
      </w:r>
      <w:r w:rsidRPr="00066295">
        <w:rPr>
          <w:b w:val="0"/>
        </w:rPr>
        <w:t xml:space="preserve"> vo vzťahu k spracovateľskej organizácii.</w:t>
      </w:r>
    </w:p>
    <w:p w14:paraId="4B96EA0A" w14:textId="45ABA192" w:rsidR="007357A2" w:rsidRPr="00066295" w:rsidRDefault="007357A2" w:rsidP="007357A2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 xml:space="preserve"> </w:t>
      </w:r>
    </w:p>
    <w:p w14:paraId="7B2AFFEB" w14:textId="674B029B" w:rsidR="000D02A9" w:rsidRDefault="000D02A9" w:rsidP="000D02A9">
      <w:pPr>
        <w:pStyle w:val="Nzov"/>
        <w:spacing w:line="360" w:lineRule="auto"/>
        <w:jc w:val="both"/>
        <w:rPr>
          <w:b w:val="0"/>
        </w:rPr>
      </w:pPr>
      <w:r>
        <w:rPr>
          <w:b w:val="0"/>
        </w:rPr>
        <w:t>K bodu 15</w:t>
      </w:r>
    </w:p>
    <w:p w14:paraId="3F5B11B1" w14:textId="3E9F2A6A" w:rsidR="00B64F39" w:rsidRPr="00066295" w:rsidRDefault="00B64F39" w:rsidP="00B64F39">
      <w:pPr>
        <w:pStyle w:val="Nzov"/>
        <w:spacing w:line="360" w:lineRule="auto"/>
        <w:ind w:firstLine="993"/>
        <w:jc w:val="both"/>
        <w:rPr>
          <w:b w:val="0"/>
        </w:rPr>
      </w:pPr>
      <w:r w:rsidRPr="00066295">
        <w:rPr>
          <w:b w:val="0"/>
        </w:rPr>
        <w:t>Vzhľadom na doplnenie požiadavky, aby žiadateľ o vydanie povolenia na pestovanie podľa § 9 ods. 1 písm. a)  preukázal, že spracovateľská organizácia má platné povolenie na spracovanie pestovanej rastliny s obsahom omamnej a </w:t>
      </w:r>
      <w:proofErr w:type="spellStart"/>
      <w:r w:rsidRPr="00066295">
        <w:rPr>
          <w:b w:val="0"/>
        </w:rPr>
        <w:t>psychoptropnej</w:t>
      </w:r>
      <w:proofErr w:type="spellEnd"/>
      <w:r w:rsidRPr="00066295">
        <w:rPr>
          <w:b w:val="0"/>
        </w:rPr>
        <w:t xml:space="preserve"> látky, navrhujú sa prechodné </w:t>
      </w:r>
      <w:r w:rsidR="00907D13" w:rsidRPr="00066295">
        <w:rPr>
          <w:b w:val="0"/>
        </w:rPr>
        <w:t>ustanovenia k vydaným povoleniam a konaniam začatých pred nadobudnutím účinnosti tohto zákona.</w:t>
      </w:r>
    </w:p>
    <w:p w14:paraId="620764AA" w14:textId="77777777" w:rsidR="00B64F39" w:rsidRPr="00066295" w:rsidRDefault="00B64F39" w:rsidP="00B64F39">
      <w:pPr>
        <w:pStyle w:val="Nzov"/>
        <w:spacing w:line="360" w:lineRule="auto"/>
        <w:ind w:firstLine="993"/>
        <w:jc w:val="both"/>
        <w:rPr>
          <w:b w:val="0"/>
        </w:rPr>
      </w:pPr>
    </w:p>
    <w:p w14:paraId="1540EB5D" w14:textId="6FACEA43" w:rsidR="006E69D5" w:rsidRPr="00066295" w:rsidRDefault="006E69D5" w:rsidP="006E69D5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  <w:bCs w:val="0"/>
        </w:rPr>
        <w:t xml:space="preserve">K bodu </w:t>
      </w:r>
      <w:r w:rsidR="00A93AE9" w:rsidRPr="00066295">
        <w:rPr>
          <w:b w:val="0"/>
          <w:bCs w:val="0"/>
        </w:rPr>
        <w:t>1</w:t>
      </w:r>
      <w:r w:rsidR="000D02A9">
        <w:rPr>
          <w:b w:val="0"/>
          <w:bCs w:val="0"/>
        </w:rPr>
        <w:t>6</w:t>
      </w:r>
    </w:p>
    <w:p w14:paraId="7691FE49" w14:textId="34D4227F" w:rsidR="006E69D5" w:rsidRPr="00066295" w:rsidRDefault="006E69D5" w:rsidP="006E69D5">
      <w:pPr>
        <w:spacing w:line="360" w:lineRule="auto"/>
        <w:ind w:firstLine="708"/>
        <w:jc w:val="both"/>
      </w:pPr>
      <w:r w:rsidRPr="00066295">
        <w:t xml:space="preserve">Na základe rozhodnutia prijatého na 62. zasadnutí Komisie pre omamné látky Úradu OSN pre omamné látky a kriminalitu dňa 19. 3.2019 sa navrhuje zaradiť dve látky: látku </w:t>
      </w:r>
      <w:r w:rsidRPr="00066295">
        <w:rPr>
          <w:noProof/>
        </w:rPr>
        <w:t>Orto-fluórfentanyl</w:t>
      </w:r>
      <w:r w:rsidRPr="00066295">
        <w:t xml:space="preserve"> a látku Para</w:t>
      </w:r>
      <w:r w:rsidRPr="00066295">
        <w:rPr>
          <w:noProof/>
        </w:rPr>
        <w:t>-fluór-</w:t>
      </w:r>
      <w:proofErr w:type="spellStart"/>
      <w:r w:rsidRPr="00066295">
        <w:rPr>
          <w:noProof/>
        </w:rPr>
        <w:t>butyrylfentanyl</w:t>
      </w:r>
      <w:proofErr w:type="spellEnd"/>
      <w:r w:rsidRPr="00066295">
        <w:t xml:space="preserve"> medzi omamné látky I. skupiny.</w:t>
      </w:r>
    </w:p>
    <w:p w14:paraId="59D53CDD" w14:textId="77777777" w:rsidR="006E69D5" w:rsidRPr="00066295" w:rsidRDefault="006E69D5" w:rsidP="006E69D5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t>Podľa hodnotenia odborného výboru je látka Orto-fluórfentanyl</w:t>
      </w:r>
      <w:r w:rsidRPr="00066295">
        <w:t xml:space="preserve"> </w:t>
      </w:r>
      <w:r w:rsidRPr="00066295">
        <w:rPr>
          <w:noProof/>
        </w:rPr>
        <w:t xml:space="preserve">syntetický opioid a je štruktúrou podobná fentanylu, kontrolovanej látke, ktorá sa bežne používa v medicíne pri celkovej anestézii počas operácií a na tlmenie bolesti. </w:t>
      </w:r>
    </w:p>
    <w:p w14:paraId="648CDE59" w14:textId="77777777" w:rsidR="006E69D5" w:rsidRPr="00066295" w:rsidRDefault="006E69D5" w:rsidP="006E69D5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t xml:space="preserve">Látka Orto-fluórfentanyl nemá žiadne zaznamenané terapeutické použitie a jej používanie spôsobilo úmrtia. Existujú dostatočné dôkazy, že látka Orto-fluórfentanyl sa zneužíva alebo sa môže pravdepodobne zneužívať a môže sa stať verejným zdravotným a sociálnym problémom, čo opodstatňuje zaradenie uvedenej látky pod medzinárodnú kontrolu. </w:t>
      </w:r>
    </w:p>
    <w:p w14:paraId="0B3AE409" w14:textId="77777777" w:rsidR="006E69D5" w:rsidRPr="00066295" w:rsidRDefault="006E69D5" w:rsidP="006E69D5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lastRenderedPageBreak/>
        <w:t>Látku Orto-fluórfentanyl monitoruje EMCDDA ako novú psychoaktívnu látku v zmysle nariadenia (ES) č. 1920/2006. Látka Orto-fluórfentanyl bola zistená v piatich členských štátoch EÚ a kontroluje sa najmenej v štyroch členských štátoch EÚ. Spája sa s najmenej štyrmi prípadmi úmrtia a dvoma prípadmi akútnej intoxikácie.</w:t>
      </w:r>
    </w:p>
    <w:p w14:paraId="6D4AEFBA" w14:textId="77777777" w:rsidR="006E69D5" w:rsidRPr="00066295" w:rsidRDefault="006E69D5" w:rsidP="006E69D5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t xml:space="preserve">Podľa hodnotenia odborného výboru je </w:t>
      </w:r>
      <w:r w:rsidRPr="00066295">
        <w:t xml:space="preserve">látka </w:t>
      </w:r>
      <w:r w:rsidRPr="00066295">
        <w:rPr>
          <w:szCs w:val="24"/>
        </w:rPr>
        <w:t>Para</w:t>
      </w:r>
      <w:r w:rsidRPr="00066295">
        <w:rPr>
          <w:noProof/>
          <w:szCs w:val="24"/>
        </w:rPr>
        <w:t>-fluór-</w:t>
      </w:r>
      <w:proofErr w:type="spellStart"/>
      <w:r w:rsidRPr="00066295">
        <w:rPr>
          <w:noProof/>
          <w:szCs w:val="24"/>
        </w:rPr>
        <w:t>butyrylfentanyl</w:t>
      </w:r>
      <w:proofErr w:type="spellEnd"/>
      <w:r w:rsidRPr="00066295">
        <w:t xml:space="preserve"> </w:t>
      </w:r>
      <w:r w:rsidRPr="00066295">
        <w:rPr>
          <w:noProof/>
        </w:rPr>
        <w:t>syntetický opioid a je štruktúrou podobná fentanylu, kontrolovanej látke, ktorá sa bežne používa v medicíne pri celkovej anestézii počas operácií a na tlmenie bolesti.</w:t>
      </w:r>
    </w:p>
    <w:p w14:paraId="6EDBB731" w14:textId="77777777" w:rsidR="006E69D5" w:rsidRPr="00066295" w:rsidRDefault="006E69D5" w:rsidP="006E69D5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t xml:space="preserve">Látka Para-fluór-butyrylfentanyl by sa mohla transformovať na svoj izomér Para-fluór-izobutyrylfentanyl, ktorý je uvedený v Zozname I Jednotného dohovoru OSN o omamných látkach. </w:t>
      </w:r>
    </w:p>
    <w:p w14:paraId="7E0FC01E" w14:textId="77777777" w:rsidR="006E69D5" w:rsidRPr="00066295" w:rsidRDefault="006E69D5" w:rsidP="006E69D5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t xml:space="preserve">Látka Para-fluór-butyrylfentanyl nemá žiadne zaznamenané terapeutické použitie a jej používanie spôsobilo úmrtia. Existujú dostatočné dôkazy, že látka Para-fluór-butyrylfentanyl sa zneužíva alebo sa môže pravdepodobne zneužívať a môže sa stať verejným zdravotným a sociálnym problémom, čo opodstatňuje zaradenie uvedenej látky pod medzinárodnú kontrolu. </w:t>
      </w:r>
    </w:p>
    <w:p w14:paraId="3D4A3FB3" w14:textId="77777777" w:rsidR="006E69D5" w:rsidRPr="00066295" w:rsidRDefault="006E69D5" w:rsidP="006E69D5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t>Látku Para-fluór-butyrylfentanyl monitoruje EMCDDA ako novú psychoaktívnu látku v zmysle nariadenia (ES) č. 1920/2006 (pod názvom 4-fluór-butyrfentanyl/4F-B). Látka Para-fluór-butyrylfentanyl bola zistená v siedmich členských štátoch EÚ a kontroluje sa najmenej v siedmich členských štátoch EÚ. Otvorene sa predáva na trhu. Spája sa najmenej s tromi prípadmi úmrtia.</w:t>
      </w:r>
    </w:p>
    <w:p w14:paraId="647A9928" w14:textId="77777777" w:rsidR="006E69D5" w:rsidRPr="00066295" w:rsidRDefault="006E69D5" w:rsidP="006E69D5">
      <w:pPr>
        <w:pStyle w:val="ManualConsidrant"/>
        <w:spacing w:line="360" w:lineRule="auto"/>
        <w:ind w:left="0" w:firstLine="709"/>
        <w:rPr>
          <w:noProof/>
        </w:rPr>
      </w:pPr>
    </w:p>
    <w:p w14:paraId="7BE9C983" w14:textId="028C4EB6" w:rsidR="00B80269" w:rsidRPr="00066295" w:rsidRDefault="00B80269" w:rsidP="00B80269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</w:rPr>
        <w:t>K bodu 1</w:t>
      </w:r>
      <w:r w:rsidR="000D02A9">
        <w:rPr>
          <w:b w:val="0"/>
        </w:rPr>
        <w:t>7</w:t>
      </w:r>
    </w:p>
    <w:p w14:paraId="439BA583" w14:textId="584F08D4" w:rsidR="00B80269" w:rsidRPr="00066295" w:rsidRDefault="00B80269" w:rsidP="001D307B">
      <w:pPr>
        <w:spacing w:before="100" w:beforeAutospacing="1" w:after="100" w:afterAutospacing="1" w:line="360" w:lineRule="auto"/>
        <w:ind w:firstLine="709"/>
        <w:jc w:val="both"/>
      </w:pPr>
      <w:r w:rsidRPr="00066295">
        <w:t xml:space="preserve">Dodatočne sa spresňuje, že na živicu z rastlín rodu </w:t>
      </w:r>
      <w:proofErr w:type="spellStart"/>
      <w:r w:rsidRPr="00066295">
        <w:t>Cannabis</w:t>
      </w:r>
      <w:proofErr w:type="spellEnd"/>
      <w:r w:rsidRPr="00066295">
        <w:t xml:space="preserve"> (konopa) vyrobenú z odrôd konopy siatej uvedených v Spoločnom katalógu odrôd poľnohospodárskych </w:t>
      </w:r>
      <w:r w:rsidR="00ED127B" w:rsidRPr="00066295">
        <w:t xml:space="preserve">rastlinných druhov sa nevzťahuje zákon o omamných a psychotropných látkach. obdobne ako pri riadku Rastliny rodu </w:t>
      </w:r>
      <w:proofErr w:type="spellStart"/>
      <w:r w:rsidR="00ED127B" w:rsidRPr="00066295">
        <w:t>Cannabis</w:t>
      </w:r>
      <w:proofErr w:type="spellEnd"/>
      <w:r w:rsidR="00ED127B" w:rsidRPr="00066295">
        <w:t xml:space="preserve"> (konopa) a riadku Tinktúra (etanolový výluh) z rastlín rodu </w:t>
      </w:r>
      <w:proofErr w:type="spellStart"/>
      <w:r w:rsidR="00ED127B" w:rsidRPr="00066295">
        <w:t>Cannabis</w:t>
      </w:r>
      <w:proofErr w:type="spellEnd"/>
      <w:r w:rsidR="00ED127B" w:rsidRPr="00066295">
        <w:t xml:space="preserve"> (konopa).</w:t>
      </w:r>
    </w:p>
    <w:p w14:paraId="50B0F7A5" w14:textId="70815841" w:rsidR="006E69D5" w:rsidRPr="00066295" w:rsidRDefault="006E69D5" w:rsidP="00B80269">
      <w:pPr>
        <w:pStyle w:val="Nzov"/>
        <w:spacing w:line="360" w:lineRule="auto"/>
        <w:ind w:firstLine="709"/>
        <w:jc w:val="both"/>
        <w:rPr>
          <w:b w:val="0"/>
        </w:rPr>
      </w:pPr>
    </w:p>
    <w:p w14:paraId="4B29BDB0" w14:textId="60A76ED1" w:rsidR="005F32AD" w:rsidRPr="00066295" w:rsidRDefault="00E421C7" w:rsidP="00B30314">
      <w:pPr>
        <w:pStyle w:val="Nzov"/>
        <w:spacing w:line="360" w:lineRule="auto"/>
        <w:jc w:val="both"/>
        <w:rPr>
          <w:b w:val="0"/>
        </w:rPr>
      </w:pPr>
      <w:r w:rsidRPr="00066295">
        <w:t> </w:t>
      </w:r>
      <w:r w:rsidRPr="00066295">
        <w:rPr>
          <w:b w:val="0"/>
        </w:rPr>
        <w:t>K bod</w:t>
      </w:r>
      <w:r w:rsidR="00042BFA" w:rsidRPr="00066295">
        <w:rPr>
          <w:b w:val="0"/>
        </w:rPr>
        <w:t>u</w:t>
      </w:r>
      <w:r w:rsidRPr="00066295">
        <w:rPr>
          <w:b w:val="0"/>
        </w:rPr>
        <w:t xml:space="preserve"> </w:t>
      </w:r>
      <w:r w:rsidR="002345DB" w:rsidRPr="00066295">
        <w:rPr>
          <w:b w:val="0"/>
        </w:rPr>
        <w:t>1</w:t>
      </w:r>
      <w:r w:rsidR="000D02A9">
        <w:rPr>
          <w:b w:val="0"/>
        </w:rPr>
        <w:t>8</w:t>
      </w:r>
    </w:p>
    <w:p w14:paraId="3BEF32D1" w14:textId="7379F279" w:rsidR="00B30314" w:rsidRPr="00066295" w:rsidRDefault="00B30314" w:rsidP="00B30314">
      <w:pPr>
        <w:spacing w:line="360" w:lineRule="auto"/>
        <w:ind w:firstLine="708"/>
        <w:jc w:val="both"/>
      </w:pPr>
      <w:r w:rsidRPr="00066295">
        <w:lastRenderedPageBreak/>
        <w:t>Na základe rozhodnutia prijatého na 62. zasadnutí Komisie pre omamné látky Úradu OSN pre omamné látky a kriminalitu dňa 1</w:t>
      </w:r>
      <w:r w:rsidR="006E69D5" w:rsidRPr="00066295">
        <w:t>9</w:t>
      </w:r>
      <w:r w:rsidRPr="00066295">
        <w:t xml:space="preserve">. 3.2019 sa navrhuje zaradiť látku </w:t>
      </w:r>
      <w:r w:rsidRPr="00066295">
        <w:rPr>
          <w:noProof/>
        </w:rPr>
        <w:t xml:space="preserve">ADB-FUBINACA, </w:t>
      </w:r>
      <w:r w:rsidRPr="00066295">
        <w:t>medzi psychotropné látky I. skupiny.</w:t>
      </w:r>
    </w:p>
    <w:p w14:paraId="0868747C" w14:textId="77777777" w:rsidR="00CA2D5E" w:rsidRPr="00066295" w:rsidRDefault="00127832" w:rsidP="00871F6D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t xml:space="preserve">Podľa hodnotenia odborného výboru pre drogovú závislosť Svetovej zdravotníckej organizácie (ďalej len „odborný výbor“) </w:t>
      </w:r>
      <w:r w:rsidR="00CA2D5E" w:rsidRPr="00066295">
        <w:rPr>
          <w:noProof/>
          <w:szCs w:val="24"/>
        </w:rPr>
        <w:t>ADB-FUBINACA</w:t>
      </w:r>
      <w:r w:rsidR="00CA2D5E" w:rsidRPr="00066295">
        <w:rPr>
          <w:noProof/>
        </w:rPr>
        <w:t xml:space="preserve"> je </w:t>
      </w:r>
      <w:r w:rsidRPr="00066295">
        <w:rPr>
          <w:noProof/>
        </w:rPr>
        <w:t xml:space="preserve">syntetický agonista kanabinoidných receptorov, ktorý vykazuje podobné účinky ako tetrahydrokanabinol (ďalej len „THC“), ktorý spôsobuje hlavné psychoaktívne účinky kanabisu. </w:t>
      </w:r>
    </w:p>
    <w:p w14:paraId="73838109" w14:textId="23729A42" w:rsidR="00127832" w:rsidRPr="00066295" w:rsidRDefault="00127832" w:rsidP="00871F6D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t xml:space="preserve">Látka ADB-FUBINACA nemá terapeutické použitie ani nezískala povolenie na uvedenie na trh ako liek. Existujú dostatočné dôkazy, že látka ADB-FUBINACA sa zneužíva alebo sa môže pravdepodobne zneužívať a môže sa stať verejným zdravotným a sociálnym problémom, čo opodstatňuje zaradenie uvedenej látky pod medzinárodnú kontrolu. </w:t>
      </w:r>
    </w:p>
    <w:p w14:paraId="20E7BB3F" w14:textId="540CECEE" w:rsidR="00CA2D5E" w:rsidRPr="00066295" w:rsidRDefault="00CA2D5E" w:rsidP="00871F6D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t>Látku ADB-FUBINACA monitoruje Európske monitorovacie centrum pre drogy a drogovú závislosť (EMCDDA) ako novú psychoaktívnu látku v zmysle nariadenia Európskeho parlamentu a Rady (ES) č. 1920/2006. Látka ADB-FUBINACA bola zistená v 19 členských štátoch EÚ a kontroluje sa najmenej v desiatich členských štátoch EÚ. Spája sa s najmenej dvoma prípadmi úmrtia a štyrmi prípadmi akútnej intoxikácie a je predmetom výstrahy v záujme ochrany verejného zdravia zadanej do systému včasného varovania Európskej únie.</w:t>
      </w:r>
    </w:p>
    <w:p w14:paraId="4E2EC332" w14:textId="77777777" w:rsidR="00942BB5" w:rsidRPr="00066295" w:rsidRDefault="00942BB5" w:rsidP="00942BB5">
      <w:pPr>
        <w:pStyle w:val="Nzov"/>
        <w:spacing w:line="360" w:lineRule="auto"/>
        <w:jc w:val="both"/>
        <w:rPr>
          <w:b w:val="0"/>
          <w:bCs w:val="0"/>
        </w:rPr>
      </w:pPr>
    </w:p>
    <w:p w14:paraId="28EEC3E5" w14:textId="78BF6049" w:rsidR="006D33CA" w:rsidRPr="00066295" w:rsidRDefault="00942BB5" w:rsidP="00942BB5">
      <w:pPr>
        <w:pStyle w:val="Nzov"/>
        <w:spacing w:line="360" w:lineRule="auto"/>
        <w:jc w:val="both"/>
        <w:rPr>
          <w:b w:val="0"/>
          <w:bCs w:val="0"/>
        </w:rPr>
      </w:pPr>
      <w:r w:rsidRPr="00066295">
        <w:rPr>
          <w:b w:val="0"/>
          <w:bCs w:val="0"/>
        </w:rPr>
        <w:t>K bodu 1</w:t>
      </w:r>
      <w:r w:rsidR="000D02A9">
        <w:rPr>
          <w:b w:val="0"/>
          <w:bCs w:val="0"/>
        </w:rPr>
        <w:t>9</w:t>
      </w:r>
    </w:p>
    <w:p w14:paraId="580FDD5A" w14:textId="6D0D0249" w:rsidR="00942BB5" w:rsidRPr="00066295" w:rsidRDefault="006D33CA" w:rsidP="006D33CA">
      <w:pPr>
        <w:pStyle w:val="Nzov"/>
        <w:spacing w:line="360" w:lineRule="auto"/>
        <w:ind w:firstLine="567"/>
        <w:jc w:val="both"/>
        <w:rPr>
          <w:b w:val="0"/>
          <w:bCs w:val="0"/>
        </w:rPr>
      </w:pPr>
      <w:r w:rsidRPr="00066295">
        <w:rPr>
          <w:b w:val="0"/>
        </w:rPr>
        <w:t>Na základe p</w:t>
      </w:r>
      <w:r w:rsidR="008341E3" w:rsidRPr="00066295">
        <w:rPr>
          <w:b w:val="0"/>
        </w:rPr>
        <w:t>ripomienky</w:t>
      </w:r>
      <w:r w:rsidRPr="00066295">
        <w:rPr>
          <w:b w:val="0"/>
        </w:rPr>
        <w:t xml:space="preserve"> Ministerstva vnútra SR</w:t>
      </w:r>
      <w:r w:rsidRPr="00066295" w:rsidDel="0009183C">
        <w:rPr>
          <w:b w:val="0"/>
          <w:bCs w:val="0"/>
        </w:rPr>
        <w:t xml:space="preserve"> </w:t>
      </w:r>
      <w:r w:rsidR="008341E3" w:rsidRPr="00066295">
        <w:rPr>
          <w:b w:val="0"/>
          <w:bCs w:val="0"/>
        </w:rPr>
        <w:t xml:space="preserve">v rámci MPK </w:t>
      </w:r>
      <w:r w:rsidRPr="00066295">
        <w:rPr>
          <w:b w:val="0"/>
          <w:bCs w:val="0"/>
        </w:rPr>
        <w:t>sa navrhuje zaradiť látku 4-CEC medzi psychotropné látky I. skupiny.</w:t>
      </w:r>
      <w:r w:rsidRPr="00066295">
        <w:rPr>
          <w:b w:val="0"/>
        </w:rPr>
        <w:t xml:space="preserve"> Má stimulačné účinky podobné 4-MMC (</w:t>
      </w:r>
      <w:proofErr w:type="spellStart"/>
      <w:r w:rsidRPr="00066295">
        <w:rPr>
          <w:b w:val="0"/>
        </w:rPr>
        <w:t>mefedrón</w:t>
      </w:r>
      <w:proofErr w:type="spellEnd"/>
      <w:r w:rsidRPr="00066295">
        <w:rPr>
          <w:b w:val="0"/>
        </w:rPr>
        <w:t xml:space="preserve">) alebo </w:t>
      </w:r>
      <w:proofErr w:type="spellStart"/>
      <w:r w:rsidRPr="00066295">
        <w:rPr>
          <w:b w:val="0"/>
        </w:rPr>
        <w:t>khatu</w:t>
      </w:r>
      <w:proofErr w:type="spellEnd"/>
      <w:r w:rsidRPr="00066295">
        <w:rPr>
          <w:b w:val="0"/>
        </w:rPr>
        <w:t xml:space="preserve">. Často sa používa v zmesi s inými </w:t>
      </w:r>
      <w:proofErr w:type="spellStart"/>
      <w:r w:rsidRPr="00066295">
        <w:rPr>
          <w:b w:val="0"/>
        </w:rPr>
        <w:t>psychoaktívnymi</w:t>
      </w:r>
      <w:proofErr w:type="spellEnd"/>
      <w:r w:rsidRPr="00066295">
        <w:rPr>
          <w:b w:val="0"/>
        </w:rPr>
        <w:t xml:space="preserve"> látkami. Užíva sa </w:t>
      </w:r>
      <w:proofErr w:type="spellStart"/>
      <w:r w:rsidRPr="00066295">
        <w:rPr>
          <w:b w:val="0"/>
        </w:rPr>
        <w:t>šňupaním</w:t>
      </w:r>
      <w:proofErr w:type="spellEnd"/>
      <w:r w:rsidRPr="00066295">
        <w:rPr>
          <w:b w:val="0"/>
        </w:rPr>
        <w:t xml:space="preserve">, orálne alebo injekčne. V prípade konzumácie 4-CEC </w:t>
      </w:r>
      <w:proofErr w:type="spellStart"/>
      <w:r w:rsidRPr="00066295">
        <w:rPr>
          <w:b w:val="0"/>
        </w:rPr>
        <w:t>šňupaním</w:t>
      </w:r>
      <w:proofErr w:type="spellEnd"/>
      <w:r w:rsidRPr="00066295">
        <w:rPr>
          <w:b w:val="0"/>
        </w:rPr>
        <w:t xml:space="preserve"> udávajú užívatelia veľké bolesti nosových slizníc. Uvedená látka nemá žiadne medicínske ani priemyselné využitie. Látka 4-CEC je zaradená na zoznam kontrolovaných látok vo Veľkej Británii od roku 2016.</w:t>
      </w:r>
    </w:p>
    <w:p w14:paraId="73ABBB1B" w14:textId="7EA06308" w:rsidR="00942BB5" w:rsidRPr="00066295" w:rsidRDefault="00942BB5" w:rsidP="00942BB5">
      <w:pPr>
        <w:pStyle w:val="Nzov"/>
        <w:tabs>
          <w:tab w:val="left" w:pos="4253"/>
        </w:tabs>
        <w:spacing w:line="360" w:lineRule="auto"/>
        <w:ind w:firstLine="567"/>
        <w:jc w:val="both"/>
        <w:rPr>
          <w:b w:val="0"/>
        </w:rPr>
      </w:pPr>
      <w:r w:rsidRPr="00066295">
        <w:rPr>
          <w:b w:val="0"/>
        </w:rPr>
        <w:t>Na základe podnetu Ministerstva vnútra SR, Policajného zboru SR, Národnej kriminálnej agentúry. sa navrhuje  zaradi</w:t>
      </w:r>
      <w:r w:rsidR="00B34AE5">
        <w:rPr>
          <w:b w:val="0"/>
        </w:rPr>
        <w:t xml:space="preserve">ť dve nové </w:t>
      </w:r>
      <w:proofErr w:type="spellStart"/>
      <w:r w:rsidR="00B34AE5">
        <w:rPr>
          <w:b w:val="0"/>
        </w:rPr>
        <w:t>psychoaktívne</w:t>
      </w:r>
      <w:proofErr w:type="spellEnd"/>
      <w:r w:rsidR="00B34AE5">
        <w:rPr>
          <w:b w:val="0"/>
        </w:rPr>
        <w:t xml:space="preserve"> látky 3</w:t>
      </w:r>
      <w:r w:rsidRPr="00066295">
        <w:rPr>
          <w:b w:val="0"/>
        </w:rPr>
        <w:t xml:space="preserve">-CMC a 4-CMC medzi psychotropné látky </w:t>
      </w:r>
      <w:r w:rsidR="006D33CA" w:rsidRPr="00066295">
        <w:rPr>
          <w:b w:val="0"/>
        </w:rPr>
        <w:t xml:space="preserve">I. </w:t>
      </w:r>
      <w:r w:rsidRPr="00066295">
        <w:rPr>
          <w:b w:val="0"/>
        </w:rPr>
        <w:t>skupiny. Obe látky zvyšujú krvný tlak, pulzovú frekvenciu a </w:t>
      </w:r>
      <w:proofErr w:type="spellStart"/>
      <w:r w:rsidRPr="00066295">
        <w:rPr>
          <w:b w:val="0"/>
        </w:rPr>
        <w:t>tachykardiu</w:t>
      </w:r>
      <w:proofErr w:type="spellEnd"/>
      <w:r w:rsidRPr="00066295">
        <w:rPr>
          <w:b w:val="0"/>
        </w:rPr>
        <w:t xml:space="preserve">, čo sa prejavuje pocitmi úzkosti, paniky a stratou orientácie v čase a priestore. </w:t>
      </w:r>
      <w:r w:rsidRPr="00066295">
        <w:rPr>
          <w:b w:val="0"/>
        </w:rPr>
        <w:lastRenderedPageBreak/>
        <w:t xml:space="preserve">Riziko vážneho poškodenia zdravia alebo úmrtia sa zvyšuje po použití alkoholu, iných stimulujúcich látok alebo </w:t>
      </w:r>
      <w:proofErr w:type="spellStart"/>
      <w:r w:rsidRPr="00066295">
        <w:rPr>
          <w:b w:val="0"/>
        </w:rPr>
        <w:t>kanabinoidov</w:t>
      </w:r>
      <w:proofErr w:type="spellEnd"/>
      <w:r w:rsidRPr="00066295">
        <w:rPr>
          <w:b w:val="0"/>
        </w:rPr>
        <w:t xml:space="preserve">. V rokoch 2015 až 2017 bolo podľa poľského monitorovacieho centra pre drogy zaznamenaných 15 </w:t>
      </w:r>
      <w:proofErr w:type="spellStart"/>
      <w:r w:rsidRPr="00066295">
        <w:rPr>
          <w:b w:val="0"/>
        </w:rPr>
        <w:t>intoxikáciií</w:t>
      </w:r>
      <w:proofErr w:type="spellEnd"/>
      <w:r w:rsidRPr="00066295">
        <w:rPr>
          <w:b w:val="0"/>
        </w:rPr>
        <w:t xml:space="preserve"> látkou 4-CMC,z ktorých šesť bolo smrteľných. </w:t>
      </w:r>
    </w:p>
    <w:p w14:paraId="1E35ECDA" w14:textId="77777777" w:rsidR="00942BB5" w:rsidRPr="00066295" w:rsidRDefault="00942BB5" w:rsidP="00942BB5">
      <w:pPr>
        <w:pStyle w:val="Nzov"/>
        <w:tabs>
          <w:tab w:val="left" w:pos="4253"/>
        </w:tabs>
        <w:spacing w:line="360" w:lineRule="auto"/>
        <w:ind w:firstLine="567"/>
        <w:jc w:val="both"/>
        <w:rPr>
          <w:b w:val="0"/>
        </w:rPr>
      </w:pPr>
      <w:r w:rsidRPr="00066295">
        <w:rPr>
          <w:b w:val="0"/>
        </w:rPr>
        <w:t xml:space="preserve">Tieto dve látky sú zakázané v Českej republike, Poľsku a Rakúsku.  Na základe výkonu policajných činností vrátane medzinárodnej bilaterálnej medzinárodnej policajnej spolupráce  bolo zistené, že ich výroba  bola presunutá  na územie Slovenskej republiky, nakoľko tieto dve látky nie sú v Slovenskej republike podľa v súčasnosti platnej legislatívy zaradené medzi zakázané látky. Vyrobené produkty obsahujúce látku 3-CMC alebo látku 4-CMC významne ohrozujú verejné zdravie a sú </w:t>
      </w:r>
      <w:proofErr w:type="spellStart"/>
      <w:r w:rsidRPr="00066295">
        <w:rPr>
          <w:b w:val="0"/>
        </w:rPr>
        <w:t>preedmetom</w:t>
      </w:r>
      <w:proofErr w:type="spellEnd"/>
      <w:r w:rsidRPr="00066295">
        <w:rPr>
          <w:b w:val="0"/>
        </w:rPr>
        <w:t xml:space="preserve"> obchodovania nielen v Slovenskej republike ale aj v susedných štátoch. </w:t>
      </w:r>
    </w:p>
    <w:p w14:paraId="15CC2C5B" w14:textId="77777777" w:rsidR="00942BB5" w:rsidRPr="00066295" w:rsidRDefault="00942BB5" w:rsidP="00942BB5">
      <w:pPr>
        <w:pStyle w:val="Nzov"/>
        <w:tabs>
          <w:tab w:val="left" w:pos="4253"/>
        </w:tabs>
        <w:spacing w:line="360" w:lineRule="auto"/>
        <w:ind w:firstLine="567"/>
        <w:jc w:val="both"/>
        <w:rPr>
          <w:b w:val="0"/>
        </w:rPr>
      </w:pPr>
      <w:r w:rsidRPr="00066295">
        <w:rPr>
          <w:b w:val="0"/>
        </w:rPr>
        <w:t>Národná kriminálna agentúra okrem výkonu služobnej činnosti na úseku boja proti organizovanej drogovej kriminalite plní zároveň úlohy odborného gestora protidrogovej politiky v rámci Ministerstva vnútra SR a Policajného zboru SR požiadala Ministerstvo zdravotníctva SR v súlade s § 3 ods. 1 zákona č. 139/1998 Z. z. o omamných látkach, psychotropných  látkach a prípravkoch v znení neskorších predpisov o zaradenie týchto látok do prílohy č. 1 spomenutého zákona.</w:t>
      </w:r>
    </w:p>
    <w:p w14:paraId="458987D2" w14:textId="34665660" w:rsidR="00393BEA" w:rsidRPr="00066295" w:rsidRDefault="00393BEA" w:rsidP="00127832"/>
    <w:p w14:paraId="550C6B47" w14:textId="775E99E0" w:rsidR="006D33CA" w:rsidRPr="00066295" w:rsidRDefault="006D33CA" w:rsidP="00127832">
      <w:r w:rsidRPr="00066295">
        <w:t xml:space="preserve">K bodu </w:t>
      </w:r>
      <w:r w:rsidR="000D02A9">
        <w:t>20</w:t>
      </w:r>
    </w:p>
    <w:p w14:paraId="5A9929A2" w14:textId="77777777" w:rsidR="0012655D" w:rsidRPr="00066295" w:rsidRDefault="0012655D" w:rsidP="00066295">
      <w:pPr>
        <w:spacing w:line="360" w:lineRule="auto"/>
        <w:ind w:firstLine="709"/>
        <w:jc w:val="both"/>
      </w:pPr>
      <w:r w:rsidRPr="00066295">
        <w:t>V rámci MPK požiadalo Ministerstvo vnútra SR o doplnenie látky uvedenej v tomto novelizačnom bode  s odôvodnením, že uvedená látka bola zaistená príslušníkmi Policajného zboru v priebehu rokov 2018 - 2019. Je užívaná ako náhrada za zakázané psychotropné látky, pričom predstavuje vážne riziko pre verejné zdravie.</w:t>
      </w:r>
    </w:p>
    <w:p w14:paraId="70A3E6B1" w14:textId="671CE564" w:rsidR="006D33CA" w:rsidRPr="00066295" w:rsidRDefault="0012655D" w:rsidP="00066295">
      <w:pPr>
        <w:spacing w:line="360" w:lineRule="auto"/>
        <w:ind w:firstLine="709"/>
        <w:jc w:val="both"/>
      </w:pPr>
      <w:r w:rsidRPr="00066295">
        <w:t xml:space="preserve"> </w:t>
      </w:r>
      <w:r w:rsidR="006D33CA" w:rsidRPr="00066295">
        <w:t xml:space="preserve">Látka DOI je substituovaný </w:t>
      </w:r>
      <w:proofErr w:type="spellStart"/>
      <w:r w:rsidR="006D33CA" w:rsidRPr="00066295">
        <w:t>amfetamín</w:t>
      </w:r>
      <w:proofErr w:type="spellEnd"/>
      <w:r w:rsidR="006D33CA" w:rsidRPr="00066295">
        <w:t xml:space="preserve"> s </w:t>
      </w:r>
      <w:proofErr w:type="spellStart"/>
      <w:r w:rsidR="006D33CA" w:rsidRPr="00066295">
        <w:t>psychedelickým</w:t>
      </w:r>
      <w:proofErr w:type="spellEnd"/>
      <w:r w:rsidR="006D33CA" w:rsidRPr="00066295">
        <w:t xml:space="preserve"> účinkom na konzumenta s podobným účinkom ako LSD. Sekundárne sa vyskytujú aj stimulačné účinky. Užíva sa vo forme tripu. Uvedená látka nemá v súčasnosti žiadne medicínske ani priemyselné využitie. Látka DOI je zakázaná v USA, v Austrálii, v Dánsku, v Kanade a vo Švédsku.</w:t>
      </w:r>
    </w:p>
    <w:p w14:paraId="0CE0A987" w14:textId="77777777" w:rsidR="006D33CA" w:rsidRPr="00066295" w:rsidRDefault="006D33CA" w:rsidP="00127832"/>
    <w:p w14:paraId="3CABF838" w14:textId="7AF18792" w:rsidR="00B30314" w:rsidRPr="00066295" w:rsidRDefault="00393BEA" w:rsidP="00127832">
      <w:r w:rsidRPr="00066295">
        <w:t xml:space="preserve">K bodu </w:t>
      </w:r>
      <w:r w:rsidR="000D02A9">
        <w:t>21</w:t>
      </w:r>
    </w:p>
    <w:p w14:paraId="4DDB498B" w14:textId="77777777" w:rsidR="0012655D" w:rsidRPr="00066295" w:rsidRDefault="0012655D" w:rsidP="00066295">
      <w:pPr>
        <w:spacing w:line="360" w:lineRule="auto"/>
        <w:ind w:firstLine="709"/>
        <w:jc w:val="both"/>
      </w:pPr>
      <w:r w:rsidRPr="00066295">
        <w:t>V rámci MPK požiadalo Ministerstvo vnútra SR o doplnenie látky uvedenej v tomto novelizačnom bode  s odôvodnením, že uvedená látka bola zaistená príslušníkmi Policajného zboru v priebehu rokov 2018 - 2019. Je užívaná ako náhrada za zakázané psychotropné látky, pričom predstavuje vážne riziko pre verejné zdravie.</w:t>
      </w:r>
    </w:p>
    <w:p w14:paraId="080BC647" w14:textId="61BA9461" w:rsidR="00393BEA" w:rsidRPr="00066295" w:rsidRDefault="0012655D" w:rsidP="00066295">
      <w:pPr>
        <w:spacing w:line="360" w:lineRule="auto"/>
        <w:ind w:firstLine="709"/>
        <w:jc w:val="both"/>
      </w:pPr>
      <w:r w:rsidRPr="00066295">
        <w:rPr>
          <w:rFonts w:ascii="Times" w:hAnsi="Times" w:cs="Times"/>
          <w:sz w:val="25"/>
          <w:szCs w:val="25"/>
        </w:rPr>
        <w:lastRenderedPageBreak/>
        <w:t xml:space="preserve"> </w:t>
      </w:r>
      <w:r w:rsidR="00393BEA" w:rsidRPr="00066295">
        <w:t xml:space="preserve">Látka 4F-MBMB-BINACA je účinkom na ľudský organizmus podobná látke ∆9 - </w:t>
      </w:r>
      <w:proofErr w:type="spellStart"/>
      <w:r w:rsidR="00393BEA" w:rsidRPr="00066295">
        <w:t>tetrahydrokanabinol</w:t>
      </w:r>
      <w:proofErr w:type="spellEnd"/>
      <w:r w:rsidR="00393BEA" w:rsidRPr="00066295">
        <w:t xml:space="preserve"> (THC). Najčastejšie je dostupná v práškovej forme alebo vo forme práškovej sušiny. Užíva sa predovšetkým fajčením. Nemá žiadne priemyselné alebo medicínske využitie.</w:t>
      </w:r>
    </w:p>
    <w:p w14:paraId="61DFA3F8" w14:textId="77777777" w:rsidR="00393BEA" w:rsidRPr="00066295" w:rsidRDefault="00393BEA" w:rsidP="00066295">
      <w:pPr>
        <w:spacing w:line="360" w:lineRule="auto"/>
        <w:ind w:firstLine="709"/>
        <w:jc w:val="both"/>
      </w:pPr>
    </w:p>
    <w:p w14:paraId="306E2B33" w14:textId="342D0ACE" w:rsidR="00393BEA" w:rsidRPr="00066295" w:rsidRDefault="00393BEA" w:rsidP="00066295">
      <w:pPr>
        <w:spacing w:line="360" w:lineRule="auto"/>
        <w:jc w:val="both"/>
      </w:pPr>
      <w:r w:rsidRPr="00066295">
        <w:t xml:space="preserve">K bodu </w:t>
      </w:r>
      <w:r w:rsidR="00907D13" w:rsidRPr="00066295">
        <w:t>2</w:t>
      </w:r>
      <w:r w:rsidR="000D02A9">
        <w:t>2</w:t>
      </w:r>
    </w:p>
    <w:p w14:paraId="0C58A189" w14:textId="70445A26" w:rsidR="00487413" w:rsidRPr="00066295" w:rsidRDefault="00487413" w:rsidP="00066295">
      <w:pPr>
        <w:spacing w:line="360" w:lineRule="auto"/>
        <w:ind w:firstLine="709"/>
        <w:jc w:val="both"/>
      </w:pPr>
      <w:r w:rsidRPr="00066295">
        <w:rPr>
          <w:rFonts w:ascii="Times" w:hAnsi="Times" w:cs="Times"/>
          <w:sz w:val="25"/>
          <w:szCs w:val="25"/>
        </w:rPr>
        <w:t xml:space="preserve">Látka 5F-kumyl-PeGACLON má na ľudský organizmus účinky podobné ako látka ∆9 - </w:t>
      </w:r>
      <w:proofErr w:type="spellStart"/>
      <w:r w:rsidRPr="00066295">
        <w:rPr>
          <w:rFonts w:ascii="Times" w:hAnsi="Times" w:cs="Times"/>
          <w:sz w:val="25"/>
          <w:szCs w:val="25"/>
        </w:rPr>
        <w:t>tetrahydrokanabinol</w:t>
      </w:r>
      <w:proofErr w:type="spellEnd"/>
      <w:r w:rsidRPr="00066295">
        <w:rPr>
          <w:rFonts w:ascii="Times" w:hAnsi="Times" w:cs="Times"/>
          <w:sz w:val="25"/>
          <w:szCs w:val="25"/>
        </w:rPr>
        <w:t xml:space="preserve"> (THC). Dostupná je v práškovej forme alebo vo forme rastlinnej sušiny. Užíva sa predovšetkým fajčením. Má silné vedľajšie účinky. Dostupná je pod obchodným názvom 5F-SGT 151. Medzi konzumentmi je známa ako </w:t>
      </w:r>
      <w:proofErr w:type="spellStart"/>
      <w:r w:rsidRPr="00066295">
        <w:rPr>
          <w:rFonts w:ascii="Times" w:hAnsi="Times" w:cs="Times"/>
          <w:sz w:val="25"/>
          <w:szCs w:val="25"/>
        </w:rPr>
        <w:t>Hurricane</w:t>
      </w:r>
      <w:proofErr w:type="spellEnd"/>
      <w:r w:rsidRPr="00066295">
        <w:rPr>
          <w:rFonts w:ascii="Times" w:hAnsi="Times" w:cs="Times"/>
          <w:sz w:val="25"/>
          <w:szCs w:val="25"/>
        </w:rPr>
        <w:t xml:space="preserve"> alebo </w:t>
      </w:r>
      <w:proofErr w:type="spellStart"/>
      <w:r w:rsidRPr="00066295">
        <w:rPr>
          <w:rFonts w:ascii="Times" w:hAnsi="Times" w:cs="Times"/>
          <w:sz w:val="25"/>
          <w:szCs w:val="25"/>
        </w:rPr>
        <w:t>Lemon</w:t>
      </w:r>
      <w:proofErr w:type="spellEnd"/>
      <w:r w:rsidRPr="00066295">
        <w:rPr>
          <w:rFonts w:ascii="Times" w:hAnsi="Times" w:cs="Times"/>
          <w:sz w:val="25"/>
          <w:szCs w:val="25"/>
        </w:rPr>
        <w:t xml:space="preserve"> </w:t>
      </w:r>
      <w:proofErr w:type="spellStart"/>
      <w:r w:rsidRPr="00066295">
        <w:rPr>
          <w:rFonts w:ascii="Times" w:hAnsi="Times" w:cs="Times"/>
          <w:sz w:val="25"/>
          <w:szCs w:val="25"/>
        </w:rPr>
        <w:t>Herba</w:t>
      </w:r>
      <w:proofErr w:type="spellEnd"/>
      <w:r w:rsidRPr="00066295">
        <w:rPr>
          <w:rFonts w:ascii="Times" w:hAnsi="Times" w:cs="Times"/>
          <w:sz w:val="25"/>
          <w:szCs w:val="25"/>
        </w:rPr>
        <w:t xml:space="preserve">. Látka 5F - </w:t>
      </w:r>
      <w:proofErr w:type="spellStart"/>
      <w:r w:rsidRPr="00066295">
        <w:rPr>
          <w:rFonts w:ascii="Times" w:hAnsi="Times" w:cs="Times"/>
          <w:sz w:val="25"/>
          <w:szCs w:val="25"/>
        </w:rPr>
        <w:t>kumyl</w:t>
      </w:r>
      <w:proofErr w:type="spellEnd"/>
      <w:r w:rsidRPr="00066295">
        <w:rPr>
          <w:rFonts w:ascii="Times" w:hAnsi="Times" w:cs="Times"/>
          <w:sz w:val="25"/>
          <w:szCs w:val="25"/>
        </w:rPr>
        <w:t xml:space="preserve"> – </w:t>
      </w:r>
      <w:proofErr w:type="spellStart"/>
      <w:r w:rsidRPr="00066295">
        <w:rPr>
          <w:rFonts w:ascii="Times" w:hAnsi="Times" w:cs="Times"/>
          <w:sz w:val="25"/>
          <w:szCs w:val="25"/>
        </w:rPr>
        <w:t>PeGACLON</w:t>
      </w:r>
      <w:proofErr w:type="spellEnd"/>
      <w:r w:rsidRPr="00066295">
        <w:rPr>
          <w:rFonts w:ascii="Times" w:hAnsi="Times" w:cs="Times"/>
          <w:sz w:val="25"/>
          <w:szCs w:val="25"/>
        </w:rPr>
        <w:t xml:space="preserve"> nemá v súčasnosti žiadne medicínske ani priemyselné využitie; je zakázaná v Kanade, v USA a v Nemecku.</w:t>
      </w:r>
    </w:p>
    <w:p w14:paraId="35D3179D" w14:textId="39D152DA" w:rsidR="00393BEA" w:rsidRPr="00066295" w:rsidRDefault="00393BEA" w:rsidP="00066295">
      <w:pPr>
        <w:spacing w:line="360" w:lineRule="auto"/>
        <w:ind w:firstLine="709"/>
        <w:jc w:val="both"/>
        <w:rPr>
          <w:rFonts w:ascii="Times" w:hAnsi="Times" w:cs="Times"/>
          <w:sz w:val="25"/>
          <w:szCs w:val="25"/>
        </w:rPr>
      </w:pPr>
      <w:r w:rsidRPr="00066295">
        <w:t xml:space="preserve">Látka 5F-MDMB – PICA </w:t>
      </w:r>
      <w:r w:rsidRPr="00066295">
        <w:rPr>
          <w:rFonts w:ascii="Times" w:hAnsi="Times" w:cs="Times"/>
          <w:sz w:val="25"/>
          <w:szCs w:val="25"/>
        </w:rPr>
        <w:t xml:space="preserve"> má účinky na ľudský organizmus podobné ako v prípade látky ∆9 - </w:t>
      </w:r>
      <w:proofErr w:type="spellStart"/>
      <w:r w:rsidRPr="00066295">
        <w:rPr>
          <w:rFonts w:ascii="Times" w:hAnsi="Times" w:cs="Times"/>
          <w:sz w:val="25"/>
          <w:szCs w:val="25"/>
        </w:rPr>
        <w:t>tetrahydrokanabinol</w:t>
      </w:r>
      <w:proofErr w:type="spellEnd"/>
      <w:r w:rsidRPr="00066295">
        <w:rPr>
          <w:rFonts w:ascii="Times" w:hAnsi="Times" w:cs="Times"/>
          <w:sz w:val="25"/>
          <w:szCs w:val="25"/>
        </w:rPr>
        <w:t xml:space="preserve"> (THC); niektoré zdroje udávajú aj anabolické účinky. Najčastejšie je látka 5F-MDMB-PICA dostupná v práškovej forme alebo vo forme práškovej sušiny. Užíva sa predovšetkým fajčením. Uvedená látka nemá žiadne medicínske ani priemyselné využitie. Od mája 2018 patrí 5F-MDMB-PICA medzi zakázané látky v USA.</w:t>
      </w:r>
    </w:p>
    <w:p w14:paraId="2E6439E8" w14:textId="77777777" w:rsidR="00393BEA" w:rsidRPr="00066295" w:rsidRDefault="00393BEA" w:rsidP="00066295">
      <w:pPr>
        <w:spacing w:line="360" w:lineRule="auto"/>
        <w:ind w:firstLine="709"/>
        <w:jc w:val="both"/>
      </w:pPr>
    </w:p>
    <w:p w14:paraId="2FCBB7DC" w14:textId="6CE9D7D0" w:rsidR="00B30314" w:rsidRPr="00066295" w:rsidRDefault="002B0EDE" w:rsidP="00127832">
      <w:pPr>
        <w:rPr>
          <w:b/>
        </w:rPr>
      </w:pPr>
      <w:r w:rsidRPr="00066295">
        <w:t>K</w:t>
      </w:r>
      <w:r w:rsidR="006E69D5" w:rsidRPr="00066295">
        <w:t> </w:t>
      </w:r>
      <w:r w:rsidRPr="00066295">
        <w:t>bodu</w:t>
      </w:r>
      <w:r w:rsidR="006E69D5" w:rsidRPr="00066295">
        <w:t xml:space="preserve"> </w:t>
      </w:r>
      <w:r w:rsidR="006D33CA" w:rsidRPr="00066295">
        <w:t>2</w:t>
      </w:r>
      <w:r w:rsidR="000D02A9">
        <w:t>3</w:t>
      </w:r>
    </w:p>
    <w:p w14:paraId="00D71201" w14:textId="5592F3F3" w:rsidR="001B5AB1" w:rsidRPr="00066295" w:rsidRDefault="00B30314" w:rsidP="00127832">
      <w:pPr>
        <w:spacing w:line="360" w:lineRule="auto"/>
        <w:ind w:firstLine="709"/>
      </w:pPr>
      <w:r w:rsidRPr="00066295">
        <w:t>Na základe rozhodnutia prijatého na 62. zasadnutí Komisie pre omamné látky Úradu OSN pre omamné látky a kriminalitu dňa 1</w:t>
      </w:r>
      <w:r w:rsidR="006E69D5" w:rsidRPr="00066295">
        <w:t>9</w:t>
      </w:r>
      <w:r w:rsidRPr="00066295">
        <w:t xml:space="preserve">. 3.2019 sa navrhuje zaradiť látku </w:t>
      </w:r>
      <w:r w:rsidRPr="00066295">
        <w:rPr>
          <w:noProof/>
        </w:rPr>
        <w:t xml:space="preserve">FUB-AMB, MMB-FUBINACA, AMB-FUBINACA </w:t>
      </w:r>
      <w:r w:rsidRPr="00066295">
        <w:t>medzi psychotropné látky I. skupiny.</w:t>
      </w:r>
    </w:p>
    <w:p w14:paraId="5877026A" w14:textId="18928455" w:rsidR="00CA2D5E" w:rsidRPr="00066295" w:rsidRDefault="00CA2D5E" w:rsidP="00871F6D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t xml:space="preserve">Podľa hodnotenia odborného výboru </w:t>
      </w:r>
      <w:r w:rsidRPr="00066295">
        <w:t xml:space="preserve">je látka </w:t>
      </w:r>
      <w:r w:rsidRPr="00066295">
        <w:rPr>
          <w:noProof/>
        </w:rPr>
        <w:t xml:space="preserve">FUB-AMB syntetický agonista kanabinoidných receptorov, ktorý vykazuje podobné účinky ako látka THC, ktorá spôsobuje hlavné psychoaktívne účinky kanabisu. </w:t>
      </w:r>
    </w:p>
    <w:p w14:paraId="3EE74110" w14:textId="3BA3E855" w:rsidR="00CA2D5E" w:rsidRPr="00066295" w:rsidRDefault="00CA2D5E" w:rsidP="00871F6D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t xml:space="preserve">Látka FUB-AMB nemá žiadne terapeutické použitie ani nezískala povolenie na uvedenie na trh ako liek. Existujú dostatočné dôkazy, že látka FUB-AMB sa zneužíva alebo sa môže pravdepodobne zneužívať a môže sa stať verejným zdravotným a sociálnym problémom, čo opodstatňuje zaradenie uvedenej látky pod medzinárodnú kontrolu. </w:t>
      </w:r>
    </w:p>
    <w:p w14:paraId="0800992E" w14:textId="77777777" w:rsidR="00CA2D5E" w:rsidRPr="00066295" w:rsidRDefault="00CA2D5E" w:rsidP="00871F6D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lastRenderedPageBreak/>
        <w:t>Látku FUB-AMB monitoruje EMCDDA ako novú psychoaktívnu látku v zmysle nariadenia (ES) č. 1920/2006. Látka FUB-AMB bola zistená v 23 členských štátoch a kontroluje sa najmenej v štyroch členských štátoch. Spája sa s najmenej dvoma prípadmi úmrtia a dvoma prípadmi akútnej intoxikácie.</w:t>
      </w:r>
    </w:p>
    <w:p w14:paraId="07E1E6B1" w14:textId="11E7D4F0" w:rsidR="00FB5174" w:rsidRPr="00066295" w:rsidRDefault="00487413" w:rsidP="00B30314">
      <w:pPr>
        <w:pStyle w:val="Nzov"/>
        <w:spacing w:line="360" w:lineRule="auto"/>
        <w:jc w:val="both"/>
        <w:rPr>
          <w:b w:val="0"/>
          <w:bCs w:val="0"/>
        </w:rPr>
      </w:pPr>
      <w:r w:rsidRPr="00066295">
        <w:rPr>
          <w:b w:val="0"/>
          <w:bCs w:val="0"/>
        </w:rPr>
        <w:t>K bodu 2</w:t>
      </w:r>
      <w:r w:rsidR="000D02A9">
        <w:rPr>
          <w:b w:val="0"/>
          <w:bCs w:val="0"/>
        </w:rPr>
        <w:t>4</w:t>
      </w:r>
    </w:p>
    <w:p w14:paraId="33DB0EA9" w14:textId="77777777" w:rsidR="0012655D" w:rsidRPr="00066295" w:rsidRDefault="0012655D" w:rsidP="00487413">
      <w:pPr>
        <w:pStyle w:val="Nzov"/>
        <w:spacing w:line="360" w:lineRule="auto"/>
        <w:ind w:firstLine="993"/>
        <w:jc w:val="both"/>
        <w:rPr>
          <w:rFonts w:ascii="Times" w:hAnsi="Times" w:cs="Times"/>
          <w:sz w:val="25"/>
          <w:szCs w:val="25"/>
        </w:rPr>
      </w:pPr>
      <w:r w:rsidRPr="00066295">
        <w:rPr>
          <w:b w:val="0"/>
        </w:rPr>
        <w:t>V rámci MPK požiadalo Ministerstvo vnútra SR o doplnenie látok uvedených v tomto novelizačnom bode  s odôvodnením, že uvedené látky boli zaistené príslušníkmi Policajného zboru v priebehu rokov 2018 - 2019. Sú užívané ako náhrada za zakázané omamné a psychotropné látky, pričom predstavujú vážne riziko pre verejné zdravie.</w:t>
      </w:r>
      <w:r w:rsidRPr="00066295">
        <w:rPr>
          <w:rFonts w:ascii="Times" w:hAnsi="Times" w:cs="Times"/>
          <w:sz w:val="25"/>
          <w:szCs w:val="25"/>
        </w:rPr>
        <w:t xml:space="preserve"> </w:t>
      </w:r>
    </w:p>
    <w:p w14:paraId="0B143408" w14:textId="2355F66A" w:rsidR="00487413" w:rsidRPr="00066295" w:rsidRDefault="00487413" w:rsidP="00487413">
      <w:pPr>
        <w:pStyle w:val="Nzov"/>
        <w:spacing w:line="360" w:lineRule="auto"/>
        <w:ind w:firstLine="993"/>
        <w:jc w:val="both"/>
        <w:rPr>
          <w:b w:val="0"/>
        </w:rPr>
      </w:pPr>
      <w:r w:rsidRPr="00066295">
        <w:rPr>
          <w:b w:val="0"/>
        </w:rPr>
        <w:t xml:space="preserve">Látka </w:t>
      </w:r>
      <w:proofErr w:type="spellStart"/>
      <w:r w:rsidRPr="00066295">
        <w:rPr>
          <w:b w:val="0"/>
        </w:rPr>
        <w:t>kumyl</w:t>
      </w:r>
      <w:proofErr w:type="spellEnd"/>
      <w:r w:rsidRPr="00066295">
        <w:rPr>
          <w:b w:val="0"/>
        </w:rPr>
        <w:t>-CH-</w:t>
      </w:r>
      <w:proofErr w:type="spellStart"/>
      <w:r w:rsidRPr="00066295">
        <w:rPr>
          <w:b w:val="0"/>
        </w:rPr>
        <w:t>MeGACLON</w:t>
      </w:r>
      <w:proofErr w:type="spellEnd"/>
      <w:r w:rsidRPr="00066295">
        <w:rPr>
          <w:b w:val="0"/>
        </w:rPr>
        <w:t xml:space="preserve"> má na ľudský organizmus podobné účinky ako psychotropná látka I. skupiny ∆9 - </w:t>
      </w:r>
      <w:proofErr w:type="spellStart"/>
      <w:r w:rsidRPr="00066295">
        <w:rPr>
          <w:b w:val="0"/>
        </w:rPr>
        <w:t>tetrahydrokanabinol</w:t>
      </w:r>
      <w:proofErr w:type="spellEnd"/>
      <w:r w:rsidRPr="00066295">
        <w:rPr>
          <w:b w:val="0"/>
        </w:rPr>
        <w:t xml:space="preserve"> (THC). Dostupná je v práškovej forme alebo vo forme rastlinnej sušiny. Užíva sa predovšetkým fajčením. Má silné vedľajšie účinky. Medzi konzumentmi je známa ako </w:t>
      </w:r>
      <w:proofErr w:type="spellStart"/>
      <w:r w:rsidRPr="00066295">
        <w:rPr>
          <w:b w:val="0"/>
        </w:rPr>
        <w:t>Herba</w:t>
      </w:r>
      <w:proofErr w:type="spellEnd"/>
      <w:r w:rsidRPr="00066295">
        <w:rPr>
          <w:b w:val="0"/>
        </w:rPr>
        <w:t xml:space="preserve">. Uvedená látka nemá v súčasnosti žiadne medicínske ani priemyselné využitie. Látka </w:t>
      </w:r>
      <w:proofErr w:type="spellStart"/>
      <w:r w:rsidRPr="00066295">
        <w:rPr>
          <w:b w:val="0"/>
        </w:rPr>
        <w:t>kumyl</w:t>
      </w:r>
      <w:proofErr w:type="spellEnd"/>
      <w:r w:rsidRPr="00066295">
        <w:rPr>
          <w:b w:val="0"/>
        </w:rPr>
        <w:t xml:space="preserve"> –CH- </w:t>
      </w:r>
      <w:proofErr w:type="spellStart"/>
      <w:r w:rsidRPr="00066295">
        <w:rPr>
          <w:b w:val="0"/>
        </w:rPr>
        <w:t>MeGACLON</w:t>
      </w:r>
      <w:proofErr w:type="spellEnd"/>
      <w:r w:rsidRPr="00066295">
        <w:rPr>
          <w:b w:val="0"/>
        </w:rPr>
        <w:t xml:space="preserve"> je uvedená na zozname zakázaných látok vo Veľkej Británii.</w:t>
      </w:r>
    </w:p>
    <w:p w14:paraId="53AE5DA7" w14:textId="6F99D55F" w:rsidR="00487413" w:rsidRPr="00066295" w:rsidRDefault="00487413" w:rsidP="00487413">
      <w:pPr>
        <w:pStyle w:val="Nzov"/>
        <w:spacing w:line="360" w:lineRule="auto"/>
        <w:ind w:firstLine="993"/>
        <w:jc w:val="both"/>
        <w:rPr>
          <w:b w:val="0"/>
        </w:rPr>
      </w:pPr>
      <w:r w:rsidRPr="00066295">
        <w:rPr>
          <w:b w:val="0"/>
        </w:rPr>
        <w:t xml:space="preserve">Látka </w:t>
      </w:r>
      <w:proofErr w:type="spellStart"/>
      <w:r w:rsidRPr="00066295">
        <w:rPr>
          <w:b w:val="0"/>
        </w:rPr>
        <w:t>kumyl</w:t>
      </w:r>
      <w:proofErr w:type="spellEnd"/>
      <w:r w:rsidRPr="00066295">
        <w:rPr>
          <w:b w:val="0"/>
        </w:rPr>
        <w:t xml:space="preserve"> – </w:t>
      </w:r>
      <w:proofErr w:type="spellStart"/>
      <w:r w:rsidRPr="00066295">
        <w:rPr>
          <w:b w:val="0"/>
        </w:rPr>
        <w:t>PeGACLON</w:t>
      </w:r>
      <w:proofErr w:type="spellEnd"/>
      <w:r w:rsidRPr="00066295">
        <w:rPr>
          <w:b w:val="0"/>
        </w:rPr>
        <w:t xml:space="preserve"> je syntetický </w:t>
      </w:r>
      <w:proofErr w:type="spellStart"/>
      <w:r w:rsidRPr="00066295">
        <w:rPr>
          <w:b w:val="0"/>
        </w:rPr>
        <w:t>kanabinoid</w:t>
      </w:r>
      <w:proofErr w:type="spellEnd"/>
      <w:r w:rsidRPr="00066295">
        <w:rPr>
          <w:b w:val="0"/>
        </w:rPr>
        <w:t xml:space="preserve"> s účinkami na ľudský organizmus podobným ako v prípade látky ∆9 - </w:t>
      </w:r>
      <w:proofErr w:type="spellStart"/>
      <w:r w:rsidRPr="00066295">
        <w:rPr>
          <w:b w:val="0"/>
        </w:rPr>
        <w:t>tetrahydrokanabinol</w:t>
      </w:r>
      <w:proofErr w:type="spellEnd"/>
      <w:r w:rsidRPr="00066295">
        <w:rPr>
          <w:b w:val="0"/>
        </w:rPr>
        <w:t xml:space="preserve"> (THC). Dostupná je aj pod obchodným názvom SGT 151 alebo medzi užívateľmi je známa ako </w:t>
      </w:r>
      <w:proofErr w:type="spellStart"/>
      <w:r w:rsidRPr="00066295">
        <w:rPr>
          <w:b w:val="0"/>
        </w:rPr>
        <w:t>Herba</w:t>
      </w:r>
      <w:proofErr w:type="spellEnd"/>
      <w:r w:rsidRPr="00066295">
        <w:rPr>
          <w:b w:val="0"/>
        </w:rPr>
        <w:t xml:space="preserve"> alebo Black </w:t>
      </w:r>
      <w:proofErr w:type="spellStart"/>
      <w:r w:rsidRPr="00066295">
        <w:rPr>
          <w:b w:val="0"/>
        </w:rPr>
        <w:t>Mamba</w:t>
      </w:r>
      <w:proofErr w:type="spellEnd"/>
      <w:r w:rsidRPr="00066295">
        <w:rPr>
          <w:b w:val="0"/>
        </w:rPr>
        <w:t xml:space="preserve">, najčastejšie v práškovej forme alebo vo forme práškovej sušiny. Užíva sa predovšetkým fajčením. Má silné vedľajšie účinky. Uvedená látka nemá v súčasnosti žiadne medicínske ani priemyselné využitie. Látka </w:t>
      </w:r>
      <w:proofErr w:type="spellStart"/>
      <w:r w:rsidRPr="00066295">
        <w:rPr>
          <w:b w:val="0"/>
        </w:rPr>
        <w:t>kumyl</w:t>
      </w:r>
      <w:proofErr w:type="spellEnd"/>
      <w:r w:rsidRPr="00066295">
        <w:rPr>
          <w:b w:val="0"/>
        </w:rPr>
        <w:t xml:space="preserve"> – </w:t>
      </w:r>
      <w:proofErr w:type="spellStart"/>
      <w:r w:rsidRPr="00066295">
        <w:rPr>
          <w:b w:val="0"/>
        </w:rPr>
        <w:t>PeGACLON</w:t>
      </w:r>
      <w:proofErr w:type="spellEnd"/>
      <w:r w:rsidRPr="00066295">
        <w:rPr>
          <w:b w:val="0"/>
        </w:rPr>
        <w:t xml:space="preserve"> je zakázaná v Kanade, USA, Nemecku a vo Veľkej Británii.</w:t>
      </w:r>
    </w:p>
    <w:p w14:paraId="61C584D6" w14:textId="77777777" w:rsidR="00487413" w:rsidRPr="00066295" w:rsidRDefault="00487413" w:rsidP="00487413">
      <w:pPr>
        <w:pStyle w:val="Nzov"/>
        <w:spacing w:line="360" w:lineRule="auto"/>
        <w:ind w:firstLine="993"/>
        <w:jc w:val="both"/>
        <w:rPr>
          <w:b w:val="0"/>
          <w:bCs w:val="0"/>
        </w:rPr>
      </w:pPr>
    </w:p>
    <w:p w14:paraId="01984CBA" w14:textId="11BDFE55" w:rsidR="00942BB5" w:rsidRPr="00066295" w:rsidRDefault="00FB5174" w:rsidP="00B30314">
      <w:pPr>
        <w:pStyle w:val="Nzov"/>
        <w:spacing w:line="360" w:lineRule="auto"/>
        <w:jc w:val="both"/>
        <w:rPr>
          <w:b w:val="0"/>
          <w:bCs w:val="0"/>
        </w:rPr>
      </w:pPr>
      <w:r w:rsidRPr="00066295">
        <w:rPr>
          <w:b w:val="0"/>
          <w:bCs w:val="0"/>
        </w:rPr>
        <w:t xml:space="preserve">K bodu </w:t>
      </w:r>
      <w:r w:rsidR="00393BEA" w:rsidRPr="00066295">
        <w:rPr>
          <w:b w:val="0"/>
          <w:bCs w:val="0"/>
        </w:rPr>
        <w:t>2</w:t>
      </w:r>
      <w:r w:rsidR="000D02A9">
        <w:rPr>
          <w:b w:val="0"/>
          <w:bCs w:val="0"/>
        </w:rPr>
        <w:t>5</w:t>
      </w:r>
    </w:p>
    <w:p w14:paraId="0270749D" w14:textId="77777777" w:rsidR="0012655D" w:rsidRPr="00066295" w:rsidRDefault="0012655D" w:rsidP="00FB5174">
      <w:pPr>
        <w:pStyle w:val="Nzov"/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>V rámci MPK požiadalo Ministerstvo vnútra SR o doplnenie látky uvedenej v tomto novelizačnom bode  s odôvodnením, že uvedená látka bola zaistená príslušníkmi Policajného zboru v priebehu rokov 2018 - 2019. Je užívaná ako náhrada za zakázané psychotropné látky, pričom predstavuje vážne riziko pre verejné zdravie.</w:t>
      </w:r>
    </w:p>
    <w:p w14:paraId="46917D89" w14:textId="21317C0B" w:rsidR="00FB5174" w:rsidRPr="00066295" w:rsidRDefault="0012655D" w:rsidP="00FB5174">
      <w:pPr>
        <w:pStyle w:val="Nzov"/>
        <w:spacing w:line="360" w:lineRule="auto"/>
        <w:ind w:firstLine="851"/>
        <w:jc w:val="both"/>
        <w:rPr>
          <w:b w:val="0"/>
          <w:bCs w:val="0"/>
        </w:rPr>
      </w:pPr>
      <w:r w:rsidRPr="00066295">
        <w:rPr>
          <w:rFonts w:ascii="Times" w:hAnsi="Times" w:cs="Times"/>
          <w:sz w:val="25"/>
          <w:szCs w:val="25"/>
        </w:rPr>
        <w:t xml:space="preserve"> </w:t>
      </w:r>
      <w:r w:rsidR="00FB5174" w:rsidRPr="00066295">
        <w:rPr>
          <w:b w:val="0"/>
        </w:rPr>
        <w:t xml:space="preserve">Táto látka má účinky podľa kritického hodnotenia Európskeho monitorovacieho centra pre drogy a drogové závislosti – </w:t>
      </w:r>
      <w:proofErr w:type="spellStart"/>
      <w:r w:rsidR="00FB5174" w:rsidRPr="00066295">
        <w:rPr>
          <w:b w:val="0"/>
        </w:rPr>
        <w:t>European</w:t>
      </w:r>
      <w:proofErr w:type="spellEnd"/>
      <w:r w:rsidR="00FB5174" w:rsidRPr="00066295">
        <w:rPr>
          <w:b w:val="0"/>
        </w:rPr>
        <w:t xml:space="preserve"> Monitoring Centre </w:t>
      </w:r>
      <w:proofErr w:type="spellStart"/>
      <w:r w:rsidR="00FB5174" w:rsidRPr="00066295">
        <w:rPr>
          <w:b w:val="0"/>
        </w:rPr>
        <w:t>for</w:t>
      </w:r>
      <w:proofErr w:type="spellEnd"/>
      <w:r w:rsidR="00FB5174" w:rsidRPr="00066295">
        <w:rPr>
          <w:b w:val="0"/>
        </w:rPr>
        <w:t xml:space="preserve"> </w:t>
      </w:r>
      <w:proofErr w:type="spellStart"/>
      <w:r w:rsidR="00FB5174" w:rsidRPr="00066295">
        <w:rPr>
          <w:b w:val="0"/>
        </w:rPr>
        <w:t>Drugs</w:t>
      </w:r>
      <w:proofErr w:type="spellEnd"/>
      <w:r w:rsidR="00FB5174" w:rsidRPr="00066295">
        <w:rPr>
          <w:b w:val="0"/>
        </w:rPr>
        <w:t xml:space="preserve"> and </w:t>
      </w:r>
      <w:proofErr w:type="spellStart"/>
      <w:r w:rsidR="00FB5174" w:rsidRPr="00066295">
        <w:rPr>
          <w:b w:val="0"/>
        </w:rPr>
        <w:t>Drug</w:t>
      </w:r>
      <w:proofErr w:type="spellEnd"/>
      <w:r w:rsidR="00FB5174" w:rsidRPr="00066295">
        <w:rPr>
          <w:b w:val="0"/>
        </w:rPr>
        <w:t xml:space="preserve"> </w:t>
      </w:r>
      <w:proofErr w:type="spellStart"/>
      <w:r w:rsidR="00FB5174" w:rsidRPr="00066295">
        <w:rPr>
          <w:b w:val="0"/>
        </w:rPr>
        <w:t>Addiction</w:t>
      </w:r>
      <w:proofErr w:type="spellEnd"/>
      <w:r w:rsidR="00FB5174" w:rsidRPr="00066295">
        <w:rPr>
          <w:b w:val="0"/>
        </w:rPr>
        <w:t xml:space="preserve"> (EMCDDA) podobné účinkom látky ∆9 - </w:t>
      </w:r>
      <w:proofErr w:type="spellStart"/>
      <w:r w:rsidR="00FB5174" w:rsidRPr="00066295">
        <w:rPr>
          <w:b w:val="0"/>
        </w:rPr>
        <w:t>tetrahydrokanabinol</w:t>
      </w:r>
      <w:proofErr w:type="spellEnd"/>
      <w:r w:rsidR="00FB5174" w:rsidRPr="00066295">
        <w:rPr>
          <w:b w:val="0"/>
        </w:rPr>
        <w:t xml:space="preserve"> (THC). Medzi užívateľmi v Slovenskej republike je známa ako </w:t>
      </w:r>
      <w:proofErr w:type="spellStart"/>
      <w:r w:rsidR="00FB5174" w:rsidRPr="00066295">
        <w:rPr>
          <w:b w:val="0"/>
        </w:rPr>
        <w:t>Mamba</w:t>
      </w:r>
      <w:proofErr w:type="spellEnd"/>
      <w:r w:rsidR="00FB5174" w:rsidRPr="00066295">
        <w:rPr>
          <w:b w:val="0"/>
        </w:rPr>
        <w:t xml:space="preserve">, Black </w:t>
      </w:r>
      <w:proofErr w:type="spellStart"/>
      <w:r w:rsidR="00FB5174" w:rsidRPr="00066295">
        <w:rPr>
          <w:b w:val="0"/>
        </w:rPr>
        <w:t>Mamba</w:t>
      </w:r>
      <w:proofErr w:type="spellEnd"/>
      <w:r w:rsidR="00FB5174" w:rsidRPr="00066295">
        <w:rPr>
          <w:b w:val="0"/>
        </w:rPr>
        <w:t xml:space="preserve"> alebo </w:t>
      </w:r>
      <w:proofErr w:type="spellStart"/>
      <w:r w:rsidR="00FB5174" w:rsidRPr="00066295">
        <w:rPr>
          <w:b w:val="0"/>
        </w:rPr>
        <w:t>Herba</w:t>
      </w:r>
      <w:proofErr w:type="spellEnd"/>
      <w:r w:rsidR="00FB5174" w:rsidRPr="00066295">
        <w:rPr>
          <w:b w:val="0"/>
        </w:rPr>
        <w:t xml:space="preserve">. Ide o </w:t>
      </w:r>
      <w:r w:rsidR="00FB5174" w:rsidRPr="00066295">
        <w:rPr>
          <w:b w:val="0"/>
        </w:rPr>
        <w:lastRenderedPageBreak/>
        <w:t xml:space="preserve">biely prášok, ktorý je pre konzumentov dostupný v tekutej forme pre užitie fajčením elektronickej cigarety. Nemá žiadne priemyselné alebo medicínske využitie. Prvý raz bola </w:t>
      </w:r>
      <w:bookmarkStart w:id="0" w:name="_GoBack"/>
      <w:bookmarkEnd w:id="0"/>
      <w:r w:rsidR="00FB5174" w:rsidRPr="00066295">
        <w:rPr>
          <w:b w:val="0"/>
        </w:rPr>
        <w:t>látka MMB-FUBICA zaznamenaná EMCDDA vo Švédsku vo februári v roku 2015. V súvislosti s jej užitím bolo zaznamenaných viac ako 1000 hospitalizácií a 40 úmrtí. MMB-FUBICA je uvedená na zoznamoch zakázaných látok vo Švédsku, Veľkej Británii, USA, Japonsku, Nemecku a v  Kanade.</w:t>
      </w:r>
    </w:p>
    <w:p w14:paraId="036E35CD" w14:textId="77777777" w:rsidR="00FB5174" w:rsidRPr="00066295" w:rsidRDefault="00FB5174" w:rsidP="00FB5174">
      <w:pPr>
        <w:pStyle w:val="Nzov"/>
        <w:spacing w:line="360" w:lineRule="auto"/>
        <w:ind w:firstLine="709"/>
        <w:jc w:val="both"/>
        <w:rPr>
          <w:b w:val="0"/>
          <w:bCs w:val="0"/>
        </w:rPr>
      </w:pPr>
    </w:p>
    <w:p w14:paraId="0BF99ED0" w14:textId="12DEF56C" w:rsidR="00767EA1" w:rsidRPr="00066295" w:rsidRDefault="00E421C7" w:rsidP="00127832">
      <w:pPr>
        <w:pStyle w:val="Nzov"/>
        <w:tabs>
          <w:tab w:val="left" w:pos="4253"/>
        </w:tabs>
        <w:spacing w:line="360" w:lineRule="auto"/>
        <w:jc w:val="both"/>
        <w:rPr>
          <w:b w:val="0"/>
        </w:rPr>
      </w:pPr>
      <w:r w:rsidRPr="00066295">
        <w:rPr>
          <w:b w:val="0"/>
        </w:rPr>
        <w:t>K bodu</w:t>
      </w:r>
      <w:r w:rsidR="00042BFA" w:rsidRPr="00066295">
        <w:rPr>
          <w:b w:val="0"/>
        </w:rPr>
        <w:t xml:space="preserve"> </w:t>
      </w:r>
      <w:r w:rsidR="00393BEA" w:rsidRPr="00066295">
        <w:rPr>
          <w:b w:val="0"/>
        </w:rPr>
        <w:t>2</w:t>
      </w:r>
      <w:r w:rsidR="000D02A9">
        <w:rPr>
          <w:b w:val="0"/>
        </w:rPr>
        <w:t>6</w:t>
      </w:r>
    </w:p>
    <w:p w14:paraId="1F961AFF" w14:textId="711F1668" w:rsidR="00127832" w:rsidRPr="00066295" w:rsidRDefault="00127832" w:rsidP="00127832">
      <w:pPr>
        <w:tabs>
          <w:tab w:val="left" w:pos="4253"/>
        </w:tabs>
        <w:spacing w:line="360" w:lineRule="auto"/>
        <w:ind w:firstLine="708"/>
        <w:jc w:val="both"/>
      </w:pPr>
      <w:r w:rsidRPr="00066295">
        <w:t>Na základe rozhodnutia prijatého na 62. zasadnutí Komisie pre omamné látky Úradu OSN pre omamné látky a kriminalitu dňa 1</w:t>
      </w:r>
      <w:r w:rsidR="006E69D5" w:rsidRPr="00066295">
        <w:t>9</w:t>
      </w:r>
      <w:r w:rsidRPr="00066295">
        <w:t xml:space="preserve">. 3.2019 sa navrhuje zaradiť látku </w:t>
      </w:r>
      <w:r w:rsidRPr="00066295">
        <w:rPr>
          <w:noProof/>
        </w:rPr>
        <w:t>N</w:t>
      </w:r>
      <w:r w:rsidRPr="00066295">
        <w:rPr>
          <w:i/>
          <w:noProof/>
        </w:rPr>
        <w:t>-</w:t>
      </w:r>
      <w:r w:rsidRPr="00066295">
        <w:rPr>
          <w:noProof/>
        </w:rPr>
        <w:t xml:space="preserve">etylnorpentylón, efylón </w:t>
      </w:r>
      <w:r w:rsidRPr="00066295">
        <w:t>medzi psychotropné látky I. skupiny.</w:t>
      </w:r>
    </w:p>
    <w:p w14:paraId="76FDB628" w14:textId="77777777" w:rsidR="00AB6B03" w:rsidRPr="00066295" w:rsidRDefault="00AB6B03" w:rsidP="00871F6D">
      <w:pPr>
        <w:pStyle w:val="ManualConsidrant"/>
        <w:spacing w:line="360" w:lineRule="auto"/>
        <w:ind w:left="0" w:firstLine="709"/>
        <w:rPr>
          <w:noProof/>
        </w:rPr>
      </w:pPr>
      <w:r w:rsidRPr="00066295">
        <w:t xml:space="preserve">Látka </w:t>
      </w:r>
      <w:r w:rsidRPr="00066295">
        <w:rPr>
          <w:noProof/>
          <w:szCs w:val="24"/>
        </w:rPr>
        <w:t>N-etylnorpentylón</w:t>
      </w:r>
      <w:r w:rsidRPr="00066295">
        <w:rPr>
          <w:noProof/>
        </w:rPr>
        <w:t xml:space="preserve"> je syntetický katinón. Látka N-etylnorpentylón nemá terapeutické použitie a ani nezískala povolenie na uvedenie na trh ako liek. </w:t>
      </w:r>
    </w:p>
    <w:p w14:paraId="61DA1996" w14:textId="2850C7E9" w:rsidR="00AB6B03" w:rsidRPr="00066295" w:rsidRDefault="00AB6B03" w:rsidP="00871F6D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t>Zo zachytení vyplýva, že látka N-etylnorpentylón je dostupná vo forme prášku, kryštálov, kapsúl a tabliet. Vyskytujú sa príklady, keď je táto droga predávaná tajne ako „extáza“/MDMA. Existujú dostatočné dôkazy, že látka N-etylnorpentylón sa zneužíva alebo sa môže pravdepodobne zneužívať a môže sa stať verejným zdravotným a sociálnym problémom, čo opodstatňuje zaradenie uvedenej látky pod medzinárodnú kontrolu.</w:t>
      </w:r>
    </w:p>
    <w:p w14:paraId="256917D7" w14:textId="3ECE3609" w:rsidR="00AB6B03" w:rsidRPr="00066295" w:rsidRDefault="00AB6B03" w:rsidP="00871F6D">
      <w:pPr>
        <w:pStyle w:val="ManualConsidrant"/>
        <w:spacing w:line="360" w:lineRule="auto"/>
        <w:ind w:left="0" w:firstLine="709"/>
        <w:rPr>
          <w:noProof/>
        </w:rPr>
      </w:pPr>
      <w:r w:rsidRPr="00066295">
        <w:rPr>
          <w:noProof/>
        </w:rPr>
        <w:t>Látku N-etylnorpentylón monitoruje EMCDDA ako novú psychoaktívnu látku v zmysle nariadenia (ES) č. 1920/2006 (pod názvom efylón). Látka N-etylnorpentylón bola zistená v 24 členských štátoch EÚ a kontroluje sa najmenej v šiestich členských štátoch EÚ. Otvorene sa predáva na trhu, a to aj v zmesi s MDMA, kokaínom a ketamínom. Spája sa s najmenej siedmimi prípadmi úmrtia a siedmimi prípadmi akútnej intoxikácie.</w:t>
      </w:r>
    </w:p>
    <w:p w14:paraId="07FBCDBE" w14:textId="77777777" w:rsidR="00551007" w:rsidRPr="00066295" w:rsidRDefault="00551007" w:rsidP="00871F6D">
      <w:pPr>
        <w:pStyle w:val="ManualConsidrant"/>
        <w:spacing w:line="360" w:lineRule="auto"/>
        <w:ind w:left="0" w:firstLine="709"/>
        <w:rPr>
          <w:noProof/>
        </w:rPr>
      </w:pPr>
    </w:p>
    <w:p w14:paraId="6C027932" w14:textId="1C8B707A" w:rsidR="00551007" w:rsidRPr="00066295" w:rsidRDefault="00551007" w:rsidP="00551007">
      <w:pPr>
        <w:pStyle w:val="Nzov"/>
        <w:tabs>
          <w:tab w:val="left" w:pos="4253"/>
        </w:tabs>
        <w:spacing w:line="360" w:lineRule="auto"/>
        <w:jc w:val="both"/>
        <w:rPr>
          <w:b w:val="0"/>
        </w:rPr>
      </w:pPr>
      <w:r w:rsidRPr="00066295">
        <w:rPr>
          <w:b w:val="0"/>
        </w:rPr>
        <w:t>K bodu  2</w:t>
      </w:r>
      <w:r w:rsidR="000D02A9">
        <w:rPr>
          <w:b w:val="0"/>
        </w:rPr>
        <w:t>7</w:t>
      </w:r>
    </w:p>
    <w:p w14:paraId="35F06103" w14:textId="77777777" w:rsidR="00551007" w:rsidRPr="00066295" w:rsidRDefault="00551007" w:rsidP="00551007">
      <w:pPr>
        <w:pStyle w:val="Nzov"/>
        <w:tabs>
          <w:tab w:val="left" w:pos="4253"/>
        </w:tabs>
        <w:spacing w:line="360" w:lineRule="auto"/>
        <w:ind w:firstLine="709"/>
        <w:jc w:val="both"/>
        <w:rPr>
          <w:rFonts w:eastAsia="Arial"/>
          <w:b w:val="0"/>
          <w:bdr w:val="none" w:sz="0" w:space="0" w:color="auto" w:frame="1"/>
          <w:lang w:eastAsia="en-GB"/>
        </w:rPr>
      </w:pPr>
      <w:r w:rsidRPr="00066295">
        <w:rPr>
          <w:rFonts w:eastAsiaTheme="minorHAnsi"/>
          <w:b w:val="0"/>
          <w:noProof/>
          <w:szCs w:val="22"/>
          <w:lang w:eastAsia="en-US"/>
        </w:rPr>
        <w:t xml:space="preserve">Navrhuje sa </w:t>
      </w:r>
      <w:r w:rsidRPr="00066295">
        <w:rPr>
          <w:rFonts w:eastAsia="Arial"/>
          <w:b w:val="0"/>
          <w:bdr w:val="none" w:sz="0" w:space="0" w:color="auto" w:frame="1"/>
          <w:lang w:eastAsia="en-GB"/>
        </w:rPr>
        <w:t xml:space="preserve">vypustenie látky </w:t>
      </w:r>
      <w:proofErr w:type="spellStart"/>
      <w:r w:rsidRPr="00066295">
        <w:rPr>
          <w:rFonts w:eastAsia="Arial"/>
          <w:b w:val="0"/>
          <w:bdr w:val="none" w:sz="0" w:space="0" w:color="auto" w:frame="1"/>
          <w:lang w:eastAsia="en-GB"/>
        </w:rPr>
        <w:t>cannabidiol</w:t>
      </w:r>
      <w:proofErr w:type="spellEnd"/>
      <w:r w:rsidRPr="00066295">
        <w:rPr>
          <w:rFonts w:eastAsia="Arial"/>
          <w:b w:val="0"/>
          <w:bdr w:val="none" w:sz="0" w:space="0" w:color="auto" w:frame="1"/>
          <w:lang w:eastAsia="en-GB"/>
        </w:rPr>
        <w:t xml:space="preserve"> z II. skupiny psychotropných látok, pretože táto látka nie je v zozname psychotropných látok podľa Dohovoru OSN o psychotropných látkach z roku 1971 ani v zozname omamných látok podľa Jednotného dohovoru OSN o omamných látkach z roku 1961. Z členských štátov Európskej únie, je na zozname psychotropných látok iba v Slovenskej republike od 1. 12. 2011 a od vtedy spôsobuje aplikačné problémy.</w:t>
      </w:r>
    </w:p>
    <w:p w14:paraId="61C66EA7" w14:textId="77777777" w:rsidR="00551007" w:rsidRPr="00066295" w:rsidRDefault="00551007" w:rsidP="00551007">
      <w:pPr>
        <w:spacing w:line="360" w:lineRule="auto"/>
        <w:ind w:firstLine="708"/>
        <w:contextualSpacing/>
        <w:jc w:val="both"/>
      </w:pPr>
      <w:r w:rsidRPr="00066295">
        <w:lastRenderedPageBreak/>
        <w:t xml:space="preserve">Expertný výbor Svetovej zdravotníckej organizácie (WHO) pre drogové závislosti (ECDD) odporučil dňa 29.8.2018 Komisii OSN pre omamné látky (CND), aby zaradila </w:t>
      </w:r>
      <w:proofErr w:type="spellStart"/>
      <w:r w:rsidRPr="00066295">
        <w:t>cannabidiol</w:t>
      </w:r>
      <w:proofErr w:type="spellEnd"/>
      <w:r w:rsidRPr="00066295">
        <w:t xml:space="preserve"> do zoznamu omamných látok, preto Ministerstvo zdravotníctva SR sme pri novele zákona č. 139/1998 Z. z. o omamných látkach, psychotropných látkach a prípravkoch v roku 2018  (zákon č. 287/2018 Z. z.) nenavrhlo jej vypustenie z II. skupiny psychotropných látok. </w:t>
      </w:r>
    </w:p>
    <w:p w14:paraId="148FF036" w14:textId="77777777" w:rsidR="00551007" w:rsidRPr="00066295" w:rsidRDefault="00551007" w:rsidP="00551007">
      <w:pPr>
        <w:spacing w:line="360" w:lineRule="auto"/>
        <w:contextualSpacing/>
        <w:jc w:val="both"/>
      </w:pPr>
    </w:p>
    <w:p w14:paraId="70FEFE89" w14:textId="1591EBEE" w:rsidR="00551007" w:rsidRPr="00066295" w:rsidRDefault="00551007" w:rsidP="00551007">
      <w:pPr>
        <w:spacing w:line="360" w:lineRule="auto"/>
        <w:ind w:firstLine="708"/>
        <w:contextualSpacing/>
        <w:jc w:val="both"/>
      </w:pPr>
      <w:r w:rsidRPr="00066295">
        <w:t xml:space="preserve">Dňa 24. januára 2019 Expertný výbor Svetovej zdravotníckej organizácie (WHO)  pre drogové závislosti (ECDD) zaslal Sekretariátu Komisie OSN pre omamné látky (CND) odporúčanie týkajúce sa nových </w:t>
      </w:r>
      <w:proofErr w:type="spellStart"/>
      <w:r w:rsidRPr="00066295">
        <w:t>psychoaktívnych</w:t>
      </w:r>
      <w:proofErr w:type="spellEnd"/>
      <w:r w:rsidRPr="00066295">
        <w:t xml:space="preserve"> látok ako aj odporúčanie týkajúce sa </w:t>
      </w:r>
      <w:proofErr w:type="spellStart"/>
      <w:r w:rsidRPr="00066295">
        <w:t>cannabidiolu</w:t>
      </w:r>
      <w:proofErr w:type="spellEnd"/>
      <w:r w:rsidRPr="00066295">
        <w:t xml:space="preserve">. </w:t>
      </w:r>
    </w:p>
    <w:p w14:paraId="0177D372" w14:textId="77777777" w:rsidR="00551007" w:rsidRPr="00066295" w:rsidRDefault="00551007" w:rsidP="00551007">
      <w:pPr>
        <w:spacing w:line="360" w:lineRule="auto"/>
        <w:contextualSpacing/>
        <w:jc w:val="both"/>
      </w:pPr>
    </w:p>
    <w:p w14:paraId="6CF771B0" w14:textId="77777777" w:rsidR="00551007" w:rsidRPr="00066295" w:rsidRDefault="00551007" w:rsidP="00551007">
      <w:pPr>
        <w:spacing w:line="360" w:lineRule="auto"/>
        <w:ind w:firstLine="708"/>
        <w:contextualSpacing/>
        <w:jc w:val="both"/>
        <w:rPr>
          <w:rStyle w:val="tlid-translation"/>
        </w:rPr>
      </w:pPr>
      <w:r w:rsidRPr="00066295">
        <w:rPr>
          <w:rStyle w:val="tlid-translation"/>
        </w:rPr>
        <w:t xml:space="preserve">ECDD na svojom 40. zasadnutí odporučilo, aby prípravky obsahujúce </w:t>
      </w:r>
      <w:proofErr w:type="spellStart"/>
      <w:r w:rsidRPr="00066295">
        <w:rPr>
          <w:rStyle w:val="tlid-translation"/>
        </w:rPr>
        <w:t>cannabidiol</w:t>
      </w:r>
      <w:proofErr w:type="spellEnd"/>
      <w:r w:rsidRPr="00066295">
        <w:rPr>
          <w:rStyle w:val="tlid-translation"/>
        </w:rPr>
        <w:t xml:space="preserve"> neboli zaradené </w:t>
      </w:r>
      <w:r w:rsidRPr="00066295">
        <w:t xml:space="preserve">do zoznamu kontrolovaných látok podľa Jednotného dohovoru o omamných látkach z roku 1961 a neboli pod medzinárodnou kontrolou. </w:t>
      </w:r>
      <w:proofErr w:type="spellStart"/>
      <w:r w:rsidRPr="00066295">
        <w:rPr>
          <w:rStyle w:val="tlid-translation"/>
        </w:rPr>
        <w:t>Cannabidiol</w:t>
      </w:r>
      <w:proofErr w:type="spellEnd"/>
      <w:r w:rsidRPr="00066295">
        <w:rPr>
          <w:rStyle w:val="tlid-translation"/>
        </w:rPr>
        <w:t xml:space="preserve"> sa nachádza v konope a konopnej živici, ale nemá </w:t>
      </w:r>
      <w:proofErr w:type="spellStart"/>
      <w:r w:rsidRPr="00066295">
        <w:rPr>
          <w:rStyle w:val="tlid-translation"/>
        </w:rPr>
        <w:t>psychoaktívne</w:t>
      </w:r>
      <w:proofErr w:type="spellEnd"/>
      <w:r w:rsidRPr="00066295">
        <w:rPr>
          <w:rStyle w:val="tlid-translation"/>
        </w:rPr>
        <w:t xml:space="preserve"> vlastnosti, nemá potenciál na zneužitie a nemá potenciál produkovať závislosť. </w:t>
      </w:r>
    </w:p>
    <w:p w14:paraId="6BD14C65" w14:textId="77777777" w:rsidR="00551007" w:rsidRPr="00066295" w:rsidRDefault="00551007" w:rsidP="00551007">
      <w:pPr>
        <w:spacing w:line="360" w:lineRule="auto"/>
        <w:ind w:firstLine="708"/>
        <w:contextualSpacing/>
        <w:jc w:val="both"/>
        <w:rPr>
          <w:rStyle w:val="tlid-translation"/>
        </w:rPr>
      </w:pPr>
    </w:p>
    <w:p w14:paraId="576CB3CE" w14:textId="77777777" w:rsidR="00551007" w:rsidRPr="00066295" w:rsidRDefault="00551007" w:rsidP="00551007">
      <w:pPr>
        <w:spacing w:line="360" w:lineRule="auto"/>
        <w:ind w:firstLine="708"/>
        <w:contextualSpacing/>
        <w:jc w:val="both"/>
        <w:rPr>
          <w:rStyle w:val="tlid-translation"/>
        </w:rPr>
      </w:pPr>
      <w:r w:rsidRPr="00066295">
        <w:rPr>
          <w:rStyle w:val="tlid-translation"/>
        </w:rPr>
        <w:t xml:space="preserve">Navrhuje sa vypustenie látky </w:t>
      </w:r>
      <w:proofErr w:type="spellStart"/>
      <w:r w:rsidRPr="00066295">
        <w:rPr>
          <w:rStyle w:val="tlid-translation"/>
        </w:rPr>
        <w:t>cannabidiol</w:t>
      </w:r>
      <w:proofErr w:type="spellEnd"/>
      <w:r w:rsidRPr="00066295">
        <w:rPr>
          <w:rStyle w:val="tlid-translation"/>
        </w:rPr>
        <w:t xml:space="preserve"> z II. skupiny psychotropných látok, pretože táto látka nie je v zozname psychotropných látok podľa Dohovoru OSN o psychotropných látkach z roku 1971, ani v zozname omamných látok podľa Jednotného dohovoru OSN o omamných látkach z roku 1961. Z členských štátov Európskej únie je na zozname psychotropných látok iba v Slovenskej republike od 1. 12. 2011, čo spôsobuje aplikačné problémy.</w:t>
      </w:r>
    </w:p>
    <w:p w14:paraId="003ABC15" w14:textId="77777777" w:rsidR="00551007" w:rsidRPr="00066295" w:rsidRDefault="00551007" w:rsidP="00551007">
      <w:pPr>
        <w:pStyle w:val="Nzov"/>
        <w:tabs>
          <w:tab w:val="left" w:pos="4253"/>
        </w:tabs>
        <w:spacing w:line="360" w:lineRule="auto"/>
        <w:ind w:firstLine="709"/>
        <w:jc w:val="both"/>
        <w:rPr>
          <w:rFonts w:eastAsia="Arial"/>
          <w:b w:val="0"/>
          <w:bdr w:val="none" w:sz="0" w:space="0" w:color="auto" w:frame="1"/>
          <w:lang w:eastAsia="en-GB"/>
        </w:rPr>
      </w:pPr>
    </w:p>
    <w:p w14:paraId="2A96F3C9" w14:textId="1F624587" w:rsidR="003B5650" w:rsidRPr="00066295" w:rsidRDefault="00D57421" w:rsidP="003B5650">
      <w:pPr>
        <w:pStyle w:val="Nzov"/>
        <w:tabs>
          <w:tab w:val="left" w:pos="4253"/>
        </w:tabs>
        <w:spacing w:line="360" w:lineRule="auto"/>
        <w:jc w:val="both"/>
        <w:rPr>
          <w:b w:val="0"/>
        </w:rPr>
      </w:pPr>
      <w:r w:rsidRPr="00066295">
        <w:rPr>
          <w:b w:val="0"/>
        </w:rPr>
        <w:t xml:space="preserve">K bodu </w:t>
      </w:r>
      <w:r w:rsidR="00FB5174" w:rsidRPr="00066295">
        <w:rPr>
          <w:b w:val="0"/>
        </w:rPr>
        <w:t>2</w:t>
      </w:r>
      <w:r w:rsidR="000D02A9">
        <w:rPr>
          <w:b w:val="0"/>
        </w:rPr>
        <w:t>8</w:t>
      </w:r>
    </w:p>
    <w:p w14:paraId="339C9580" w14:textId="39829C84" w:rsidR="00D57421" w:rsidRPr="00066295" w:rsidRDefault="00D57421" w:rsidP="00D57421">
      <w:pPr>
        <w:pStyle w:val="Nzov"/>
        <w:tabs>
          <w:tab w:val="left" w:pos="4253"/>
        </w:tabs>
        <w:spacing w:line="360" w:lineRule="auto"/>
        <w:ind w:firstLine="851"/>
        <w:jc w:val="both"/>
        <w:rPr>
          <w:b w:val="0"/>
        </w:rPr>
      </w:pPr>
      <w:r w:rsidRPr="00066295">
        <w:rPr>
          <w:b w:val="0"/>
        </w:rPr>
        <w:t xml:space="preserve">Na </w:t>
      </w:r>
      <w:r w:rsidR="0012655D" w:rsidRPr="00066295">
        <w:rPr>
          <w:b w:val="0"/>
        </w:rPr>
        <w:t xml:space="preserve"> základe pripomienky</w:t>
      </w:r>
      <w:r w:rsidRPr="00066295">
        <w:rPr>
          <w:b w:val="0"/>
        </w:rPr>
        <w:t xml:space="preserve"> Ministerstva vnútra SR</w:t>
      </w:r>
      <w:r w:rsidR="0012655D" w:rsidRPr="00066295">
        <w:rPr>
          <w:b w:val="0"/>
        </w:rPr>
        <w:t xml:space="preserve"> v MPK</w:t>
      </w:r>
      <w:r w:rsidRPr="00066295">
        <w:rPr>
          <w:b w:val="0"/>
        </w:rPr>
        <w:t xml:space="preserve"> sa spresňuje v prílohe č. 1 na konci zoznamu omamných látok II. skupiny, že </w:t>
      </w:r>
      <w:proofErr w:type="spellStart"/>
      <w:r w:rsidRPr="00066295">
        <w:rPr>
          <w:b w:val="0"/>
        </w:rPr>
        <w:t>stereoizoméry</w:t>
      </w:r>
      <w:proofErr w:type="spellEnd"/>
      <w:r w:rsidRPr="00066295">
        <w:rPr>
          <w:b w:val="0"/>
        </w:rPr>
        <w:t xml:space="preserve"> omamnej látky </w:t>
      </w:r>
      <w:proofErr w:type="spellStart"/>
      <w:r w:rsidRPr="00066295">
        <w:rPr>
          <w:b w:val="0"/>
        </w:rPr>
        <w:t>látky</w:t>
      </w:r>
      <w:proofErr w:type="spellEnd"/>
      <w:r w:rsidRPr="00066295">
        <w:rPr>
          <w:b w:val="0"/>
        </w:rPr>
        <w:t xml:space="preserve"> </w:t>
      </w:r>
      <w:r w:rsidR="001744DE" w:rsidRPr="00066295">
        <w:rPr>
          <w:rFonts w:ascii="Times" w:hAnsi="Times" w:cs="Times"/>
          <w:b w:val="0"/>
          <w:sz w:val="25"/>
          <w:szCs w:val="25"/>
        </w:rPr>
        <w:t xml:space="preserve">- </w:t>
      </w:r>
      <w:proofErr w:type="spellStart"/>
      <w:r w:rsidR="001744DE" w:rsidRPr="00066295">
        <w:rPr>
          <w:rFonts w:ascii="Times" w:hAnsi="Times" w:cs="Times"/>
          <w:b w:val="0"/>
          <w:sz w:val="25"/>
          <w:szCs w:val="25"/>
        </w:rPr>
        <w:t>Levometorfán</w:t>
      </w:r>
      <w:proofErr w:type="spellEnd"/>
      <w:r w:rsidR="001744DE" w:rsidRPr="00066295">
        <w:rPr>
          <w:rFonts w:ascii="Times" w:hAnsi="Times" w:cs="Times"/>
          <w:b w:val="0"/>
          <w:sz w:val="25"/>
          <w:szCs w:val="25"/>
        </w:rPr>
        <w:t xml:space="preserve">, chemicky (-)-3-metoxy-N-metylmorfinán a </w:t>
      </w:r>
      <w:proofErr w:type="spellStart"/>
      <w:r w:rsidR="001744DE" w:rsidRPr="00066295">
        <w:rPr>
          <w:rFonts w:ascii="Times" w:hAnsi="Times" w:cs="Times"/>
          <w:b w:val="0"/>
          <w:sz w:val="25"/>
          <w:szCs w:val="25"/>
        </w:rPr>
        <w:t>Levorfanol</w:t>
      </w:r>
      <w:proofErr w:type="spellEnd"/>
      <w:r w:rsidR="001744DE" w:rsidRPr="00066295">
        <w:rPr>
          <w:rFonts w:ascii="Times" w:hAnsi="Times" w:cs="Times"/>
          <w:b w:val="0"/>
          <w:sz w:val="25"/>
          <w:szCs w:val="25"/>
        </w:rPr>
        <w:t>, chemicky (-)-N</w:t>
      </w:r>
      <w:r w:rsidR="0012655D" w:rsidRPr="00066295">
        <w:rPr>
          <w:rFonts w:ascii="Times" w:hAnsi="Times" w:cs="Times"/>
          <w:b w:val="0"/>
          <w:sz w:val="25"/>
          <w:szCs w:val="25"/>
        </w:rPr>
        <w:t>-</w:t>
      </w:r>
      <w:r w:rsidR="001744DE" w:rsidRPr="00066295">
        <w:rPr>
          <w:rFonts w:ascii="Times" w:hAnsi="Times" w:cs="Times"/>
          <w:b w:val="0"/>
          <w:sz w:val="25"/>
          <w:szCs w:val="25"/>
        </w:rPr>
        <w:t xml:space="preserve">metylmorfinán-3-ol sú v rámci zákona zaradené do prílohy č. 1 II. skupiny omamných látok a ich </w:t>
      </w:r>
      <w:proofErr w:type="spellStart"/>
      <w:r w:rsidR="001744DE" w:rsidRPr="00066295">
        <w:rPr>
          <w:rFonts w:ascii="Times" w:hAnsi="Times" w:cs="Times"/>
          <w:b w:val="0"/>
          <w:sz w:val="25"/>
          <w:szCs w:val="25"/>
        </w:rPr>
        <w:t>streoizoméry</w:t>
      </w:r>
      <w:proofErr w:type="spellEnd"/>
      <w:r w:rsidR="001744DE" w:rsidRPr="00066295">
        <w:rPr>
          <w:rFonts w:ascii="Times" w:hAnsi="Times" w:cs="Times"/>
          <w:b w:val="0"/>
          <w:sz w:val="25"/>
          <w:szCs w:val="25"/>
        </w:rPr>
        <w:t xml:space="preserve">, a </w:t>
      </w:r>
      <w:r w:rsidR="0012655D" w:rsidRPr="00066295">
        <w:rPr>
          <w:rFonts w:ascii="Times" w:hAnsi="Times" w:cs="Times"/>
          <w:b w:val="0"/>
          <w:sz w:val="25"/>
          <w:szCs w:val="25"/>
        </w:rPr>
        <w:t>pre</w:t>
      </w:r>
      <w:r w:rsidR="001744DE" w:rsidRPr="00066295">
        <w:rPr>
          <w:rFonts w:ascii="Times" w:hAnsi="Times" w:cs="Times"/>
          <w:b w:val="0"/>
          <w:sz w:val="25"/>
          <w:szCs w:val="25"/>
        </w:rPr>
        <w:t xml:space="preserve">to </w:t>
      </w:r>
      <w:proofErr w:type="spellStart"/>
      <w:r w:rsidR="001744DE" w:rsidRPr="00066295">
        <w:rPr>
          <w:rFonts w:ascii="Times" w:hAnsi="Times" w:cs="Times"/>
          <w:b w:val="0"/>
          <w:sz w:val="25"/>
          <w:szCs w:val="25"/>
        </w:rPr>
        <w:t>Dextrometorfán</w:t>
      </w:r>
      <w:proofErr w:type="spellEnd"/>
      <w:r w:rsidR="001744DE" w:rsidRPr="00066295">
        <w:rPr>
          <w:rFonts w:ascii="Times" w:hAnsi="Times" w:cs="Times"/>
          <w:b w:val="0"/>
          <w:sz w:val="25"/>
          <w:szCs w:val="25"/>
        </w:rPr>
        <w:t xml:space="preserve">, chemicky (+)-3-metoxy-N-metylmorfinán a </w:t>
      </w:r>
      <w:proofErr w:type="spellStart"/>
      <w:r w:rsidR="001744DE" w:rsidRPr="00066295">
        <w:rPr>
          <w:rFonts w:ascii="Times" w:hAnsi="Times" w:cs="Times"/>
          <w:b w:val="0"/>
          <w:sz w:val="25"/>
          <w:szCs w:val="25"/>
        </w:rPr>
        <w:t>Dextrorfanol</w:t>
      </w:r>
      <w:proofErr w:type="spellEnd"/>
      <w:r w:rsidR="001744DE" w:rsidRPr="00066295">
        <w:rPr>
          <w:rFonts w:ascii="Times" w:hAnsi="Times" w:cs="Times"/>
          <w:b w:val="0"/>
          <w:sz w:val="25"/>
          <w:szCs w:val="25"/>
        </w:rPr>
        <w:t>, chemicky (+)-N-metylmorfinán-3-ol by mali byť v súlade s  Jednotným dohovorom OSN z roku 1961 vyňaté z tejto skupiny.</w:t>
      </w:r>
      <w:r w:rsidRPr="00066295">
        <w:rPr>
          <w:b w:val="0"/>
        </w:rPr>
        <w:t xml:space="preserve"> </w:t>
      </w:r>
    </w:p>
    <w:p w14:paraId="248E5A01" w14:textId="77777777" w:rsidR="001744DE" w:rsidRPr="00066295" w:rsidRDefault="001744DE" w:rsidP="00D57421">
      <w:pPr>
        <w:pStyle w:val="Nzov"/>
        <w:tabs>
          <w:tab w:val="left" w:pos="4253"/>
        </w:tabs>
        <w:spacing w:line="360" w:lineRule="auto"/>
        <w:ind w:firstLine="851"/>
        <w:jc w:val="both"/>
        <w:rPr>
          <w:b w:val="0"/>
        </w:rPr>
      </w:pPr>
    </w:p>
    <w:p w14:paraId="2C7BC436" w14:textId="22A51BC6" w:rsidR="0084213D" w:rsidRPr="00066295" w:rsidRDefault="0084213D" w:rsidP="0084213D">
      <w:pPr>
        <w:pStyle w:val="Nzov"/>
        <w:tabs>
          <w:tab w:val="left" w:pos="4253"/>
        </w:tabs>
        <w:spacing w:line="360" w:lineRule="auto"/>
        <w:jc w:val="both"/>
        <w:rPr>
          <w:b w:val="0"/>
        </w:rPr>
      </w:pPr>
      <w:r w:rsidRPr="00066295">
        <w:rPr>
          <w:b w:val="0"/>
        </w:rPr>
        <w:t xml:space="preserve">K bodu </w:t>
      </w:r>
      <w:r w:rsidR="0009183C" w:rsidRPr="00066295">
        <w:rPr>
          <w:b w:val="0"/>
        </w:rPr>
        <w:t>2</w:t>
      </w:r>
      <w:r w:rsidR="000D02A9">
        <w:rPr>
          <w:b w:val="0"/>
        </w:rPr>
        <w:t>9</w:t>
      </w:r>
    </w:p>
    <w:p w14:paraId="3B2222C7" w14:textId="54A5805B" w:rsidR="0084213D" w:rsidRPr="00066295" w:rsidRDefault="0084213D" w:rsidP="0084213D">
      <w:pPr>
        <w:pStyle w:val="Nzov"/>
        <w:tabs>
          <w:tab w:val="left" w:pos="4253"/>
        </w:tabs>
        <w:spacing w:line="360" w:lineRule="auto"/>
        <w:ind w:firstLine="709"/>
        <w:jc w:val="both"/>
        <w:rPr>
          <w:b w:val="0"/>
        </w:rPr>
      </w:pPr>
      <w:r w:rsidRPr="00066295">
        <w:rPr>
          <w:b w:val="0"/>
        </w:rPr>
        <w:t xml:space="preserve">V súlade s článkom 2 ods. 1 druhým </w:t>
      </w:r>
      <w:proofErr w:type="spellStart"/>
      <w:r w:rsidRPr="00066295">
        <w:rPr>
          <w:b w:val="0"/>
        </w:rPr>
        <w:t>pododsekom</w:t>
      </w:r>
      <w:proofErr w:type="spellEnd"/>
      <w:r w:rsidRPr="00066295">
        <w:rPr>
          <w:b w:val="0"/>
        </w:rPr>
        <w:t xml:space="preserve"> sa v prílohe č. 3 odkazuje na </w:t>
      </w:r>
      <w:r w:rsidRPr="00066295">
        <w:rPr>
          <w:b w:val="0"/>
          <w:bCs w:val="0"/>
        </w:rPr>
        <w:t xml:space="preserve">delegovanú smernicu  Komisie (EÚ) z 13. decembra 2018, ktorou sa mení príloha k rámcovému rozhodnutiu Rady 2004/757/SVV, pokiaľ ide o zahrnutie nových </w:t>
      </w:r>
      <w:proofErr w:type="spellStart"/>
      <w:r w:rsidRPr="00066295">
        <w:rPr>
          <w:b w:val="0"/>
          <w:bCs w:val="0"/>
        </w:rPr>
        <w:t>psychoaktívnych</w:t>
      </w:r>
      <w:proofErr w:type="spellEnd"/>
      <w:r w:rsidRPr="00066295">
        <w:rPr>
          <w:b w:val="0"/>
          <w:bCs w:val="0"/>
        </w:rPr>
        <w:t xml:space="preserve"> látok do vymedzenia pojmu drogy.</w:t>
      </w:r>
    </w:p>
    <w:p w14:paraId="1C50A8F3" w14:textId="77777777" w:rsidR="005F32AD" w:rsidRPr="00066295" w:rsidRDefault="005F32AD" w:rsidP="005F32AD">
      <w:pPr>
        <w:tabs>
          <w:tab w:val="left" w:pos="720"/>
          <w:tab w:val="left" w:pos="8520"/>
        </w:tabs>
        <w:suppressAutoHyphens/>
        <w:rPr>
          <w:bdr w:val="none" w:sz="0" w:space="0" w:color="auto" w:frame="1"/>
          <w:lang w:eastAsia="en-GB"/>
        </w:rPr>
      </w:pPr>
      <w:r w:rsidRPr="00066295">
        <w:rPr>
          <w:bdr w:val="none" w:sz="0" w:space="0" w:color="auto" w:frame="1"/>
          <w:lang w:eastAsia="en-GB"/>
        </w:rPr>
        <w:t> </w:t>
      </w:r>
    </w:p>
    <w:p w14:paraId="5D6E400D" w14:textId="77777777" w:rsidR="005F32AD" w:rsidRPr="00066295" w:rsidRDefault="005F32AD" w:rsidP="005F32AD">
      <w:pPr>
        <w:pStyle w:val="Nzov"/>
        <w:spacing w:line="360" w:lineRule="auto"/>
        <w:jc w:val="both"/>
        <w:rPr>
          <w:b w:val="0"/>
        </w:rPr>
      </w:pPr>
      <w:r w:rsidRPr="00066295">
        <w:rPr>
          <w:b w:val="0"/>
        </w:rPr>
        <w:t>K čl. II</w:t>
      </w:r>
    </w:p>
    <w:p w14:paraId="4CF2AE23" w14:textId="0D0EE44E" w:rsidR="00B94C11" w:rsidRDefault="005F32AD" w:rsidP="00871F6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66295">
        <w:rPr>
          <w:rFonts w:ascii="Times New Roman" w:hAnsi="Times New Roman" w:cs="Times New Roman"/>
          <w:color w:val="auto"/>
        </w:rPr>
        <w:t>Dátum účinnosti sa navrhuje s prihliadnutím na predpokladanú dĺžku legislatívneho procesu</w:t>
      </w:r>
      <w:r w:rsidR="00127832" w:rsidRPr="00066295">
        <w:rPr>
          <w:rFonts w:ascii="Times New Roman" w:hAnsi="Times New Roman" w:cs="Times New Roman"/>
          <w:color w:val="auto"/>
        </w:rPr>
        <w:t>.</w:t>
      </w:r>
      <w:r w:rsidR="00DD1228" w:rsidRPr="00066295">
        <w:rPr>
          <w:rFonts w:ascii="Times New Roman" w:hAnsi="Times New Roman" w:cs="Times New Roman"/>
          <w:color w:val="auto"/>
        </w:rPr>
        <w:t xml:space="preserve"> </w:t>
      </w:r>
    </w:p>
    <w:p w14:paraId="645E928C" w14:textId="77777777" w:rsidR="00650FC8" w:rsidRPr="00195880" w:rsidRDefault="00650FC8" w:rsidP="00650FC8">
      <w:pPr>
        <w:spacing w:line="360" w:lineRule="auto"/>
        <w:ind w:firstLine="567"/>
        <w:jc w:val="both"/>
      </w:pPr>
    </w:p>
    <w:p w14:paraId="1B28F182" w14:textId="77777777" w:rsidR="00650FC8" w:rsidRPr="00195880" w:rsidRDefault="00650FC8" w:rsidP="00650FC8">
      <w:pPr>
        <w:ind w:left="142" w:firstLine="426"/>
      </w:pPr>
      <w:r w:rsidRPr="00195880">
        <w:t>V Bratislave dňa 2</w:t>
      </w:r>
      <w:r>
        <w:t>1</w:t>
      </w:r>
      <w:r w:rsidRPr="00195880">
        <w:t>. a</w:t>
      </w:r>
      <w:r>
        <w:t>ugusta</w:t>
      </w:r>
      <w:r w:rsidRPr="00195880">
        <w:t xml:space="preserve"> 201</w:t>
      </w:r>
      <w:r>
        <w:t>9</w:t>
      </w:r>
      <w:r w:rsidRPr="00195880">
        <w:t>.</w:t>
      </w:r>
    </w:p>
    <w:p w14:paraId="0CC5CA3E" w14:textId="77777777" w:rsidR="00650FC8" w:rsidRPr="00195880" w:rsidRDefault="00650FC8" w:rsidP="00650FC8"/>
    <w:p w14:paraId="1AEC60FA" w14:textId="77777777" w:rsidR="00650FC8" w:rsidRPr="00195880" w:rsidRDefault="00650FC8" w:rsidP="00650FC8"/>
    <w:p w14:paraId="79510FFD" w14:textId="77777777" w:rsidR="00650FC8" w:rsidRPr="00195880" w:rsidRDefault="00650FC8" w:rsidP="00650FC8"/>
    <w:p w14:paraId="35DF4D74" w14:textId="77777777" w:rsidR="00650FC8" w:rsidRDefault="00650FC8" w:rsidP="00650FC8"/>
    <w:p w14:paraId="52AB2E63" w14:textId="77777777" w:rsidR="00650FC8" w:rsidRDefault="00650FC8" w:rsidP="00650FC8"/>
    <w:p w14:paraId="0C1F5E3D" w14:textId="77777777" w:rsidR="00650FC8" w:rsidRDefault="00650FC8" w:rsidP="00650FC8"/>
    <w:p w14:paraId="2A6F0E92" w14:textId="77777777" w:rsidR="00650FC8" w:rsidRPr="00195880" w:rsidRDefault="00650FC8" w:rsidP="00650FC8"/>
    <w:p w14:paraId="018ECAAA" w14:textId="77777777" w:rsidR="00650FC8" w:rsidRPr="00195880" w:rsidRDefault="00650FC8" w:rsidP="00650FC8">
      <w:pPr>
        <w:jc w:val="center"/>
        <w:rPr>
          <w:b/>
        </w:rPr>
      </w:pPr>
    </w:p>
    <w:p w14:paraId="5E018425" w14:textId="77777777" w:rsidR="00650FC8" w:rsidRPr="00195880" w:rsidRDefault="00650FC8" w:rsidP="00650FC8">
      <w:pPr>
        <w:jc w:val="center"/>
        <w:rPr>
          <w:b/>
        </w:rPr>
      </w:pPr>
    </w:p>
    <w:p w14:paraId="7B37559B" w14:textId="77777777" w:rsidR="00650FC8" w:rsidRPr="00195880" w:rsidRDefault="00650FC8" w:rsidP="00650FC8">
      <w:pPr>
        <w:jc w:val="center"/>
        <w:rPr>
          <w:b/>
        </w:rPr>
      </w:pPr>
      <w:r w:rsidRPr="00195880">
        <w:rPr>
          <w:b/>
        </w:rPr>
        <w:t xml:space="preserve">Peter </w:t>
      </w:r>
      <w:proofErr w:type="spellStart"/>
      <w:r w:rsidRPr="00195880">
        <w:rPr>
          <w:b/>
        </w:rPr>
        <w:t>Pellegrini</w:t>
      </w:r>
      <w:proofErr w:type="spellEnd"/>
      <w:r w:rsidRPr="00195880">
        <w:rPr>
          <w:b/>
        </w:rPr>
        <w:t xml:space="preserve"> </w:t>
      </w:r>
      <w:proofErr w:type="spellStart"/>
      <w:r w:rsidRPr="00195880">
        <w:rPr>
          <w:b/>
        </w:rPr>
        <w:t>v.r</w:t>
      </w:r>
      <w:proofErr w:type="spellEnd"/>
      <w:r w:rsidRPr="00195880">
        <w:rPr>
          <w:b/>
        </w:rPr>
        <w:t>.</w:t>
      </w:r>
    </w:p>
    <w:p w14:paraId="14DC22A2" w14:textId="77777777" w:rsidR="00650FC8" w:rsidRPr="00195880" w:rsidRDefault="00650FC8" w:rsidP="00650FC8">
      <w:pPr>
        <w:jc w:val="center"/>
      </w:pPr>
      <w:r w:rsidRPr="00195880">
        <w:t>predseda vlády</w:t>
      </w:r>
    </w:p>
    <w:p w14:paraId="5C295620" w14:textId="77777777" w:rsidR="00650FC8" w:rsidRPr="00195880" w:rsidRDefault="00650FC8" w:rsidP="00650FC8">
      <w:pPr>
        <w:jc w:val="center"/>
      </w:pPr>
      <w:r w:rsidRPr="00195880">
        <w:t>Slovenskej republiky</w:t>
      </w:r>
    </w:p>
    <w:p w14:paraId="38D9E916" w14:textId="77777777" w:rsidR="00650FC8" w:rsidRPr="00195880" w:rsidRDefault="00650FC8" w:rsidP="00650FC8">
      <w:pPr>
        <w:jc w:val="center"/>
        <w:rPr>
          <w:b/>
        </w:rPr>
      </w:pPr>
    </w:p>
    <w:p w14:paraId="1ACFB435" w14:textId="77777777" w:rsidR="00650FC8" w:rsidRPr="00195880" w:rsidRDefault="00650FC8" w:rsidP="00650FC8">
      <w:pPr>
        <w:jc w:val="center"/>
        <w:rPr>
          <w:b/>
        </w:rPr>
      </w:pPr>
    </w:p>
    <w:p w14:paraId="2D41061C" w14:textId="77777777" w:rsidR="00650FC8" w:rsidRPr="00195880" w:rsidRDefault="00650FC8" w:rsidP="00650FC8">
      <w:pPr>
        <w:jc w:val="center"/>
        <w:rPr>
          <w:b/>
        </w:rPr>
      </w:pPr>
    </w:p>
    <w:p w14:paraId="32942422" w14:textId="77777777" w:rsidR="00650FC8" w:rsidRPr="00195880" w:rsidRDefault="00650FC8" w:rsidP="00650FC8">
      <w:pPr>
        <w:jc w:val="center"/>
        <w:rPr>
          <w:b/>
        </w:rPr>
      </w:pPr>
    </w:p>
    <w:p w14:paraId="783AFC86" w14:textId="77777777" w:rsidR="00650FC8" w:rsidRPr="00195880" w:rsidRDefault="00650FC8" w:rsidP="00650FC8">
      <w:pPr>
        <w:jc w:val="center"/>
        <w:rPr>
          <w:b/>
        </w:rPr>
      </w:pPr>
    </w:p>
    <w:p w14:paraId="09F68829" w14:textId="77777777" w:rsidR="00650FC8" w:rsidRPr="00195880" w:rsidRDefault="00650FC8" w:rsidP="00650FC8">
      <w:pPr>
        <w:jc w:val="center"/>
        <w:rPr>
          <w:b/>
        </w:rPr>
      </w:pPr>
    </w:p>
    <w:p w14:paraId="51D23A86" w14:textId="77777777" w:rsidR="00650FC8" w:rsidRPr="00195880" w:rsidRDefault="00650FC8" w:rsidP="00650FC8">
      <w:pPr>
        <w:jc w:val="center"/>
        <w:rPr>
          <w:b/>
        </w:rPr>
      </w:pPr>
    </w:p>
    <w:p w14:paraId="091C1846" w14:textId="77777777" w:rsidR="00650FC8" w:rsidRPr="00195880" w:rsidRDefault="00650FC8" w:rsidP="00650FC8">
      <w:pPr>
        <w:jc w:val="center"/>
        <w:rPr>
          <w:b/>
        </w:rPr>
      </w:pPr>
    </w:p>
    <w:p w14:paraId="15DBF6FF" w14:textId="77777777" w:rsidR="00650FC8" w:rsidRPr="00195880" w:rsidRDefault="00650FC8" w:rsidP="00650FC8">
      <w:pPr>
        <w:jc w:val="center"/>
        <w:rPr>
          <w:b/>
        </w:rPr>
      </w:pPr>
    </w:p>
    <w:p w14:paraId="329F45A4" w14:textId="77777777" w:rsidR="00650FC8" w:rsidRPr="00195880" w:rsidRDefault="00650FC8" w:rsidP="00650FC8">
      <w:pPr>
        <w:jc w:val="center"/>
        <w:rPr>
          <w:b/>
        </w:rPr>
      </w:pPr>
    </w:p>
    <w:p w14:paraId="233F767A" w14:textId="77777777" w:rsidR="00650FC8" w:rsidRPr="00195880" w:rsidRDefault="00650FC8" w:rsidP="00650FC8">
      <w:pPr>
        <w:jc w:val="center"/>
        <w:rPr>
          <w:b/>
        </w:rPr>
      </w:pPr>
    </w:p>
    <w:p w14:paraId="54B0EE40" w14:textId="77777777" w:rsidR="00650FC8" w:rsidRPr="00195880" w:rsidRDefault="00650FC8" w:rsidP="00650FC8">
      <w:pPr>
        <w:jc w:val="center"/>
        <w:rPr>
          <w:b/>
        </w:rPr>
      </w:pPr>
    </w:p>
    <w:p w14:paraId="22B0F57A" w14:textId="77777777" w:rsidR="00650FC8" w:rsidRPr="00195880" w:rsidRDefault="00650FC8" w:rsidP="00650FC8">
      <w:pPr>
        <w:jc w:val="center"/>
        <w:rPr>
          <w:b/>
        </w:rPr>
      </w:pPr>
      <w:r w:rsidRPr="00195880">
        <w:rPr>
          <w:b/>
        </w:rPr>
        <w:t xml:space="preserve">Andrea Kalavská  </w:t>
      </w:r>
      <w:proofErr w:type="spellStart"/>
      <w:r w:rsidRPr="00195880">
        <w:rPr>
          <w:b/>
        </w:rPr>
        <w:t>v.r</w:t>
      </w:r>
      <w:proofErr w:type="spellEnd"/>
      <w:r w:rsidRPr="00195880">
        <w:rPr>
          <w:b/>
        </w:rPr>
        <w:t>.</w:t>
      </w:r>
    </w:p>
    <w:p w14:paraId="79C61632" w14:textId="77777777" w:rsidR="00650FC8" w:rsidRPr="00195880" w:rsidRDefault="00650FC8" w:rsidP="00650FC8">
      <w:pPr>
        <w:jc w:val="center"/>
      </w:pPr>
      <w:r w:rsidRPr="00195880">
        <w:t>ministerka zdravotníctva</w:t>
      </w:r>
    </w:p>
    <w:p w14:paraId="3F4E63F1" w14:textId="77777777" w:rsidR="00650FC8" w:rsidRPr="00923E8C" w:rsidRDefault="00650FC8" w:rsidP="00650FC8">
      <w:pPr>
        <w:jc w:val="center"/>
      </w:pPr>
      <w:r w:rsidRPr="00195880">
        <w:t>Slovenskej republiky</w:t>
      </w:r>
    </w:p>
    <w:p w14:paraId="3D5CDE0E" w14:textId="77777777" w:rsidR="00650FC8" w:rsidRDefault="00650FC8" w:rsidP="00650FC8">
      <w:pPr>
        <w:spacing w:line="360" w:lineRule="auto"/>
        <w:ind w:firstLine="567"/>
      </w:pPr>
      <w:r>
        <w:t xml:space="preserve"> </w:t>
      </w:r>
    </w:p>
    <w:p w14:paraId="6D8F8B85" w14:textId="77777777" w:rsidR="00650FC8" w:rsidRPr="00066295" w:rsidRDefault="00650FC8" w:rsidP="00871F6D">
      <w:pPr>
        <w:pStyle w:val="Default"/>
        <w:spacing w:line="360" w:lineRule="auto"/>
        <w:ind w:firstLine="708"/>
        <w:jc w:val="both"/>
        <w:rPr>
          <w:color w:val="auto"/>
        </w:rPr>
      </w:pPr>
    </w:p>
    <w:sectPr w:rsidR="00650FC8" w:rsidRPr="00066295" w:rsidSect="00650FC8">
      <w:footerReference w:type="default" r:id="rId8"/>
      <w:pgSz w:w="11906" w:h="16838"/>
      <w:pgMar w:top="1560" w:right="1417" w:bottom="184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1966E" w14:textId="77777777" w:rsidR="00ED0177" w:rsidRDefault="00ED0177" w:rsidP="004B684C">
      <w:r>
        <w:separator/>
      </w:r>
    </w:p>
  </w:endnote>
  <w:endnote w:type="continuationSeparator" w:id="0">
    <w:p w14:paraId="5681C34E" w14:textId="77777777" w:rsidR="00ED0177" w:rsidRDefault="00ED0177" w:rsidP="004B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616E0" w14:textId="1095B32E" w:rsidR="004B684C" w:rsidRDefault="004B684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50FC8">
      <w:rPr>
        <w:noProof/>
      </w:rPr>
      <w:t>11</w:t>
    </w:r>
    <w:r>
      <w:fldChar w:fldCharType="end"/>
    </w:r>
  </w:p>
  <w:p w14:paraId="497880D1" w14:textId="77777777" w:rsidR="004B684C" w:rsidRDefault="004B68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CE966" w14:textId="77777777" w:rsidR="00ED0177" w:rsidRDefault="00ED0177" w:rsidP="004B684C">
      <w:r>
        <w:separator/>
      </w:r>
    </w:p>
  </w:footnote>
  <w:footnote w:type="continuationSeparator" w:id="0">
    <w:p w14:paraId="5D47331F" w14:textId="77777777" w:rsidR="00ED0177" w:rsidRDefault="00ED0177" w:rsidP="004B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0CF9"/>
    <w:multiLevelType w:val="hybridMultilevel"/>
    <w:tmpl w:val="4E8CCC64"/>
    <w:lvl w:ilvl="0" w:tplc="D43A4F7C">
      <w:start w:val="1"/>
      <w:numFmt w:val="decimal"/>
      <w:lvlText w:val="K bodu %1"/>
      <w:lvlJc w:val="left"/>
      <w:pPr>
        <w:ind w:left="1353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4A752EBD"/>
    <w:multiLevelType w:val="hybridMultilevel"/>
    <w:tmpl w:val="3A148FC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AD"/>
    <w:rsid w:val="000012D4"/>
    <w:rsid w:val="000057BF"/>
    <w:rsid w:val="000209F3"/>
    <w:rsid w:val="000228B2"/>
    <w:rsid w:val="00023961"/>
    <w:rsid w:val="00035E4A"/>
    <w:rsid w:val="00042BFA"/>
    <w:rsid w:val="00045AF8"/>
    <w:rsid w:val="00053969"/>
    <w:rsid w:val="00066295"/>
    <w:rsid w:val="00081E35"/>
    <w:rsid w:val="0009183C"/>
    <w:rsid w:val="000A3DFF"/>
    <w:rsid w:val="000B0070"/>
    <w:rsid w:val="000D02A9"/>
    <w:rsid w:val="000D1F2C"/>
    <w:rsid w:val="000F5465"/>
    <w:rsid w:val="0012655D"/>
    <w:rsid w:val="00127832"/>
    <w:rsid w:val="0013037A"/>
    <w:rsid w:val="001437EC"/>
    <w:rsid w:val="001528CA"/>
    <w:rsid w:val="00163F75"/>
    <w:rsid w:val="00166205"/>
    <w:rsid w:val="001718C8"/>
    <w:rsid w:val="001744DE"/>
    <w:rsid w:val="00197FD0"/>
    <w:rsid w:val="001A0463"/>
    <w:rsid w:val="001A5FE4"/>
    <w:rsid w:val="001B5AB1"/>
    <w:rsid w:val="001D307B"/>
    <w:rsid w:val="001F1F3B"/>
    <w:rsid w:val="00217097"/>
    <w:rsid w:val="002212F0"/>
    <w:rsid w:val="0022680F"/>
    <w:rsid w:val="002345DB"/>
    <w:rsid w:val="0023548E"/>
    <w:rsid w:val="00277AE2"/>
    <w:rsid w:val="00285739"/>
    <w:rsid w:val="00297DAB"/>
    <w:rsid w:val="002A228E"/>
    <w:rsid w:val="002A4F4D"/>
    <w:rsid w:val="002B0EDE"/>
    <w:rsid w:val="002B6319"/>
    <w:rsid w:val="002C2C0F"/>
    <w:rsid w:val="002C3FB0"/>
    <w:rsid w:val="002E2362"/>
    <w:rsid w:val="002E3065"/>
    <w:rsid w:val="002F121E"/>
    <w:rsid w:val="002F195C"/>
    <w:rsid w:val="002F2BC6"/>
    <w:rsid w:val="002F7C57"/>
    <w:rsid w:val="00304091"/>
    <w:rsid w:val="00316060"/>
    <w:rsid w:val="00327069"/>
    <w:rsid w:val="00350C4D"/>
    <w:rsid w:val="003546B7"/>
    <w:rsid w:val="003852AC"/>
    <w:rsid w:val="00393BEA"/>
    <w:rsid w:val="003975E2"/>
    <w:rsid w:val="003B2691"/>
    <w:rsid w:val="003B4D34"/>
    <w:rsid w:val="003B5650"/>
    <w:rsid w:val="003B67FB"/>
    <w:rsid w:val="003C5399"/>
    <w:rsid w:val="003E6BBB"/>
    <w:rsid w:val="003E7AFA"/>
    <w:rsid w:val="00402724"/>
    <w:rsid w:val="00404891"/>
    <w:rsid w:val="0041173B"/>
    <w:rsid w:val="0047556C"/>
    <w:rsid w:val="0048360B"/>
    <w:rsid w:val="00487413"/>
    <w:rsid w:val="004921AA"/>
    <w:rsid w:val="004A07FC"/>
    <w:rsid w:val="004B40FF"/>
    <w:rsid w:val="004B4667"/>
    <w:rsid w:val="004B684C"/>
    <w:rsid w:val="004C3EA6"/>
    <w:rsid w:val="004F098B"/>
    <w:rsid w:val="0052672C"/>
    <w:rsid w:val="005318ED"/>
    <w:rsid w:val="005428B9"/>
    <w:rsid w:val="00544CE5"/>
    <w:rsid w:val="005451E7"/>
    <w:rsid w:val="005469F6"/>
    <w:rsid w:val="00551007"/>
    <w:rsid w:val="00571F87"/>
    <w:rsid w:val="00572CA1"/>
    <w:rsid w:val="005B466D"/>
    <w:rsid w:val="005B5272"/>
    <w:rsid w:val="005D7BE7"/>
    <w:rsid w:val="005E2F0A"/>
    <w:rsid w:val="005F32AD"/>
    <w:rsid w:val="005F42F8"/>
    <w:rsid w:val="00614895"/>
    <w:rsid w:val="0061704E"/>
    <w:rsid w:val="006325D1"/>
    <w:rsid w:val="006507BA"/>
    <w:rsid w:val="00650FC8"/>
    <w:rsid w:val="0065518E"/>
    <w:rsid w:val="00675B78"/>
    <w:rsid w:val="006772AF"/>
    <w:rsid w:val="00680BF2"/>
    <w:rsid w:val="00694315"/>
    <w:rsid w:val="006D33CA"/>
    <w:rsid w:val="006E2A3D"/>
    <w:rsid w:val="006E69D5"/>
    <w:rsid w:val="006F15E7"/>
    <w:rsid w:val="006F253D"/>
    <w:rsid w:val="007357A2"/>
    <w:rsid w:val="00747C37"/>
    <w:rsid w:val="00755113"/>
    <w:rsid w:val="007678E2"/>
    <w:rsid w:val="00767EA1"/>
    <w:rsid w:val="007B7C81"/>
    <w:rsid w:val="007F447C"/>
    <w:rsid w:val="007F6983"/>
    <w:rsid w:val="00805AF4"/>
    <w:rsid w:val="00814688"/>
    <w:rsid w:val="008201E1"/>
    <w:rsid w:val="00831AC3"/>
    <w:rsid w:val="00831D09"/>
    <w:rsid w:val="008341E3"/>
    <w:rsid w:val="00834A49"/>
    <w:rsid w:val="0084213D"/>
    <w:rsid w:val="00853199"/>
    <w:rsid w:val="00871F6D"/>
    <w:rsid w:val="00874FA1"/>
    <w:rsid w:val="008A1606"/>
    <w:rsid w:val="008A5B09"/>
    <w:rsid w:val="008D711C"/>
    <w:rsid w:val="008F06D7"/>
    <w:rsid w:val="009069F6"/>
    <w:rsid w:val="00907D13"/>
    <w:rsid w:val="0092208F"/>
    <w:rsid w:val="009253BA"/>
    <w:rsid w:val="00927DC6"/>
    <w:rsid w:val="00931BDE"/>
    <w:rsid w:val="0094194E"/>
    <w:rsid w:val="00942BB5"/>
    <w:rsid w:val="0094567C"/>
    <w:rsid w:val="00946376"/>
    <w:rsid w:val="00954D26"/>
    <w:rsid w:val="009574BD"/>
    <w:rsid w:val="00966C17"/>
    <w:rsid w:val="00967461"/>
    <w:rsid w:val="009A6EDA"/>
    <w:rsid w:val="009E6557"/>
    <w:rsid w:val="009F07F5"/>
    <w:rsid w:val="009F1A88"/>
    <w:rsid w:val="00A25184"/>
    <w:rsid w:val="00A4303F"/>
    <w:rsid w:val="00A44A42"/>
    <w:rsid w:val="00A54A4A"/>
    <w:rsid w:val="00A931D4"/>
    <w:rsid w:val="00A93AE9"/>
    <w:rsid w:val="00A972AF"/>
    <w:rsid w:val="00AB1868"/>
    <w:rsid w:val="00AB6B03"/>
    <w:rsid w:val="00AC1FBD"/>
    <w:rsid w:val="00AC5FCA"/>
    <w:rsid w:val="00AE1B7B"/>
    <w:rsid w:val="00AE2E26"/>
    <w:rsid w:val="00AE77AC"/>
    <w:rsid w:val="00B30314"/>
    <w:rsid w:val="00B32CD0"/>
    <w:rsid w:val="00B34AE5"/>
    <w:rsid w:val="00B40517"/>
    <w:rsid w:val="00B64F39"/>
    <w:rsid w:val="00B71505"/>
    <w:rsid w:val="00B72277"/>
    <w:rsid w:val="00B80269"/>
    <w:rsid w:val="00B900C9"/>
    <w:rsid w:val="00B94C11"/>
    <w:rsid w:val="00BA6DCE"/>
    <w:rsid w:val="00BB4264"/>
    <w:rsid w:val="00BD2444"/>
    <w:rsid w:val="00C212E5"/>
    <w:rsid w:val="00C3280D"/>
    <w:rsid w:val="00C405FB"/>
    <w:rsid w:val="00C41352"/>
    <w:rsid w:val="00C43394"/>
    <w:rsid w:val="00C5641C"/>
    <w:rsid w:val="00C7101E"/>
    <w:rsid w:val="00C86862"/>
    <w:rsid w:val="00C97F0C"/>
    <w:rsid w:val="00CA2D5E"/>
    <w:rsid w:val="00CB6319"/>
    <w:rsid w:val="00CB75B7"/>
    <w:rsid w:val="00CC1CC8"/>
    <w:rsid w:val="00D23ED3"/>
    <w:rsid w:val="00D24CC1"/>
    <w:rsid w:val="00D30C75"/>
    <w:rsid w:val="00D41E0A"/>
    <w:rsid w:val="00D54792"/>
    <w:rsid w:val="00D55866"/>
    <w:rsid w:val="00D55951"/>
    <w:rsid w:val="00D57421"/>
    <w:rsid w:val="00D6620F"/>
    <w:rsid w:val="00D722A2"/>
    <w:rsid w:val="00D94271"/>
    <w:rsid w:val="00D95CF3"/>
    <w:rsid w:val="00DA7327"/>
    <w:rsid w:val="00DC2C07"/>
    <w:rsid w:val="00DD1228"/>
    <w:rsid w:val="00DE73F6"/>
    <w:rsid w:val="00DF7E7A"/>
    <w:rsid w:val="00E00DFF"/>
    <w:rsid w:val="00E07EF6"/>
    <w:rsid w:val="00E34249"/>
    <w:rsid w:val="00E36D73"/>
    <w:rsid w:val="00E37EE3"/>
    <w:rsid w:val="00E40CE6"/>
    <w:rsid w:val="00E421C7"/>
    <w:rsid w:val="00E44FBE"/>
    <w:rsid w:val="00E537FE"/>
    <w:rsid w:val="00E55154"/>
    <w:rsid w:val="00E6273A"/>
    <w:rsid w:val="00EA2A11"/>
    <w:rsid w:val="00ED0177"/>
    <w:rsid w:val="00ED127B"/>
    <w:rsid w:val="00ED5CDF"/>
    <w:rsid w:val="00ED7166"/>
    <w:rsid w:val="00EF7501"/>
    <w:rsid w:val="00F154F4"/>
    <w:rsid w:val="00F43C17"/>
    <w:rsid w:val="00F67C76"/>
    <w:rsid w:val="00F83487"/>
    <w:rsid w:val="00F847A8"/>
    <w:rsid w:val="00FA1862"/>
    <w:rsid w:val="00FB5174"/>
    <w:rsid w:val="00FC461D"/>
    <w:rsid w:val="00FD3652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D8F73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32A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5F32AD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5F32AD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5F32AD"/>
    <w:pPr>
      <w:ind w:left="720"/>
      <w:contextualSpacing/>
    </w:pPr>
  </w:style>
  <w:style w:type="paragraph" w:customStyle="1" w:styleId="Default">
    <w:name w:val="Default"/>
    <w:rsid w:val="005F32A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F32AD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4B68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684C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4B68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684C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8A1606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8A1606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767EA1"/>
    <w:rPr>
      <w:rFonts w:ascii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67EA1"/>
    <w:rPr>
      <w:rFonts w:ascii="Calibri" w:hAnsi="Calibri" w:cs="Consolas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045A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A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AF8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A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AF8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ManualConsidrant">
    <w:name w:val="Manual Considérant"/>
    <w:basedOn w:val="Normlny"/>
    <w:rsid w:val="00127832"/>
    <w:pPr>
      <w:spacing w:before="120" w:after="120"/>
      <w:ind w:left="709" w:hanging="709"/>
      <w:jc w:val="both"/>
    </w:pPr>
    <w:rPr>
      <w:rFonts w:eastAsiaTheme="minorHAnsi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2D5E"/>
    <w:pPr>
      <w:ind w:left="720" w:hanging="720"/>
      <w:jc w:val="both"/>
    </w:pPr>
    <w:rPr>
      <w:rFonts w:eastAsiaTheme="minorHAns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2D5E"/>
    <w:rPr>
      <w:rFonts w:ascii="Times New Roman" w:eastAsiaTheme="minorHAnsi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2D5E"/>
    <w:rPr>
      <w:shd w:val="clear" w:color="auto" w:fill="auto"/>
      <w:vertAlign w:val="superscript"/>
    </w:rPr>
  </w:style>
  <w:style w:type="character" w:customStyle="1" w:styleId="tlid-translation">
    <w:name w:val="tlid-translation"/>
    <w:basedOn w:val="Predvolenpsmoodseku"/>
    <w:rsid w:val="002F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62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96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9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9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79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99630">
                                                      <w:marLeft w:val="810"/>
                                                      <w:marRight w:val="81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99632">
                                                          <w:marLeft w:val="4005"/>
                                                          <w:marRight w:val="81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79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7807-F8AF-4FE8-9EEC-C3391D0F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2019-08-15T08:25:00Z</dcterms:created>
  <dcterms:modified xsi:type="dcterms:W3CDTF">2019-08-21T11:00:00Z</dcterms:modified>
</cp:coreProperties>
</file>