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DF9" w:rsidRDefault="00D24DF9" w:rsidP="00D24D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D24DF9" w:rsidRDefault="00D24DF9" w:rsidP="00D24D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D24DF9" w:rsidRDefault="00D24DF9" w:rsidP="00D24DF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D24DF9" w:rsidRDefault="00D24DF9" w:rsidP="00D24DF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D24DF9" w:rsidRDefault="00D24DF9" w:rsidP="00D24DF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D24DF9" w:rsidRDefault="00D24DF9" w:rsidP="00D24DF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/>
          <w:sz w:val="20"/>
          <w:szCs w:val="20"/>
          <w:lang w:eastAsia="sk-SK"/>
        </w:rPr>
        <w:lastRenderedPageBreak/>
        <w:t xml:space="preserve">Tabuľka č. 1 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1"/>
        <w:gridCol w:w="1267"/>
        <w:gridCol w:w="1267"/>
        <w:gridCol w:w="1267"/>
        <w:gridCol w:w="1223"/>
      </w:tblGrid>
      <w:tr w:rsidR="00D24DF9" w:rsidTr="00D24DF9">
        <w:trPr>
          <w:cantSplit/>
          <w:trHeight w:val="194"/>
          <w:jc w:val="center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D24DF9" w:rsidTr="00D24DF9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F9" w:rsidRDefault="00D24DF9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</w:tr>
      <w:tr w:rsidR="00D24DF9" w:rsidTr="00D24DF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</w:tr>
      <w:tr w:rsidR="00D24DF9" w:rsidTr="00D24DF9">
        <w:trPr>
          <w:trHeight w:val="13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</w:tr>
      <w:tr w:rsidR="00D24DF9" w:rsidTr="00D24DF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</w:p>
        </w:tc>
      </w:tr>
      <w:tr w:rsidR="00D24DF9" w:rsidTr="00D24DF9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</w:tr>
      <w:tr w:rsidR="00D24DF9" w:rsidTr="00D24DF9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ind w:left="259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 w:rsidR="00D24DF9" w:rsidTr="00D24DF9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ind w:left="259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</w:tr>
      <w:tr w:rsidR="00D24DF9" w:rsidTr="00D24DF9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 w:rsidR="00D24DF9" w:rsidTr="00D24DF9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 w:rsidR="00D24DF9" w:rsidTr="00D24DF9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 w:rsidR="00D24DF9" w:rsidTr="00D24DF9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0   </w:t>
            </w:r>
          </w:p>
        </w:tc>
      </w:tr>
      <w:tr w:rsidR="00D24DF9" w:rsidTr="00D24DF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0   </w:t>
            </w:r>
          </w:p>
        </w:tc>
      </w:tr>
      <w:tr w:rsidR="00D24DF9" w:rsidTr="00D24DF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</w:p>
        </w:tc>
      </w:tr>
      <w:tr w:rsidR="00D24DF9" w:rsidTr="00D24DF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 w:rsidR="00D24DF9" w:rsidTr="00D24DF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ind w:left="259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 w:rsidR="00D24DF9" w:rsidTr="00D24DF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</w:tr>
      <w:tr w:rsidR="00D24DF9" w:rsidTr="00D24DF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</w:tr>
      <w:tr w:rsidR="00D24DF9" w:rsidTr="00D24DF9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 w:rsidR="00D24DF9" w:rsidTr="00D24DF9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 w:rsidR="00D24DF9" w:rsidTr="00D24DF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 w:rsidR="00D24DF9" w:rsidTr="00D24DF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</w:tr>
      <w:tr w:rsidR="00D24DF9" w:rsidTr="00D24DF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 w:rsidR="00D24DF9" w:rsidTr="00D24DF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 w:rsidR="00D24DF9" w:rsidTr="00D24DF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 w:rsidR="00D24DF9" w:rsidTr="00D24DF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 w:rsidR="00D24DF9" w:rsidTr="00D24DF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lang w:eastAsia="sk-SK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lang w:eastAsia="sk-SK"/>
              </w:rPr>
              <w:t>0</w:t>
            </w:r>
          </w:p>
        </w:tc>
      </w:tr>
      <w:tr w:rsidR="00D24DF9" w:rsidTr="00D24DF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 w:rsidR="00D24DF9" w:rsidTr="00D24DF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 w:rsidR="00D24DF9" w:rsidTr="00D24DF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 w:rsidR="00D24DF9" w:rsidTr="00D24DF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 w:rsidR="00D24DF9" w:rsidTr="00D24DF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</w:p>
        </w:tc>
      </w:tr>
      <w:tr w:rsidR="00D24DF9" w:rsidTr="00D24DF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</w:p>
        </w:tc>
      </w:tr>
      <w:tr w:rsidR="00D24DF9" w:rsidTr="00D24DF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</w:tr>
      <w:tr w:rsidR="00D24DF9" w:rsidTr="00D24DF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-3 mil.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-3 mil.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-3 mil.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-3 mil.</w:t>
            </w:r>
          </w:p>
        </w:tc>
      </w:tr>
      <w:bookmarkEnd w:id="1"/>
    </w:tbl>
    <w:p w:rsidR="00D24DF9" w:rsidRDefault="00D24DF9" w:rsidP="00D24DF9"/>
    <w:p w:rsidR="00D24DF9" w:rsidRDefault="00D24DF9" w:rsidP="00D24DF9">
      <w:pPr>
        <w:ind w:left="580"/>
        <w:rPr>
          <w:rFonts w:ascii="Times New Roman" w:hAnsi="Times New Roman"/>
          <w:sz w:val="24"/>
          <w:szCs w:val="24"/>
        </w:rPr>
      </w:pPr>
    </w:p>
    <w:p w:rsidR="00D24DF9" w:rsidRDefault="00D24DF9" w:rsidP="00D24DF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D24DF9" w:rsidRDefault="00D24DF9" w:rsidP="00D24DF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2"/>
          <w:szCs w:val="24"/>
          <w:lang w:eastAsia="sk-SK"/>
        </w:rPr>
      </w:pPr>
    </w:p>
    <w:p w:rsidR="00D24DF9" w:rsidRDefault="00D24DF9" w:rsidP="00D24D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Navrhovanou úpravou sa nepredpokladá vplyv na rozpočet verejnej správy vo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lastRenderedPageBreak/>
        <w:t>vzťahu k zvýšeným výdajom na lieky. Navrhovanou úpravou sa predpokladá pozitívny vplyv na rozpočet verejnej správy, predpokladá sa odhadovaná ročná úspora minimálne 3 mil. eur.</w:t>
      </w:r>
    </w:p>
    <w:p w:rsidR="00D24DF9" w:rsidRDefault="00D24DF9" w:rsidP="00D24D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D24DF9" w:rsidRDefault="00D24DF9" w:rsidP="00D24DF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:rsidR="00D24DF9" w:rsidRDefault="00D24DF9" w:rsidP="00D24D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24DF9" w:rsidRDefault="00D24DF9" w:rsidP="00D24DF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lastRenderedPageBreak/>
        <w:t>2.2.1. Popis návrhu:</w:t>
      </w:r>
    </w:p>
    <w:p w:rsidR="00D24DF9" w:rsidRDefault="00D24DF9" w:rsidP="00D24D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Precizovaním definície základného pojmu európskej referenčnej ceny lieku a úpravou podmienok, pri ktorých môže byť pomer úhrady zdravotnej poisťovne a doplatku poistenca za liek, zdravotnícku pomôcku alebo dietetickú potravinu zmenený sa umožňuje signifikantné zníženie alebo úplná eliminácia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doplatku. Náklady pritom znáša držiteľ registrácie lieku. </w:t>
      </w:r>
    </w:p>
    <w:p w:rsidR="00D24DF9" w:rsidRDefault="00D24DF9" w:rsidP="00D24D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Zníženie výdavkov zdravotného poistenia na lieky bude znamenať v rámci rozpočtu zdravotných poisťovní vnútorné prerozdelenie zdrojov v prospech iných segmentov zdravotnej starostlivosti.</w:t>
      </w:r>
    </w:p>
    <w:p w:rsidR="00D24DF9" w:rsidRDefault="00D24DF9" w:rsidP="00D24D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.........................................................</w:t>
      </w:r>
    </w:p>
    <w:p w:rsidR="00D24DF9" w:rsidRDefault="00D24DF9" w:rsidP="00D24D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24DF9" w:rsidRDefault="00D24DF9" w:rsidP="00D24DF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D24DF9" w:rsidRDefault="00D24DF9" w:rsidP="00D24D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24DF9" w:rsidRDefault="00D24DF9" w:rsidP="00D24D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bdr w:val="single" w:sz="4" w:space="0" w:color="auto" w:frame="1"/>
          <w:lang w:eastAsia="sk-SK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zmena sadzby</w:t>
      </w:r>
    </w:p>
    <w:p w:rsidR="00D24DF9" w:rsidRDefault="00D24DF9" w:rsidP="00D24D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bdr w:val="single" w:sz="4" w:space="0" w:color="auto" w:frame="1"/>
          <w:lang w:eastAsia="sk-SK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zmena v nároku</w:t>
      </w:r>
    </w:p>
    <w:p w:rsidR="00D24DF9" w:rsidRDefault="00D24DF9" w:rsidP="00D24D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bdr w:val="single" w:sz="4" w:space="0" w:color="auto" w:frame="1"/>
          <w:lang w:eastAsia="sk-SK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D24DF9" w:rsidRDefault="00D24DF9" w:rsidP="00D24D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bdr w:val="single" w:sz="4" w:space="0" w:color="auto" w:frame="1"/>
          <w:lang w:eastAsia="sk-SK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kombinovaný návrh</w:t>
      </w:r>
    </w:p>
    <w:p w:rsidR="00D24DF9" w:rsidRDefault="00D24DF9" w:rsidP="00D24D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bdr w:val="single" w:sz="4" w:space="0" w:color="auto" w:frame="1"/>
          <w:lang w:eastAsia="sk-SK"/>
        </w:rPr>
        <w:t xml:space="preserve">  x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iné </w:t>
      </w:r>
    </w:p>
    <w:p w:rsidR="00D24DF9" w:rsidRDefault="00D24DF9" w:rsidP="00D24D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lastRenderedPageBreak/>
        <w:t>2.2.3. Predpoklady vývoja objemu aktivít:</w:t>
      </w:r>
    </w:p>
    <w:p w:rsidR="00D24DF9" w:rsidRDefault="00D24DF9" w:rsidP="00D24DF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/>
          <w:sz w:val="24"/>
          <w:szCs w:val="20"/>
          <w:lang w:eastAsia="sk-SK"/>
        </w:rPr>
        <w:t xml:space="preserve">Tabuľka č. 2 </w:t>
      </w: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8"/>
        <w:gridCol w:w="2526"/>
        <w:gridCol w:w="2392"/>
        <w:gridCol w:w="2121"/>
      </w:tblGrid>
      <w:tr w:rsidR="00D24DF9" w:rsidTr="00D24DF9">
        <w:trPr>
          <w:trHeight w:val="288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sk-SK"/>
              </w:rPr>
              <w:t>Objem aktivít</w:t>
            </w:r>
          </w:p>
        </w:tc>
        <w:tc>
          <w:tcPr>
            <w:tcW w:w="7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sk-SK"/>
              </w:rPr>
              <w:t>Odhadovaný dopad v eur</w:t>
            </w:r>
          </w:p>
        </w:tc>
      </w:tr>
      <w:tr w:rsidR="00D24DF9" w:rsidTr="00D24DF9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F9" w:rsidRDefault="00D24DF9">
            <w:pPr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lang w:eastAsia="sk-SK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sk-SK"/>
              </w:rPr>
              <w:t>2020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sk-SK"/>
              </w:rPr>
              <w:t>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sk-SK"/>
              </w:rPr>
              <w:t>2022</w:t>
            </w:r>
          </w:p>
        </w:tc>
      </w:tr>
      <w:tr w:rsidR="00D24DF9" w:rsidTr="00D24DF9">
        <w:trPr>
          <w:trHeight w:val="2364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sk-SK"/>
              </w:rPr>
              <w:t>Precizovanie definície základného pojmu európskej referenčnej ceny lieku; úprava podmienok, pri ktorých môže byť pomer úhrady a doplatku zmenený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-3 mil.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-3 mil.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-3 mil.  </w:t>
            </w:r>
          </w:p>
        </w:tc>
      </w:tr>
    </w:tbl>
    <w:p w:rsidR="00D24DF9" w:rsidRDefault="00D24DF9" w:rsidP="00D24DF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D24DF9" w:rsidRDefault="00D24DF9" w:rsidP="00D24DF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D24DF9" w:rsidRDefault="00D24DF9" w:rsidP="00D24D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24DF9" w:rsidRDefault="00D24DF9" w:rsidP="00D2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Uveďte najdôležitejšie výpočty, ktoré boli použité 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stanovenie vplyvov na príjmy a výdavky, ako aj predpoklady, z ktorých ste vychádzali. Predkladateľ by mal jasne odlíšiť podklady od kapitol a organizácií, aby bolo jasne vidieť základ použitý na výpočty.</w:t>
      </w:r>
    </w:p>
    <w:p w:rsidR="00D24DF9" w:rsidRDefault="00D24DF9" w:rsidP="00D24D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24DF9" w:rsidRDefault="00D24DF9" w:rsidP="00D24DF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lastRenderedPageBreak/>
        <w:t>Dopady boli odhadované na základe expertíznych názorov zamestnancov ministerstva zdravotníctva.</w:t>
      </w:r>
    </w:p>
    <w:p w:rsidR="00D24DF9" w:rsidRDefault="00D24DF9" w:rsidP="00D24DF9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Tabuľka č. 3 </w:t>
      </w:r>
    </w:p>
    <w:p w:rsidR="00D24DF9" w:rsidRDefault="00D24DF9" w:rsidP="00D24DF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</w:pPr>
    </w:p>
    <w:p w:rsidR="00D24DF9" w:rsidRDefault="00D24DF9" w:rsidP="00D24DF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D24DF9" w:rsidRDefault="00D24DF9" w:rsidP="00D24DF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</w:pPr>
    </w:p>
    <w:p w:rsidR="00D24DF9" w:rsidRDefault="00D24DF9" w:rsidP="00D24DF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sk-SK"/>
        </w:rPr>
        <w:t>Poznámka:</w:t>
      </w:r>
    </w:p>
    <w:p w:rsidR="00D24DF9" w:rsidRDefault="00D24DF9" w:rsidP="00D24DF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0"/>
          <w:lang w:eastAsia="sk-SK"/>
        </w:rPr>
        <w:t xml:space="preserve">Ak sa vplyv týka viacerých subjektov verejnej správy, </w:t>
      </w:r>
      <w:r>
        <w:rPr>
          <w:rFonts w:ascii="Times New Roman" w:eastAsia="Times New Roman" w:hAnsi="Times New Roman"/>
          <w:bCs/>
          <w:sz w:val="24"/>
          <w:szCs w:val="20"/>
          <w:lang w:eastAsia="sk-SK"/>
        </w:rPr>
        <w:lastRenderedPageBreak/>
        <w:t>vypĺňa sa samostatná tabuľka za každý subjekt.</w:t>
      </w:r>
    </w:p>
    <w:p w:rsidR="00D24DF9" w:rsidRDefault="00D24DF9" w:rsidP="00D24DF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</w:p>
    <w:p w:rsidR="00D24DF9" w:rsidRDefault="00D24DF9" w:rsidP="00D24DF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D24DF9" w:rsidRDefault="00D24DF9" w:rsidP="00D24DF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D24DF9" w:rsidRDefault="00D24DF9" w:rsidP="00D24DF9">
      <w:pPr>
        <w:tabs>
          <w:tab w:val="num" w:pos="1080"/>
        </w:tabs>
        <w:spacing w:after="0" w:line="240" w:lineRule="auto"/>
        <w:ind w:right="-32"/>
        <w:jc w:val="center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Tabuľka č. 4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1716"/>
        <w:gridCol w:w="1649"/>
        <w:gridCol w:w="1651"/>
        <w:gridCol w:w="1360"/>
      </w:tblGrid>
      <w:tr w:rsidR="00D24DF9" w:rsidTr="00D24DF9">
        <w:trPr>
          <w:trHeight w:val="315"/>
        </w:trPr>
        <w:tc>
          <w:tcPr>
            <w:tcW w:w="14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Výdavky (v eurách)</w:t>
            </w:r>
          </w:p>
        </w:tc>
        <w:tc>
          <w:tcPr>
            <w:tcW w:w="277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Vplyv na rozpočet verejnej správy</w:t>
            </w:r>
          </w:p>
        </w:tc>
        <w:tc>
          <w:tcPr>
            <w:tcW w:w="7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poznámka</w:t>
            </w:r>
          </w:p>
        </w:tc>
      </w:tr>
      <w:tr w:rsidR="00D24DF9" w:rsidTr="00D24DF9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r. 2020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r. 2021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r. 2022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</w:tr>
      <w:tr w:rsidR="00D24DF9" w:rsidTr="00D24DF9">
        <w:trPr>
          <w:trHeight w:val="330"/>
        </w:trPr>
        <w:tc>
          <w:tcPr>
            <w:tcW w:w="1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Bežné výdavky (600)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D24DF9" w:rsidTr="00D24DF9">
        <w:trPr>
          <w:trHeight w:val="780"/>
        </w:trPr>
        <w:tc>
          <w:tcPr>
            <w:tcW w:w="1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D24DF9" w:rsidTr="00D24DF9">
        <w:trPr>
          <w:trHeight w:val="525"/>
        </w:trPr>
        <w:tc>
          <w:tcPr>
            <w:tcW w:w="1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Poistné a príspevok do poisťovní (620)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D24DF9" w:rsidTr="00D24DF9">
        <w:trPr>
          <w:trHeight w:val="330"/>
        </w:trPr>
        <w:tc>
          <w:tcPr>
            <w:tcW w:w="1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Tovary a služby (630)</w:t>
            </w:r>
            <w:r>
              <w:rPr>
                <w:rFonts w:ascii="Times New Roman" w:eastAsia="Times New Roman" w:hAnsi="Times New Roman"/>
                <w:color w:val="000000"/>
                <w:vertAlign w:val="superscript"/>
                <w:lang w:eastAsia="sk-SK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D24DF9" w:rsidTr="00D24DF9">
        <w:trPr>
          <w:trHeight w:val="330"/>
        </w:trPr>
        <w:tc>
          <w:tcPr>
            <w:tcW w:w="1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Bežné transfery (640)</w:t>
            </w:r>
            <w:r>
              <w:rPr>
                <w:rFonts w:ascii="Times New Roman" w:eastAsia="Times New Roman" w:hAnsi="Times New Roman"/>
                <w:color w:val="000000"/>
                <w:vertAlign w:val="superscript"/>
                <w:lang w:eastAsia="sk-SK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D24DF9" w:rsidTr="00D24DF9">
        <w:trPr>
          <w:trHeight w:val="1110"/>
        </w:trPr>
        <w:tc>
          <w:tcPr>
            <w:tcW w:w="1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Splácanie úrokov a ostatné platby súvisiace s  úverom, pôžičkou, návratnou finančnou výpomocou a finančným prenájmom (650)</w:t>
            </w:r>
            <w:r>
              <w:rPr>
                <w:rFonts w:ascii="Times New Roman" w:eastAsia="Times New Roman" w:hAnsi="Times New Roman"/>
                <w:color w:val="000000"/>
                <w:vertAlign w:val="superscript"/>
                <w:lang w:eastAsia="sk-SK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D24DF9" w:rsidTr="00D24DF9">
        <w:trPr>
          <w:trHeight w:val="330"/>
        </w:trPr>
        <w:tc>
          <w:tcPr>
            <w:tcW w:w="1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Kapitálové výdavky (700)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D24DF9" w:rsidTr="00D24DF9">
        <w:trPr>
          <w:trHeight w:val="585"/>
        </w:trPr>
        <w:tc>
          <w:tcPr>
            <w:tcW w:w="1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Obstarávanie kapitálových aktív (710)</w:t>
            </w:r>
            <w:r>
              <w:rPr>
                <w:rFonts w:ascii="Times New Roman" w:eastAsia="Times New Roman" w:hAnsi="Times New Roman"/>
                <w:color w:val="000000"/>
                <w:vertAlign w:val="superscript"/>
                <w:lang w:eastAsia="sk-SK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D24DF9" w:rsidTr="00D24DF9">
        <w:trPr>
          <w:trHeight w:val="330"/>
        </w:trPr>
        <w:tc>
          <w:tcPr>
            <w:tcW w:w="1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Kapitálové transfery (720)</w:t>
            </w:r>
            <w:r>
              <w:rPr>
                <w:rFonts w:ascii="Times New Roman" w:eastAsia="Times New Roman" w:hAnsi="Times New Roman"/>
                <w:color w:val="000000"/>
                <w:vertAlign w:val="superscript"/>
                <w:lang w:eastAsia="sk-SK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D24DF9" w:rsidTr="00D24DF9">
        <w:trPr>
          <w:trHeight w:val="1035"/>
        </w:trPr>
        <w:tc>
          <w:tcPr>
            <w:tcW w:w="1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D24DF9" w:rsidTr="00D24DF9">
        <w:trPr>
          <w:trHeight w:val="525"/>
        </w:trPr>
        <w:tc>
          <w:tcPr>
            <w:tcW w:w="1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lastRenderedPageBreak/>
              <w:t>Dopad na výdavky verejnej správy celkom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D24DF9" w:rsidRDefault="00D24DF9" w:rsidP="00D24DF9">
      <w:pPr>
        <w:tabs>
          <w:tab w:val="num" w:pos="1080"/>
        </w:tabs>
        <w:spacing w:after="0" w:line="240" w:lineRule="auto"/>
        <w:ind w:right="-32"/>
        <w:jc w:val="center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D24DF9" w:rsidRDefault="00D24DF9" w:rsidP="00D24DF9">
      <w:pPr>
        <w:tabs>
          <w:tab w:val="num" w:pos="1080"/>
        </w:tabs>
        <w:spacing w:after="0" w:line="240" w:lineRule="auto"/>
        <w:ind w:right="-32"/>
        <w:jc w:val="center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D24DF9" w:rsidRDefault="00D24DF9" w:rsidP="00D24DF9">
      <w:pPr>
        <w:tabs>
          <w:tab w:val="num" w:pos="1080"/>
        </w:tabs>
        <w:spacing w:after="0" w:line="240" w:lineRule="auto"/>
        <w:ind w:right="-32"/>
        <w:jc w:val="center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D24DF9" w:rsidRDefault="00D24DF9" w:rsidP="00D24DF9">
      <w:pPr>
        <w:tabs>
          <w:tab w:val="num" w:pos="1080"/>
        </w:tabs>
        <w:spacing w:after="0" w:line="240" w:lineRule="auto"/>
        <w:ind w:right="-32"/>
        <w:jc w:val="center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D24DF9" w:rsidRDefault="00D24DF9" w:rsidP="00D24DF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</w:pPr>
    </w:p>
    <w:p w:rsidR="00D24DF9" w:rsidRDefault="00D24DF9" w:rsidP="00D24DF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D24DF9" w:rsidRDefault="00D24DF9" w:rsidP="00D24DF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</w:pPr>
    </w:p>
    <w:p w:rsidR="00D24DF9" w:rsidRDefault="00D24DF9" w:rsidP="00D24DF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/>
          <w:b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sk-SK"/>
        </w:rPr>
        <w:t>Poznámka:</w:t>
      </w:r>
    </w:p>
    <w:p w:rsidR="00D24DF9" w:rsidRDefault="00D24DF9" w:rsidP="00D24DF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0"/>
          <w:lang w:eastAsia="sk-SK"/>
        </w:rPr>
        <w:t xml:space="preserve">Ak sa vplyv týka viacerých subjektov verejnej správy, vypĺňa sa </w:t>
      </w:r>
      <w:r>
        <w:rPr>
          <w:rFonts w:ascii="Times New Roman" w:eastAsia="Times New Roman" w:hAnsi="Times New Roman"/>
          <w:bCs/>
          <w:sz w:val="24"/>
          <w:szCs w:val="20"/>
          <w:lang w:eastAsia="sk-SK"/>
        </w:rPr>
        <w:lastRenderedPageBreak/>
        <w:t>samostatná tabuľka za každý subjekt.</w:t>
      </w:r>
    </w:p>
    <w:p w:rsidR="00D24DF9" w:rsidRDefault="00D24DF9" w:rsidP="00D24DF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</w:p>
    <w:p w:rsidR="00D24DF9" w:rsidRDefault="00D24DF9" w:rsidP="00D24DF9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Tabuľka č. 5 </w:t>
      </w:r>
    </w:p>
    <w:p w:rsidR="00D24DF9" w:rsidRDefault="00D24DF9" w:rsidP="00D24DF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</w:pPr>
    </w:p>
    <w:p w:rsidR="00D24DF9" w:rsidRDefault="00D24DF9" w:rsidP="00D24DF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</w:pPr>
    </w:p>
    <w:tbl>
      <w:tblPr>
        <w:tblW w:w="14778" w:type="dxa"/>
        <w:tblInd w:w="-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3"/>
        <w:gridCol w:w="1134"/>
        <w:gridCol w:w="1275"/>
        <w:gridCol w:w="1134"/>
        <w:gridCol w:w="1134"/>
        <w:gridCol w:w="1701"/>
        <w:gridCol w:w="237"/>
        <w:gridCol w:w="160"/>
        <w:gridCol w:w="160"/>
        <w:gridCol w:w="4370"/>
      </w:tblGrid>
      <w:tr w:rsidR="00D24DF9" w:rsidTr="00D24DF9">
        <w:trPr>
          <w:gridAfter w:val="4"/>
          <w:wAfter w:w="4927" w:type="dxa"/>
          <w:cantSplit/>
          <w:trHeight w:val="255"/>
        </w:trPr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D24DF9" w:rsidTr="00D24DF9">
        <w:trPr>
          <w:gridAfter w:val="4"/>
          <w:wAfter w:w="4927" w:type="dxa"/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F9" w:rsidRDefault="00D24DF9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F9" w:rsidRDefault="00D24DF9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24DF9" w:rsidTr="00D24DF9">
        <w:trPr>
          <w:gridAfter w:val="4"/>
          <w:wAfter w:w="4927" w:type="dxa"/>
          <w:trHeight w:val="25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24DF9" w:rsidTr="00D24DF9">
        <w:trPr>
          <w:gridAfter w:val="4"/>
          <w:wAfter w:w="4927" w:type="dxa"/>
          <w:trHeight w:val="25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D24DF9" w:rsidTr="00D24DF9">
        <w:trPr>
          <w:gridAfter w:val="4"/>
          <w:wAfter w:w="4927" w:type="dxa"/>
          <w:trHeight w:val="25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24DF9" w:rsidTr="00D24DF9">
        <w:trPr>
          <w:gridAfter w:val="4"/>
          <w:wAfter w:w="4927" w:type="dxa"/>
          <w:trHeight w:val="25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24DF9" w:rsidTr="00D24DF9">
        <w:trPr>
          <w:gridAfter w:val="4"/>
          <w:wAfter w:w="4927" w:type="dxa"/>
          <w:trHeight w:val="25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D24DF9" w:rsidTr="00D24DF9">
        <w:trPr>
          <w:gridAfter w:val="4"/>
          <w:wAfter w:w="4927" w:type="dxa"/>
          <w:trHeight w:val="25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D24DF9" w:rsidTr="00D24DF9">
        <w:trPr>
          <w:gridAfter w:val="4"/>
          <w:wAfter w:w="4927" w:type="dxa"/>
          <w:trHeight w:val="25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24DF9" w:rsidTr="00D24DF9">
        <w:trPr>
          <w:gridAfter w:val="4"/>
          <w:wAfter w:w="4927" w:type="dxa"/>
          <w:trHeight w:val="25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D24DF9" w:rsidTr="00D24DF9">
        <w:trPr>
          <w:gridAfter w:val="4"/>
          <w:wAfter w:w="4927" w:type="dxa"/>
          <w:trHeight w:val="25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24DF9" w:rsidTr="00D24DF9">
        <w:trPr>
          <w:gridAfter w:val="4"/>
          <w:wAfter w:w="4927" w:type="dxa"/>
          <w:trHeight w:val="255"/>
        </w:trPr>
        <w:tc>
          <w:tcPr>
            <w:tcW w:w="3473" w:type="dxa"/>
            <w:noWrap/>
            <w:vAlign w:val="bottom"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bottom"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noWrap/>
            <w:vAlign w:val="bottom"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bottom"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bottom"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noWrap/>
            <w:vAlign w:val="bottom"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D24DF9" w:rsidTr="00D24DF9">
        <w:trPr>
          <w:gridAfter w:val="4"/>
          <w:wAfter w:w="4927" w:type="dxa"/>
          <w:trHeight w:val="255"/>
        </w:trPr>
        <w:tc>
          <w:tcPr>
            <w:tcW w:w="3473" w:type="dxa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134" w:type="dxa"/>
            <w:noWrap/>
            <w:vAlign w:val="bottom"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noWrap/>
            <w:vAlign w:val="bottom"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bottom"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bottom"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noWrap/>
            <w:vAlign w:val="bottom"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D24DF9" w:rsidTr="00D24DF9">
        <w:trPr>
          <w:gridAfter w:val="4"/>
          <w:wAfter w:w="4927" w:type="dxa"/>
          <w:trHeight w:val="255"/>
        </w:trPr>
        <w:tc>
          <w:tcPr>
            <w:tcW w:w="8150" w:type="dxa"/>
            <w:gridSpan w:val="5"/>
            <w:noWrap/>
            <w:hideMark/>
          </w:tcPr>
          <w:p w:rsidR="00D24DF9" w:rsidRDefault="00D24DF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lastRenderedPageBreak/>
              <w:t>Priemerný mzdový výdavok je tvorený podielom mzdových výdavkov na jedného zamestnanca na jeden kalendárny mesiac bežného roka.</w:t>
            </w:r>
          </w:p>
        </w:tc>
        <w:tc>
          <w:tcPr>
            <w:tcW w:w="1701" w:type="dxa"/>
            <w:noWrap/>
            <w:vAlign w:val="bottom"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D24DF9" w:rsidTr="00D24DF9">
        <w:trPr>
          <w:trHeight w:val="255"/>
        </w:trPr>
        <w:tc>
          <w:tcPr>
            <w:tcW w:w="10088" w:type="dxa"/>
            <w:gridSpan w:val="7"/>
            <w:noWrap/>
            <w:vAlign w:val="bottom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0" w:type="dxa"/>
            <w:noWrap/>
            <w:vAlign w:val="bottom"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0" w:type="dxa"/>
            <w:noWrap/>
            <w:vAlign w:val="bottom"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370" w:type="dxa"/>
            <w:noWrap/>
            <w:vAlign w:val="bottom"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D24DF9" w:rsidRDefault="00D24DF9" w:rsidP="00D24DF9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</w:p>
    <w:sectPr w:rsidR="00D2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08"/>
    <w:rsid w:val="0018431F"/>
    <w:rsid w:val="00D24DF9"/>
    <w:rsid w:val="00E41708"/>
    <w:rsid w:val="00E7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E47FB-2E62-4FF0-8BD3-BFA26A62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4DF9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uiPriority w:val="59"/>
    <w:rsid w:val="00D24DF9"/>
    <w:pPr>
      <w:spacing w:after="0" w:line="240" w:lineRule="auto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Szakácsová Zuzana</dc:creator>
  <cp:keywords/>
  <dc:description/>
  <cp:lastModifiedBy>Vincová Veronika</cp:lastModifiedBy>
  <cp:revision>2</cp:revision>
  <dcterms:created xsi:type="dcterms:W3CDTF">2019-08-14T18:42:00Z</dcterms:created>
  <dcterms:modified xsi:type="dcterms:W3CDTF">2019-08-14T18:42:00Z</dcterms:modified>
</cp:coreProperties>
</file>