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C" w:rsidRDefault="00814F1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TABUĽKA ZHODY</w:t>
      </w:r>
    </w:p>
    <w:p w:rsidR="007B6201" w:rsidRDefault="007B6201">
      <w:pPr>
        <w:jc w:val="center"/>
        <w:rPr>
          <w:b/>
          <w:bCs/>
        </w:rPr>
      </w:pPr>
    </w:p>
    <w:p w:rsidR="001C3EC4" w:rsidRPr="00FD6B2D" w:rsidRDefault="002859D4" w:rsidP="00F91638">
      <w:pPr>
        <w:pStyle w:val="BodyTextInd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  <w:bCs/>
        </w:rPr>
      </w:pPr>
      <w:r>
        <w:rPr>
          <w:b/>
          <w:bCs/>
        </w:rPr>
        <w:t>k n</w:t>
      </w:r>
      <w:r w:rsidR="00612D6B" w:rsidRPr="00BA18EF">
        <w:rPr>
          <w:b/>
          <w:bCs/>
        </w:rPr>
        <w:t>ávrh</w:t>
      </w:r>
      <w:r>
        <w:rPr>
          <w:b/>
          <w:bCs/>
        </w:rPr>
        <w:t>u</w:t>
      </w:r>
      <w:r w:rsidR="00612D6B" w:rsidRPr="00BA18EF">
        <w:rPr>
          <w:b/>
          <w:bCs/>
        </w:rPr>
        <w:t xml:space="preserve"> </w:t>
      </w:r>
      <w:r w:rsidR="001C3EC4">
        <w:rPr>
          <w:b/>
          <w:bCs/>
        </w:rPr>
        <w:t xml:space="preserve">zákona </w:t>
      </w:r>
      <w:r w:rsidR="001C3EC4" w:rsidRPr="00FD6B2D">
        <w:rPr>
          <w:b/>
          <w:bCs/>
        </w:rPr>
        <w:t>........... 201</w:t>
      </w:r>
      <w:r w:rsidR="00D12C38">
        <w:rPr>
          <w:b/>
          <w:bCs/>
        </w:rPr>
        <w:t>9</w:t>
      </w:r>
      <w:r w:rsidR="001C3EC4" w:rsidRPr="00FD6B2D">
        <w:rPr>
          <w:b/>
          <w:bCs/>
        </w:rPr>
        <w:t>,</w:t>
      </w:r>
    </w:p>
    <w:p w:rsidR="001C3EC4" w:rsidRPr="00FD6B2D" w:rsidRDefault="001C3EC4" w:rsidP="00F91638">
      <w:pPr>
        <w:jc w:val="center"/>
      </w:pPr>
      <w:r w:rsidRPr="00FD6B2D">
        <w:rPr>
          <w:b/>
          <w:bCs/>
        </w:rPr>
        <w:t xml:space="preserve">ktorým sa mení a  dopĺňa zákon č. 362/2011 Z. z. o liekoch  a zdravotníckych pomôckach a o zmene a doplnení niektorých zákonov v znení neskorších predpisov </w:t>
      </w:r>
      <w:r>
        <w:rPr>
          <w:b/>
          <w:bCs/>
        </w:rPr>
        <w:t>a ktorým sa menia a dopĺňajú niektoré zákony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425"/>
        <w:gridCol w:w="426"/>
        <w:gridCol w:w="850"/>
        <w:gridCol w:w="47"/>
        <w:gridCol w:w="4489"/>
        <w:gridCol w:w="776"/>
        <w:gridCol w:w="1209"/>
      </w:tblGrid>
      <w:tr w:rsidR="0013535D" w:rsidTr="0013535D">
        <w:trPr>
          <w:cantSplit/>
        </w:trPr>
        <w:tc>
          <w:tcPr>
            <w:tcW w:w="6307" w:type="dxa"/>
            <w:gridSpan w:val="3"/>
          </w:tcPr>
          <w:p w:rsidR="0013535D" w:rsidRPr="00A83000" w:rsidRDefault="00A83359" w:rsidP="00AB454F">
            <w:pPr>
              <w:pStyle w:val="doc-ti"/>
              <w:spacing w:before="240" w:beforeAutospacing="0" w:after="120" w:afterAutospacing="0"/>
              <w:rPr>
                <w:b/>
              </w:rPr>
            </w:pPr>
            <w:r w:rsidRPr="00A83359">
              <w:rPr>
                <w:b/>
                <w:bCs/>
              </w:rPr>
              <w:lastRenderedPageBreak/>
              <w:t xml:space="preserve">Smernica Európskeho parlamentu a Rady 2001/83/ES zo 6. novembra 2001, ktorou sa ustanovuje Zákonník Spoločenstva o humánnych liekoch (Mimoriadne vydanie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EÚ, kap. 13/zv. 27;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ES L 311, 28.11.2001) v znení smernice Európskeho parlamentu a Rady 2002/98/ES z 27. januára 2003 (Mimoriadne vydanie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EÚ, kap. 15/zv. 7;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 L 33, 8.2.2003), smernice Komisie 2003/63/ES z 25. júna 2003 (Mimoriadne vydanie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EÚ, kap. 13/zv. 31;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 L 159, 27.6.2003), smernice Európskeho parlamentu a Rady 2004/24/ES z 31. marca 2004 (Mimoriadne vydanie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EÚ, kap. 13/zv. 34;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 L 136, 30.4.2004), smernice Európskeho parlamentu a Rady 2004/27/ES z 31. marca 2004 (Mimoriadne vydanie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 xml:space="preserve">. EÚ, kap. 13/zv. 34; 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136, 30.4.2004), nariadenia Európskeho parlamentu a Rady (ES) č. 1901/2006 z 12. decembra 2006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378, 27.12.2006), nariadenia Európskeho parlamentu a Rady (ES) č. 1394/2007 z 13. novembra 2007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324, 10.12.2007), smernice Európskeho parlamentu a Rady 2008/29/ES z 11. marca 2008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81, 20.3.2008)</w:t>
            </w:r>
            <w:r>
              <w:rPr>
                <w:b/>
                <w:bCs/>
              </w:rPr>
              <w:t>,</w:t>
            </w:r>
            <w:r w:rsidRPr="00A83359">
              <w:rPr>
                <w:b/>
                <w:bCs/>
              </w:rPr>
              <w:t>smernice Európskeho parlamentu a Rady 2009/53/ES z 18. júna 2009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168, 30.6.2009)</w:t>
            </w:r>
            <w:r>
              <w:rPr>
                <w:b/>
                <w:bCs/>
              </w:rPr>
              <w:t>, s</w:t>
            </w:r>
            <w:r w:rsidRPr="00A83359">
              <w:rPr>
                <w:b/>
                <w:bCs/>
              </w:rPr>
              <w:t>mernic</w:t>
            </w:r>
            <w:r>
              <w:rPr>
                <w:b/>
                <w:bCs/>
              </w:rPr>
              <w:t>e</w:t>
            </w:r>
            <w:r w:rsidRPr="00A83359">
              <w:rPr>
                <w:b/>
                <w:bCs/>
              </w:rPr>
              <w:t xml:space="preserve"> Európskeho parlamentu a Rady 2010/84/EÚ z 15. decembra 2010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348, 31.12.2010)</w:t>
            </w:r>
            <w:r>
              <w:rPr>
                <w:b/>
                <w:bCs/>
              </w:rPr>
              <w:t>, s</w:t>
            </w:r>
            <w:r w:rsidRPr="00A83359">
              <w:rPr>
                <w:b/>
                <w:bCs/>
              </w:rPr>
              <w:t>mernic</w:t>
            </w:r>
            <w:r>
              <w:rPr>
                <w:b/>
                <w:bCs/>
              </w:rPr>
              <w:t>e</w:t>
            </w:r>
            <w:r w:rsidRPr="00A83359">
              <w:rPr>
                <w:b/>
                <w:bCs/>
              </w:rPr>
              <w:t xml:space="preserve"> Európskeho parlamentu a Rady 2011/62/EÚ z 8. júna 2011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174, 1.7.2011)</w:t>
            </w:r>
            <w:r w:rsidR="00733E4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s</w:t>
            </w:r>
            <w:r w:rsidRPr="00A83359">
              <w:rPr>
                <w:b/>
                <w:bCs/>
              </w:rPr>
              <w:t>mernic</w:t>
            </w:r>
            <w:r>
              <w:rPr>
                <w:b/>
                <w:bCs/>
              </w:rPr>
              <w:t>e</w:t>
            </w:r>
            <w:r w:rsidRPr="00A83359">
              <w:rPr>
                <w:b/>
                <w:bCs/>
              </w:rPr>
              <w:t xml:space="preserve"> Európskeho parlamentu a Rady 2012/26/EÚ z 25. októbra 2012 (</w:t>
            </w:r>
            <w:proofErr w:type="spellStart"/>
            <w:r w:rsidRPr="00A83359">
              <w:rPr>
                <w:b/>
                <w:bCs/>
              </w:rPr>
              <w:t>Ú.v</w:t>
            </w:r>
            <w:proofErr w:type="spellEnd"/>
            <w:r w:rsidRPr="00A83359">
              <w:rPr>
                <w:b/>
                <w:bCs/>
              </w:rPr>
              <w:t>. EÚ L 299, 27.10.2012)</w:t>
            </w:r>
            <w:r w:rsidR="00733E49">
              <w:rPr>
                <w:b/>
                <w:bCs/>
              </w:rPr>
              <w:t xml:space="preserve"> a nariadenia</w:t>
            </w:r>
            <w:r w:rsidR="00733E49">
              <w:rPr>
                <w:rFonts w:ascii="inherit" w:hAnsi="inherit"/>
                <w:b/>
                <w:bCs/>
                <w:color w:val="000000"/>
              </w:rPr>
              <w:t xml:space="preserve"> </w:t>
            </w:r>
            <w:r w:rsidR="00733E49" w:rsidRPr="00A83359">
              <w:rPr>
                <w:b/>
                <w:bCs/>
              </w:rPr>
              <w:t>Európskeho parlamentu a Rady</w:t>
            </w:r>
            <w:r w:rsidR="00733E49">
              <w:rPr>
                <w:rFonts w:ascii="inherit" w:hAnsi="inherit"/>
                <w:b/>
                <w:bCs/>
                <w:color w:val="000000"/>
              </w:rPr>
              <w:t xml:space="preserve"> (EÚ) 2019/5 z 11. decembra 2018 (</w:t>
            </w:r>
            <w:proofErr w:type="spellStart"/>
            <w:r w:rsidR="00733E49" w:rsidRPr="00A83359">
              <w:rPr>
                <w:b/>
                <w:bCs/>
              </w:rPr>
              <w:t>Ú.v</w:t>
            </w:r>
            <w:proofErr w:type="spellEnd"/>
            <w:r w:rsidR="00733E49" w:rsidRPr="00A83359">
              <w:rPr>
                <w:b/>
                <w:bCs/>
              </w:rPr>
              <w:t xml:space="preserve">. EÚ L </w:t>
            </w:r>
            <w:r w:rsidR="00733E49">
              <w:rPr>
                <w:b/>
                <w:bCs/>
              </w:rPr>
              <w:t xml:space="preserve">4, </w:t>
            </w:r>
            <w:r w:rsidR="00733E49" w:rsidRPr="00A83359">
              <w:rPr>
                <w:b/>
                <w:bCs/>
              </w:rPr>
              <w:t>7.1</w:t>
            </w:r>
            <w:r w:rsidR="00733E49">
              <w:rPr>
                <w:b/>
                <w:bCs/>
              </w:rPr>
              <w:t>.2019</w:t>
            </w:r>
            <w:r w:rsidR="00733E49" w:rsidRPr="00A83359">
              <w:rPr>
                <w:b/>
                <w:bCs/>
              </w:rPr>
              <w:t>)</w:t>
            </w:r>
            <w:r w:rsidR="00733E4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83359">
              <w:rPr>
                <w:b/>
                <w:bCs/>
              </w:rPr>
              <w:t xml:space="preserve"> </w:t>
            </w:r>
          </w:p>
        </w:tc>
        <w:tc>
          <w:tcPr>
            <w:tcW w:w="7797" w:type="dxa"/>
            <w:gridSpan w:val="6"/>
          </w:tcPr>
          <w:p w:rsidR="001C3EC4" w:rsidRPr="00FD6B2D" w:rsidRDefault="0013535D" w:rsidP="00F91638">
            <w:pPr>
              <w:pStyle w:val="BodyTextInd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</w:pPr>
            <w:r>
              <w:rPr>
                <w:b/>
                <w:bCs/>
              </w:rPr>
              <w:t>N</w:t>
            </w:r>
            <w:r w:rsidRPr="00BA18EF">
              <w:rPr>
                <w:b/>
                <w:bCs/>
              </w:rPr>
              <w:t xml:space="preserve">ávrh </w:t>
            </w:r>
            <w:r w:rsidR="001C3EC4">
              <w:rPr>
                <w:b/>
                <w:bCs/>
              </w:rPr>
              <w:t xml:space="preserve">zákona </w:t>
            </w:r>
            <w:r w:rsidR="001C3EC4" w:rsidRPr="00FD6B2D">
              <w:rPr>
                <w:b/>
                <w:bCs/>
              </w:rPr>
              <w:t>........... 201</w:t>
            </w:r>
            <w:r w:rsidR="00D12C38">
              <w:rPr>
                <w:b/>
                <w:bCs/>
              </w:rPr>
              <w:t>9</w:t>
            </w:r>
            <w:r w:rsidR="001C3EC4" w:rsidRPr="00FD6B2D">
              <w:rPr>
                <w:b/>
                <w:bCs/>
              </w:rPr>
              <w:t>,</w:t>
            </w:r>
            <w:r w:rsidR="001C3EC4">
              <w:rPr>
                <w:b/>
                <w:bCs/>
              </w:rPr>
              <w:t xml:space="preserve"> </w:t>
            </w:r>
            <w:r w:rsidR="001C3EC4" w:rsidRPr="00FD6B2D">
              <w:rPr>
                <w:b/>
                <w:bCs/>
              </w:rPr>
              <w:t xml:space="preserve">ktorým sa mení a  dopĺňa zákon č. 362/2011 Z. z. o liekoch  a zdravotníckych pomôckach a o zmene a doplnení niektorých zákonov v znení neskorších predpisov </w:t>
            </w:r>
            <w:r w:rsidR="001C3EC4">
              <w:rPr>
                <w:b/>
                <w:bCs/>
              </w:rPr>
              <w:t>a ktorým sa menia a dopĺňajú niektoré zákony</w:t>
            </w:r>
          </w:p>
          <w:p w:rsidR="0013535D" w:rsidRPr="003913F3" w:rsidRDefault="0013535D" w:rsidP="007B6201"/>
        </w:tc>
      </w:tr>
      <w:tr w:rsidR="0013535D" w:rsidTr="00780A28">
        <w:tc>
          <w:tcPr>
            <w:tcW w:w="921" w:type="dxa"/>
          </w:tcPr>
          <w:p w:rsidR="0013535D" w:rsidRDefault="0013535D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535D" w:rsidRDefault="0013535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13535D" w:rsidRDefault="0013535D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13535D" w:rsidRDefault="0013535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3535D" w:rsidRDefault="0013535D">
            <w:pPr>
              <w:jc w:val="center"/>
            </w:pPr>
            <w:r>
              <w:t>5</w:t>
            </w:r>
          </w:p>
        </w:tc>
        <w:tc>
          <w:tcPr>
            <w:tcW w:w="4536" w:type="dxa"/>
            <w:gridSpan w:val="2"/>
          </w:tcPr>
          <w:p w:rsidR="0013535D" w:rsidRDefault="0013535D">
            <w:pPr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13535D" w:rsidRDefault="0013535D">
            <w:pPr>
              <w:jc w:val="center"/>
            </w:pPr>
            <w:r>
              <w:t>7</w:t>
            </w:r>
          </w:p>
        </w:tc>
        <w:tc>
          <w:tcPr>
            <w:tcW w:w="1209" w:type="dxa"/>
          </w:tcPr>
          <w:p w:rsidR="0013535D" w:rsidRDefault="0013535D">
            <w:pPr>
              <w:jc w:val="center"/>
            </w:pPr>
            <w:r>
              <w:t>8</w:t>
            </w:r>
          </w:p>
        </w:tc>
      </w:tr>
      <w:tr w:rsidR="0013535D" w:rsidTr="00780A28">
        <w:tc>
          <w:tcPr>
            <w:tcW w:w="921" w:type="dxa"/>
          </w:tcPr>
          <w:p w:rsidR="0013535D" w:rsidRDefault="0013535D" w:rsidP="0013535D">
            <w:pPr>
              <w:jc w:val="center"/>
            </w:pPr>
            <w:r>
              <w:lastRenderedPageBreak/>
              <w:t>Článok</w:t>
            </w:r>
          </w:p>
          <w:p w:rsidR="0013535D" w:rsidRDefault="0013535D" w:rsidP="0013535D">
            <w:pPr>
              <w:jc w:val="center"/>
            </w:pPr>
            <w:r>
              <w:t>(Č, O,V,P)</w:t>
            </w:r>
          </w:p>
        </w:tc>
        <w:tc>
          <w:tcPr>
            <w:tcW w:w="4961" w:type="dxa"/>
          </w:tcPr>
          <w:p w:rsidR="0013535D" w:rsidRPr="00A83000" w:rsidRDefault="0013535D" w:rsidP="0013535D">
            <w:pPr>
              <w:jc w:val="center"/>
            </w:pPr>
            <w:r>
              <w:t>Text</w:t>
            </w:r>
          </w:p>
        </w:tc>
        <w:tc>
          <w:tcPr>
            <w:tcW w:w="425" w:type="dxa"/>
          </w:tcPr>
          <w:p w:rsidR="0013535D" w:rsidRDefault="0013535D" w:rsidP="0013535D">
            <w:pPr>
              <w:jc w:val="center"/>
            </w:pPr>
          </w:p>
        </w:tc>
        <w:tc>
          <w:tcPr>
            <w:tcW w:w="426" w:type="dxa"/>
          </w:tcPr>
          <w:p w:rsidR="0013535D" w:rsidRDefault="0013535D" w:rsidP="0013535D">
            <w:r>
              <w:t>Číslo</w:t>
            </w:r>
          </w:p>
        </w:tc>
        <w:tc>
          <w:tcPr>
            <w:tcW w:w="897" w:type="dxa"/>
            <w:gridSpan w:val="2"/>
          </w:tcPr>
          <w:p w:rsidR="0013535D" w:rsidRDefault="0013535D" w:rsidP="0013535D">
            <w:pPr>
              <w:jc w:val="center"/>
            </w:pPr>
            <w:r>
              <w:t>Článok</w:t>
            </w:r>
          </w:p>
          <w:p w:rsidR="0013535D" w:rsidRDefault="0013535D" w:rsidP="0013535D">
            <w:pPr>
              <w:jc w:val="center"/>
            </w:pPr>
            <w:r>
              <w:t>(Č, O,V,P)</w:t>
            </w:r>
          </w:p>
        </w:tc>
        <w:tc>
          <w:tcPr>
            <w:tcW w:w="4489" w:type="dxa"/>
          </w:tcPr>
          <w:p w:rsidR="0013535D" w:rsidRDefault="0013535D" w:rsidP="0013535D">
            <w:pPr>
              <w:autoSpaceDE w:val="0"/>
              <w:autoSpaceDN w:val="0"/>
              <w:adjustRightInd w:val="0"/>
              <w:jc w:val="center"/>
            </w:pPr>
            <w:r>
              <w:t>Text</w:t>
            </w:r>
          </w:p>
        </w:tc>
        <w:tc>
          <w:tcPr>
            <w:tcW w:w="776" w:type="dxa"/>
          </w:tcPr>
          <w:p w:rsidR="0013535D" w:rsidRDefault="0013535D" w:rsidP="0013535D">
            <w:pPr>
              <w:jc w:val="center"/>
            </w:pPr>
            <w:r>
              <w:t>Zhoda</w:t>
            </w:r>
          </w:p>
        </w:tc>
        <w:tc>
          <w:tcPr>
            <w:tcW w:w="1209" w:type="dxa"/>
          </w:tcPr>
          <w:p w:rsidR="0013535D" w:rsidRDefault="0013535D" w:rsidP="0013535D">
            <w:pPr>
              <w:jc w:val="center"/>
            </w:pPr>
            <w:r>
              <w:t>Poznámky</w:t>
            </w:r>
          </w:p>
        </w:tc>
      </w:tr>
      <w:tr w:rsidR="001C3EC4" w:rsidTr="00780A28">
        <w:tc>
          <w:tcPr>
            <w:tcW w:w="921" w:type="dxa"/>
          </w:tcPr>
          <w:p w:rsidR="001C3EC4" w:rsidRDefault="001C3EC4" w:rsidP="001C3EC4">
            <w:pPr>
              <w:jc w:val="center"/>
            </w:pPr>
            <w:r>
              <w:t>Čl.1</w:t>
            </w:r>
            <w:r w:rsidR="00D12C38">
              <w:t>10</w:t>
            </w:r>
          </w:p>
          <w:p w:rsidR="001C3EC4" w:rsidRDefault="001C3EC4" w:rsidP="001C3EC4">
            <w:pPr>
              <w:jc w:val="center"/>
            </w:pPr>
          </w:p>
          <w:p w:rsidR="001C3EC4" w:rsidRDefault="001C3EC4">
            <w:pPr>
              <w:jc w:val="center"/>
            </w:pPr>
            <w:r>
              <w:t xml:space="preserve">O: </w:t>
            </w:r>
            <w:r w:rsidR="00D12C38">
              <w:t>1</w:t>
            </w:r>
          </w:p>
        </w:tc>
        <w:tc>
          <w:tcPr>
            <w:tcW w:w="4961" w:type="dxa"/>
          </w:tcPr>
          <w:p w:rsidR="001C3EC4" w:rsidRPr="001C3EC4" w:rsidRDefault="001C3EC4" w:rsidP="001C3EC4">
            <w:pPr>
              <w:pStyle w:val="Nadpis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EC4">
              <w:rPr>
                <w:rFonts w:ascii="Times New Roman" w:hAnsi="Times New Roman"/>
                <w:sz w:val="24"/>
                <w:szCs w:val="24"/>
              </w:rPr>
              <w:t>Článok 1</w:t>
            </w:r>
            <w:r w:rsidR="00D12C3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3EC4" w:rsidRPr="001C3EC4" w:rsidRDefault="00D12C38" w:rsidP="00F91638">
            <w:r>
              <w:rPr>
                <w:rFonts w:ascii="inherit" w:hAnsi="inherit"/>
                <w:color w:val="000000"/>
                <w:shd w:val="clear" w:color="auto" w:fill="FFFFFF"/>
              </w:rPr>
              <w:t>Členské štáty prijmú všetky potrebné opatrenia na podporu sebestačnosti spoločenstva v ľudskej krvi alebo ľudskej plazme. S týmto cieľom podporujú dobrovoľné bezplatné darcovstvo krvi a plazmy a prijmú potrebné opatrenia na rozvoj a výrobu a použitia výrobkov vyrobených z ľudskej krvi alebo z ľudskej plazmy pochádzajúcej z dobrovoľného bezplatného darcovstva. Tieto opatrenia oznámia Komisii.</w:t>
            </w:r>
          </w:p>
        </w:tc>
        <w:tc>
          <w:tcPr>
            <w:tcW w:w="425" w:type="dxa"/>
          </w:tcPr>
          <w:p w:rsidR="00D12C38" w:rsidRDefault="00D12C38" w:rsidP="001C3EC4">
            <w:pPr>
              <w:jc w:val="center"/>
            </w:pPr>
          </w:p>
          <w:p w:rsidR="00D12C38" w:rsidRDefault="00D12C38" w:rsidP="001C3EC4">
            <w:pPr>
              <w:jc w:val="center"/>
            </w:pPr>
          </w:p>
          <w:p w:rsidR="001C3EC4" w:rsidRDefault="00AF7B03" w:rsidP="001C3EC4">
            <w:pPr>
              <w:jc w:val="center"/>
            </w:pPr>
            <w:r>
              <w:t>N</w:t>
            </w:r>
          </w:p>
        </w:tc>
        <w:tc>
          <w:tcPr>
            <w:tcW w:w="426" w:type="dxa"/>
          </w:tcPr>
          <w:p w:rsidR="001C3EC4" w:rsidRDefault="001C3EC4" w:rsidP="001C3EC4"/>
        </w:tc>
        <w:tc>
          <w:tcPr>
            <w:tcW w:w="897" w:type="dxa"/>
            <w:gridSpan w:val="2"/>
          </w:tcPr>
          <w:p w:rsidR="001C3EC4" w:rsidRDefault="00D12C38" w:rsidP="001C3EC4">
            <w:pPr>
              <w:jc w:val="center"/>
            </w:pPr>
            <w:r>
              <w:t>§ 13</w:t>
            </w:r>
          </w:p>
          <w:p w:rsidR="00D12C38" w:rsidRDefault="00D12C38" w:rsidP="001C3EC4">
            <w:pPr>
              <w:jc w:val="center"/>
            </w:pPr>
          </w:p>
          <w:p w:rsidR="00D12C38" w:rsidRDefault="00D12C38">
            <w:pPr>
              <w:jc w:val="center"/>
            </w:pPr>
            <w:r>
              <w:t>O:1</w:t>
            </w:r>
            <w:r w:rsidR="003C6A66">
              <w:t>1</w:t>
            </w:r>
          </w:p>
        </w:tc>
        <w:tc>
          <w:tcPr>
            <w:tcW w:w="4489" w:type="dxa"/>
          </w:tcPr>
          <w:p w:rsidR="00D12C38" w:rsidRPr="00054529" w:rsidRDefault="00D12C38" w:rsidP="00AB454F">
            <w:pPr>
              <w:pStyle w:val="Odsekzoznamu"/>
              <w:spacing w:line="259" w:lineRule="auto"/>
              <w:ind w:left="0"/>
              <w:contextualSpacing/>
              <w:jc w:val="left"/>
            </w:pPr>
            <w:r w:rsidRPr="00054529">
              <w:t>§ 13 odsek 1</w:t>
            </w:r>
            <w:r w:rsidR="003C6A66">
              <w:t>1</w:t>
            </w:r>
            <w:r w:rsidRPr="00054529">
              <w:t xml:space="preserve"> znie:</w:t>
            </w:r>
          </w:p>
          <w:p w:rsidR="00D12C38" w:rsidRPr="00054529" w:rsidRDefault="00D12C38" w:rsidP="00D12C38">
            <w:pPr>
              <w:pStyle w:val="Odsekzoznamu"/>
            </w:pPr>
          </w:p>
          <w:p w:rsidR="00D12C38" w:rsidRDefault="00D12C38" w:rsidP="00F91638">
            <w:pPr>
              <w:pStyle w:val="Odsekzoznamu"/>
              <w:jc w:val="left"/>
            </w:pPr>
            <w:r w:rsidRPr="00054529">
              <w:t>(1</w:t>
            </w:r>
            <w:r w:rsidR="003C6A66">
              <w:t>1</w:t>
            </w:r>
            <w:r w:rsidRPr="00054529">
              <w:t xml:space="preserve">) Odber krvi a zložiek z krvi možno uskutočniť len bezodplatne. Zdravotnícke zariadenie nesmie za odber krvi a zložiek z krvi priamo ani nepriamo sľúbiť, poskytnúť alebo nechať poskytnúť, a to ani prostredníctvom tretej osoby, žiadnu odmenu, náhradu ani protihodnotu v akejkoľvek forme okrem poskytnutia jednorazového drobného občerstvenia v nepeňažnej forme </w:t>
            </w:r>
            <w:r w:rsidRPr="00054529">
              <w:rPr>
                <w:bCs/>
              </w:rPr>
              <w:t>a</w:t>
            </w:r>
            <w:r w:rsidRPr="00054529">
              <w:rPr>
                <w:b/>
                <w:bCs/>
                <w:color w:val="FF0000"/>
              </w:rPr>
              <w:t xml:space="preserve"> </w:t>
            </w:r>
            <w:r w:rsidRPr="00054529">
              <w:t>príspevku na občerstvenie v nepeňažnej forme </w:t>
            </w:r>
            <w:r w:rsidRPr="00054529">
              <w:rPr>
                <w:bCs/>
              </w:rPr>
              <w:t>najviac vo výške 75 % stravného poskytovaného podľa osobitného predpisu</w:t>
            </w:r>
            <w:r w:rsidRPr="00054529">
              <w:rPr>
                <w:bCs/>
                <w:vertAlign w:val="superscript"/>
              </w:rPr>
              <w:t>14a</w:t>
            </w:r>
            <w:r w:rsidRPr="00054529">
              <w:rPr>
                <w:bCs/>
              </w:rPr>
              <w:t xml:space="preserve">) </w:t>
            </w:r>
            <w:r w:rsidRPr="00054529">
              <w:t>a preukázaných nákladov na cestovné.</w:t>
            </w:r>
          </w:p>
          <w:p w:rsidR="00D12C38" w:rsidRDefault="00D12C38" w:rsidP="00D12C38">
            <w:pPr>
              <w:pStyle w:val="Odsekzoznamu"/>
            </w:pPr>
          </w:p>
          <w:p w:rsidR="00D12C38" w:rsidRPr="00054529" w:rsidRDefault="00D12C38" w:rsidP="00D12C38">
            <w:pPr>
              <w:pStyle w:val="Odsekzoznamu"/>
            </w:pPr>
            <w:r w:rsidRPr="00054529">
              <w:t>Poznámka pod čiarou 14a znie:</w:t>
            </w:r>
          </w:p>
          <w:p w:rsidR="00D12C38" w:rsidRPr="00054529" w:rsidRDefault="00D12C38" w:rsidP="00D12C38">
            <w:pPr>
              <w:pStyle w:val="Odsekzoznamu"/>
              <w:rPr>
                <w:vertAlign w:val="superscript"/>
              </w:rPr>
            </w:pPr>
          </w:p>
          <w:p w:rsidR="00D12C38" w:rsidRPr="00054529" w:rsidRDefault="00D12C38" w:rsidP="00F91638">
            <w:pPr>
              <w:pStyle w:val="Odsekzoznamu"/>
              <w:jc w:val="left"/>
            </w:pPr>
            <w:r w:rsidRPr="00054529">
              <w:rPr>
                <w:vertAlign w:val="superscript"/>
              </w:rPr>
              <w:t>14a</w:t>
            </w:r>
            <w:r w:rsidRPr="00054529">
              <w:t>)</w:t>
            </w:r>
            <w:r w:rsidRPr="00054529">
              <w:rPr>
                <w:vertAlign w:val="superscript"/>
              </w:rPr>
              <w:t> </w:t>
            </w:r>
            <w:r w:rsidRPr="00054529">
              <w:rPr>
                <w:bCs/>
              </w:rPr>
              <w:t xml:space="preserve">§ 5 ods. 1 písm. a) v spojení s ods. 2 zákona č. 283/2002 Z. z. o cestovných náhradách v znení neskorších predpisov. </w:t>
            </w:r>
          </w:p>
          <w:p w:rsidR="001C3EC4" w:rsidRDefault="001C3EC4" w:rsidP="001C3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:rsidR="00D12C38" w:rsidRDefault="00D12C38" w:rsidP="001C3EC4">
            <w:pPr>
              <w:jc w:val="center"/>
            </w:pPr>
          </w:p>
          <w:p w:rsidR="00D12C38" w:rsidRDefault="00D12C38" w:rsidP="001C3EC4">
            <w:pPr>
              <w:jc w:val="center"/>
            </w:pPr>
          </w:p>
          <w:p w:rsidR="001C3EC4" w:rsidRDefault="00AF7B03" w:rsidP="001C3EC4">
            <w:pPr>
              <w:jc w:val="center"/>
            </w:pPr>
            <w:r>
              <w:t>Ú</w:t>
            </w:r>
          </w:p>
        </w:tc>
        <w:tc>
          <w:tcPr>
            <w:tcW w:w="1209" w:type="dxa"/>
          </w:tcPr>
          <w:p w:rsidR="001C3EC4" w:rsidRDefault="001C3EC4" w:rsidP="001C3EC4">
            <w:pPr>
              <w:jc w:val="center"/>
            </w:pPr>
          </w:p>
        </w:tc>
      </w:tr>
      <w:tr w:rsidR="006F2942" w:rsidTr="00780A28">
        <w:tc>
          <w:tcPr>
            <w:tcW w:w="921" w:type="dxa"/>
          </w:tcPr>
          <w:p w:rsidR="006F2942" w:rsidRDefault="006F2942" w:rsidP="001C3EC4">
            <w:pPr>
              <w:jc w:val="center"/>
            </w:pPr>
          </w:p>
        </w:tc>
        <w:tc>
          <w:tcPr>
            <w:tcW w:w="4961" w:type="dxa"/>
          </w:tcPr>
          <w:p w:rsidR="006F2942" w:rsidRPr="001C3EC4" w:rsidRDefault="006F2942" w:rsidP="001C3EC4">
            <w:pPr>
              <w:pStyle w:val="Nadpis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2942" w:rsidRDefault="006F2942" w:rsidP="001C3EC4">
            <w:pPr>
              <w:jc w:val="center"/>
            </w:pPr>
          </w:p>
        </w:tc>
        <w:tc>
          <w:tcPr>
            <w:tcW w:w="426" w:type="dxa"/>
          </w:tcPr>
          <w:p w:rsidR="006F2942" w:rsidRDefault="006F2942" w:rsidP="001C3EC4"/>
        </w:tc>
        <w:tc>
          <w:tcPr>
            <w:tcW w:w="897" w:type="dxa"/>
            <w:gridSpan w:val="2"/>
          </w:tcPr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§ 70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O: 1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O: 2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a)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b)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O: 3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a)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b)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c)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O. 4</w:t>
            </w: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</w:p>
          <w:p w:rsidR="006F2942" w:rsidRDefault="006F2942" w:rsidP="001C3EC4">
            <w:pPr>
              <w:jc w:val="center"/>
            </w:pPr>
            <w:r>
              <w:t>O: 5</w:t>
            </w:r>
            <w:r w:rsidR="00733E49">
              <w:t xml:space="preserve"> </w:t>
            </w:r>
          </w:p>
        </w:tc>
        <w:tc>
          <w:tcPr>
            <w:tcW w:w="4489" w:type="dxa"/>
          </w:tcPr>
          <w:p w:rsidR="006F2942" w:rsidRPr="00054529" w:rsidRDefault="006F2942" w:rsidP="003C6A66">
            <w:pPr>
              <w:pStyle w:val="Odsekzoznamu"/>
              <w:spacing w:after="240"/>
              <w:ind w:left="-48"/>
              <w:contextualSpacing/>
              <w:jc w:val="left"/>
            </w:pPr>
            <w:r w:rsidRPr="00054529">
              <w:lastRenderedPageBreak/>
              <w:t>§ 70 znie:</w:t>
            </w:r>
          </w:p>
          <w:p w:rsidR="006F2942" w:rsidRPr="00054529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center"/>
              <w:rPr>
                <w:bCs/>
                <w:color w:val="000000" w:themeColor="text1"/>
              </w:rPr>
            </w:pPr>
            <w:r w:rsidRPr="00054529">
              <w:rPr>
                <w:bCs/>
                <w:color w:val="000000" w:themeColor="text1"/>
              </w:rPr>
              <w:t>„§ 70</w:t>
            </w:r>
          </w:p>
          <w:p w:rsidR="006F2942" w:rsidRPr="00054529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center"/>
              <w:rPr>
                <w:bCs/>
                <w:color w:val="000000" w:themeColor="text1"/>
              </w:rPr>
            </w:pPr>
            <w:r w:rsidRPr="00054529">
              <w:rPr>
                <w:bCs/>
                <w:color w:val="000000" w:themeColor="text1"/>
              </w:rPr>
              <w:t>Vývoz ľudskej plazmy</w:t>
            </w:r>
          </w:p>
          <w:p w:rsidR="006F2942" w:rsidRPr="00054529" w:rsidRDefault="006F2942" w:rsidP="00F91638">
            <w:pPr>
              <w:autoSpaceDE w:val="0"/>
              <w:autoSpaceDN w:val="0"/>
              <w:adjustRightInd w:val="0"/>
              <w:ind w:left="88"/>
              <w:rPr>
                <w:bCs/>
                <w:color w:val="08A9F9"/>
              </w:rPr>
            </w:pPr>
          </w:p>
          <w:p w:rsidR="006F2942" w:rsidRDefault="006F2942" w:rsidP="00F9163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/>
              </w:rPr>
            </w:pPr>
            <w:r w:rsidRPr="00054529">
              <w:rPr>
                <w:color w:val="000000"/>
              </w:rPr>
              <w:t>Vývoz ľudskej plazmy je možný len na základe povolenia, ktoré vydáva ministerstvo zdravotníctva.</w:t>
            </w:r>
          </w:p>
          <w:p w:rsidR="006F2942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left"/>
              <w:rPr>
                <w:color w:val="000000"/>
              </w:rPr>
            </w:pPr>
          </w:p>
          <w:p w:rsidR="006F2942" w:rsidRPr="008C138E" w:rsidRDefault="006F2942" w:rsidP="00F9163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 w:themeColor="text1"/>
              </w:rPr>
            </w:pPr>
            <w:r w:rsidRPr="008C138E">
              <w:rPr>
                <w:color w:val="000000" w:themeColor="text1"/>
                <w:sz w:val="22"/>
                <w:szCs w:val="22"/>
              </w:rPr>
              <w:t>Žiadateľom o vydanie povolenia na vývoz ľudskej plazmy môže byť len držiteľ povolenia na</w:t>
            </w:r>
          </w:p>
          <w:p w:rsidR="006F2942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left"/>
              <w:rPr>
                <w:color w:val="000000" w:themeColor="text1"/>
              </w:rPr>
            </w:pPr>
            <w:r w:rsidRPr="00054529">
              <w:rPr>
                <w:color w:val="000000" w:themeColor="text1"/>
              </w:rPr>
              <w:t>a) prípravu transfúznych liekov v plnom rozsahu alebo</w:t>
            </w:r>
          </w:p>
          <w:p w:rsidR="006F2942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left"/>
              <w:rPr>
                <w:color w:val="000000" w:themeColor="text1"/>
              </w:rPr>
            </w:pPr>
            <w:r w:rsidRPr="00054529">
              <w:rPr>
                <w:color w:val="000000" w:themeColor="text1"/>
              </w:rPr>
              <w:t>b) výrobu humánnych liekov, ak má uzatvorenú zmluvu o dodávaní ľudskej plazmy s držiteľom povolenia na prípravu transfúznych liekov v plnom rozsahu.</w:t>
            </w:r>
          </w:p>
          <w:p w:rsidR="006F2942" w:rsidRDefault="006F2942" w:rsidP="00F91638">
            <w:pPr>
              <w:pStyle w:val="Odsekzoznamu"/>
              <w:autoSpaceDE w:val="0"/>
              <w:autoSpaceDN w:val="0"/>
              <w:adjustRightInd w:val="0"/>
              <w:ind w:left="88"/>
              <w:jc w:val="left"/>
              <w:rPr>
                <w:color w:val="000000" w:themeColor="text1"/>
              </w:rPr>
            </w:pPr>
          </w:p>
          <w:p w:rsidR="006F2942" w:rsidRDefault="006F2942" w:rsidP="00F9163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 w:themeColor="text1"/>
              </w:rPr>
            </w:pPr>
            <w:r w:rsidRPr="00054529">
              <w:rPr>
                <w:color w:val="000000"/>
              </w:rPr>
              <w:t xml:space="preserve">Povolenie na vývoz ľudskej plazmy možno vydať, ak žiadateľ uvedený v odseku 2 </w:t>
            </w:r>
          </w:p>
          <w:p w:rsidR="006F2942" w:rsidRDefault="006F2942" w:rsidP="00F9163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čestným vyhlásením odborného zástupcu za zabezpečovanie kvality transfúznych liekov preukáže, že ľudská plazma, odobratá pred dňom podania žiadosti o vývoz, ktorá má byť predmetom vývozu </w:t>
            </w:r>
            <w:r w:rsidRPr="00054529">
              <w:rPr>
                <w:color w:val="000000"/>
              </w:rPr>
              <w:t>(ďalej l</w:t>
            </w:r>
            <w:r>
              <w:rPr>
                <w:color w:val="000000"/>
              </w:rPr>
              <w:t xml:space="preserve">en „vyvážaná ľudská plazma“) </w:t>
            </w:r>
            <w:r>
              <w:rPr>
                <w:color w:val="000000" w:themeColor="text1"/>
              </w:rPr>
              <w:t xml:space="preserve">bola odobratá v súlade s § 69, </w:t>
            </w:r>
          </w:p>
          <w:p w:rsidR="006F2942" w:rsidRDefault="006F2942" w:rsidP="00F9163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 xml:space="preserve">čestným vyhlásením žiadateľa preukáže, že </w:t>
            </w:r>
            <w:r w:rsidRPr="00054529">
              <w:rPr>
                <w:color w:val="000000"/>
              </w:rPr>
              <w:t>vyvážaná ľudsk</w:t>
            </w:r>
            <w:r>
              <w:rPr>
                <w:color w:val="000000"/>
              </w:rPr>
              <w:t>á plazma je nadbytočná a žiadateľ</w:t>
            </w:r>
            <w:r w:rsidRPr="00054529">
              <w:rPr>
                <w:color w:val="000000"/>
              </w:rPr>
              <w:t xml:space="preserve"> ju </w:t>
            </w:r>
            <w:r>
              <w:rPr>
                <w:color w:val="000000"/>
              </w:rPr>
              <w:t xml:space="preserve">nemôže </w:t>
            </w:r>
            <w:r w:rsidRPr="00054529">
              <w:rPr>
                <w:color w:val="000000"/>
              </w:rPr>
              <w:t>použiť na</w:t>
            </w:r>
            <w:r w:rsidRPr="00054529">
              <w:rPr>
                <w:bCs/>
                <w:color w:val="000000"/>
              </w:rPr>
              <w:t xml:space="preserve"> </w:t>
            </w:r>
            <w:r w:rsidRPr="00054529">
              <w:rPr>
                <w:color w:val="000000"/>
              </w:rPr>
              <w:t>terapeutické účely pri poskyt</w:t>
            </w:r>
            <w:r>
              <w:rPr>
                <w:color w:val="000000"/>
              </w:rPr>
              <w:t>ovaní zdravotnej starostlivosti vo vlastnom zariadení na poskytovanie zdravotnej starostlivosti,</w:t>
            </w:r>
          </w:p>
          <w:p w:rsidR="006F2942" w:rsidRPr="008C138E" w:rsidRDefault="006F2942" w:rsidP="00F9163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kópiou zmluvy preukáže, že </w:t>
            </w:r>
            <w:r w:rsidRPr="00054529">
              <w:rPr>
                <w:color w:val="000000"/>
              </w:rPr>
              <w:t>vyvážanú ľudskú plazmu priemyselne spracuje držiteľ povolenia na výrobu liekov z ľudskej plazmy</w:t>
            </w:r>
            <w:r>
              <w:rPr>
                <w:color w:val="000000"/>
              </w:rPr>
              <w:t>, ktorý je držiteľom registrácie lieku zaradeného v</w:t>
            </w:r>
            <w:r w:rsidRPr="00054529">
              <w:rPr>
                <w:color w:val="000000" w:themeColor="text1"/>
              </w:rPr>
              <w:t> zozname kategorizovaných liekov</w:t>
            </w:r>
            <w:r>
              <w:rPr>
                <w:color w:val="000000" w:themeColor="text1"/>
              </w:rPr>
              <w:t xml:space="preserve">; osvedčená kópia povolenia na výrobu liekov z ľudskej plazmy </w:t>
            </w:r>
            <w:r w:rsidRPr="00054529">
              <w:rPr>
                <w:color w:val="000000"/>
              </w:rPr>
              <w:t>vydané</w:t>
            </w:r>
            <w:r>
              <w:rPr>
                <w:color w:val="000000"/>
              </w:rPr>
              <w:t>ho</w:t>
            </w:r>
            <w:r w:rsidRPr="00054529">
              <w:rPr>
                <w:color w:val="000000"/>
              </w:rPr>
              <w:t xml:space="preserve"> prís</w:t>
            </w:r>
            <w:r>
              <w:rPr>
                <w:color w:val="000000"/>
              </w:rPr>
              <w:t>lušným orgánom členského štátu</w:t>
            </w:r>
            <w:r>
              <w:rPr>
                <w:color w:val="000000" w:themeColor="text1"/>
              </w:rPr>
              <w:t xml:space="preserve"> musí byť súčasťou žiadosti o povolenie vývozu ľudskej plazmy, </w:t>
            </w:r>
          </w:p>
          <w:p w:rsidR="006F2942" w:rsidRPr="00054529" w:rsidRDefault="006F2942" w:rsidP="00F9163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88" w:firstLine="0"/>
              <w:contextualSpacing/>
              <w:jc w:val="left"/>
            </w:pPr>
            <w:r>
              <w:rPr>
                <w:color w:val="000000"/>
              </w:rPr>
              <w:t xml:space="preserve">Ministerstvo zdravotníctva povolenie nevydá, ak nie sú splnené podmienky podľa odseku 3, alebo ak zistí, že vyvážanú ľudskú plazmu je potrebné použiť na </w:t>
            </w:r>
            <w:r w:rsidRPr="00054529">
              <w:rPr>
                <w:color w:val="000000"/>
              </w:rPr>
              <w:t>terapeutické účely pri poskytovaní zdravotnej starostlivosti v Slovenskej republike</w:t>
            </w:r>
            <w:r>
              <w:rPr>
                <w:color w:val="000000"/>
              </w:rPr>
              <w:t xml:space="preserve">. </w:t>
            </w:r>
            <w:r w:rsidRPr="00054529">
              <w:rPr>
                <w:color w:val="000000"/>
              </w:rPr>
              <w:t>Povolenie na vývoz ľudskej plazmy obsahuje  údaj o množstve vyvážanej ľudskej plazmy v objemových jednotkách a platnos</w:t>
            </w:r>
            <w:r>
              <w:rPr>
                <w:color w:val="000000"/>
              </w:rPr>
              <w:t>ť</w:t>
            </w:r>
            <w:r w:rsidRPr="00054529">
              <w:rPr>
                <w:color w:val="000000"/>
              </w:rPr>
              <w:t xml:space="preserve"> povolenia.</w:t>
            </w:r>
            <w:r>
              <w:rPr>
                <w:color w:val="000000"/>
              </w:rPr>
              <w:t xml:space="preserve"> Povolenie možno vydať iba na dobu určitú.</w:t>
            </w:r>
            <w:r w:rsidR="00733E49">
              <w:rPr>
                <w:color w:val="000000"/>
              </w:rPr>
              <w:t xml:space="preserve">  </w:t>
            </w:r>
          </w:p>
        </w:tc>
        <w:tc>
          <w:tcPr>
            <w:tcW w:w="776" w:type="dxa"/>
          </w:tcPr>
          <w:p w:rsidR="006F2942" w:rsidRDefault="006F2942" w:rsidP="001C3EC4">
            <w:pPr>
              <w:jc w:val="center"/>
            </w:pPr>
          </w:p>
        </w:tc>
        <w:tc>
          <w:tcPr>
            <w:tcW w:w="1209" w:type="dxa"/>
          </w:tcPr>
          <w:p w:rsidR="006F2942" w:rsidRDefault="006F2942" w:rsidP="001C3EC4">
            <w:pPr>
              <w:jc w:val="center"/>
            </w:pPr>
          </w:p>
        </w:tc>
      </w:tr>
    </w:tbl>
    <w:p w:rsidR="00814F1C" w:rsidRDefault="00814F1C"/>
    <w:sectPr w:rsidR="00814F1C" w:rsidSect="001F6181">
      <w:footerReference w:type="default" r:id="rId7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A6" w:rsidRDefault="004A76A6">
      <w:r>
        <w:separator/>
      </w:r>
    </w:p>
  </w:endnote>
  <w:endnote w:type="continuationSeparator" w:id="0">
    <w:p w:rsidR="004A76A6" w:rsidRDefault="004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C4" w:rsidRDefault="001C3EC4" w:rsidP="00704CC1">
    <w:pPr>
      <w:pStyle w:val="Pt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B454F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A6" w:rsidRDefault="004A76A6">
      <w:r>
        <w:separator/>
      </w:r>
    </w:p>
  </w:footnote>
  <w:footnote w:type="continuationSeparator" w:id="0">
    <w:p w:rsidR="004A76A6" w:rsidRDefault="004A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67C"/>
    <w:multiLevelType w:val="hybridMultilevel"/>
    <w:tmpl w:val="6F6CDF9A"/>
    <w:lvl w:ilvl="0" w:tplc="390CEC44">
      <w:start w:val="5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E1045"/>
    <w:multiLevelType w:val="hybridMultilevel"/>
    <w:tmpl w:val="B538A4AA"/>
    <w:lvl w:ilvl="0" w:tplc="1328590C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68" w:hanging="360"/>
      </w:pPr>
    </w:lvl>
    <w:lvl w:ilvl="2" w:tplc="041B001B" w:tentative="1">
      <w:start w:val="1"/>
      <w:numFmt w:val="lowerRoman"/>
      <w:lvlText w:val="%3."/>
      <w:lvlJc w:val="right"/>
      <w:pPr>
        <w:ind w:left="1888" w:hanging="180"/>
      </w:pPr>
    </w:lvl>
    <w:lvl w:ilvl="3" w:tplc="041B000F" w:tentative="1">
      <w:start w:val="1"/>
      <w:numFmt w:val="decimal"/>
      <w:lvlText w:val="%4."/>
      <w:lvlJc w:val="left"/>
      <w:pPr>
        <w:ind w:left="2608" w:hanging="360"/>
      </w:pPr>
    </w:lvl>
    <w:lvl w:ilvl="4" w:tplc="041B0019" w:tentative="1">
      <w:start w:val="1"/>
      <w:numFmt w:val="lowerLetter"/>
      <w:lvlText w:val="%5."/>
      <w:lvlJc w:val="left"/>
      <w:pPr>
        <w:ind w:left="3328" w:hanging="360"/>
      </w:pPr>
    </w:lvl>
    <w:lvl w:ilvl="5" w:tplc="041B001B" w:tentative="1">
      <w:start w:val="1"/>
      <w:numFmt w:val="lowerRoman"/>
      <w:lvlText w:val="%6."/>
      <w:lvlJc w:val="right"/>
      <w:pPr>
        <w:ind w:left="4048" w:hanging="180"/>
      </w:pPr>
    </w:lvl>
    <w:lvl w:ilvl="6" w:tplc="041B000F" w:tentative="1">
      <w:start w:val="1"/>
      <w:numFmt w:val="decimal"/>
      <w:lvlText w:val="%7."/>
      <w:lvlJc w:val="left"/>
      <w:pPr>
        <w:ind w:left="4768" w:hanging="360"/>
      </w:pPr>
    </w:lvl>
    <w:lvl w:ilvl="7" w:tplc="041B0019" w:tentative="1">
      <w:start w:val="1"/>
      <w:numFmt w:val="lowerLetter"/>
      <w:lvlText w:val="%8."/>
      <w:lvlJc w:val="left"/>
      <w:pPr>
        <w:ind w:left="5488" w:hanging="360"/>
      </w:pPr>
    </w:lvl>
    <w:lvl w:ilvl="8" w:tplc="041B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294C13AE"/>
    <w:multiLevelType w:val="hybridMultilevel"/>
    <w:tmpl w:val="519083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F7A43"/>
    <w:multiLevelType w:val="hybridMultilevel"/>
    <w:tmpl w:val="7B806B94"/>
    <w:lvl w:ilvl="0" w:tplc="6F962A8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EF2"/>
    <w:multiLevelType w:val="hybridMultilevel"/>
    <w:tmpl w:val="8994562E"/>
    <w:lvl w:ilvl="0" w:tplc="A88CA50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5359"/>
    <w:multiLevelType w:val="hybridMultilevel"/>
    <w:tmpl w:val="8994562E"/>
    <w:lvl w:ilvl="0" w:tplc="A88CA50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40C1"/>
    <w:multiLevelType w:val="hybridMultilevel"/>
    <w:tmpl w:val="8994562E"/>
    <w:lvl w:ilvl="0" w:tplc="A88CA50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0C71"/>
    <w:multiLevelType w:val="hybridMultilevel"/>
    <w:tmpl w:val="E594153C"/>
    <w:lvl w:ilvl="0" w:tplc="C44295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3037D"/>
    <w:multiLevelType w:val="hybridMultilevel"/>
    <w:tmpl w:val="E910CE5A"/>
    <w:lvl w:ilvl="0" w:tplc="D9F8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B10C8D"/>
    <w:multiLevelType w:val="hybridMultilevel"/>
    <w:tmpl w:val="96FA8EB4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3642F"/>
    <w:multiLevelType w:val="hybridMultilevel"/>
    <w:tmpl w:val="057000C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0"/>
    <w:rsid w:val="000210DE"/>
    <w:rsid w:val="00021163"/>
    <w:rsid w:val="00045407"/>
    <w:rsid w:val="0005327E"/>
    <w:rsid w:val="00053DC6"/>
    <w:rsid w:val="00055369"/>
    <w:rsid w:val="0006426F"/>
    <w:rsid w:val="00066C4B"/>
    <w:rsid w:val="0007445B"/>
    <w:rsid w:val="00086C79"/>
    <w:rsid w:val="000C59E3"/>
    <w:rsid w:val="00115497"/>
    <w:rsid w:val="00116E7E"/>
    <w:rsid w:val="0013535D"/>
    <w:rsid w:val="001978C7"/>
    <w:rsid w:val="001A079B"/>
    <w:rsid w:val="001A2EF5"/>
    <w:rsid w:val="001A525A"/>
    <w:rsid w:val="001C3EC4"/>
    <w:rsid w:val="001F6181"/>
    <w:rsid w:val="00216BD8"/>
    <w:rsid w:val="002740D4"/>
    <w:rsid w:val="002859D4"/>
    <w:rsid w:val="002A236D"/>
    <w:rsid w:val="002A4AB9"/>
    <w:rsid w:val="002A5AD4"/>
    <w:rsid w:val="002A66CB"/>
    <w:rsid w:val="002B0717"/>
    <w:rsid w:val="002C7D34"/>
    <w:rsid w:val="002C7E50"/>
    <w:rsid w:val="002E28B2"/>
    <w:rsid w:val="00332BA5"/>
    <w:rsid w:val="0038120A"/>
    <w:rsid w:val="00382A0B"/>
    <w:rsid w:val="003C6A66"/>
    <w:rsid w:val="003F4E4C"/>
    <w:rsid w:val="004050C0"/>
    <w:rsid w:val="004115CC"/>
    <w:rsid w:val="004476D1"/>
    <w:rsid w:val="0045349B"/>
    <w:rsid w:val="00490A45"/>
    <w:rsid w:val="004A76A6"/>
    <w:rsid w:val="004A7A45"/>
    <w:rsid w:val="00541B00"/>
    <w:rsid w:val="00551FD3"/>
    <w:rsid w:val="00555A7D"/>
    <w:rsid w:val="005C670D"/>
    <w:rsid w:val="00612D6B"/>
    <w:rsid w:val="006273D9"/>
    <w:rsid w:val="00683D6D"/>
    <w:rsid w:val="006F2942"/>
    <w:rsid w:val="00704CC1"/>
    <w:rsid w:val="00712543"/>
    <w:rsid w:val="00716220"/>
    <w:rsid w:val="00721D49"/>
    <w:rsid w:val="007269C6"/>
    <w:rsid w:val="00733E49"/>
    <w:rsid w:val="00764AFE"/>
    <w:rsid w:val="00780A28"/>
    <w:rsid w:val="007A230C"/>
    <w:rsid w:val="007B0C70"/>
    <w:rsid w:val="007B6201"/>
    <w:rsid w:val="007C02E9"/>
    <w:rsid w:val="00814F1C"/>
    <w:rsid w:val="00824BF0"/>
    <w:rsid w:val="008309B9"/>
    <w:rsid w:val="00854CCB"/>
    <w:rsid w:val="008608F5"/>
    <w:rsid w:val="00860DFA"/>
    <w:rsid w:val="00863C08"/>
    <w:rsid w:val="008A4272"/>
    <w:rsid w:val="008B28F9"/>
    <w:rsid w:val="008E1B34"/>
    <w:rsid w:val="00903DB8"/>
    <w:rsid w:val="0091634B"/>
    <w:rsid w:val="009227D0"/>
    <w:rsid w:val="00922910"/>
    <w:rsid w:val="00925A1D"/>
    <w:rsid w:val="009717B9"/>
    <w:rsid w:val="00982649"/>
    <w:rsid w:val="009E2D76"/>
    <w:rsid w:val="009F686A"/>
    <w:rsid w:val="00A167DA"/>
    <w:rsid w:val="00A16AE5"/>
    <w:rsid w:val="00A225E9"/>
    <w:rsid w:val="00A339C5"/>
    <w:rsid w:val="00A422BA"/>
    <w:rsid w:val="00A63E83"/>
    <w:rsid w:val="00A73B92"/>
    <w:rsid w:val="00A83000"/>
    <w:rsid w:val="00A83359"/>
    <w:rsid w:val="00A90AA1"/>
    <w:rsid w:val="00AB33A3"/>
    <w:rsid w:val="00AB454F"/>
    <w:rsid w:val="00AC3E11"/>
    <w:rsid w:val="00AF7B03"/>
    <w:rsid w:val="00B11ABA"/>
    <w:rsid w:val="00B34E23"/>
    <w:rsid w:val="00B604AB"/>
    <w:rsid w:val="00B951C2"/>
    <w:rsid w:val="00BE6685"/>
    <w:rsid w:val="00C10DBB"/>
    <w:rsid w:val="00C77710"/>
    <w:rsid w:val="00C97A4B"/>
    <w:rsid w:val="00D00AA4"/>
    <w:rsid w:val="00D12C38"/>
    <w:rsid w:val="00D25043"/>
    <w:rsid w:val="00D519A2"/>
    <w:rsid w:val="00D81396"/>
    <w:rsid w:val="00DD756C"/>
    <w:rsid w:val="00DF1292"/>
    <w:rsid w:val="00DF4ABA"/>
    <w:rsid w:val="00DF5EAB"/>
    <w:rsid w:val="00E85A39"/>
    <w:rsid w:val="00E94E44"/>
    <w:rsid w:val="00F05710"/>
    <w:rsid w:val="00F07969"/>
    <w:rsid w:val="00F129D7"/>
    <w:rsid w:val="00F1704E"/>
    <w:rsid w:val="00F20A34"/>
    <w:rsid w:val="00F310FB"/>
    <w:rsid w:val="00F33079"/>
    <w:rsid w:val="00F43549"/>
    <w:rsid w:val="00F6097E"/>
    <w:rsid w:val="00F62AE3"/>
    <w:rsid w:val="00F8260B"/>
    <w:rsid w:val="00F91638"/>
    <w:rsid w:val="00FA51F4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D538F-E4CA-45D9-88F9-F2F0323C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604A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7B0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269C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0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rsid w:val="00A83000"/>
    <w:pPr>
      <w:spacing w:after="120" w:line="480" w:lineRule="auto"/>
    </w:pPr>
  </w:style>
  <w:style w:type="paragraph" w:styleId="Zarkazkladnhotextu">
    <w:name w:val="Body Text Indent"/>
    <w:basedOn w:val="Normlny"/>
    <w:rsid w:val="00A83000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noProof/>
    </w:rPr>
  </w:style>
  <w:style w:type="paragraph" w:styleId="Zarkazkladnhotextu3">
    <w:name w:val="Body Text Indent 3"/>
    <w:basedOn w:val="Normlny"/>
    <w:rsid w:val="00B604AB"/>
    <w:pPr>
      <w:spacing w:after="120"/>
      <w:ind w:left="283"/>
      <w:jc w:val="both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04C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0C70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704C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0C70"/>
    <w:rPr>
      <w:sz w:val="24"/>
      <w:szCs w:val="24"/>
    </w:rPr>
  </w:style>
  <w:style w:type="paragraph" w:styleId="Textpoznmkypodiarou">
    <w:name w:val="footnote text"/>
    <w:basedOn w:val="Normlny"/>
    <w:semiHidden/>
    <w:rsid w:val="00FA51F4"/>
    <w:pPr>
      <w:jc w:val="both"/>
    </w:pPr>
    <w:rPr>
      <w:sz w:val="20"/>
      <w:szCs w:val="20"/>
    </w:rPr>
  </w:style>
  <w:style w:type="character" w:styleId="Odkaznapoznmkupodiarou">
    <w:name w:val="footnote reference"/>
    <w:semiHidden/>
    <w:rsid w:val="00FA51F4"/>
    <w:rPr>
      <w:vertAlign w:val="superscript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F129D7"/>
    <w:pPr>
      <w:ind w:left="708"/>
      <w:jc w:val="both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C70"/>
    <w:rPr>
      <w:rFonts w:ascii="Tahoma" w:eastAsiaTheme="minorHAnsi" w:hAnsi="Tahoma" w:cs="Tahoma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C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w4winMark">
    <w:name w:val="tw4winMark"/>
    <w:basedOn w:val="Predvolenpsmoodseku"/>
    <w:rsid w:val="007B0C70"/>
    <w:rPr>
      <w:rFonts w:ascii="Courier New" w:hAnsi="Courier New" w:cs="Courier New"/>
      <w:b w:val="0"/>
      <w:i w:val="0"/>
      <w:dstrike w:val="0"/>
      <w:noProof/>
      <w:vanish/>
      <w:color w:val="800080"/>
      <w:sz w:val="22"/>
      <w:szCs w:val="36"/>
      <w:effect w:val="none"/>
      <w:vertAlign w:val="subscript"/>
      <w:lang w:val="en-GB"/>
    </w:rPr>
  </w:style>
  <w:style w:type="paragraph" w:customStyle="1" w:styleId="BodyTextIndent1">
    <w:name w:val="Body Text Indent1"/>
    <w:rsid w:val="001C3E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ind w:left="360"/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1C3EC4"/>
    <w:rPr>
      <w:sz w:val="24"/>
      <w:szCs w:val="24"/>
    </w:rPr>
  </w:style>
  <w:style w:type="paragraph" w:customStyle="1" w:styleId="doc-ti">
    <w:name w:val="doc-ti"/>
    <w:basedOn w:val="Normlny"/>
    <w:rsid w:val="00733E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Ministerstvo zdravotníctva SR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Jozef Slaný</dc:creator>
  <cp:keywords/>
  <dc:description/>
  <cp:lastModifiedBy>Vincová Veronika</cp:lastModifiedBy>
  <cp:revision>3</cp:revision>
  <cp:lastPrinted>2006-05-11T11:49:00Z</cp:lastPrinted>
  <dcterms:created xsi:type="dcterms:W3CDTF">2019-08-14T19:28:00Z</dcterms:created>
  <dcterms:modified xsi:type="dcterms:W3CDTF">2019-08-14T19:28:00Z</dcterms:modified>
</cp:coreProperties>
</file>