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:rsidTr="00216A81">
        <w:trPr>
          <w:trHeight w:val="567"/>
        </w:trPr>
        <w:tc>
          <w:tcPr>
            <w:tcW w:w="9062" w:type="dxa"/>
            <w:shd w:val="clear" w:color="auto" w:fill="D9D9D9" w:themeFill="background1" w:themeFillShade="D9"/>
          </w:tcPr>
          <w:p w:rsidR="009F2DFA" w:rsidRPr="00042C66" w:rsidRDefault="008A1252" w:rsidP="0085514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216A81">
        <w:trPr>
          <w:trHeight w:val="567"/>
        </w:trPr>
        <w:tc>
          <w:tcPr>
            <w:tcW w:w="9062" w:type="dxa"/>
            <w:shd w:val="clear" w:color="auto" w:fill="D9D9D9" w:themeFill="background1" w:themeFillShade="D9"/>
          </w:tcPr>
          <w:p w:rsidR="009F2DFA" w:rsidRPr="00042C66" w:rsidRDefault="009F2DFA" w:rsidP="0085514A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216A81">
        <w:trPr>
          <w:trHeight w:val="567"/>
        </w:trPr>
        <w:tc>
          <w:tcPr>
            <w:tcW w:w="906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:rsidTr="0085514A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85514A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85514A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85514A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85514A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85514A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85514A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CD66EA" w:rsidP="0085514A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85514A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85514A">
            <w:pPr>
              <w:rPr>
                <w:b/>
              </w:rPr>
            </w:pPr>
          </w:p>
        </w:tc>
      </w:tr>
      <w:tr w:rsidR="009F2DFA" w:rsidRPr="00F04CCD" w:rsidTr="00216A81">
        <w:tc>
          <w:tcPr>
            <w:tcW w:w="9062" w:type="dxa"/>
            <w:shd w:val="clear" w:color="auto" w:fill="D9D9D9" w:themeFill="background1" w:themeFillShade="D9"/>
          </w:tcPr>
          <w:p w:rsidR="009F2DFA" w:rsidRPr="00042C66" w:rsidRDefault="002B1108" w:rsidP="008551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85514A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216A81">
        <w:tc>
          <w:tcPr>
            <w:tcW w:w="9062" w:type="dxa"/>
            <w:tcBorders>
              <w:bottom w:val="single" w:sz="4" w:space="0" w:color="auto"/>
            </w:tcBorders>
          </w:tcPr>
          <w:p w:rsidR="009F2DFA" w:rsidRPr="00F04CCD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216A81">
        <w:trPr>
          <w:trHeight w:val="1440"/>
        </w:trPr>
        <w:tc>
          <w:tcPr>
            <w:tcW w:w="9062" w:type="dxa"/>
            <w:tcBorders>
              <w:bottom w:val="single" w:sz="4" w:space="0" w:color="auto"/>
            </w:tcBorders>
          </w:tcPr>
          <w:p w:rsidR="00167A7C" w:rsidRPr="00E76EF6" w:rsidRDefault="00CB0A7D" w:rsidP="00CB0A7D">
            <w:pPr>
              <w:pStyle w:val="Odsekzoznamu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EF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67A7C" w:rsidRPr="00E76EF6">
              <w:rPr>
                <w:rFonts w:ascii="Times New Roman" w:hAnsi="Times New Roman" w:cs="Times New Roman"/>
                <w:sz w:val="24"/>
                <w:szCs w:val="24"/>
              </w:rPr>
              <w:t>ýrobcovia zdravotníckych pomôcok a</w:t>
            </w:r>
            <w:r w:rsidR="00924DD1" w:rsidRPr="00E76EF6">
              <w:rPr>
                <w:rFonts w:ascii="Times New Roman" w:hAnsi="Times New Roman" w:cs="Times New Roman"/>
                <w:sz w:val="24"/>
                <w:szCs w:val="24"/>
              </w:rPr>
              <w:t xml:space="preserve"> výrobcovia</w:t>
            </w:r>
            <w:r w:rsidR="00167A7C" w:rsidRPr="00E76EF6">
              <w:rPr>
                <w:rFonts w:ascii="Times New Roman" w:hAnsi="Times New Roman" w:cs="Times New Roman"/>
                <w:sz w:val="24"/>
                <w:szCs w:val="24"/>
              </w:rPr>
              <w:t> diagnostických zdravotníckych pomôcok in vitro a s</w:t>
            </w:r>
            <w:r w:rsidR="00CD66EA" w:rsidRPr="00E76EF6">
              <w:rPr>
                <w:rFonts w:ascii="Times New Roman" w:hAnsi="Times New Roman" w:cs="Times New Roman"/>
                <w:sz w:val="24"/>
                <w:szCs w:val="24"/>
              </w:rPr>
              <w:t>poločnosti, ktoré</w:t>
            </w:r>
            <w:r w:rsidR="00167A7C" w:rsidRPr="00E76EF6">
              <w:rPr>
                <w:rFonts w:ascii="Times New Roman" w:hAnsi="Times New Roman" w:cs="Times New Roman"/>
                <w:sz w:val="24"/>
                <w:szCs w:val="24"/>
              </w:rPr>
              <w:t xml:space="preserve"> pre tieto hospodárske subjekty </w:t>
            </w:r>
            <w:r w:rsidR="00CD66EA" w:rsidRPr="00E76EF6">
              <w:rPr>
                <w:rFonts w:ascii="Times New Roman" w:hAnsi="Times New Roman" w:cs="Times New Roman"/>
                <w:sz w:val="24"/>
                <w:szCs w:val="24"/>
              </w:rPr>
              <w:t>vykonávajú klinické skúšanie</w:t>
            </w:r>
            <w:r w:rsidR="00167A7C" w:rsidRPr="00E76EF6">
              <w:rPr>
                <w:rFonts w:ascii="Times New Roman" w:hAnsi="Times New Roman" w:cs="Times New Roman"/>
                <w:sz w:val="24"/>
                <w:szCs w:val="24"/>
              </w:rPr>
              <w:t xml:space="preserve"> zdravotníckych pomôcok a štúdie výkonu diagnostických zdravotníckych pomôcok in vitro</w:t>
            </w:r>
            <w:r w:rsidR="00CD66EA" w:rsidRPr="00E76EF6">
              <w:rPr>
                <w:rFonts w:ascii="Times New Roman" w:hAnsi="Times New Roman" w:cs="Times New Roman"/>
                <w:sz w:val="24"/>
                <w:szCs w:val="24"/>
              </w:rPr>
              <w:t xml:space="preserve"> na účely </w:t>
            </w:r>
            <w:r w:rsidR="00167A7C" w:rsidRPr="00E76EF6">
              <w:rPr>
                <w:rFonts w:ascii="Times New Roman" w:hAnsi="Times New Roman" w:cs="Times New Roman"/>
                <w:sz w:val="24"/>
                <w:szCs w:val="24"/>
              </w:rPr>
              <w:t>uvádzania alebo sprístupňovania na trh</w:t>
            </w:r>
            <w:r w:rsidR="00924DD1" w:rsidRPr="00E76EF6">
              <w:rPr>
                <w:rFonts w:ascii="Times New Roman" w:hAnsi="Times New Roman" w:cs="Times New Roman"/>
                <w:sz w:val="24"/>
                <w:szCs w:val="24"/>
              </w:rPr>
              <w:t xml:space="preserve"> v EÚ</w:t>
            </w:r>
            <w:r w:rsidR="00167A7C" w:rsidRPr="00E76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DD1" w:rsidRPr="00E76EF6" w:rsidRDefault="00167A7C" w:rsidP="00CD66EA">
            <w:pPr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>V</w:t>
            </w:r>
            <w:r w:rsidR="00CD66EA" w:rsidRPr="00E76EF6">
              <w:rPr>
                <w:sz w:val="24"/>
                <w:szCs w:val="24"/>
              </w:rPr>
              <w:t xml:space="preserve">ýsledky klinického skúšania </w:t>
            </w:r>
            <w:r w:rsidRPr="00E76EF6">
              <w:rPr>
                <w:sz w:val="24"/>
                <w:szCs w:val="24"/>
              </w:rPr>
              <w:t xml:space="preserve">alebo štúdie výkonu </w:t>
            </w:r>
            <w:r w:rsidR="00CD66EA" w:rsidRPr="00E76EF6">
              <w:rPr>
                <w:sz w:val="24"/>
                <w:szCs w:val="24"/>
              </w:rPr>
              <w:t>sú súčasťou podkladov, ktoré sa vyžadujú</w:t>
            </w:r>
            <w:r w:rsidRPr="00E76EF6">
              <w:rPr>
                <w:sz w:val="24"/>
                <w:szCs w:val="24"/>
              </w:rPr>
              <w:t xml:space="preserve"> pri posudzovaní zhody</w:t>
            </w:r>
            <w:r w:rsidR="00924DD1" w:rsidRPr="00E76EF6">
              <w:rPr>
                <w:sz w:val="24"/>
                <w:szCs w:val="24"/>
              </w:rPr>
              <w:t xml:space="preserve"> podľa nariadenia (EÚ) č. 2017/745, ak ide o zdravotnícke pomôcky alebo podľa nariadenia (EÚ) č. 2017/746, ak ide o diagnostické zdravotnícke pomôcky in vitro</w:t>
            </w:r>
            <w:r w:rsidR="00CD66EA" w:rsidRPr="00E76EF6">
              <w:rPr>
                <w:sz w:val="24"/>
                <w:szCs w:val="24"/>
              </w:rPr>
              <w:t xml:space="preserve"> </w:t>
            </w:r>
          </w:p>
          <w:p w:rsidR="009F2DFA" w:rsidRPr="00E76EF6" w:rsidRDefault="00CD66EA" w:rsidP="00CD66EA">
            <w:pPr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 xml:space="preserve">Predpokladaný počet – približne </w:t>
            </w:r>
            <w:r w:rsidR="00167A7C" w:rsidRPr="00E76EF6">
              <w:rPr>
                <w:sz w:val="24"/>
                <w:szCs w:val="24"/>
              </w:rPr>
              <w:t>5</w:t>
            </w:r>
            <w:r w:rsidR="00924DD1" w:rsidRPr="00E76EF6">
              <w:rPr>
                <w:sz w:val="24"/>
                <w:szCs w:val="24"/>
              </w:rPr>
              <w:t>0</w:t>
            </w:r>
            <w:r w:rsidR="00167A7C" w:rsidRPr="00E76EF6">
              <w:rPr>
                <w:sz w:val="24"/>
                <w:szCs w:val="24"/>
              </w:rPr>
              <w:t xml:space="preserve"> až </w:t>
            </w:r>
            <w:r w:rsidR="00924DD1" w:rsidRPr="00E76EF6">
              <w:rPr>
                <w:sz w:val="24"/>
                <w:szCs w:val="24"/>
              </w:rPr>
              <w:t>6</w:t>
            </w:r>
            <w:r w:rsidRPr="00E76EF6">
              <w:rPr>
                <w:sz w:val="24"/>
                <w:szCs w:val="24"/>
              </w:rPr>
              <w:t>0</w:t>
            </w:r>
            <w:r w:rsidR="00167A7C" w:rsidRPr="00E76EF6">
              <w:rPr>
                <w:sz w:val="24"/>
                <w:szCs w:val="24"/>
              </w:rPr>
              <w:t xml:space="preserve"> ročne</w:t>
            </w:r>
          </w:p>
          <w:p w:rsidR="00924DD1" w:rsidRPr="00E76EF6" w:rsidRDefault="00CB0A7D" w:rsidP="00CB0A7D">
            <w:pPr>
              <w:pStyle w:val="Odsekzoznamu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EF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D66EA" w:rsidRPr="00E76EF6">
              <w:rPr>
                <w:rFonts w:ascii="Times New Roman" w:hAnsi="Times New Roman" w:cs="Times New Roman"/>
                <w:sz w:val="24"/>
                <w:szCs w:val="24"/>
              </w:rPr>
              <w:t>rávnické osoby, ktoré sú držiteľmi povolenia na poskytovanie lekárenskej starostlivosti vo verejnej lekárni alebo v pobočke verejnej lekárne</w:t>
            </w:r>
            <w:r w:rsidR="00167A7C" w:rsidRPr="00E76EF6">
              <w:rPr>
                <w:rFonts w:ascii="Times New Roman" w:hAnsi="Times New Roman" w:cs="Times New Roman"/>
                <w:sz w:val="24"/>
                <w:szCs w:val="24"/>
              </w:rPr>
              <w:t>, vo výdajni zdravotníckych pomôcok</w:t>
            </w:r>
            <w:r w:rsidR="00CD66EA" w:rsidRPr="00E76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3199" w:rsidRPr="00E7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D1" w:rsidRPr="00E76EF6">
              <w:rPr>
                <w:rFonts w:ascii="Times New Roman" w:hAnsi="Times New Roman" w:cs="Times New Roman"/>
                <w:sz w:val="24"/>
                <w:szCs w:val="24"/>
              </w:rPr>
              <w:t xml:space="preserve"> Ide o predkladanie dokladov na požiadanie kontrolných orgánov o príjme a výdaji liekov. Predkladané doklady už boli zavedené  platnou legislatívou, nie je to nová záťaž pre podnikateľov. </w:t>
            </w:r>
          </w:p>
          <w:p w:rsidR="00CD66EA" w:rsidRPr="00E76EF6" w:rsidRDefault="00263199" w:rsidP="00167A7C">
            <w:pPr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>Približný počet – 1</w:t>
            </w:r>
            <w:r w:rsidR="00167A7C" w:rsidRPr="00E76EF6">
              <w:rPr>
                <w:sz w:val="24"/>
                <w:szCs w:val="24"/>
              </w:rPr>
              <w:t>600</w:t>
            </w:r>
            <w:r w:rsidRPr="00E76EF6">
              <w:rPr>
                <w:sz w:val="24"/>
                <w:szCs w:val="24"/>
              </w:rPr>
              <w:t>.</w:t>
            </w:r>
            <w:r w:rsidR="00167A7C" w:rsidRPr="00E76EF6">
              <w:rPr>
                <w:sz w:val="24"/>
                <w:szCs w:val="24"/>
              </w:rPr>
              <w:t xml:space="preserve"> Tieto subjekty sú  vo väčšine prípadov MSP.</w:t>
            </w:r>
          </w:p>
          <w:p w:rsidR="00924DD1" w:rsidRPr="00E76EF6" w:rsidRDefault="00CB0A7D" w:rsidP="00CB0A7D">
            <w:pPr>
              <w:pStyle w:val="Odsekzoznamu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EF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24DD1" w:rsidRPr="00E76EF6">
              <w:rPr>
                <w:rFonts w:ascii="Times New Roman" w:hAnsi="Times New Roman" w:cs="Times New Roman"/>
                <w:sz w:val="24"/>
                <w:szCs w:val="24"/>
              </w:rPr>
              <w:t>ýrobcovia účinných látok pre farmaceutický priemysel, povinnosti im vyplývajú už z platného zákona a spresnené povinnosti</w:t>
            </w:r>
            <w:r w:rsidRPr="00E76EF6">
              <w:rPr>
                <w:rFonts w:ascii="Times New Roman" w:hAnsi="Times New Roman" w:cs="Times New Roman"/>
                <w:sz w:val="24"/>
                <w:szCs w:val="24"/>
              </w:rPr>
              <w:t xml:space="preserve"> implementáciou</w:t>
            </w:r>
            <w:r w:rsidR="00924DD1" w:rsidRPr="00E76EF6">
              <w:rPr>
                <w:rFonts w:ascii="Times New Roman" w:hAnsi="Times New Roman" w:cs="Times New Roman"/>
                <w:sz w:val="24"/>
                <w:szCs w:val="24"/>
              </w:rPr>
              <w:t> delegovaného nariadenia Komisie(EÚ) č. 1252</w:t>
            </w:r>
            <w:r w:rsidRPr="00E76EF6">
              <w:rPr>
                <w:rFonts w:ascii="Times New Roman" w:hAnsi="Times New Roman" w:cs="Times New Roman"/>
                <w:sz w:val="24"/>
                <w:szCs w:val="24"/>
              </w:rPr>
              <w:t>/2014, ktorým sa dopĺňa smernica Európskeho parlamentu a Rady č. 2001/83/ES, pokiaľ ide o zásady a usmernenia vzťahujúce sa na správnu výrobnú prax pre účinné látky do liekov na humánne použitie.</w:t>
            </w:r>
          </w:p>
          <w:p w:rsidR="00CB0A7D" w:rsidRPr="00E76EF6" w:rsidRDefault="00CB0A7D" w:rsidP="00F46401">
            <w:pPr>
              <w:ind w:left="360"/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lastRenderedPageBreak/>
              <w:t>Ide o oznámenie štátnemu ústavu pre kontrolu liečiv, ak vyrábajú účinnú látku v rozpore s kvalitatívnymi požiadavkami a o  prípadné stiahnutie nekvalitnej šarže z trhu.</w:t>
            </w:r>
          </w:p>
        </w:tc>
      </w:tr>
      <w:tr w:rsidR="009F2DFA" w:rsidRPr="00F04CCD" w:rsidTr="00216A81">
        <w:trPr>
          <w:trHeight w:val="339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8551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85514A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216A81">
        <w:trPr>
          <w:trHeight w:val="557"/>
        </w:trPr>
        <w:tc>
          <w:tcPr>
            <w:tcW w:w="9062" w:type="dxa"/>
            <w:tcBorders>
              <w:bottom w:val="single" w:sz="4" w:space="0" w:color="auto"/>
            </w:tcBorders>
          </w:tcPr>
          <w:p w:rsidR="009F2DFA" w:rsidRPr="00F04CCD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216A81">
        <w:trPr>
          <w:trHeight w:val="1440"/>
        </w:trPr>
        <w:tc>
          <w:tcPr>
            <w:tcW w:w="9062" w:type="dxa"/>
            <w:tcBorders>
              <w:bottom w:val="single" w:sz="4" w:space="0" w:color="auto"/>
            </w:tcBorders>
          </w:tcPr>
          <w:p w:rsidR="00CB0A7D" w:rsidRPr="00216A81" w:rsidRDefault="00400BCA" w:rsidP="00263199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I</w:t>
            </w:r>
            <w:r w:rsidR="00167A7C" w:rsidRPr="00216A81">
              <w:rPr>
                <w:sz w:val="24"/>
                <w:szCs w:val="24"/>
              </w:rPr>
              <w:t>mplementáci</w:t>
            </w:r>
            <w:r w:rsidRPr="00216A81">
              <w:rPr>
                <w:sz w:val="24"/>
                <w:szCs w:val="24"/>
              </w:rPr>
              <w:t>a</w:t>
            </w:r>
            <w:r w:rsidR="00167A7C" w:rsidRPr="00216A81">
              <w:rPr>
                <w:sz w:val="24"/>
                <w:szCs w:val="24"/>
              </w:rPr>
              <w:t xml:space="preserve"> nariadenia (EÚ) č. 2017/745</w:t>
            </w:r>
            <w:r w:rsidRPr="00216A81">
              <w:rPr>
                <w:sz w:val="24"/>
                <w:szCs w:val="24"/>
              </w:rPr>
              <w:t xml:space="preserve"> a nariadenia (EÚ) č. 2017/746- č</w:t>
            </w:r>
            <w:r w:rsidR="00263199" w:rsidRPr="00216A81">
              <w:rPr>
                <w:sz w:val="24"/>
                <w:szCs w:val="24"/>
              </w:rPr>
              <w:t xml:space="preserve">asť o klinickom skúšaní </w:t>
            </w:r>
            <w:r w:rsidR="00CB0A7D" w:rsidRPr="00216A81">
              <w:rPr>
                <w:sz w:val="24"/>
                <w:szCs w:val="24"/>
              </w:rPr>
              <w:t>zdravotníckych pomôcok</w:t>
            </w:r>
            <w:r w:rsidRPr="00216A81">
              <w:rPr>
                <w:sz w:val="24"/>
                <w:szCs w:val="24"/>
              </w:rPr>
              <w:t xml:space="preserve"> a o štúdii výkonu </w:t>
            </w:r>
            <w:r w:rsidR="00CB0A7D" w:rsidRPr="00216A81">
              <w:rPr>
                <w:sz w:val="24"/>
                <w:szCs w:val="24"/>
              </w:rPr>
              <w:t xml:space="preserve">diagnostických zdravotníckych pomôcok in vitro </w:t>
            </w:r>
            <w:r w:rsidR="00263199" w:rsidRPr="00216A81">
              <w:rPr>
                <w:sz w:val="24"/>
                <w:szCs w:val="24"/>
              </w:rPr>
              <w:t xml:space="preserve">bola konzultovaná so zástupcami </w:t>
            </w:r>
            <w:r w:rsidR="00167A7C" w:rsidRPr="00216A81">
              <w:rPr>
                <w:sz w:val="24"/>
                <w:szCs w:val="24"/>
              </w:rPr>
              <w:t>výrobcov zdravotníckych pomôcok a diagnostických zdravotníckych pomôcok in vitro,</w:t>
            </w:r>
            <w:r w:rsidRPr="00216A81">
              <w:rPr>
                <w:sz w:val="24"/>
                <w:szCs w:val="24"/>
              </w:rPr>
              <w:t xml:space="preserve"> </w:t>
            </w:r>
          </w:p>
          <w:p w:rsidR="009F2DFA" w:rsidRPr="00216A81" w:rsidRDefault="00400BCA" w:rsidP="00263199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 xml:space="preserve">Ostatné navrhované zmeny v zákone týkajúce sa reexportu liekov boli konzultované s  </w:t>
            </w:r>
            <w:r w:rsidR="00263199" w:rsidRPr="00216A81">
              <w:rPr>
                <w:sz w:val="24"/>
                <w:szCs w:val="24"/>
              </w:rPr>
              <w:t>farmaceutický</w:t>
            </w:r>
            <w:r w:rsidR="00167A7C" w:rsidRPr="00216A81">
              <w:rPr>
                <w:sz w:val="24"/>
                <w:szCs w:val="24"/>
              </w:rPr>
              <w:t>mi</w:t>
            </w:r>
            <w:r w:rsidRPr="00216A81">
              <w:rPr>
                <w:sz w:val="24"/>
                <w:szCs w:val="24"/>
              </w:rPr>
              <w:t xml:space="preserve"> spoločnosťami, so </w:t>
            </w:r>
            <w:r w:rsidR="00263199" w:rsidRPr="00216A81">
              <w:rPr>
                <w:sz w:val="24"/>
                <w:szCs w:val="24"/>
              </w:rPr>
              <w:t xml:space="preserve">zástupcami </w:t>
            </w:r>
            <w:r w:rsidRPr="00216A81">
              <w:rPr>
                <w:sz w:val="24"/>
                <w:szCs w:val="24"/>
              </w:rPr>
              <w:t xml:space="preserve">Slovenskej lekárskej </w:t>
            </w:r>
            <w:r w:rsidR="00263199" w:rsidRPr="00216A81">
              <w:rPr>
                <w:sz w:val="24"/>
                <w:szCs w:val="24"/>
              </w:rPr>
              <w:t xml:space="preserve">spoločností, </w:t>
            </w:r>
            <w:r w:rsidRPr="00216A81">
              <w:rPr>
                <w:sz w:val="24"/>
                <w:szCs w:val="24"/>
              </w:rPr>
              <w:t>Slovenskej lekárnickej komory, Únie poskytovateľov lekárenskej starostlivosti, zdravotných poisťovn</w:t>
            </w:r>
            <w:r w:rsidR="00CB0A7D" w:rsidRPr="00216A81">
              <w:rPr>
                <w:sz w:val="24"/>
                <w:szCs w:val="24"/>
              </w:rPr>
              <w:t>í, pacientskych organizácií</w:t>
            </w:r>
            <w:r w:rsidRPr="00216A81">
              <w:rPr>
                <w:sz w:val="24"/>
                <w:szCs w:val="24"/>
              </w:rPr>
              <w:t xml:space="preserve"> a</w:t>
            </w:r>
            <w:r w:rsidR="00CB0A7D" w:rsidRPr="00216A81">
              <w:rPr>
                <w:sz w:val="24"/>
                <w:szCs w:val="24"/>
              </w:rPr>
              <w:t xml:space="preserve"> s farmaceutmi </w:t>
            </w:r>
            <w:r w:rsidRPr="00216A81">
              <w:rPr>
                <w:sz w:val="24"/>
                <w:szCs w:val="24"/>
              </w:rPr>
              <w:t>samosprávnych krajov.</w:t>
            </w:r>
            <w:r w:rsidR="00263199" w:rsidRPr="00216A81">
              <w:rPr>
                <w:sz w:val="24"/>
                <w:szCs w:val="24"/>
              </w:rPr>
              <w:t>.</w:t>
            </w:r>
          </w:p>
          <w:p w:rsidR="00400BCA" w:rsidRPr="00216A81" w:rsidRDefault="00400BCA" w:rsidP="00263199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Časť návrhov predložil Štátny ústav pre kontrolu liečiv ako záver Spoločného auditu s Európskou komisiou a</w:t>
            </w:r>
            <w:r w:rsidR="00CB0A7D" w:rsidRPr="00216A81">
              <w:rPr>
                <w:sz w:val="24"/>
                <w:szCs w:val="24"/>
              </w:rPr>
              <w:t> </w:t>
            </w:r>
            <w:r w:rsidRPr="00216A81">
              <w:rPr>
                <w:sz w:val="24"/>
                <w:szCs w:val="24"/>
              </w:rPr>
              <w:t>FDA</w:t>
            </w:r>
            <w:r w:rsidR="00CB0A7D" w:rsidRPr="00216A81">
              <w:rPr>
                <w:sz w:val="24"/>
                <w:szCs w:val="24"/>
              </w:rPr>
              <w:t xml:space="preserve"> (Federálny úrad pre lieky a potraviny)</w:t>
            </w:r>
            <w:r w:rsidRPr="00216A81">
              <w:rPr>
                <w:sz w:val="24"/>
                <w:szCs w:val="24"/>
              </w:rPr>
              <w:t xml:space="preserve"> z USA. v rámci </w:t>
            </w:r>
            <w:r w:rsidR="00CB0A7D" w:rsidRPr="00216A81">
              <w:rPr>
                <w:sz w:val="24"/>
                <w:szCs w:val="24"/>
              </w:rPr>
              <w:t xml:space="preserve">uzatvárania </w:t>
            </w:r>
            <w:r w:rsidRPr="00216A81">
              <w:rPr>
                <w:sz w:val="24"/>
                <w:szCs w:val="24"/>
              </w:rPr>
              <w:t>Dohody o</w:t>
            </w:r>
            <w:r w:rsidR="00CB0A7D" w:rsidRPr="00216A81">
              <w:rPr>
                <w:sz w:val="24"/>
                <w:szCs w:val="24"/>
              </w:rPr>
              <w:t xml:space="preserve"> vzájomnom </w:t>
            </w:r>
            <w:r w:rsidRPr="00216A81">
              <w:rPr>
                <w:sz w:val="24"/>
                <w:szCs w:val="24"/>
              </w:rPr>
              <w:t> uznávaní inšpekcií správnej výrobnej praxe liekov medzi EÚ a FDA.</w:t>
            </w:r>
          </w:p>
          <w:p w:rsidR="0054543C" w:rsidRPr="00216A81" w:rsidRDefault="0054543C" w:rsidP="00400BC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Predbežná informácia o príprave návrhu zákona bola v marci zverejnená na portáli Slov-Lex. Na túto informáciu zareagovala návrhmi iba Únia poskytovateľov lekárenskej starostlivosti SR, ktorá navrhovala na reguláciu počtu verejných lekárni zavedenie demografic</w:t>
            </w:r>
            <w:r w:rsidR="00400BCA" w:rsidRPr="00216A81">
              <w:rPr>
                <w:sz w:val="24"/>
                <w:szCs w:val="24"/>
              </w:rPr>
              <w:t>kých a geografických kritérií.. Táto požiadavka nebola zohľadnená</w:t>
            </w:r>
            <w:r w:rsidRPr="00216A81">
              <w:rPr>
                <w:sz w:val="24"/>
                <w:szCs w:val="24"/>
              </w:rPr>
              <w:t>.</w:t>
            </w:r>
          </w:p>
          <w:p w:rsidR="00EC3895" w:rsidRPr="00216A81" w:rsidRDefault="00EC3895" w:rsidP="00EC3895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Zástupcovia farmaceutických spoločností a dodávateľov liekov navrhovali buď zrušenie informačného systému na mimoriadne objednávanie liekov (emergentného systému  zabezpečovania liekov) alebo zmeny, ktoré by nepriaznivo ovplyvnili dostupnosť liekov pre pacientov.</w:t>
            </w:r>
          </w:p>
          <w:p w:rsidR="00EC3895" w:rsidRPr="00216A81" w:rsidRDefault="00EC3895" w:rsidP="00EC3895">
            <w:pPr>
              <w:rPr>
                <w:i/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Pacientské organizácie požadujú bezproblémovú dostupnosť liekov pre pacientov.</w:t>
            </w:r>
          </w:p>
        </w:tc>
      </w:tr>
      <w:tr w:rsidR="009F2DFA" w:rsidRPr="00F04CCD" w:rsidTr="00216A81">
        <w:tc>
          <w:tcPr>
            <w:tcW w:w="9062" w:type="dxa"/>
            <w:shd w:val="clear" w:color="auto" w:fill="D9D9D9" w:themeFill="background1" w:themeFillShade="D9"/>
          </w:tcPr>
          <w:p w:rsidR="009F2DFA" w:rsidRPr="00042C66" w:rsidRDefault="002B1108" w:rsidP="008551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85514A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216A81">
        <w:tc>
          <w:tcPr>
            <w:tcW w:w="9062" w:type="dxa"/>
            <w:tcBorders>
              <w:bottom w:val="single" w:sz="4" w:space="0" w:color="auto"/>
            </w:tcBorders>
          </w:tcPr>
          <w:p w:rsidR="009F2DFA" w:rsidRPr="00F04CCD" w:rsidRDefault="002B1108" w:rsidP="0085514A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216A81">
        <w:tc>
          <w:tcPr>
            <w:tcW w:w="9062" w:type="dxa"/>
            <w:tcBorders>
              <w:bottom w:val="single" w:sz="4" w:space="0" w:color="auto"/>
            </w:tcBorders>
          </w:tcPr>
          <w:p w:rsidR="009F2DFA" w:rsidRPr="00216A81" w:rsidRDefault="009F2DFA" w:rsidP="0085514A">
            <w:pPr>
              <w:rPr>
                <w:b/>
                <w:i/>
                <w:sz w:val="24"/>
                <w:szCs w:val="24"/>
              </w:rPr>
            </w:pPr>
          </w:p>
          <w:p w:rsidR="00156351" w:rsidRPr="00216A81" w:rsidRDefault="008E7571" w:rsidP="0085514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 xml:space="preserve">V oblasti klinického skúšania </w:t>
            </w:r>
            <w:r w:rsidR="00EC3895" w:rsidRPr="00216A81">
              <w:rPr>
                <w:sz w:val="24"/>
                <w:szCs w:val="24"/>
              </w:rPr>
              <w:t xml:space="preserve">zdravotníckych pomôcok </w:t>
            </w:r>
            <w:r w:rsidRPr="00216A81">
              <w:rPr>
                <w:sz w:val="24"/>
                <w:szCs w:val="24"/>
              </w:rPr>
              <w:t>sa navrhuje zvýšenie správnych poplatkov</w:t>
            </w:r>
            <w:r w:rsidR="00A67F65" w:rsidRPr="00216A81">
              <w:rPr>
                <w:sz w:val="24"/>
                <w:szCs w:val="24"/>
              </w:rPr>
              <w:t>.</w:t>
            </w:r>
            <w:r w:rsidRPr="00216A81">
              <w:rPr>
                <w:sz w:val="24"/>
                <w:szCs w:val="24"/>
              </w:rPr>
              <w:t xml:space="preserve"> </w:t>
            </w:r>
            <w:r w:rsidR="00EC3895" w:rsidRPr="00216A81">
              <w:rPr>
                <w:sz w:val="24"/>
                <w:szCs w:val="24"/>
              </w:rPr>
              <w:t xml:space="preserve"> Zavádzajú sa nové správne poplatky za štúdie výkonu diagnostickej </w:t>
            </w:r>
            <w:r w:rsidR="00EC3895" w:rsidRPr="00216A81">
              <w:rPr>
                <w:sz w:val="24"/>
                <w:szCs w:val="24"/>
              </w:rPr>
              <w:lastRenderedPageBreak/>
              <w:t>zdravotníckej pomôcky in vitro. Tieto štúdie sú zavedené nariadením (EÚ) č. 2017/746 a doteraz sa nevykonávali. Začnú sa vykonávať až od 26. mája 2021.</w:t>
            </w:r>
            <w:r w:rsidRPr="00216A81">
              <w:rPr>
                <w:sz w:val="24"/>
                <w:szCs w:val="24"/>
              </w:rPr>
              <w:t xml:space="preserve"> V tejto súvislosti je potrebné podčiarknuť, že sa navrhuje </w:t>
            </w:r>
            <w:r w:rsidR="00EC3895" w:rsidRPr="00216A81">
              <w:rPr>
                <w:sz w:val="24"/>
                <w:szCs w:val="24"/>
              </w:rPr>
              <w:t xml:space="preserve">rozšírenie už zriadenej </w:t>
            </w:r>
            <w:r w:rsidRPr="00216A81">
              <w:rPr>
                <w:sz w:val="24"/>
                <w:szCs w:val="24"/>
              </w:rPr>
              <w:t>etickej komisie pre klinické skúšanie</w:t>
            </w:r>
            <w:r w:rsidR="00EC3895" w:rsidRPr="00216A81">
              <w:rPr>
                <w:sz w:val="24"/>
                <w:szCs w:val="24"/>
              </w:rPr>
              <w:t xml:space="preserve"> aj na posudzovanie klinického skúšania zdravotníckych pomôcok a na posudzovanie štúdií výkonu diagnostických zdravotníckych pomôcok in vitro</w:t>
            </w:r>
            <w:r w:rsidR="00B93913" w:rsidRPr="00216A81">
              <w:rPr>
                <w:sz w:val="24"/>
                <w:szCs w:val="24"/>
              </w:rPr>
              <w:t>.</w:t>
            </w:r>
          </w:p>
          <w:p w:rsidR="00156351" w:rsidRPr="00216A81" w:rsidRDefault="00156351" w:rsidP="0085514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Obdobne</w:t>
            </w:r>
            <w:r w:rsidR="00EC3895" w:rsidRPr="00216A81">
              <w:rPr>
                <w:sz w:val="24"/>
                <w:szCs w:val="24"/>
              </w:rPr>
              <w:t xml:space="preserve"> MZ SR</w:t>
            </w:r>
            <w:r w:rsidR="00B93913" w:rsidRPr="00216A81">
              <w:rPr>
                <w:sz w:val="24"/>
                <w:szCs w:val="24"/>
              </w:rPr>
              <w:t xml:space="preserve"> na</w:t>
            </w:r>
            <w:r w:rsidR="00EC3895" w:rsidRPr="00216A81">
              <w:rPr>
                <w:sz w:val="24"/>
                <w:szCs w:val="24"/>
              </w:rPr>
              <w:t>vrhuje rozšírenie funkčnosti už zriadeného národného portálu klinického skúšania</w:t>
            </w:r>
            <w:r w:rsidRPr="00216A81">
              <w:rPr>
                <w:sz w:val="24"/>
                <w:szCs w:val="24"/>
              </w:rPr>
              <w:t xml:space="preserve"> o klinické skúšanie zdravotníckych pomôcok a o posudzovanie štúdií výkonu diagnostických zdravotníckych pomôcok in vitro.</w:t>
            </w:r>
          </w:p>
          <w:p w:rsidR="00B93913" w:rsidRPr="00216A81" w:rsidRDefault="00B93913" w:rsidP="0085514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Etické komisie ústavných zdravotníckych zariadení budú poradným orgánom vedenia ústavných zdravotníckych zariadení pri rozhodovaní, či sa stanú pracovisk</w:t>
            </w:r>
            <w:r w:rsidR="00156351" w:rsidRPr="00216A81">
              <w:rPr>
                <w:sz w:val="24"/>
                <w:szCs w:val="24"/>
              </w:rPr>
              <w:t>om</w:t>
            </w:r>
            <w:r w:rsidRPr="00216A81">
              <w:rPr>
                <w:sz w:val="24"/>
                <w:szCs w:val="24"/>
              </w:rPr>
              <w:t xml:space="preserve"> klinického skúšania zdravotníckej pomôcky alebo </w:t>
            </w:r>
            <w:r w:rsidR="00156351" w:rsidRPr="00216A81">
              <w:rPr>
                <w:sz w:val="24"/>
                <w:szCs w:val="24"/>
              </w:rPr>
              <w:t xml:space="preserve">pracoviskom </w:t>
            </w:r>
            <w:r w:rsidRPr="00216A81">
              <w:rPr>
                <w:sz w:val="24"/>
                <w:szCs w:val="24"/>
              </w:rPr>
              <w:t>štúdie výkonu diagnostickej zdravotníckej pomôcky in vitro.</w:t>
            </w:r>
            <w:r w:rsidR="008E7571" w:rsidRPr="00216A81">
              <w:rPr>
                <w:sz w:val="24"/>
                <w:szCs w:val="24"/>
              </w:rPr>
              <w:t xml:space="preserve"> </w:t>
            </w:r>
          </w:p>
          <w:p w:rsidR="009F2DFA" w:rsidRPr="00216A81" w:rsidRDefault="008E7571" w:rsidP="0085514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Štátny ústav pre kontrolu liečiv, ktorý má kompetenciu povoľovať klinické skúšanie</w:t>
            </w:r>
            <w:r w:rsidR="00B93913" w:rsidRPr="00216A81">
              <w:rPr>
                <w:sz w:val="24"/>
                <w:szCs w:val="24"/>
              </w:rPr>
              <w:t xml:space="preserve"> a štúdie výkonu  je zástupcom štátu pri povoľovaní tohto biomedicínskeho výskumu. Ukladá sa mu povinnosť rešpektovať stanovisko etickej komisie, ak vyjadrí nesúhlas s povolením predmetného biomedicínskeho výskumu.</w:t>
            </w:r>
          </w:p>
          <w:p w:rsidR="00156351" w:rsidRPr="00216A81" w:rsidRDefault="00156351" w:rsidP="001D7100">
            <w:pPr>
              <w:rPr>
                <w:sz w:val="24"/>
                <w:szCs w:val="24"/>
              </w:rPr>
            </w:pPr>
          </w:p>
          <w:p w:rsidR="00B93913" w:rsidRPr="00216A81" w:rsidRDefault="00B93913" w:rsidP="001D7100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V súvislosti  s týmto návrhom zákona MZ SR nepožaduje finančné prostriedky, tie boli odsúhlasené pri schvaľovaní zákona č. 156/2018 Z. z., ktorý sa týkal klinického skúšania humánnych liekov.</w:t>
            </w:r>
          </w:p>
          <w:p w:rsidR="00156351" w:rsidRPr="00216A81" w:rsidRDefault="00156351" w:rsidP="00281784">
            <w:pPr>
              <w:jc w:val="both"/>
              <w:rPr>
                <w:sz w:val="24"/>
                <w:szCs w:val="24"/>
              </w:rPr>
            </w:pPr>
          </w:p>
          <w:p w:rsidR="00281784" w:rsidRPr="00216A81" w:rsidRDefault="00FC1409" w:rsidP="00281784">
            <w:pPr>
              <w:jc w:val="both"/>
              <w:rPr>
                <w:bCs/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 xml:space="preserve">Štátny ústav </w:t>
            </w:r>
            <w:r w:rsidR="00281784" w:rsidRPr="00216A81">
              <w:rPr>
                <w:sz w:val="24"/>
                <w:szCs w:val="24"/>
              </w:rPr>
              <w:t xml:space="preserve">pre kontrolu liečiv žiada  7 nových pracovníkov, </w:t>
            </w:r>
            <w:r w:rsidRPr="00216A81">
              <w:rPr>
                <w:sz w:val="24"/>
                <w:szCs w:val="24"/>
              </w:rPr>
              <w:t xml:space="preserve">Podrobnosti sú uvedené v prílohe </w:t>
            </w:r>
            <w:r w:rsidR="00281784" w:rsidRPr="00216A81">
              <w:rPr>
                <w:bCs/>
                <w:sz w:val="24"/>
                <w:szCs w:val="24"/>
              </w:rPr>
              <w:t>Analýza vplyvov na rozpočet verejnej správy, na zamestnanosť vo verejnej správe a financovanie návrhu</w:t>
            </w:r>
          </w:p>
          <w:p w:rsidR="001D7100" w:rsidRPr="00216A81" w:rsidRDefault="001D7100" w:rsidP="001D7100">
            <w:pPr>
              <w:rPr>
                <w:b/>
                <w:i/>
                <w:sz w:val="24"/>
                <w:szCs w:val="24"/>
              </w:rPr>
            </w:pPr>
          </w:p>
        </w:tc>
      </w:tr>
      <w:tr w:rsidR="009F2DFA" w:rsidRPr="00F04CCD" w:rsidTr="00216A81">
        <w:tc>
          <w:tcPr>
            <w:tcW w:w="9062" w:type="dxa"/>
            <w:tcBorders>
              <w:bottom w:val="single" w:sz="4" w:space="0" w:color="auto"/>
            </w:tcBorders>
          </w:tcPr>
          <w:p w:rsidR="009F2DFA" w:rsidRPr="00F04CCD" w:rsidRDefault="002B1108" w:rsidP="0085514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216A81">
        <w:tc>
          <w:tcPr>
            <w:tcW w:w="9062" w:type="dxa"/>
            <w:tcBorders>
              <w:bottom w:val="single" w:sz="4" w:space="0" w:color="auto"/>
            </w:tcBorders>
          </w:tcPr>
          <w:p w:rsidR="009F6596" w:rsidRPr="00216A81" w:rsidRDefault="001D7100" w:rsidP="00156351">
            <w:pPr>
              <w:rPr>
                <w:b/>
                <w:i/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 xml:space="preserve">Navrhuje sa </w:t>
            </w:r>
            <w:r w:rsidR="00281784" w:rsidRPr="00216A81">
              <w:rPr>
                <w:sz w:val="24"/>
                <w:szCs w:val="24"/>
              </w:rPr>
              <w:t xml:space="preserve">rozšírenie </w:t>
            </w:r>
            <w:r w:rsidRPr="00216A81">
              <w:rPr>
                <w:sz w:val="24"/>
                <w:szCs w:val="24"/>
              </w:rPr>
              <w:t>zriaden</w:t>
            </w:r>
            <w:r w:rsidR="00281784" w:rsidRPr="00216A81">
              <w:rPr>
                <w:sz w:val="24"/>
                <w:szCs w:val="24"/>
              </w:rPr>
              <w:t>ého</w:t>
            </w:r>
            <w:r w:rsidRPr="00216A81">
              <w:rPr>
                <w:sz w:val="24"/>
                <w:szCs w:val="24"/>
              </w:rPr>
              <w:t xml:space="preserve"> národného elektronického portálu, ktorý má slúžiť na vzájomnú komunikáciu medzi Štátnym ústavom pre kontrolu liečiv a etickou komisiou pre klinické skúšanie</w:t>
            </w:r>
            <w:r w:rsidR="00156351" w:rsidRPr="00216A81">
              <w:rPr>
                <w:sz w:val="24"/>
                <w:szCs w:val="24"/>
              </w:rPr>
              <w:t xml:space="preserve"> humánnych liekov o klinické skúšanie zdravotníckych pomôcok a o posudzovanie štúdií výkonu diagnostických zdravotníckych pomôcok in vitro.</w:t>
            </w:r>
          </w:p>
        </w:tc>
      </w:tr>
      <w:tr w:rsidR="009F2DFA" w:rsidRPr="00F04CCD" w:rsidTr="00216A81">
        <w:tc>
          <w:tcPr>
            <w:tcW w:w="9062" w:type="dxa"/>
            <w:tcBorders>
              <w:bottom w:val="single" w:sz="4" w:space="0" w:color="auto"/>
            </w:tcBorders>
          </w:tcPr>
          <w:p w:rsidR="009F2DFA" w:rsidRPr="00F04CCD" w:rsidRDefault="002B1108" w:rsidP="0085514A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216A81">
        <w:tc>
          <w:tcPr>
            <w:tcW w:w="9062" w:type="dxa"/>
            <w:tcBorders>
              <w:bottom w:val="single" w:sz="4" w:space="0" w:color="auto"/>
            </w:tcBorders>
          </w:tcPr>
          <w:p w:rsidR="009F2DFA" w:rsidRPr="00F04CCD" w:rsidRDefault="009F2DFA" w:rsidP="0085514A">
            <w:pPr>
              <w:rPr>
                <w:b/>
                <w:i/>
              </w:rPr>
            </w:pPr>
          </w:p>
          <w:p w:rsidR="00156351" w:rsidRPr="00216A81" w:rsidRDefault="00FC1409" w:rsidP="00156351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N</w:t>
            </w:r>
            <w:r w:rsidR="00156351" w:rsidRPr="00216A81">
              <w:rPr>
                <w:sz w:val="24"/>
                <w:szCs w:val="24"/>
              </w:rPr>
              <w:t xml:space="preserve">ové informačné povinnosti sa </w:t>
            </w:r>
            <w:r w:rsidR="00B30AAC" w:rsidRPr="00216A81">
              <w:rPr>
                <w:sz w:val="24"/>
                <w:szCs w:val="24"/>
              </w:rPr>
              <w:t>navrhujú</w:t>
            </w:r>
            <w:r w:rsidR="00156351" w:rsidRPr="00216A81">
              <w:rPr>
                <w:sz w:val="24"/>
                <w:szCs w:val="24"/>
              </w:rPr>
              <w:t xml:space="preserve"> pre výrobcov účinných látok, ak účinná látka nespĺňa požiadavky na kvalitu</w:t>
            </w:r>
            <w:r w:rsidRPr="00216A81">
              <w:rPr>
                <w:sz w:val="24"/>
                <w:szCs w:val="24"/>
              </w:rPr>
              <w:t xml:space="preserve">. </w:t>
            </w:r>
          </w:p>
          <w:p w:rsidR="0085514A" w:rsidRPr="00F04CCD" w:rsidRDefault="0085514A" w:rsidP="00156351">
            <w:pPr>
              <w:rPr>
                <w:b/>
                <w:i/>
              </w:rPr>
            </w:pPr>
          </w:p>
        </w:tc>
      </w:tr>
      <w:tr w:rsidR="009F2DFA" w:rsidRPr="00F04CCD" w:rsidTr="00216A81">
        <w:trPr>
          <w:trHeight w:val="2318"/>
        </w:trPr>
        <w:tc>
          <w:tcPr>
            <w:tcW w:w="9062" w:type="dxa"/>
            <w:tcBorders>
              <w:bottom w:val="single" w:sz="4" w:space="0" w:color="auto"/>
            </w:tcBorders>
          </w:tcPr>
          <w:p w:rsidR="009F2DFA" w:rsidRPr="00F04CCD" w:rsidRDefault="002B1108" w:rsidP="0085514A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85514A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F04CCD" w:rsidTr="0085514A">
              <w:tc>
                <w:tcPr>
                  <w:tcW w:w="2993" w:type="dxa"/>
                </w:tcPr>
                <w:p w:rsidR="009F2DFA" w:rsidRPr="00F04CCD" w:rsidRDefault="009F2DFA" w:rsidP="0085514A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85514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85514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85514A">
              <w:tc>
                <w:tcPr>
                  <w:tcW w:w="2993" w:type="dxa"/>
                </w:tcPr>
                <w:p w:rsidR="009F2DFA" w:rsidRPr="00F04CCD" w:rsidRDefault="009F2DFA" w:rsidP="0085514A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85514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85514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85514A">
              <w:tc>
                <w:tcPr>
                  <w:tcW w:w="2993" w:type="dxa"/>
                </w:tcPr>
                <w:p w:rsidR="009F2DFA" w:rsidRPr="00F04CCD" w:rsidRDefault="009F2DFA" w:rsidP="0085514A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85514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85514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85514A">
              <w:tc>
                <w:tcPr>
                  <w:tcW w:w="2993" w:type="dxa"/>
                </w:tcPr>
                <w:p w:rsidR="009F2DFA" w:rsidRPr="00F04CCD" w:rsidRDefault="009F2DFA" w:rsidP="0085514A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85514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85514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85514A">
              <w:tc>
                <w:tcPr>
                  <w:tcW w:w="2993" w:type="dxa"/>
                </w:tcPr>
                <w:p w:rsidR="009F2DFA" w:rsidRPr="00F04CCD" w:rsidRDefault="009F2DFA" w:rsidP="0085514A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85514A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85514A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216A81" w:rsidRDefault="00785D05" w:rsidP="00250032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 xml:space="preserve">Náklady regulácie pre podnikateľské subjekty predkladateľ návrhu zákona nevie vyčísliť. Ministerstvo zdravotníctva SR počas prípravy návrhu zákona </w:t>
            </w:r>
            <w:r w:rsidR="00986666" w:rsidRPr="00216A81">
              <w:rPr>
                <w:sz w:val="24"/>
                <w:szCs w:val="24"/>
              </w:rPr>
              <w:t>zohľadnilo</w:t>
            </w:r>
            <w:r w:rsidR="008C7E35" w:rsidRPr="00216A81">
              <w:rPr>
                <w:sz w:val="24"/>
                <w:szCs w:val="24"/>
              </w:rPr>
              <w:t xml:space="preserve"> závery Spoločného auditu Komisie (EÚ)  a FDA z</w:t>
            </w:r>
            <w:r w:rsidR="00986666" w:rsidRPr="00216A81">
              <w:rPr>
                <w:sz w:val="24"/>
                <w:szCs w:val="24"/>
              </w:rPr>
              <w:t> </w:t>
            </w:r>
            <w:r w:rsidR="008C7E35" w:rsidRPr="00216A81">
              <w:rPr>
                <w:sz w:val="24"/>
                <w:szCs w:val="24"/>
              </w:rPr>
              <w:t>USA</w:t>
            </w:r>
            <w:r w:rsidR="00986666" w:rsidRPr="00216A81">
              <w:rPr>
                <w:sz w:val="24"/>
                <w:szCs w:val="24"/>
              </w:rPr>
              <w:t xml:space="preserve">. Od výrobcov účinných látok sa podľa zákona nevyžaduje povolenie na výrobu účinných látok. Podľa delegovaného nariadenia </w:t>
            </w:r>
            <w:r w:rsidR="00250032" w:rsidRPr="00216A81">
              <w:rPr>
                <w:sz w:val="24"/>
                <w:szCs w:val="24"/>
              </w:rPr>
              <w:t xml:space="preserve">(EÚ) č. 1252/2014 </w:t>
            </w:r>
            <w:r w:rsidR="00986666" w:rsidRPr="00216A81">
              <w:rPr>
                <w:sz w:val="24"/>
                <w:szCs w:val="24"/>
              </w:rPr>
              <w:t>musia vyrábať účinné látky v súlade s požiadavkami správnej výrobnej praxe pre účinné látky. MZ SR nereguluje cenotvorbu účinných látok. Cenu účinnej látky</w:t>
            </w:r>
            <w:r w:rsidRPr="00216A81">
              <w:rPr>
                <w:sz w:val="24"/>
                <w:szCs w:val="24"/>
              </w:rPr>
              <w:t xml:space="preserve"> </w:t>
            </w:r>
            <w:r w:rsidR="00986666" w:rsidRPr="00216A81">
              <w:rPr>
                <w:sz w:val="24"/>
                <w:szCs w:val="24"/>
              </w:rPr>
              <w:t>si jej výrobca dohoduje s</w:t>
            </w:r>
            <w:r w:rsidR="00250032" w:rsidRPr="00216A81">
              <w:rPr>
                <w:sz w:val="24"/>
                <w:szCs w:val="24"/>
              </w:rPr>
              <w:t> </w:t>
            </w:r>
            <w:r w:rsidR="00986666" w:rsidRPr="00216A81">
              <w:rPr>
                <w:sz w:val="24"/>
                <w:szCs w:val="24"/>
              </w:rPr>
              <w:t>odberateľom</w:t>
            </w:r>
            <w:r w:rsidR="00250032" w:rsidRPr="00216A81">
              <w:rPr>
                <w:sz w:val="24"/>
                <w:szCs w:val="24"/>
              </w:rPr>
              <w:t xml:space="preserve">, ktorý je držiteľom povolenia na výrobu </w:t>
            </w:r>
            <w:r w:rsidR="00986666" w:rsidRPr="00216A81">
              <w:rPr>
                <w:sz w:val="24"/>
                <w:szCs w:val="24"/>
              </w:rPr>
              <w:t>liekov</w:t>
            </w:r>
            <w:r w:rsidR="00250032" w:rsidRPr="00216A81">
              <w:rPr>
                <w:sz w:val="24"/>
                <w:szCs w:val="24"/>
              </w:rPr>
              <w:t xml:space="preserve"> podľa tohto zákona</w:t>
            </w:r>
            <w:r w:rsidR="00986666" w:rsidRPr="00216A81">
              <w:rPr>
                <w:sz w:val="24"/>
                <w:szCs w:val="24"/>
              </w:rPr>
              <w:t xml:space="preserve">. MZ SR do týchto zmluvných </w:t>
            </w:r>
            <w:r w:rsidR="00250032" w:rsidRPr="00216A81">
              <w:rPr>
                <w:sz w:val="24"/>
                <w:szCs w:val="24"/>
              </w:rPr>
              <w:t xml:space="preserve">odberateľsko-dodávateľských </w:t>
            </w:r>
            <w:r w:rsidR="00986666" w:rsidRPr="00216A81">
              <w:rPr>
                <w:sz w:val="24"/>
                <w:szCs w:val="24"/>
              </w:rPr>
              <w:t xml:space="preserve">vzťahov nevstupuje a to je dôvod prečo nemá potrebné údaje na vyčíslenie dopadu na podnikateľské prostredie v tomto segmente podnikania. </w:t>
            </w:r>
          </w:p>
        </w:tc>
      </w:tr>
      <w:tr w:rsidR="009F2DFA" w:rsidRPr="00F04CCD" w:rsidTr="00216A81">
        <w:tc>
          <w:tcPr>
            <w:tcW w:w="9062" w:type="dxa"/>
            <w:shd w:val="clear" w:color="auto" w:fill="D9D9D9" w:themeFill="background1" w:themeFillShade="D9"/>
          </w:tcPr>
          <w:p w:rsidR="009F2DFA" w:rsidRPr="00042C66" w:rsidRDefault="002B1108" w:rsidP="008551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85514A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216A81">
        <w:tc>
          <w:tcPr>
            <w:tcW w:w="9062" w:type="dxa"/>
            <w:tcBorders>
              <w:bottom w:val="single" w:sz="4" w:space="0" w:color="auto"/>
            </w:tcBorders>
          </w:tcPr>
          <w:p w:rsidR="00CF1991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</w:t>
            </w:r>
          </w:p>
          <w:p w:rsidR="00CF1991" w:rsidRDefault="00CF1991" w:rsidP="00CF1991">
            <w:pPr>
              <w:rPr>
                <w:i/>
              </w:rPr>
            </w:pPr>
          </w:p>
          <w:p w:rsidR="00986666" w:rsidRDefault="00986666" w:rsidP="00CF1991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Nev</w:t>
            </w:r>
            <w:r w:rsidR="00CF1991" w:rsidRPr="00216A81">
              <w:rPr>
                <w:sz w:val="24"/>
                <w:szCs w:val="24"/>
              </w:rPr>
              <w:t xml:space="preserve">ytvárajú sa nové bariéry pre </w:t>
            </w:r>
            <w:r w:rsidRPr="00216A81">
              <w:rPr>
                <w:sz w:val="24"/>
                <w:szCs w:val="24"/>
              </w:rPr>
              <w:t xml:space="preserve">dodávateľova poskytovateľov služieb. </w:t>
            </w:r>
          </w:p>
          <w:p w:rsidR="00216A81" w:rsidRPr="00216A81" w:rsidRDefault="00216A81" w:rsidP="00CF1991">
            <w:pPr>
              <w:rPr>
                <w:sz w:val="24"/>
                <w:szCs w:val="24"/>
              </w:rPr>
            </w:pPr>
          </w:p>
          <w:p w:rsidR="00CF1991" w:rsidRPr="00216A81" w:rsidRDefault="00986666" w:rsidP="00CF1991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 xml:space="preserve">V rámci MPK Ministerstvo zdravotníctva SR ustúpilo </w:t>
            </w:r>
            <w:r w:rsidR="005E426B" w:rsidRPr="00216A81">
              <w:rPr>
                <w:sz w:val="24"/>
                <w:szCs w:val="24"/>
              </w:rPr>
              <w:t xml:space="preserve">od navrhovanej </w:t>
            </w:r>
            <w:r w:rsidRPr="00216A81">
              <w:rPr>
                <w:sz w:val="24"/>
                <w:szCs w:val="24"/>
              </w:rPr>
              <w:t>požiadavky, že predloženie žiadosti o vyradenie lieku zo zoznamu kategorizovaných liekov (tzv. A3 žiadosti)</w:t>
            </w:r>
            <w:r w:rsidR="007057B3" w:rsidRPr="00216A81">
              <w:rPr>
                <w:sz w:val="24"/>
                <w:szCs w:val="24"/>
              </w:rPr>
              <w:t xml:space="preserve"> </w:t>
            </w:r>
            <w:r w:rsidRPr="00216A81">
              <w:rPr>
                <w:sz w:val="24"/>
                <w:szCs w:val="24"/>
              </w:rPr>
              <w:t>nie je dôvodom na udelenie pokuty</w:t>
            </w:r>
            <w:r w:rsidR="005E426B" w:rsidRPr="00216A81">
              <w:rPr>
                <w:sz w:val="24"/>
                <w:szCs w:val="24"/>
              </w:rPr>
              <w:t xml:space="preserve"> držiteľovi registrácie kategorizovaného lieku</w:t>
            </w:r>
            <w:r w:rsidRPr="00216A81">
              <w:rPr>
                <w:sz w:val="24"/>
                <w:szCs w:val="24"/>
              </w:rPr>
              <w:t>, ak predmetný liek nie je na trhu SR</w:t>
            </w:r>
            <w:r w:rsidR="007057B3" w:rsidRPr="00216A81">
              <w:rPr>
                <w:sz w:val="24"/>
                <w:szCs w:val="24"/>
              </w:rPr>
              <w:t xml:space="preserve">, </w:t>
            </w:r>
            <w:r w:rsidRPr="00216A81">
              <w:rPr>
                <w:sz w:val="24"/>
                <w:szCs w:val="24"/>
              </w:rPr>
              <w:t xml:space="preserve"> </w:t>
            </w:r>
            <w:r w:rsidR="00216A81">
              <w:rPr>
                <w:sz w:val="24"/>
                <w:szCs w:val="24"/>
              </w:rPr>
              <w:t>. Týmto sa odstránil negatívny dopad na podnikateľské prostredie</w:t>
            </w:r>
          </w:p>
          <w:p w:rsidR="00CF1991" w:rsidRDefault="00CF1991" w:rsidP="0085514A">
            <w:pPr>
              <w:rPr>
                <w:i/>
              </w:rPr>
            </w:pPr>
          </w:p>
          <w:p w:rsidR="009F2DFA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Bude sa s niektorými podnikmi alebo produktmi zaobchádzať v porovnateľnej situácii rôzne (špeciálne režimy pre mikro, malé a stredné podniky tzv. MSP)? Ak áno, popíšte.</w:t>
            </w:r>
          </w:p>
          <w:p w:rsidR="00CF1991" w:rsidRDefault="00CF1991" w:rsidP="0085514A">
            <w:pPr>
              <w:rPr>
                <w:i/>
              </w:rPr>
            </w:pPr>
          </w:p>
          <w:p w:rsidR="00CF1991" w:rsidRPr="00216A81" w:rsidRDefault="00CF1991" w:rsidP="0085514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Nie. So všetkými podnikateľskými podnikmi sa bude zaobchádzať rovnako.</w:t>
            </w:r>
          </w:p>
          <w:p w:rsidR="00CF1991" w:rsidRPr="00F04CCD" w:rsidRDefault="00CF1991" w:rsidP="0085514A">
            <w:pPr>
              <w:rPr>
                <w:i/>
              </w:rPr>
            </w:pPr>
          </w:p>
          <w:p w:rsidR="00CF1991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</w:t>
            </w:r>
          </w:p>
          <w:p w:rsidR="00CF1991" w:rsidRDefault="00CF1991" w:rsidP="0085514A">
            <w:pPr>
              <w:rPr>
                <w:i/>
              </w:rPr>
            </w:pPr>
          </w:p>
          <w:p w:rsidR="00CF1991" w:rsidRPr="00216A81" w:rsidRDefault="00CF1991" w:rsidP="0085514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Nepredpokladajú sa obchodné bariéry.</w:t>
            </w:r>
            <w:r w:rsidR="005E426B" w:rsidRPr="00216A81">
              <w:rPr>
                <w:sz w:val="24"/>
                <w:szCs w:val="24"/>
              </w:rPr>
              <w:t xml:space="preserve"> Podpisom dohody medzi EÚ a USA o vzájomnom uznávaná inšpekcií správne výrobnej praxe sa odstránia obchodné bariéry.</w:t>
            </w:r>
          </w:p>
          <w:p w:rsidR="00CF1991" w:rsidRPr="005E426B" w:rsidRDefault="00CF1991" w:rsidP="0085514A"/>
          <w:p w:rsidR="009F2DFA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Bude mať vplyv na vyvolanie cezhraničných investícií (príliv /odliv zahraničných investícií resp. uplatnenie slovenských podnikov na zahraničných trhoch)? Ak áno, popíšte.</w:t>
            </w:r>
          </w:p>
          <w:p w:rsidR="00CF1991" w:rsidRDefault="00CF1991" w:rsidP="0085514A">
            <w:pPr>
              <w:rPr>
                <w:i/>
              </w:rPr>
            </w:pPr>
          </w:p>
          <w:p w:rsidR="005E426B" w:rsidRPr="00216A81" w:rsidRDefault="005E426B" w:rsidP="0085514A">
            <w:pPr>
              <w:rPr>
                <w:i/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Podpisom dohody medzi EÚ a USA o vzájomnom uznávaní inšpekcií správne výrobnej praxe sa zjednoduší domácim výrobcom liekov registrácia liekov v USA.</w:t>
            </w:r>
          </w:p>
          <w:p w:rsidR="00CF1991" w:rsidRPr="00F04CCD" w:rsidRDefault="00CF1991" w:rsidP="0085514A">
            <w:pPr>
              <w:rPr>
                <w:i/>
              </w:rPr>
            </w:pPr>
          </w:p>
          <w:p w:rsidR="009F2DFA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CF1991" w:rsidRDefault="00CF1991" w:rsidP="0085514A">
            <w:pPr>
              <w:rPr>
                <w:i/>
              </w:rPr>
            </w:pPr>
          </w:p>
          <w:p w:rsidR="00CF1991" w:rsidRPr="00216A81" w:rsidRDefault="005E426B" w:rsidP="0085514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Predmetom návrhu zákona nie je c</w:t>
            </w:r>
            <w:r w:rsidR="00CF1991" w:rsidRPr="00216A81">
              <w:rPr>
                <w:sz w:val="24"/>
                <w:szCs w:val="24"/>
              </w:rPr>
              <w:t>enová regulácia</w:t>
            </w:r>
            <w:r w:rsidRPr="00216A81">
              <w:rPr>
                <w:sz w:val="24"/>
                <w:szCs w:val="24"/>
              </w:rPr>
              <w:t xml:space="preserve">. </w:t>
            </w:r>
          </w:p>
          <w:p w:rsidR="00CF1991" w:rsidRPr="00F04CCD" w:rsidRDefault="00CF1991" w:rsidP="0085514A">
            <w:pPr>
              <w:rPr>
                <w:i/>
              </w:rPr>
            </w:pPr>
          </w:p>
          <w:p w:rsidR="009F2DFA" w:rsidRPr="00F04CCD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216A81">
        <w:trPr>
          <w:trHeight w:val="1282"/>
        </w:trPr>
        <w:tc>
          <w:tcPr>
            <w:tcW w:w="9062" w:type="dxa"/>
            <w:tcBorders>
              <w:bottom w:val="single" w:sz="4" w:space="0" w:color="auto"/>
            </w:tcBorders>
          </w:tcPr>
          <w:p w:rsidR="005E426B" w:rsidRDefault="005E426B" w:rsidP="0085514A"/>
          <w:p w:rsidR="009F2DFA" w:rsidRPr="00216A81" w:rsidRDefault="00CF1991" w:rsidP="0085514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>Nie, neovplyvňuje prístup k financiám.</w:t>
            </w:r>
          </w:p>
          <w:p w:rsidR="005E426B" w:rsidRPr="005E426B" w:rsidRDefault="005E426B" w:rsidP="0085514A"/>
        </w:tc>
      </w:tr>
      <w:tr w:rsidR="009F2DFA" w:rsidRPr="00F04CCD" w:rsidTr="00216A81">
        <w:tc>
          <w:tcPr>
            <w:tcW w:w="9062" w:type="dxa"/>
            <w:shd w:val="clear" w:color="auto" w:fill="D9D9D9" w:themeFill="background1" w:themeFillShade="D9"/>
          </w:tcPr>
          <w:p w:rsidR="009F2DFA" w:rsidRPr="00042C66" w:rsidRDefault="002B1108" w:rsidP="008551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85514A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216A81">
        <w:tc>
          <w:tcPr>
            <w:tcW w:w="9062" w:type="dxa"/>
          </w:tcPr>
          <w:p w:rsidR="009F2DFA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CF1991" w:rsidRDefault="00CF1991" w:rsidP="0085514A">
            <w:pPr>
              <w:rPr>
                <w:i/>
              </w:rPr>
            </w:pPr>
          </w:p>
          <w:p w:rsidR="00CF1991" w:rsidRPr="00216A81" w:rsidRDefault="00CF1991" w:rsidP="0085514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 xml:space="preserve">Harmonizované </w:t>
            </w:r>
            <w:r w:rsidR="005E426B" w:rsidRPr="00216A81">
              <w:rPr>
                <w:sz w:val="24"/>
                <w:szCs w:val="24"/>
              </w:rPr>
              <w:t xml:space="preserve">požiadavky na </w:t>
            </w:r>
            <w:r w:rsidRPr="00216A81">
              <w:rPr>
                <w:sz w:val="24"/>
                <w:szCs w:val="24"/>
              </w:rPr>
              <w:t>klinické skúšanie umožn</w:t>
            </w:r>
            <w:r w:rsidR="00444CA7" w:rsidRPr="00216A81">
              <w:rPr>
                <w:sz w:val="24"/>
                <w:szCs w:val="24"/>
              </w:rPr>
              <w:t>ia</w:t>
            </w:r>
            <w:r w:rsidRPr="00216A81">
              <w:rPr>
                <w:sz w:val="24"/>
                <w:szCs w:val="24"/>
              </w:rPr>
              <w:t xml:space="preserve">  vstup nových </w:t>
            </w:r>
            <w:r w:rsidR="005E426B" w:rsidRPr="00216A81">
              <w:rPr>
                <w:sz w:val="24"/>
                <w:szCs w:val="24"/>
              </w:rPr>
              <w:t xml:space="preserve">zdravotníckych pomôcok </w:t>
            </w:r>
            <w:r w:rsidRPr="00216A81">
              <w:rPr>
                <w:sz w:val="24"/>
                <w:szCs w:val="24"/>
              </w:rPr>
              <w:t>na trh</w:t>
            </w:r>
            <w:r w:rsidR="00444CA7" w:rsidRPr="00216A81">
              <w:rPr>
                <w:sz w:val="24"/>
                <w:szCs w:val="24"/>
              </w:rPr>
              <w:t xml:space="preserve"> Slovenskej republiky</w:t>
            </w:r>
            <w:r w:rsidRPr="00216A81">
              <w:rPr>
                <w:sz w:val="24"/>
                <w:szCs w:val="24"/>
              </w:rPr>
              <w:t>.</w:t>
            </w:r>
          </w:p>
          <w:p w:rsidR="00CF1991" w:rsidRPr="00F04CCD" w:rsidRDefault="00CF1991" w:rsidP="0085514A">
            <w:pPr>
              <w:rPr>
                <w:i/>
              </w:rPr>
            </w:pPr>
          </w:p>
          <w:p w:rsidR="009F2DFA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CF1991" w:rsidRDefault="00CF1991" w:rsidP="0085514A">
            <w:pPr>
              <w:rPr>
                <w:i/>
              </w:rPr>
            </w:pPr>
          </w:p>
          <w:p w:rsidR="00CF1991" w:rsidRPr="00216A81" w:rsidRDefault="00CF1991" w:rsidP="0085514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 xml:space="preserve">Podnikateľským subjektom </w:t>
            </w:r>
            <w:r w:rsidR="00444CA7" w:rsidRPr="00216A81">
              <w:rPr>
                <w:sz w:val="24"/>
                <w:szCs w:val="24"/>
              </w:rPr>
              <w:t xml:space="preserve">v oblasti zdravotníckych pomôcok a diagnostických zdravotníckych pomôcok in vitro </w:t>
            </w:r>
            <w:r w:rsidRPr="00216A81">
              <w:rPr>
                <w:sz w:val="24"/>
                <w:szCs w:val="24"/>
              </w:rPr>
              <w:t>sa</w:t>
            </w:r>
            <w:r w:rsidR="00444CA7" w:rsidRPr="00216A81">
              <w:rPr>
                <w:sz w:val="24"/>
                <w:szCs w:val="24"/>
              </w:rPr>
              <w:t xml:space="preserve"> umožní, aby biomedicínsky výskum vykonávali na Slovensku v súlade s harmonizovanými EÚ požiadavkami.</w:t>
            </w:r>
            <w:r w:rsidRPr="00216A81">
              <w:rPr>
                <w:sz w:val="24"/>
                <w:szCs w:val="24"/>
              </w:rPr>
              <w:t xml:space="preserve"> </w:t>
            </w:r>
            <w:r w:rsidR="00444CA7" w:rsidRPr="00216A81">
              <w:rPr>
                <w:sz w:val="24"/>
                <w:szCs w:val="24"/>
              </w:rPr>
              <w:t xml:space="preserve">Rovnako to platí pre zdravotnícke zariadenia, ktoré majú možnosť  vykonávať funkciu pracoviska pri klinickom skúšaní zdravotníckych pomôcok a pri štúdiách výkonu diagnostických zdravotníckych pomôcok in vitro. </w:t>
            </w:r>
          </w:p>
          <w:p w:rsidR="0054293F" w:rsidRPr="00F04CCD" w:rsidRDefault="0054293F" w:rsidP="0085514A">
            <w:pPr>
              <w:rPr>
                <w:i/>
              </w:rPr>
            </w:pPr>
          </w:p>
          <w:p w:rsidR="009F2DFA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54293F" w:rsidRDefault="0054293F" w:rsidP="0085514A">
            <w:pPr>
              <w:rPr>
                <w:i/>
              </w:rPr>
            </w:pPr>
          </w:p>
          <w:p w:rsidR="0054293F" w:rsidRPr="00216A81" w:rsidRDefault="0054293F" w:rsidP="0085514A">
            <w:pPr>
              <w:rPr>
                <w:i/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 xml:space="preserve">Navrhovaná </w:t>
            </w:r>
            <w:r w:rsidR="00444CA7" w:rsidRPr="00216A81">
              <w:rPr>
                <w:sz w:val="24"/>
                <w:szCs w:val="24"/>
              </w:rPr>
              <w:t xml:space="preserve">právna </w:t>
            </w:r>
            <w:r w:rsidRPr="00216A81">
              <w:rPr>
                <w:sz w:val="24"/>
                <w:szCs w:val="24"/>
              </w:rPr>
              <w:t>úprava nemá žiadny vplyv na ochranu duševného vlastníctva liekov</w:t>
            </w:r>
            <w:r w:rsidR="00444CA7" w:rsidRPr="00216A81">
              <w:rPr>
                <w:sz w:val="24"/>
                <w:szCs w:val="24"/>
              </w:rPr>
              <w:t>, zdravotníckych pomôcok a diagnostických zdravotníckych pomôcok in vitro.</w:t>
            </w:r>
          </w:p>
          <w:p w:rsidR="0054293F" w:rsidRPr="00216A81" w:rsidRDefault="0054293F" w:rsidP="0085514A">
            <w:pPr>
              <w:rPr>
                <w:i/>
                <w:sz w:val="24"/>
                <w:szCs w:val="24"/>
              </w:rPr>
            </w:pPr>
          </w:p>
          <w:p w:rsidR="009F2DFA" w:rsidRDefault="009F2DFA" w:rsidP="0085514A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54293F" w:rsidRDefault="0054293F" w:rsidP="0085514A">
            <w:pPr>
              <w:rPr>
                <w:i/>
              </w:rPr>
            </w:pPr>
          </w:p>
          <w:p w:rsidR="0054293F" w:rsidRPr="00216A81" w:rsidRDefault="0054293F" w:rsidP="0085514A">
            <w:pPr>
              <w:rPr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lastRenderedPageBreak/>
              <w:t xml:space="preserve">Nemá </w:t>
            </w:r>
            <w:r w:rsidR="00444CA7" w:rsidRPr="00216A81">
              <w:rPr>
                <w:sz w:val="24"/>
                <w:szCs w:val="24"/>
              </w:rPr>
              <w:t>priamy</w:t>
            </w:r>
            <w:r w:rsidRPr="00216A81">
              <w:rPr>
                <w:sz w:val="24"/>
                <w:szCs w:val="24"/>
              </w:rPr>
              <w:t xml:space="preserve"> vplyv na efektivitu výroby a využívanie zdrojov.</w:t>
            </w:r>
          </w:p>
          <w:p w:rsidR="0054293F" w:rsidRPr="00216A81" w:rsidRDefault="0054293F" w:rsidP="0085514A">
            <w:pPr>
              <w:rPr>
                <w:i/>
                <w:sz w:val="24"/>
                <w:szCs w:val="24"/>
              </w:rPr>
            </w:pPr>
          </w:p>
          <w:p w:rsidR="00837639" w:rsidRDefault="00837639" w:rsidP="0085514A">
            <w:pPr>
              <w:rPr>
                <w:i/>
              </w:rPr>
            </w:pPr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  <w:p w:rsidR="0054293F" w:rsidRDefault="0054293F" w:rsidP="0085514A">
            <w:pPr>
              <w:rPr>
                <w:i/>
              </w:rPr>
            </w:pPr>
          </w:p>
          <w:p w:rsidR="0054293F" w:rsidRPr="00216A81" w:rsidRDefault="0054293F" w:rsidP="0054293F">
            <w:pPr>
              <w:rPr>
                <w:i/>
                <w:sz w:val="24"/>
                <w:szCs w:val="24"/>
              </w:rPr>
            </w:pPr>
            <w:r w:rsidRPr="00216A81">
              <w:rPr>
                <w:sz w:val="24"/>
                <w:szCs w:val="24"/>
              </w:rPr>
              <w:t xml:space="preserve">Navrhovaná zmena </w:t>
            </w:r>
            <w:r w:rsidR="00444CA7" w:rsidRPr="00216A81">
              <w:rPr>
                <w:sz w:val="24"/>
                <w:szCs w:val="24"/>
              </w:rPr>
              <w:t>má potenciál vytvoriť</w:t>
            </w:r>
            <w:r w:rsidRPr="00216A81">
              <w:rPr>
                <w:sz w:val="24"/>
                <w:szCs w:val="24"/>
              </w:rPr>
              <w:t xml:space="preserve"> nov</w:t>
            </w:r>
            <w:r w:rsidR="00444CA7" w:rsidRPr="00216A81">
              <w:rPr>
                <w:sz w:val="24"/>
                <w:szCs w:val="24"/>
              </w:rPr>
              <w:t>é</w:t>
            </w:r>
            <w:r w:rsidRPr="00216A81">
              <w:rPr>
                <w:sz w:val="24"/>
                <w:szCs w:val="24"/>
              </w:rPr>
              <w:t xml:space="preserve"> pracovn</w:t>
            </w:r>
            <w:r w:rsidR="00444CA7" w:rsidRPr="00216A81">
              <w:rPr>
                <w:sz w:val="24"/>
                <w:szCs w:val="24"/>
              </w:rPr>
              <w:t>é</w:t>
            </w:r>
            <w:r w:rsidRPr="00216A81">
              <w:rPr>
                <w:sz w:val="24"/>
                <w:szCs w:val="24"/>
              </w:rPr>
              <w:t xml:space="preserve"> miest</w:t>
            </w:r>
            <w:r w:rsidR="00444CA7" w:rsidRPr="00216A81">
              <w:rPr>
                <w:sz w:val="24"/>
                <w:szCs w:val="24"/>
              </w:rPr>
              <w:t>a</w:t>
            </w:r>
            <w:r w:rsidRPr="00216A81">
              <w:rPr>
                <w:sz w:val="24"/>
                <w:szCs w:val="24"/>
              </w:rPr>
              <w:t xml:space="preserve"> vo výskume a vývoji v</w:t>
            </w:r>
            <w:r w:rsidR="00A67F65" w:rsidRPr="00216A81">
              <w:rPr>
                <w:sz w:val="24"/>
                <w:szCs w:val="24"/>
              </w:rPr>
              <w:t> </w:t>
            </w:r>
            <w:r w:rsidRPr="00216A81">
              <w:rPr>
                <w:sz w:val="24"/>
                <w:szCs w:val="24"/>
              </w:rPr>
              <w:t>SR</w:t>
            </w:r>
            <w:r w:rsidR="00A67F65" w:rsidRPr="00216A81">
              <w:rPr>
                <w:sz w:val="24"/>
                <w:szCs w:val="24"/>
              </w:rPr>
              <w:t xml:space="preserve"> za predpokladu</w:t>
            </w:r>
          </w:p>
          <w:p w:rsidR="0054293F" w:rsidRPr="00A67F65" w:rsidRDefault="0054293F" w:rsidP="00A67F65">
            <w:r w:rsidRPr="00216A81">
              <w:rPr>
                <w:sz w:val="24"/>
                <w:szCs w:val="24"/>
              </w:rPr>
              <w:t>zvýšen</w:t>
            </w:r>
            <w:r w:rsidR="00A67F65" w:rsidRPr="00216A81">
              <w:rPr>
                <w:sz w:val="24"/>
                <w:szCs w:val="24"/>
              </w:rPr>
              <w:t>ého</w:t>
            </w:r>
            <w:r w:rsidRPr="00216A81">
              <w:rPr>
                <w:sz w:val="24"/>
                <w:szCs w:val="24"/>
              </w:rPr>
              <w:t xml:space="preserve"> záujm</w:t>
            </w:r>
            <w:r w:rsidR="00A67F65" w:rsidRPr="00216A81">
              <w:rPr>
                <w:sz w:val="24"/>
                <w:szCs w:val="24"/>
              </w:rPr>
              <w:t>u</w:t>
            </w:r>
            <w:r w:rsidRPr="00216A81">
              <w:rPr>
                <w:sz w:val="24"/>
                <w:szCs w:val="24"/>
              </w:rPr>
              <w:t xml:space="preserve"> o</w:t>
            </w:r>
            <w:r w:rsidR="00A67F65" w:rsidRPr="00216A81">
              <w:rPr>
                <w:sz w:val="24"/>
                <w:szCs w:val="24"/>
              </w:rPr>
              <w:t xml:space="preserve"> vykonávanie</w:t>
            </w:r>
            <w:r w:rsidRPr="00216A81">
              <w:rPr>
                <w:sz w:val="24"/>
                <w:szCs w:val="24"/>
              </w:rPr>
              <w:t> klinické</w:t>
            </w:r>
            <w:r w:rsidR="00A67F65" w:rsidRPr="00216A81">
              <w:rPr>
                <w:sz w:val="24"/>
                <w:szCs w:val="24"/>
              </w:rPr>
              <w:t>ho</w:t>
            </w:r>
            <w:r w:rsidRPr="00216A81">
              <w:rPr>
                <w:sz w:val="24"/>
                <w:szCs w:val="24"/>
              </w:rPr>
              <w:t xml:space="preserve"> skúšanie</w:t>
            </w:r>
            <w:r w:rsidR="00A67F65" w:rsidRPr="00216A81">
              <w:rPr>
                <w:sz w:val="24"/>
                <w:szCs w:val="24"/>
              </w:rPr>
              <w:t xml:space="preserve"> zdravotníckych pomôcok</w:t>
            </w:r>
            <w:r w:rsidRPr="00216A81">
              <w:rPr>
                <w:sz w:val="24"/>
                <w:szCs w:val="24"/>
              </w:rPr>
              <w:t xml:space="preserve"> </w:t>
            </w:r>
            <w:r w:rsidR="00A67F65" w:rsidRPr="00216A81">
              <w:rPr>
                <w:sz w:val="24"/>
                <w:szCs w:val="24"/>
              </w:rPr>
              <w:t xml:space="preserve"> a štúdií výkonu diagnostických zdravotníckych pomôcok in vitro v SR</w:t>
            </w:r>
            <w:r w:rsidRPr="00216A81">
              <w:rPr>
                <w:sz w:val="24"/>
                <w:szCs w:val="24"/>
              </w:rPr>
              <w:t>, pretože bude medzinárodne uznávané</w:t>
            </w:r>
            <w:r w:rsidRPr="00A67F65">
              <w:t>.</w:t>
            </w:r>
            <w:r w:rsidR="00216A81">
              <w:t xml:space="preserve"> </w:t>
            </w:r>
          </w:p>
        </w:tc>
      </w:tr>
    </w:tbl>
    <w:p w:rsidR="009F2DFA" w:rsidRDefault="009F2DFA" w:rsidP="009F2DFA"/>
    <w:sectPr w:rsidR="009F2D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7D" w:rsidRDefault="000F4D7D" w:rsidP="009F2DFA">
      <w:r>
        <w:separator/>
      </w:r>
    </w:p>
  </w:endnote>
  <w:endnote w:type="continuationSeparator" w:id="0">
    <w:p w:rsidR="000F4D7D" w:rsidRDefault="000F4D7D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381234"/>
      <w:docPartObj>
        <w:docPartGallery w:val="Page Numbers (Bottom of Page)"/>
        <w:docPartUnique/>
      </w:docPartObj>
    </w:sdtPr>
    <w:sdtEndPr/>
    <w:sdtContent>
      <w:p w:rsidR="0085514A" w:rsidRDefault="008551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7A">
          <w:rPr>
            <w:noProof/>
          </w:rPr>
          <w:t>1</w:t>
        </w:r>
        <w:r>
          <w:fldChar w:fldCharType="end"/>
        </w:r>
      </w:p>
    </w:sdtContent>
  </w:sdt>
  <w:p w:rsidR="0085514A" w:rsidRDefault="008551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7D" w:rsidRDefault="000F4D7D" w:rsidP="009F2DFA">
      <w:r>
        <w:separator/>
      </w:r>
    </w:p>
  </w:footnote>
  <w:footnote w:type="continuationSeparator" w:id="0">
    <w:p w:rsidR="000F4D7D" w:rsidRDefault="000F4D7D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4A" w:rsidRDefault="0085514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85514A" w:rsidRDefault="008551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359"/>
    <w:multiLevelType w:val="hybridMultilevel"/>
    <w:tmpl w:val="4A760FAC"/>
    <w:lvl w:ilvl="0" w:tplc="C55A9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B5C9B"/>
    <w:multiLevelType w:val="hybridMultilevel"/>
    <w:tmpl w:val="EAF091F2"/>
    <w:lvl w:ilvl="0" w:tplc="80EEC0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61A"/>
    <w:multiLevelType w:val="hybridMultilevel"/>
    <w:tmpl w:val="DADEF33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14"/>
  </w:num>
  <w:num w:numId="11">
    <w:abstractNumId w:val="9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F4D7D"/>
    <w:rsid w:val="00154881"/>
    <w:rsid w:val="00156351"/>
    <w:rsid w:val="00167A7C"/>
    <w:rsid w:val="00176059"/>
    <w:rsid w:val="001C243D"/>
    <w:rsid w:val="001D7100"/>
    <w:rsid w:val="00216A81"/>
    <w:rsid w:val="00250032"/>
    <w:rsid w:val="00263199"/>
    <w:rsid w:val="00281784"/>
    <w:rsid w:val="0029549B"/>
    <w:rsid w:val="002B1108"/>
    <w:rsid w:val="00400BCA"/>
    <w:rsid w:val="00443BE2"/>
    <w:rsid w:val="00444CA7"/>
    <w:rsid w:val="00497D96"/>
    <w:rsid w:val="004B48BC"/>
    <w:rsid w:val="004E7A7A"/>
    <w:rsid w:val="0052297F"/>
    <w:rsid w:val="0054293F"/>
    <w:rsid w:val="0054543C"/>
    <w:rsid w:val="00594594"/>
    <w:rsid w:val="005E426B"/>
    <w:rsid w:val="007057B3"/>
    <w:rsid w:val="00780BA6"/>
    <w:rsid w:val="00785D05"/>
    <w:rsid w:val="007B7F52"/>
    <w:rsid w:val="00837639"/>
    <w:rsid w:val="0085514A"/>
    <w:rsid w:val="008A1252"/>
    <w:rsid w:val="008C7E35"/>
    <w:rsid w:val="008E7571"/>
    <w:rsid w:val="00904C9B"/>
    <w:rsid w:val="00924DD1"/>
    <w:rsid w:val="0094051A"/>
    <w:rsid w:val="00986666"/>
    <w:rsid w:val="009F2DFA"/>
    <w:rsid w:val="009F6596"/>
    <w:rsid w:val="00A67F65"/>
    <w:rsid w:val="00AF6B89"/>
    <w:rsid w:val="00B05ABB"/>
    <w:rsid w:val="00B30AAC"/>
    <w:rsid w:val="00B31A8E"/>
    <w:rsid w:val="00B93913"/>
    <w:rsid w:val="00BA073A"/>
    <w:rsid w:val="00CB0A7D"/>
    <w:rsid w:val="00CB3623"/>
    <w:rsid w:val="00CD66EA"/>
    <w:rsid w:val="00CE2E46"/>
    <w:rsid w:val="00CF1991"/>
    <w:rsid w:val="00E76EF6"/>
    <w:rsid w:val="00E86AD1"/>
    <w:rsid w:val="00EC3895"/>
    <w:rsid w:val="00F41620"/>
    <w:rsid w:val="00F46401"/>
    <w:rsid w:val="00FB5C13"/>
    <w:rsid w:val="00F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C4223-7A39-4D4A-B62E-B6B5C6E5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Vincová Veronika</cp:lastModifiedBy>
  <cp:revision>2</cp:revision>
  <dcterms:created xsi:type="dcterms:W3CDTF">2019-08-14T19:29:00Z</dcterms:created>
  <dcterms:modified xsi:type="dcterms:W3CDTF">2019-08-14T19:29:00Z</dcterms:modified>
</cp:coreProperties>
</file>