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A179AE" w:rsidRDefault="003501A1" w:rsidP="003501A1">
      <w:pPr>
        <w:jc w:val="center"/>
        <w:rPr>
          <w:b/>
          <w:bCs/>
          <w:sz w:val="28"/>
          <w:szCs w:val="28"/>
        </w:rPr>
      </w:pPr>
      <w:bookmarkStart w:id="0" w:name="_GoBack"/>
      <w:bookmarkEnd w:id="0"/>
      <w:r>
        <w:rPr>
          <w:b/>
          <w:bCs/>
          <w:sz w:val="28"/>
          <w:szCs w:val="28"/>
        </w:rPr>
        <w:t>Doložka vybraných vplyvov</w:t>
      </w:r>
    </w:p>
    <w:p w:rsidR="003501A1" w:rsidRPr="00BF3078" w:rsidRDefault="003501A1" w:rsidP="003501A1">
      <w:pPr>
        <w:pStyle w:val="Odsekzoznamu"/>
        <w:ind w:left="426"/>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705"/>
        <w:gridCol w:w="717"/>
        <w:gridCol w:w="569"/>
        <w:gridCol w:w="1417"/>
        <w:gridCol w:w="1560"/>
      </w:tblGrid>
      <w:tr w:rsidR="003501A1" w:rsidRPr="00A179AE" w:rsidTr="00390FF8">
        <w:tc>
          <w:tcPr>
            <w:tcW w:w="9180" w:type="dxa"/>
            <w:gridSpan w:val="6"/>
            <w:tcBorders>
              <w:bottom w:val="single" w:sz="4" w:space="0" w:color="FFFFFF"/>
            </w:tcBorders>
            <w:shd w:val="clear" w:color="auto" w:fill="E2E2E2"/>
          </w:tcPr>
          <w:p w:rsidR="00E13354"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Základné údaje</w:t>
            </w:r>
          </w:p>
        </w:tc>
      </w:tr>
      <w:tr w:rsidR="003501A1" w:rsidRPr="00A179AE" w:rsidTr="00390FF8">
        <w:tc>
          <w:tcPr>
            <w:tcW w:w="9180" w:type="dxa"/>
            <w:gridSpan w:val="6"/>
            <w:tcBorders>
              <w:bottom w:val="single" w:sz="4" w:space="0" w:color="FFFFFF"/>
            </w:tcBorders>
            <w:shd w:val="clear" w:color="auto" w:fill="E2E2E2"/>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Názov materiálu</w:t>
            </w:r>
          </w:p>
        </w:tc>
      </w:tr>
      <w:tr w:rsidR="003501A1" w:rsidRPr="00A179AE" w:rsidTr="00390FF8">
        <w:tc>
          <w:tcPr>
            <w:tcW w:w="9180" w:type="dxa"/>
            <w:gridSpan w:val="6"/>
            <w:tcBorders>
              <w:top w:val="single" w:sz="4" w:space="0" w:color="FFFFFF"/>
              <w:bottom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407"/>
            </w:tblGrid>
            <w:tr w:rsidR="005E04FA" w:rsidRPr="00B164B5">
              <w:trPr>
                <w:trHeight w:val="205"/>
              </w:trPr>
              <w:tc>
                <w:tcPr>
                  <w:tcW w:w="8407" w:type="dxa"/>
                </w:tcPr>
                <w:p w:rsidR="005E04FA" w:rsidRPr="00586965" w:rsidRDefault="005E04FA" w:rsidP="0009386D">
                  <w:pPr>
                    <w:rPr>
                      <w:sz w:val="24"/>
                      <w:szCs w:val="24"/>
                    </w:rPr>
                  </w:pPr>
                  <w:r w:rsidRPr="00586965">
                    <w:rPr>
                      <w:sz w:val="24"/>
                      <w:szCs w:val="24"/>
                    </w:rPr>
                    <w:t xml:space="preserve">Návrh zákona, ktorým sa mení a dopĺňa zákon </w:t>
                  </w:r>
                  <w:r w:rsidR="00FB055C" w:rsidRPr="00586965">
                    <w:rPr>
                      <w:sz w:val="24"/>
                      <w:szCs w:val="24"/>
                    </w:rPr>
                    <w:t xml:space="preserve"> </w:t>
                  </w:r>
                  <w:r w:rsidR="0009386D" w:rsidRPr="00586965">
                    <w:rPr>
                      <w:sz w:val="24"/>
                      <w:szCs w:val="24"/>
                    </w:rPr>
                    <w:t xml:space="preserve">č. 362/2011 Z. z. </w:t>
                  </w:r>
                  <w:r w:rsidR="00586965" w:rsidRPr="00586965">
                    <w:rPr>
                      <w:sz w:val="24"/>
                      <w:szCs w:val="24"/>
                    </w:rPr>
                    <w:t>o liekoch a zdravotníckych pomôckach a o zmene a doplnení niektorých zákonov</w:t>
                  </w:r>
                  <w:r w:rsidR="00586965">
                    <w:rPr>
                      <w:sz w:val="24"/>
                      <w:szCs w:val="24"/>
                    </w:rPr>
                    <w:t xml:space="preserve"> </w:t>
                  </w:r>
                  <w:r w:rsidR="0009386D" w:rsidRPr="00586965">
                    <w:rPr>
                      <w:sz w:val="24"/>
                      <w:szCs w:val="24"/>
                    </w:rPr>
                    <w:t>v znení neskorších predpisov</w:t>
                  </w:r>
                </w:p>
              </w:tc>
            </w:tr>
          </w:tbl>
          <w:p w:rsidR="003501A1" w:rsidRPr="00A179AE" w:rsidRDefault="003501A1" w:rsidP="005C2A8E"/>
        </w:tc>
      </w:tr>
      <w:tr w:rsidR="003501A1" w:rsidRPr="00A179AE" w:rsidTr="00390FF8">
        <w:tc>
          <w:tcPr>
            <w:tcW w:w="9180" w:type="dxa"/>
            <w:gridSpan w:val="6"/>
            <w:tcBorders>
              <w:top w:val="single" w:sz="4" w:space="0" w:color="auto"/>
              <w:left w:val="single" w:sz="4" w:space="0" w:color="auto"/>
              <w:bottom w:val="single" w:sz="4" w:space="0" w:color="FFFFFF"/>
            </w:tcBorders>
            <w:shd w:val="clear" w:color="auto" w:fill="E2E2E2"/>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Predkladateľ (a spolupredkladateľ)</w:t>
            </w:r>
          </w:p>
        </w:tc>
      </w:tr>
      <w:tr w:rsidR="003501A1" w:rsidRPr="00A179AE" w:rsidTr="00390FF8">
        <w:tc>
          <w:tcPr>
            <w:tcW w:w="9180" w:type="dxa"/>
            <w:gridSpan w:val="6"/>
            <w:tcBorders>
              <w:top w:val="single" w:sz="4" w:space="0" w:color="FFFFFF"/>
              <w:left w:val="single" w:sz="4" w:space="0" w:color="auto"/>
              <w:bottom w:val="single" w:sz="4" w:space="0" w:color="auto"/>
            </w:tcBorders>
            <w:shd w:val="clear" w:color="auto" w:fill="FFFFFF"/>
          </w:tcPr>
          <w:p w:rsidR="003501A1" w:rsidRPr="00586965" w:rsidRDefault="00A8103A" w:rsidP="005C2A8E">
            <w:pPr>
              <w:rPr>
                <w:sz w:val="24"/>
                <w:szCs w:val="24"/>
              </w:rPr>
            </w:pPr>
            <w:r w:rsidRPr="00586965">
              <w:rPr>
                <w:sz w:val="24"/>
                <w:szCs w:val="24"/>
              </w:rPr>
              <w:t xml:space="preserve">  </w:t>
            </w:r>
            <w:r w:rsidR="00F404CC" w:rsidRPr="00586965">
              <w:rPr>
                <w:sz w:val="24"/>
                <w:szCs w:val="24"/>
              </w:rPr>
              <w:t xml:space="preserve">Ministerstvo zdravotníctva Slovenskej </w:t>
            </w:r>
            <w:r w:rsidR="001C026E" w:rsidRPr="00586965">
              <w:rPr>
                <w:sz w:val="24"/>
                <w:szCs w:val="24"/>
              </w:rPr>
              <w:t>r</w:t>
            </w:r>
            <w:r w:rsidR="00F404CC" w:rsidRPr="00586965">
              <w:rPr>
                <w:sz w:val="24"/>
                <w:szCs w:val="24"/>
              </w:rPr>
              <w:t>epubliky</w:t>
            </w:r>
            <w:r w:rsidR="001C026E" w:rsidRPr="00586965">
              <w:rPr>
                <w:sz w:val="24"/>
                <w:szCs w:val="24"/>
              </w:rPr>
              <w:t xml:space="preserve"> </w:t>
            </w:r>
          </w:p>
          <w:p w:rsidR="003501A1" w:rsidRPr="00B164B5" w:rsidRDefault="003501A1" w:rsidP="005C2A8E">
            <w:pPr>
              <w:rPr>
                <w:i/>
              </w:rPr>
            </w:pPr>
          </w:p>
        </w:tc>
      </w:tr>
      <w:tr w:rsidR="003501A1" w:rsidRPr="00A179AE" w:rsidTr="00390FF8">
        <w:tc>
          <w:tcPr>
            <w:tcW w:w="4212" w:type="dxa"/>
            <w:vMerge w:val="restart"/>
            <w:tcBorders>
              <w:top w:val="single" w:sz="4" w:space="0" w:color="auto"/>
              <w:left w:val="single" w:sz="4" w:space="0" w:color="auto"/>
              <w:bottom w:val="single" w:sz="4" w:space="0" w:color="FFFFFF"/>
            </w:tcBorders>
            <w:shd w:val="clear" w:color="auto" w:fill="E2E2E2"/>
            <w:vAlign w:val="center"/>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Charakter predkladaného materiálu</w:t>
            </w:r>
          </w:p>
        </w:tc>
        <w:tc>
          <w:tcPr>
            <w:tcW w:w="705" w:type="dxa"/>
            <w:tcBorders>
              <w:top w:val="single" w:sz="4" w:space="0" w:color="auto"/>
              <w:left w:val="single" w:sz="4" w:space="0" w:color="auto"/>
              <w:bottom w:val="single" w:sz="4" w:space="0" w:color="auto"/>
              <w:right w:val="nil"/>
            </w:tcBorders>
            <w:shd w:val="clear" w:color="auto" w:fill="FFFFFF"/>
          </w:tcPr>
          <w:p w:rsidR="003501A1" w:rsidRPr="00A179AE" w:rsidRDefault="003501A1" w:rsidP="00390FF8">
            <w:pPr>
              <w:jc w:val="center"/>
            </w:pPr>
            <w:r w:rsidRPr="00390FF8">
              <w:rPr>
                <w:rFonts w:ascii="MS Mincho" w:eastAsia="MS Mincho" w:hAnsi="MS Mincho" w:cs="MS Mincho" w:hint="eastAsia"/>
              </w:rPr>
              <w:t>☐</w:t>
            </w:r>
          </w:p>
        </w:tc>
        <w:tc>
          <w:tcPr>
            <w:tcW w:w="4263" w:type="dxa"/>
            <w:gridSpan w:val="4"/>
            <w:tcBorders>
              <w:top w:val="single" w:sz="4" w:space="0" w:color="auto"/>
              <w:left w:val="nil"/>
              <w:bottom w:val="single" w:sz="4" w:space="0" w:color="auto"/>
              <w:right w:val="single" w:sz="4" w:space="0" w:color="auto"/>
            </w:tcBorders>
            <w:shd w:val="clear" w:color="auto" w:fill="FFFFFF"/>
          </w:tcPr>
          <w:p w:rsidR="003501A1" w:rsidRPr="00A179AE" w:rsidRDefault="003501A1" w:rsidP="005C2A8E">
            <w:r w:rsidRPr="00A179AE">
              <w:t>Materiál nelegislatívnej povahy</w:t>
            </w:r>
          </w:p>
        </w:tc>
      </w:tr>
      <w:tr w:rsidR="003501A1" w:rsidRPr="00A179AE" w:rsidTr="00390FF8">
        <w:tc>
          <w:tcPr>
            <w:tcW w:w="4212" w:type="dxa"/>
            <w:vMerge/>
            <w:tcBorders>
              <w:top w:val="nil"/>
              <w:left w:val="single" w:sz="4" w:space="0" w:color="auto"/>
              <w:bottom w:val="single" w:sz="4" w:space="0" w:color="FFFFFF"/>
            </w:tcBorders>
            <w:shd w:val="clear" w:color="auto" w:fill="E2E2E2"/>
          </w:tcPr>
          <w:p w:rsidR="003501A1" w:rsidRPr="00A179AE" w:rsidRDefault="003501A1" w:rsidP="005C2A8E"/>
        </w:tc>
        <w:tc>
          <w:tcPr>
            <w:tcW w:w="705" w:type="dxa"/>
            <w:tcBorders>
              <w:top w:val="single" w:sz="4" w:space="0" w:color="auto"/>
              <w:left w:val="single" w:sz="4" w:space="0" w:color="auto"/>
              <w:bottom w:val="single" w:sz="4" w:space="0" w:color="auto"/>
              <w:right w:val="nil"/>
            </w:tcBorders>
            <w:shd w:val="clear" w:color="auto" w:fill="FFFFFF"/>
          </w:tcPr>
          <w:p w:rsidR="003501A1" w:rsidRPr="00A179AE" w:rsidRDefault="00F404CC" w:rsidP="00390FF8">
            <w:pPr>
              <w:jc w:val="center"/>
            </w:pPr>
            <w:r w:rsidRPr="00390FF8">
              <w:rPr>
                <w:rFonts w:ascii="Wingdings 2" w:hAnsi="Wingdings 2" w:cs="Times"/>
              </w:rPr>
              <w:t></w:t>
            </w:r>
          </w:p>
        </w:tc>
        <w:tc>
          <w:tcPr>
            <w:tcW w:w="4263" w:type="dxa"/>
            <w:gridSpan w:val="4"/>
            <w:tcBorders>
              <w:top w:val="single" w:sz="4" w:space="0" w:color="auto"/>
              <w:left w:val="nil"/>
              <w:bottom w:val="single" w:sz="4" w:space="0" w:color="auto"/>
            </w:tcBorders>
            <w:shd w:val="clear" w:color="auto" w:fill="FFFFFF"/>
          </w:tcPr>
          <w:p w:rsidR="003501A1" w:rsidRPr="00A179AE" w:rsidRDefault="003501A1" w:rsidP="00390FF8">
            <w:pPr>
              <w:ind w:left="175" w:hanging="175"/>
            </w:pPr>
            <w:r w:rsidRPr="00A179AE">
              <w:t>Materiál legislatívnej povahy</w:t>
            </w:r>
          </w:p>
        </w:tc>
      </w:tr>
      <w:tr w:rsidR="003501A1" w:rsidRPr="00A179AE" w:rsidTr="00390FF8">
        <w:tc>
          <w:tcPr>
            <w:tcW w:w="4212" w:type="dxa"/>
            <w:vMerge/>
            <w:tcBorders>
              <w:top w:val="nil"/>
              <w:left w:val="single" w:sz="4" w:space="0" w:color="auto"/>
              <w:bottom w:val="single" w:sz="4" w:space="0" w:color="auto"/>
            </w:tcBorders>
            <w:shd w:val="clear" w:color="auto" w:fill="E2E2E2"/>
          </w:tcPr>
          <w:p w:rsidR="003501A1" w:rsidRPr="00A179AE" w:rsidRDefault="003501A1" w:rsidP="005C2A8E"/>
        </w:tc>
        <w:tc>
          <w:tcPr>
            <w:tcW w:w="705" w:type="dxa"/>
            <w:tcBorders>
              <w:top w:val="single" w:sz="4" w:space="0" w:color="auto"/>
              <w:left w:val="single" w:sz="4" w:space="0" w:color="auto"/>
              <w:bottom w:val="single" w:sz="4" w:space="0" w:color="auto"/>
              <w:right w:val="nil"/>
            </w:tcBorders>
            <w:shd w:val="clear" w:color="auto" w:fill="FFFFFF"/>
          </w:tcPr>
          <w:p w:rsidR="003501A1" w:rsidRPr="00A179AE" w:rsidRDefault="003501A1" w:rsidP="00390FF8">
            <w:pPr>
              <w:jc w:val="center"/>
            </w:pPr>
            <w:r w:rsidRPr="00390FF8">
              <w:rPr>
                <w:rFonts w:ascii="MS Mincho" w:eastAsia="MS Mincho" w:hAnsi="MS Mincho" w:cs="MS Mincho" w:hint="eastAsia"/>
              </w:rPr>
              <w:t>☐</w:t>
            </w:r>
          </w:p>
        </w:tc>
        <w:tc>
          <w:tcPr>
            <w:tcW w:w="4263" w:type="dxa"/>
            <w:gridSpan w:val="4"/>
            <w:tcBorders>
              <w:top w:val="single" w:sz="4" w:space="0" w:color="auto"/>
              <w:left w:val="nil"/>
              <w:bottom w:val="single" w:sz="4" w:space="0" w:color="auto"/>
            </w:tcBorders>
            <w:shd w:val="clear" w:color="auto" w:fill="FFFFFF"/>
          </w:tcPr>
          <w:p w:rsidR="003501A1" w:rsidRPr="00A179AE" w:rsidRDefault="003501A1" w:rsidP="005C2A8E">
            <w:r w:rsidRPr="00A179AE">
              <w:t>Transpozícia práva EÚ</w:t>
            </w:r>
          </w:p>
        </w:tc>
      </w:tr>
      <w:tr w:rsidR="003501A1" w:rsidRPr="00A179AE" w:rsidTr="00390FF8">
        <w:tc>
          <w:tcPr>
            <w:tcW w:w="9180" w:type="dxa"/>
            <w:gridSpan w:val="6"/>
            <w:tcBorders>
              <w:top w:val="single" w:sz="4" w:space="0" w:color="auto"/>
              <w:left w:val="single" w:sz="4" w:space="0" w:color="auto"/>
              <w:bottom w:val="single" w:sz="4" w:space="0" w:color="FFFFFF"/>
            </w:tcBorders>
            <w:shd w:val="clear" w:color="auto" w:fill="FFFFFF"/>
          </w:tcPr>
          <w:p w:rsidR="003501A1" w:rsidRPr="00390FF8" w:rsidRDefault="003501A1" w:rsidP="005C2A8E">
            <w:pPr>
              <w:rPr>
                <w:i/>
              </w:rPr>
            </w:pPr>
            <w:r w:rsidRPr="00390FF8">
              <w:rPr>
                <w:i/>
              </w:rPr>
              <w:t>V prípade transpozície uveďte zoznam transponovaných predpisov:</w:t>
            </w:r>
          </w:p>
          <w:p w:rsidR="003501A1" w:rsidRPr="00A179AE" w:rsidRDefault="003501A1" w:rsidP="005C2A8E"/>
        </w:tc>
      </w:tr>
      <w:tr w:rsidR="003501A1" w:rsidRPr="00A179AE" w:rsidTr="00390FF8">
        <w:tc>
          <w:tcPr>
            <w:tcW w:w="5634" w:type="dxa"/>
            <w:gridSpan w:val="3"/>
            <w:tcBorders>
              <w:top w:val="single" w:sz="4" w:space="0" w:color="000000"/>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Termín začiatku a ukončenia PPK</w:t>
            </w:r>
          </w:p>
        </w:tc>
        <w:tc>
          <w:tcPr>
            <w:tcW w:w="3546" w:type="dxa"/>
            <w:gridSpan w:val="3"/>
            <w:tcBorders>
              <w:top w:val="single" w:sz="4" w:space="0" w:color="000000"/>
              <w:left w:val="single" w:sz="4" w:space="0" w:color="auto"/>
              <w:bottom w:val="single" w:sz="4" w:space="0" w:color="auto"/>
              <w:right w:val="single" w:sz="4" w:space="0" w:color="auto"/>
            </w:tcBorders>
            <w:shd w:val="clear" w:color="auto" w:fill="auto"/>
          </w:tcPr>
          <w:p w:rsidR="003501A1" w:rsidRPr="00586965" w:rsidRDefault="0041395D" w:rsidP="00B262EE">
            <w:pPr>
              <w:rPr>
                <w:sz w:val="24"/>
                <w:szCs w:val="24"/>
              </w:rPr>
            </w:pPr>
            <w:r w:rsidRPr="00586965">
              <w:rPr>
                <w:rFonts w:ascii="Times" w:hAnsi="Times" w:cs="Times"/>
                <w:sz w:val="24"/>
                <w:szCs w:val="24"/>
              </w:rPr>
              <w:t>Začiatok:  </w:t>
            </w:r>
            <w:r w:rsidR="00B262EE" w:rsidRPr="00586965">
              <w:rPr>
                <w:rFonts w:ascii="Times" w:hAnsi="Times" w:cs="Times"/>
                <w:sz w:val="24"/>
                <w:szCs w:val="24"/>
              </w:rPr>
              <w:t>12. 8. 2019</w:t>
            </w:r>
            <w:r w:rsidRPr="00586965">
              <w:rPr>
                <w:rFonts w:ascii="Times" w:hAnsi="Times" w:cs="Times"/>
                <w:sz w:val="24"/>
                <w:szCs w:val="24"/>
              </w:rPr>
              <w:t xml:space="preserve"> </w:t>
            </w:r>
            <w:r w:rsidRPr="00586965">
              <w:rPr>
                <w:rFonts w:ascii="Times" w:hAnsi="Times" w:cs="Times"/>
                <w:sz w:val="24"/>
                <w:szCs w:val="24"/>
              </w:rPr>
              <w:br/>
            </w:r>
            <w:r w:rsidR="00B262EE" w:rsidRPr="00586965">
              <w:rPr>
                <w:rFonts w:ascii="Times" w:hAnsi="Times" w:cs="Times"/>
                <w:sz w:val="24"/>
                <w:szCs w:val="24"/>
              </w:rPr>
              <w:t>Ukončenie: 19.8. 2019</w:t>
            </w:r>
            <w:r w:rsidRPr="00586965">
              <w:rPr>
                <w:rFonts w:ascii="Times" w:hAnsi="Times" w:cs="Times"/>
                <w:sz w:val="24"/>
                <w:szCs w:val="24"/>
              </w:rPr>
              <w:t> </w:t>
            </w:r>
          </w:p>
        </w:tc>
      </w:tr>
      <w:tr w:rsidR="003501A1" w:rsidRPr="00A179AE" w:rsidTr="00390FF8">
        <w:tc>
          <w:tcPr>
            <w:tcW w:w="5634" w:type="dxa"/>
            <w:gridSpan w:val="3"/>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Predpokladaný termín predloženia na MPK</w:t>
            </w:r>
            <w:r w:rsidR="00F62771" w:rsidRPr="00390FF8">
              <w:rPr>
                <w:rFonts w:ascii="Times New Roman" w:hAnsi="Times New Roman"/>
                <w:b/>
              </w:rPr>
              <w:t>*</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tcPr>
          <w:p w:rsidR="003501A1" w:rsidRPr="00586965" w:rsidRDefault="00B262EE" w:rsidP="00B262EE">
            <w:pPr>
              <w:rPr>
                <w:sz w:val="24"/>
                <w:szCs w:val="24"/>
              </w:rPr>
            </w:pPr>
            <w:r w:rsidRPr="00586965">
              <w:rPr>
                <w:sz w:val="24"/>
                <w:szCs w:val="24"/>
              </w:rPr>
              <w:t>Návrh zákona nie je zahrnutý do Legislatívneho plánu vlády SR na rok 2019</w:t>
            </w:r>
          </w:p>
        </w:tc>
      </w:tr>
      <w:tr w:rsidR="003501A1" w:rsidRPr="00A179AE" w:rsidTr="00390FF8">
        <w:tc>
          <w:tcPr>
            <w:tcW w:w="5634" w:type="dxa"/>
            <w:gridSpan w:val="3"/>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ind w:left="142"/>
              <w:rPr>
                <w:rFonts w:ascii="Times New Roman" w:hAnsi="Times New Roman"/>
                <w:b/>
              </w:rPr>
            </w:pPr>
            <w:r w:rsidRPr="00390FF8">
              <w:rPr>
                <w:rFonts w:ascii="Times New Roman" w:hAnsi="Times New Roman"/>
                <w:b/>
              </w:rPr>
              <w:t>Predpokladaný termín predloženia na Rokovanie vlády SR</w:t>
            </w:r>
            <w:r w:rsidR="00F62771" w:rsidRPr="00390FF8">
              <w:rPr>
                <w:rFonts w:ascii="Times New Roman" w:hAnsi="Times New Roman"/>
                <w:b/>
              </w:rPr>
              <w:t>*</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tcPr>
          <w:p w:rsidR="003501A1" w:rsidRPr="00586965" w:rsidRDefault="00B262EE" w:rsidP="005C2A8E">
            <w:pPr>
              <w:rPr>
                <w:sz w:val="24"/>
                <w:szCs w:val="24"/>
              </w:rPr>
            </w:pPr>
            <w:r w:rsidRPr="00586965">
              <w:rPr>
                <w:sz w:val="24"/>
                <w:szCs w:val="24"/>
              </w:rPr>
              <w:t>21.8.2019</w:t>
            </w:r>
          </w:p>
        </w:tc>
      </w:tr>
      <w:tr w:rsidR="003501A1" w:rsidRPr="00A179AE" w:rsidTr="00390FF8">
        <w:tc>
          <w:tcPr>
            <w:tcW w:w="9180" w:type="dxa"/>
            <w:gridSpan w:val="6"/>
            <w:tcBorders>
              <w:top w:val="single" w:sz="4" w:space="0" w:color="auto"/>
              <w:left w:val="nil"/>
              <w:bottom w:val="single" w:sz="4" w:space="0" w:color="auto"/>
              <w:right w:val="nil"/>
            </w:tcBorders>
            <w:shd w:val="clear" w:color="auto" w:fill="FFFFFF"/>
          </w:tcPr>
          <w:p w:rsidR="003501A1" w:rsidRPr="00A179AE" w:rsidRDefault="003501A1" w:rsidP="005C2A8E"/>
        </w:tc>
      </w:tr>
      <w:tr w:rsidR="003501A1" w:rsidRPr="00A179AE" w:rsidTr="00390FF8">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Definícia problému</w:t>
            </w:r>
          </w:p>
        </w:tc>
      </w:tr>
      <w:tr w:rsidR="003501A1" w:rsidRPr="00A179AE" w:rsidTr="00390FF8">
        <w:trPr>
          <w:trHeight w:val="718"/>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tbl>
            <w:tblPr>
              <w:tblW w:w="8975" w:type="dxa"/>
              <w:tblBorders>
                <w:top w:val="nil"/>
                <w:left w:val="nil"/>
                <w:bottom w:val="nil"/>
                <w:right w:val="nil"/>
              </w:tblBorders>
              <w:tblLayout w:type="fixed"/>
              <w:tblLook w:val="0000" w:firstRow="0" w:lastRow="0" w:firstColumn="0" w:lastColumn="0" w:noHBand="0" w:noVBand="0"/>
            </w:tblPr>
            <w:tblGrid>
              <w:gridCol w:w="8975"/>
            </w:tblGrid>
            <w:tr w:rsidR="0041395D" w:rsidRPr="00F46317" w:rsidTr="0041395D">
              <w:trPr>
                <w:trHeight w:val="1477"/>
              </w:trPr>
              <w:tc>
                <w:tcPr>
                  <w:tcW w:w="8975" w:type="dxa"/>
                </w:tcPr>
                <w:p w:rsidR="00025B79" w:rsidRPr="00F46317" w:rsidRDefault="00025B79" w:rsidP="003C5F58">
                  <w:pPr>
                    <w:pStyle w:val="Default"/>
                    <w:jc w:val="both"/>
                    <w:rPr>
                      <w:b/>
                      <w:iCs/>
                      <w:sz w:val="20"/>
                      <w:szCs w:val="20"/>
                    </w:rPr>
                  </w:pPr>
                </w:p>
                <w:p w:rsidR="000A3A06" w:rsidRPr="000A3A06" w:rsidRDefault="00C11AB6" w:rsidP="000A3A06">
                  <w:pPr>
                    <w:spacing w:before="240" w:after="120"/>
                    <w:rPr>
                      <w:bCs/>
                      <w:color w:val="000000"/>
                      <w:sz w:val="24"/>
                      <w:szCs w:val="24"/>
                    </w:rPr>
                  </w:pPr>
                  <w:r w:rsidRPr="000A3A06">
                    <w:rPr>
                      <w:iCs/>
                      <w:sz w:val="24"/>
                      <w:szCs w:val="24"/>
                    </w:rPr>
                    <w:t>N</w:t>
                  </w:r>
                  <w:r w:rsidR="0029160D" w:rsidRPr="000A3A06">
                    <w:rPr>
                      <w:iCs/>
                      <w:sz w:val="24"/>
                      <w:szCs w:val="24"/>
                    </w:rPr>
                    <w:t>ariadenie</w:t>
                  </w:r>
                  <w:r w:rsidRPr="000A3A06">
                    <w:rPr>
                      <w:iCs/>
                      <w:sz w:val="24"/>
                      <w:szCs w:val="24"/>
                    </w:rPr>
                    <w:t xml:space="preserve"> E</w:t>
                  </w:r>
                  <w:r w:rsidR="0029160D" w:rsidRPr="000A3A06">
                    <w:rPr>
                      <w:iCs/>
                      <w:sz w:val="24"/>
                      <w:szCs w:val="24"/>
                    </w:rPr>
                    <w:t>urópskeho parlamentu a</w:t>
                  </w:r>
                  <w:r w:rsidRPr="000A3A06">
                    <w:rPr>
                      <w:iCs/>
                      <w:sz w:val="24"/>
                      <w:szCs w:val="24"/>
                    </w:rPr>
                    <w:t xml:space="preserve"> R</w:t>
                  </w:r>
                  <w:r w:rsidR="0029160D" w:rsidRPr="000A3A06">
                    <w:rPr>
                      <w:iCs/>
                      <w:sz w:val="24"/>
                      <w:szCs w:val="24"/>
                    </w:rPr>
                    <w:t>ady</w:t>
                  </w:r>
                  <w:r w:rsidRPr="000A3A06">
                    <w:rPr>
                      <w:iCs/>
                      <w:sz w:val="24"/>
                      <w:szCs w:val="24"/>
                    </w:rPr>
                    <w:t xml:space="preserve"> (EÚ) č. 201</w:t>
                  </w:r>
                  <w:r w:rsidR="000A3A06" w:rsidRPr="000A3A06">
                    <w:rPr>
                      <w:iCs/>
                      <w:sz w:val="24"/>
                      <w:szCs w:val="24"/>
                    </w:rPr>
                    <w:t>7/745</w:t>
                  </w:r>
                  <w:r w:rsidRPr="000A3A06">
                    <w:rPr>
                      <w:iCs/>
                      <w:sz w:val="24"/>
                      <w:szCs w:val="24"/>
                    </w:rPr>
                    <w:t xml:space="preserve"> </w:t>
                  </w:r>
                  <w:r w:rsidR="0029160D" w:rsidRPr="000A3A06">
                    <w:rPr>
                      <w:iCs/>
                      <w:sz w:val="24"/>
                      <w:szCs w:val="24"/>
                    </w:rPr>
                    <w:t xml:space="preserve"> </w:t>
                  </w:r>
                  <w:r w:rsidR="000A3A06" w:rsidRPr="000A3A06">
                    <w:rPr>
                      <w:bCs/>
                      <w:color w:val="000000"/>
                      <w:sz w:val="24"/>
                      <w:szCs w:val="24"/>
                    </w:rPr>
                    <w:t>z 5. apríla 2017 o zdravotníckych pomôckach, zmene smernice 2001/83/ES, nariadenia (ES) č. 178/2002 a nariadenia (ES) č. 1223/2009 a o zrušení smerníc Rady 90/385/EHS a 93/42/EHS</w:t>
                  </w:r>
                  <w:r w:rsidR="000A3A06">
                    <w:rPr>
                      <w:bCs/>
                      <w:color w:val="000000"/>
                      <w:sz w:val="24"/>
                      <w:szCs w:val="24"/>
                    </w:rPr>
                    <w:t xml:space="preserve"> a n</w:t>
                  </w:r>
                  <w:r w:rsidR="000A3A06" w:rsidRPr="000A3A06">
                    <w:rPr>
                      <w:iCs/>
                      <w:sz w:val="24"/>
                      <w:szCs w:val="24"/>
                    </w:rPr>
                    <w:t>ariadenie Európskeho parlamentu a Rady (EÚ) č. 2017/74</w:t>
                  </w:r>
                  <w:r w:rsidR="000A3A06">
                    <w:rPr>
                      <w:iCs/>
                      <w:sz w:val="24"/>
                      <w:szCs w:val="24"/>
                    </w:rPr>
                    <w:t>6</w:t>
                  </w:r>
                  <w:r w:rsidR="000A3A06" w:rsidRPr="000A3A06">
                    <w:rPr>
                      <w:iCs/>
                      <w:sz w:val="24"/>
                      <w:szCs w:val="24"/>
                    </w:rPr>
                    <w:t xml:space="preserve">  </w:t>
                  </w:r>
                  <w:r w:rsidR="000A3A06" w:rsidRPr="000A3A06">
                    <w:rPr>
                      <w:bCs/>
                      <w:color w:val="000000"/>
                      <w:sz w:val="24"/>
                      <w:szCs w:val="24"/>
                    </w:rPr>
                    <w:t xml:space="preserve">z 5. apríla 2017 o </w:t>
                  </w:r>
                  <w:r w:rsidR="000A3A06" w:rsidRPr="000A3A06">
                    <w:rPr>
                      <w:bCs/>
                      <w:color w:val="000000"/>
                      <w:sz w:val="24"/>
                      <w:szCs w:val="24"/>
                    </w:rPr>
                    <w:lastRenderedPageBreak/>
                    <w:t xml:space="preserve">diagnostických zdravotníckych pomôckach </w:t>
                  </w:r>
                  <w:r w:rsidR="000A3A06" w:rsidRPr="000A3A06">
                    <w:rPr>
                      <w:bCs/>
                      <w:i/>
                      <w:iCs/>
                      <w:color w:val="000000"/>
                      <w:sz w:val="24"/>
                      <w:szCs w:val="24"/>
                    </w:rPr>
                    <w:t>in vitro</w:t>
                  </w:r>
                  <w:r w:rsidR="000A3A06" w:rsidRPr="000A3A06">
                    <w:rPr>
                      <w:bCs/>
                      <w:color w:val="000000"/>
                      <w:sz w:val="24"/>
                      <w:szCs w:val="24"/>
                    </w:rPr>
                    <w:t xml:space="preserve"> a o zrušení smernice 98/79/ES a rozhodnutia Komisie 2010/227/EÚ</w:t>
                  </w:r>
                </w:p>
                <w:p w:rsidR="00C11AB6" w:rsidRPr="000A3A06" w:rsidRDefault="000A3A06" w:rsidP="0029160D">
                  <w:pPr>
                    <w:pStyle w:val="Default"/>
                    <w:ind w:firstLine="609"/>
                    <w:jc w:val="both"/>
                    <w:rPr>
                      <w:iCs/>
                    </w:rPr>
                  </w:pPr>
                  <w:r w:rsidRPr="000A3A06">
                    <w:rPr>
                      <w:iCs/>
                    </w:rPr>
                    <w:t xml:space="preserve">Obe nariadenia (EÚ) </w:t>
                  </w:r>
                  <w:r w:rsidR="00C11AB6" w:rsidRPr="000A3A06">
                    <w:rPr>
                      <w:iCs/>
                    </w:rPr>
                    <w:t>predstavuj</w:t>
                  </w:r>
                  <w:r w:rsidRPr="000A3A06">
                    <w:rPr>
                      <w:iCs/>
                    </w:rPr>
                    <w:t>ú</w:t>
                  </w:r>
                  <w:r w:rsidR="00C11AB6" w:rsidRPr="000A3A06">
                    <w:rPr>
                      <w:iCs/>
                    </w:rPr>
                    <w:t xml:space="preserve"> významnú zmenu v</w:t>
                  </w:r>
                  <w:r w:rsidRPr="000A3A06">
                    <w:rPr>
                      <w:iCs/>
                    </w:rPr>
                    <w:t> </w:t>
                  </w:r>
                  <w:r w:rsidR="00C11AB6" w:rsidRPr="000A3A06">
                    <w:rPr>
                      <w:iCs/>
                    </w:rPr>
                    <w:t>oblasti</w:t>
                  </w:r>
                  <w:r w:rsidRPr="000A3A06">
                    <w:rPr>
                      <w:iCs/>
                    </w:rPr>
                    <w:t xml:space="preserve"> uvádzania na trh a sprístupňovania na trhu</w:t>
                  </w:r>
                  <w:r w:rsidR="00C11AB6" w:rsidRPr="000A3A06">
                    <w:rPr>
                      <w:iCs/>
                    </w:rPr>
                    <w:t xml:space="preserve"> </w:t>
                  </w:r>
                  <w:r w:rsidRPr="000A3A06">
                    <w:rPr>
                      <w:iCs/>
                    </w:rPr>
                    <w:t xml:space="preserve">zdravotníckych pomôcok a diagnostických zdravotníckych pomôcok in vitro </w:t>
                  </w:r>
                  <w:r w:rsidR="00C11AB6" w:rsidRPr="000A3A06">
                    <w:rPr>
                      <w:iCs/>
                    </w:rPr>
                    <w:t>v rámci E</w:t>
                  </w:r>
                  <w:r w:rsidR="0029160D" w:rsidRPr="000A3A06">
                    <w:rPr>
                      <w:iCs/>
                    </w:rPr>
                    <w:t xml:space="preserve">urópskej </w:t>
                  </w:r>
                  <w:r w:rsidR="00C11AB6" w:rsidRPr="000A3A06">
                    <w:rPr>
                      <w:iCs/>
                    </w:rPr>
                    <w:t>Ú</w:t>
                  </w:r>
                  <w:r w:rsidR="0029160D" w:rsidRPr="000A3A06">
                    <w:rPr>
                      <w:iCs/>
                    </w:rPr>
                    <w:t>nie</w:t>
                  </w:r>
                  <w:r w:rsidR="00C11AB6" w:rsidRPr="000A3A06">
                    <w:rPr>
                      <w:iCs/>
                    </w:rPr>
                    <w:t xml:space="preserve">  </w:t>
                  </w:r>
                </w:p>
                <w:p w:rsidR="000A3A06" w:rsidRDefault="000A3A06" w:rsidP="0029160D">
                  <w:pPr>
                    <w:ind w:firstLine="567"/>
                    <w:jc w:val="both"/>
                    <w:rPr>
                      <w:bCs/>
                      <w:i/>
                    </w:rPr>
                  </w:pPr>
                </w:p>
                <w:p w:rsidR="0029160D" w:rsidRPr="00480B17" w:rsidRDefault="0029160D" w:rsidP="0029160D">
                  <w:pPr>
                    <w:ind w:firstLine="567"/>
                    <w:jc w:val="both"/>
                    <w:rPr>
                      <w:sz w:val="24"/>
                      <w:szCs w:val="24"/>
                    </w:rPr>
                  </w:pPr>
                  <w:r w:rsidRPr="00480B17">
                    <w:rPr>
                      <w:bCs/>
                      <w:sz w:val="24"/>
                      <w:szCs w:val="24"/>
                    </w:rPr>
                    <w:t>Ministerstvo zdravotníctva</w:t>
                  </w:r>
                  <w:r w:rsidRPr="00480B17">
                    <w:rPr>
                      <w:sz w:val="24"/>
                      <w:szCs w:val="24"/>
                    </w:rPr>
                    <w:t xml:space="preserve"> </w:t>
                  </w:r>
                  <w:r w:rsidRPr="00480B17">
                    <w:rPr>
                      <w:bCs/>
                      <w:sz w:val="24"/>
                      <w:szCs w:val="24"/>
                    </w:rPr>
                    <w:t>Slovenskej republiky</w:t>
                  </w:r>
                  <w:r w:rsidRPr="00480B17">
                    <w:rPr>
                      <w:sz w:val="24"/>
                      <w:szCs w:val="24"/>
                    </w:rPr>
                    <w:t xml:space="preserve"> navrhuje implementovať tie ustanovenia nariadenia (EÚ) </w:t>
                  </w:r>
                  <w:r w:rsidR="000A3A06" w:rsidRPr="00480B17">
                    <w:rPr>
                      <w:sz w:val="24"/>
                      <w:szCs w:val="24"/>
                    </w:rPr>
                    <w:t>č. 2017/745 a nariadenia (EÚ) č. 2017/746</w:t>
                  </w:r>
                  <w:r w:rsidRPr="00480B17">
                    <w:rPr>
                      <w:sz w:val="24"/>
                      <w:szCs w:val="24"/>
                    </w:rPr>
                    <w:t xml:space="preserve">, ktoré sú v kompetencii členského štátu. </w:t>
                  </w:r>
                </w:p>
                <w:p w:rsidR="00F46317" w:rsidRDefault="00F46317" w:rsidP="00F46317">
                  <w:pPr>
                    <w:pBdr>
                      <w:top w:val="single" w:sz="4" w:space="1" w:color="auto"/>
                      <w:left w:val="single" w:sz="4" w:space="4" w:color="auto"/>
                      <w:bottom w:val="single" w:sz="4" w:space="1" w:color="auto"/>
                      <w:right w:val="single" w:sz="4" w:space="4" w:color="auto"/>
                    </w:pBdr>
                    <w:ind w:firstLine="626"/>
                    <w:rPr>
                      <w:sz w:val="24"/>
                      <w:szCs w:val="24"/>
                    </w:rPr>
                  </w:pPr>
                  <w:r w:rsidRPr="007F3A39">
                    <w:rPr>
                      <w:sz w:val="24"/>
                      <w:szCs w:val="24"/>
                    </w:rPr>
                    <w:t>Predmetom návrhu je aj</w:t>
                  </w:r>
                  <w:r w:rsidR="007F3A39" w:rsidRPr="007F3A39">
                    <w:rPr>
                      <w:sz w:val="24"/>
                      <w:szCs w:val="24"/>
                    </w:rPr>
                    <w:t xml:space="preserve"> legislatívne spresnenie </w:t>
                  </w:r>
                  <w:r w:rsidRPr="007F3A39">
                    <w:rPr>
                      <w:sz w:val="24"/>
                      <w:szCs w:val="24"/>
                    </w:rPr>
                    <w:t>presun</w:t>
                  </w:r>
                  <w:r w:rsidR="007F3A39" w:rsidRPr="007F3A39">
                    <w:rPr>
                      <w:sz w:val="24"/>
                      <w:szCs w:val="24"/>
                    </w:rPr>
                    <w:t>u</w:t>
                  </w:r>
                  <w:r w:rsidRPr="007F3A39">
                    <w:rPr>
                      <w:sz w:val="24"/>
                      <w:szCs w:val="24"/>
                    </w:rPr>
                    <w:t xml:space="preserve"> kompetencií z Ministerstva zdravotníctva SR na Štátny ústav pre kontrolu liekov, ktoré sa týka</w:t>
                  </w:r>
                  <w:r w:rsidR="007F3A39" w:rsidRPr="007F3A39">
                    <w:rPr>
                      <w:sz w:val="24"/>
                      <w:szCs w:val="24"/>
                    </w:rPr>
                    <w:t xml:space="preserve"> </w:t>
                  </w:r>
                  <w:r w:rsidRPr="007F3A39">
                    <w:rPr>
                      <w:sz w:val="24"/>
                      <w:szCs w:val="24"/>
                    </w:rPr>
                    <w:t>povoľovania výroby humánnych liekov,</w:t>
                  </w:r>
                  <w:r w:rsidR="007F3A39" w:rsidRPr="007F3A39">
                    <w:rPr>
                      <w:sz w:val="24"/>
                      <w:szCs w:val="24"/>
                    </w:rPr>
                    <w:t xml:space="preserve"> povoľovania</w:t>
                  </w:r>
                  <w:r w:rsidRPr="007F3A39">
                    <w:rPr>
                      <w:sz w:val="24"/>
                      <w:szCs w:val="24"/>
                    </w:rPr>
                    <w:t xml:space="preserve"> výroby humánnych liekov na klinické skúšanie a</w:t>
                  </w:r>
                  <w:r w:rsidR="007F3A39" w:rsidRPr="007F3A39">
                    <w:rPr>
                      <w:sz w:val="24"/>
                      <w:szCs w:val="24"/>
                    </w:rPr>
                    <w:t xml:space="preserve"> povoľovania </w:t>
                  </w:r>
                  <w:r w:rsidRPr="007F3A39">
                    <w:rPr>
                      <w:sz w:val="24"/>
                      <w:szCs w:val="24"/>
                    </w:rPr>
                    <w:t xml:space="preserve">veľkodistribúcie liekov. </w:t>
                  </w:r>
                  <w:r w:rsidR="007F3A39" w:rsidRPr="007F3A39">
                    <w:rPr>
                      <w:sz w:val="24"/>
                      <w:szCs w:val="24"/>
                    </w:rPr>
                    <w:t xml:space="preserve">Tento presun kompetencií sa realizoval zákonom 156/2018 Z. z. </w:t>
                  </w:r>
                </w:p>
                <w:p w:rsidR="007F3A39" w:rsidRPr="007F3A39" w:rsidRDefault="007F3A39" w:rsidP="00F46317">
                  <w:pPr>
                    <w:pBdr>
                      <w:top w:val="single" w:sz="4" w:space="1" w:color="auto"/>
                      <w:left w:val="single" w:sz="4" w:space="4" w:color="auto"/>
                      <w:bottom w:val="single" w:sz="4" w:space="1" w:color="auto"/>
                      <w:right w:val="single" w:sz="4" w:space="4" w:color="auto"/>
                    </w:pBdr>
                    <w:ind w:firstLine="626"/>
                    <w:rPr>
                      <w:sz w:val="24"/>
                      <w:szCs w:val="24"/>
                    </w:rPr>
                  </w:pPr>
                  <w:r>
                    <w:rPr>
                      <w:sz w:val="24"/>
                      <w:szCs w:val="24"/>
                    </w:rPr>
                    <w:t>Predmetom návrhu zákona sú aj spresnené už zavedené opatrenia na zabránenie reexportu liekov. Ide o predkladanie dokumentácie o príjme a výdaji liekov kontrolným orgánom a odstránenie obštrukcií zo strany kontrolovaných subjektov, ktoré si často účelovo robia výklad zákona, aby ospravedlnili svoje praktiky, na základe ktorých  kontrolný orgán má dôvodné podozrenie, že časť liekov nie je vydaných pacientovi na území Slovenskej republiky ale sú použité na nezákonné účely.</w:t>
                  </w:r>
                </w:p>
                <w:p w:rsidR="00025B79" w:rsidRPr="00F46317" w:rsidRDefault="00103B88" w:rsidP="00103B88">
                  <w:pPr>
                    <w:ind w:firstLine="751"/>
                    <w:jc w:val="both"/>
                  </w:pPr>
                  <w:r w:rsidRPr="00F46317">
                    <w:rPr>
                      <w:iCs/>
                      <w:color w:val="000000"/>
                    </w:rPr>
                    <w:t>.</w:t>
                  </w:r>
                  <w:r w:rsidR="000C52CC" w:rsidRPr="00F46317">
                    <w:rPr>
                      <w:iCs/>
                      <w:color w:val="000000"/>
                    </w:rPr>
                    <w:t xml:space="preserve"> </w:t>
                  </w:r>
                </w:p>
              </w:tc>
            </w:tr>
          </w:tbl>
          <w:p w:rsidR="003501A1" w:rsidRPr="00F46317" w:rsidRDefault="003501A1" w:rsidP="00390FF8">
            <w:pPr>
              <w:jc w:val="both"/>
              <w:rPr>
                <w:b/>
              </w:rPr>
            </w:pPr>
          </w:p>
        </w:tc>
      </w:tr>
      <w:tr w:rsidR="003501A1" w:rsidRPr="00A179AE" w:rsidTr="00390FF8">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jc w:val="both"/>
              <w:rPr>
                <w:rFonts w:ascii="Times New Roman" w:hAnsi="Times New Roman"/>
                <w:b/>
              </w:rPr>
            </w:pPr>
            <w:r w:rsidRPr="00390FF8">
              <w:rPr>
                <w:rFonts w:ascii="Times New Roman" w:hAnsi="Times New Roman"/>
                <w:b/>
              </w:rPr>
              <w:lastRenderedPageBreak/>
              <w:t>Ciele a výsledný stav</w:t>
            </w:r>
          </w:p>
        </w:tc>
      </w:tr>
      <w:tr w:rsidR="003501A1" w:rsidRPr="00A179AE" w:rsidTr="00390FF8">
        <w:trPr>
          <w:trHeight w:val="741"/>
        </w:trPr>
        <w:tc>
          <w:tcPr>
            <w:tcW w:w="9180" w:type="dxa"/>
            <w:gridSpan w:val="6"/>
            <w:tcBorders>
              <w:top w:val="nil"/>
              <w:left w:val="single" w:sz="4" w:space="0" w:color="auto"/>
              <w:bottom w:val="single" w:sz="4" w:space="0" w:color="auto"/>
              <w:right w:val="single" w:sz="4" w:space="0" w:color="auto"/>
            </w:tcBorders>
            <w:shd w:val="clear" w:color="auto" w:fill="FFFFFF"/>
          </w:tcPr>
          <w:p w:rsidR="00A16366" w:rsidRDefault="00A16366" w:rsidP="00390FF8">
            <w:pPr>
              <w:jc w:val="both"/>
            </w:pPr>
          </w:p>
          <w:tbl>
            <w:tblPr>
              <w:tblW w:w="8975" w:type="dxa"/>
              <w:tblBorders>
                <w:top w:val="nil"/>
                <w:left w:val="nil"/>
                <w:bottom w:val="nil"/>
                <w:right w:val="nil"/>
              </w:tblBorders>
              <w:tblLayout w:type="fixed"/>
              <w:tblLook w:val="0000" w:firstRow="0" w:lastRow="0" w:firstColumn="0" w:lastColumn="0" w:noHBand="0" w:noVBand="0"/>
            </w:tblPr>
            <w:tblGrid>
              <w:gridCol w:w="8975"/>
            </w:tblGrid>
            <w:tr w:rsidR="0041395D" w:rsidTr="0041395D">
              <w:trPr>
                <w:trHeight w:val="1400"/>
              </w:trPr>
              <w:tc>
                <w:tcPr>
                  <w:tcW w:w="8975" w:type="dxa"/>
                </w:tcPr>
                <w:p w:rsidR="00422949" w:rsidRPr="00480B17" w:rsidRDefault="0000498C" w:rsidP="00586965">
                  <w:pPr>
                    <w:pStyle w:val="Default"/>
                    <w:ind w:firstLine="467"/>
                    <w:rPr>
                      <w:iCs/>
                    </w:rPr>
                  </w:pPr>
                  <w:r w:rsidRPr="00480B17">
                    <w:rPr>
                      <w:iCs/>
                    </w:rPr>
                    <w:t>Realizácia nových činností, ktoré vyplývajú z</w:t>
                  </w:r>
                  <w:r w:rsidR="00422949" w:rsidRPr="00480B17">
                    <w:rPr>
                      <w:iCs/>
                    </w:rPr>
                    <w:t>o spomenutých</w:t>
                  </w:r>
                  <w:r w:rsidRPr="00480B17">
                    <w:rPr>
                      <w:iCs/>
                    </w:rPr>
                    <w:t> nariade</w:t>
                  </w:r>
                  <w:r w:rsidR="00422949" w:rsidRPr="00480B17">
                    <w:rPr>
                      <w:iCs/>
                    </w:rPr>
                    <w:t>ní (EÚ)</w:t>
                  </w:r>
                  <w:r w:rsidRPr="00480B17">
                    <w:rPr>
                      <w:iCs/>
                    </w:rPr>
                    <w:t>, prispeje k</w:t>
                  </w:r>
                  <w:r w:rsidR="00422949" w:rsidRPr="00480B17">
                    <w:rPr>
                      <w:iCs/>
                    </w:rPr>
                    <w:t xml:space="preserve"> bezpečnosti pacienta a k </w:t>
                  </w:r>
                  <w:r w:rsidRPr="00480B17">
                    <w:rPr>
                      <w:iCs/>
                    </w:rPr>
                    <w:t>zvýšeni</w:t>
                  </w:r>
                  <w:r w:rsidR="00422949" w:rsidRPr="00480B17">
                    <w:rPr>
                      <w:iCs/>
                    </w:rPr>
                    <w:t>u</w:t>
                  </w:r>
                  <w:r w:rsidRPr="00480B17">
                    <w:rPr>
                      <w:iCs/>
                    </w:rPr>
                    <w:t xml:space="preserve"> požiadaviek na personálne obsadenie a materiálno-technické zabezpečenie a s tým spojený zodpovedajúci nárast nákladov Š</w:t>
                  </w:r>
                  <w:r w:rsidR="00422949" w:rsidRPr="00480B17">
                    <w:rPr>
                      <w:iCs/>
                    </w:rPr>
                    <w:t>tátneho ústavu pre kontrolu liečiv (ŠÚKL)</w:t>
                  </w:r>
                  <w:r w:rsidRPr="00480B17">
                    <w:rPr>
                      <w:iCs/>
                    </w:rPr>
                    <w:t xml:space="preserve">.  </w:t>
                  </w:r>
                </w:p>
                <w:p w:rsidR="0000498C" w:rsidRPr="00480B17" w:rsidRDefault="0000498C" w:rsidP="00586965">
                  <w:pPr>
                    <w:pStyle w:val="Default"/>
                    <w:ind w:firstLine="467"/>
                    <w:rPr>
                      <w:iCs/>
                    </w:rPr>
                  </w:pPr>
                  <w:r w:rsidRPr="00480B17">
                    <w:rPr>
                      <w:iCs/>
                    </w:rPr>
                    <w:t>Na druhej strane rozšírenie poskytovaných služieb a výkonov ŠÚKL</w:t>
                  </w:r>
                  <w:r w:rsidR="00C60DD8" w:rsidRPr="00480B17">
                    <w:rPr>
                      <w:iCs/>
                    </w:rPr>
                    <w:t>-</w:t>
                  </w:r>
                  <w:r w:rsidRPr="00480B17">
                    <w:rPr>
                      <w:iCs/>
                    </w:rPr>
                    <w:t xml:space="preserve">u </w:t>
                  </w:r>
                  <w:r w:rsidR="00F665B5" w:rsidRPr="00480B17">
                    <w:rPr>
                      <w:iCs/>
                    </w:rPr>
                    <w:t>sa prejaví</w:t>
                  </w:r>
                  <w:r w:rsidRPr="00480B17">
                    <w:rPr>
                      <w:iCs/>
                    </w:rPr>
                    <w:t xml:space="preserve"> vo zvýšení príjmov rozpočtu verejnej správy vo forme správnych poplatkov. </w:t>
                  </w:r>
                  <w:r w:rsidR="00C60DD8" w:rsidRPr="00480B17">
                    <w:rPr>
                      <w:iCs/>
                    </w:rPr>
                    <w:t>Nové</w:t>
                  </w:r>
                  <w:r w:rsidRPr="00480B17">
                    <w:rPr>
                      <w:iCs/>
                    </w:rPr>
                    <w:t xml:space="preserve"> správne poplatky b</w:t>
                  </w:r>
                  <w:r w:rsidR="00422949" w:rsidRPr="00480B17">
                    <w:rPr>
                      <w:iCs/>
                    </w:rPr>
                    <w:t>udú</w:t>
                  </w:r>
                  <w:r w:rsidRPr="00480B17">
                    <w:rPr>
                      <w:iCs/>
                    </w:rPr>
                    <w:t xml:space="preserve"> </w:t>
                  </w:r>
                  <w:r w:rsidR="00C60DD8" w:rsidRPr="00480B17">
                    <w:rPr>
                      <w:iCs/>
                    </w:rPr>
                    <w:t>kryť</w:t>
                  </w:r>
                  <w:r w:rsidRPr="00480B17">
                    <w:rPr>
                      <w:iCs/>
                    </w:rPr>
                    <w:t xml:space="preserve"> zvýšené nároky ŠÚKL</w:t>
                  </w:r>
                  <w:r w:rsidR="00C60DD8" w:rsidRPr="00480B17">
                    <w:rPr>
                      <w:iCs/>
                    </w:rPr>
                    <w:t>-</w:t>
                  </w:r>
                  <w:r w:rsidRPr="00480B17">
                    <w:rPr>
                      <w:iCs/>
                    </w:rPr>
                    <w:t>u</w:t>
                  </w:r>
                  <w:r w:rsidR="00C60DD8" w:rsidRPr="00480B17">
                    <w:rPr>
                      <w:iCs/>
                    </w:rPr>
                    <w:t xml:space="preserve">. </w:t>
                  </w:r>
                </w:p>
                <w:p w:rsidR="00C60DD8" w:rsidRPr="00480B17" w:rsidRDefault="00C60DD8" w:rsidP="00586965">
                  <w:pPr>
                    <w:ind w:firstLine="567"/>
                    <w:rPr>
                      <w:sz w:val="24"/>
                      <w:szCs w:val="24"/>
                    </w:rPr>
                  </w:pPr>
                  <w:r w:rsidRPr="00480B17">
                    <w:rPr>
                      <w:rStyle w:val="Zstupntext"/>
                      <w:color w:val="000000"/>
                      <w:sz w:val="24"/>
                      <w:szCs w:val="24"/>
                    </w:rPr>
                    <w:t>V článku II sa navrhuje zmena z</w:t>
                  </w:r>
                  <w:r w:rsidRPr="00480B17">
                    <w:rPr>
                      <w:sz w:val="24"/>
                      <w:szCs w:val="24"/>
                    </w:rPr>
                    <w:t>ákona Národnej rady Slovenskej republiky č. 145/1995 Z. z. o správnych poplatkoch v znení neskorších predpisov. Navrhuje sa zvýšenie poplatkov za posudzovanie žiadostí o povolenie klinického skúšania</w:t>
                  </w:r>
                  <w:r w:rsidR="00422949" w:rsidRPr="00480B17">
                    <w:rPr>
                      <w:sz w:val="24"/>
                      <w:szCs w:val="24"/>
                    </w:rPr>
                    <w:t xml:space="preserve"> zdravotníckych pomôcok a zavádzajú sa nové správne poplatky za štúdie výkonu  diagnostických zdravotníckych pomôcok in vitro.</w:t>
                  </w:r>
                </w:p>
                <w:p w:rsidR="00C60DD8" w:rsidRPr="00B164B5" w:rsidRDefault="00C60DD8" w:rsidP="00586965">
                  <w:pPr>
                    <w:ind w:firstLine="567"/>
                    <w:rPr>
                      <w:bCs/>
                      <w:i/>
                    </w:rPr>
                  </w:pPr>
                  <w:r w:rsidRPr="00480B17">
                    <w:rPr>
                      <w:rStyle w:val="Zstupntext"/>
                      <w:color w:val="000000"/>
                      <w:sz w:val="24"/>
                      <w:szCs w:val="24"/>
                    </w:rPr>
                    <w:t>V článku III sa navrhuje zmena</w:t>
                  </w:r>
                  <w:r w:rsidRPr="00480B17">
                    <w:rPr>
                      <w:sz w:val="24"/>
                      <w:szCs w:val="24"/>
                    </w:rPr>
                    <w:t xml:space="preserve"> zákona č. 576/2004 Z. z. o zdravotnej starostlivosti, službách súvisiacich s poskytovaním zdravotnej starostlivosti a o zmene a doplnení niektorých zákonov v znení neskorších predpisov. Ide o zosúladenie doteraz platných </w:t>
                  </w:r>
                  <w:r w:rsidRPr="00480B17">
                    <w:rPr>
                      <w:sz w:val="24"/>
                      <w:szCs w:val="24"/>
                    </w:rPr>
                    <w:lastRenderedPageBreak/>
                    <w:t xml:space="preserve">ustanovení, na základe ktorých sa </w:t>
                  </w:r>
                  <w:r w:rsidR="00422949" w:rsidRPr="00480B17">
                    <w:rPr>
                      <w:sz w:val="24"/>
                      <w:szCs w:val="24"/>
                    </w:rPr>
                    <w:t xml:space="preserve">za </w:t>
                  </w:r>
                  <w:r w:rsidRPr="00480B17">
                    <w:rPr>
                      <w:sz w:val="24"/>
                      <w:szCs w:val="24"/>
                    </w:rPr>
                    <w:t>biomedicínsk</w:t>
                  </w:r>
                  <w:r w:rsidR="00422949" w:rsidRPr="00480B17">
                    <w:rPr>
                      <w:sz w:val="24"/>
                      <w:szCs w:val="24"/>
                    </w:rPr>
                    <w:t>y</w:t>
                  </w:r>
                  <w:r w:rsidRPr="00480B17">
                    <w:rPr>
                      <w:sz w:val="24"/>
                      <w:szCs w:val="24"/>
                    </w:rPr>
                    <w:t xml:space="preserve"> výskum</w:t>
                  </w:r>
                  <w:r w:rsidR="00422949" w:rsidRPr="00480B17">
                    <w:rPr>
                      <w:sz w:val="24"/>
                      <w:szCs w:val="24"/>
                    </w:rPr>
                    <w:t xml:space="preserve"> považuje aj klinické skúšanie zdravotníck</w:t>
                  </w:r>
                  <w:r w:rsidR="00480B17" w:rsidRPr="00480B17">
                    <w:rPr>
                      <w:sz w:val="24"/>
                      <w:szCs w:val="24"/>
                    </w:rPr>
                    <w:t>ej</w:t>
                  </w:r>
                  <w:r w:rsidR="00422949" w:rsidRPr="00480B17">
                    <w:rPr>
                      <w:sz w:val="24"/>
                      <w:szCs w:val="24"/>
                    </w:rPr>
                    <w:t xml:space="preserve"> pomôck</w:t>
                  </w:r>
                  <w:r w:rsidR="00480B17" w:rsidRPr="00480B17">
                    <w:rPr>
                      <w:sz w:val="24"/>
                      <w:szCs w:val="24"/>
                    </w:rPr>
                    <w:t>y</w:t>
                  </w:r>
                  <w:r w:rsidR="00422949" w:rsidRPr="00480B17">
                    <w:rPr>
                      <w:sz w:val="24"/>
                      <w:szCs w:val="24"/>
                    </w:rPr>
                    <w:t xml:space="preserve"> a štúdia výkonu  diagnostick</w:t>
                  </w:r>
                  <w:r w:rsidR="00480B17" w:rsidRPr="00480B17">
                    <w:rPr>
                      <w:sz w:val="24"/>
                      <w:szCs w:val="24"/>
                    </w:rPr>
                    <w:t>ej</w:t>
                  </w:r>
                  <w:r w:rsidR="00422949" w:rsidRPr="00480B17">
                    <w:rPr>
                      <w:sz w:val="24"/>
                      <w:szCs w:val="24"/>
                    </w:rPr>
                    <w:t xml:space="preserve"> zdravotníck</w:t>
                  </w:r>
                  <w:r w:rsidR="00480B17" w:rsidRPr="00480B17">
                    <w:rPr>
                      <w:sz w:val="24"/>
                      <w:szCs w:val="24"/>
                    </w:rPr>
                    <w:t>ej</w:t>
                  </w:r>
                  <w:r w:rsidR="00422949" w:rsidRPr="00480B17">
                    <w:rPr>
                      <w:sz w:val="24"/>
                      <w:szCs w:val="24"/>
                    </w:rPr>
                    <w:t xml:space="preserve"> pomôck</w:t>
                  </w:r>
                  <w:r w:rsidR="00480B17" w:rsidRPr="00480B17">
                    <w:rPr>
                      <w:sz w:val="24"/>
                      <w:szCs w:val="24"/>
                    </w:rPr>
                    <w:t>y</w:t>
                  </w:r>
                  <w:r w:rsidR="00422949" w:rsidRPr="00480B17">
                    <w:rPr>
                      <w:sz w:val="24"/>
                      <w:szCs w:val="24"/>
                    </w:rPr>
                    <w:t xml:space="preserve"> in vitro</w:t>
                  </w:r>
                  <w:r w:rsidRPr="00480B17">
                    <w:rPr>
                      <w:sz w:val="24"/>
                      <w:szCs w:val="24"/>
                    </w:rPr>
                    <w:t xml:space="preserve">. Vzhľadom na to, že klinické skúšanie </w:t>
                  </w:r>
                  <w:r w:rsidR="00480B17" w:rsidRPr="00480B17">
                    <w:rPr>
                      <w:sz w:val="24"/>
                      <w:szCs w:val="24"/>
                    </w:rPr>
                    <w:t>zdravotníckej pomôcky a štúdia výkonu  diagnostickej zdravotníckej pomôcky in vitro sa považuj</w:t>
                  </w:r>
                  <w:r w:rsidR="00447A19">
                    <w:rPr>
                      <w:sz w:val="24"/>
                      <w:szCs w:val="24"/>
                    </w:rPr>
                    <w:t>ú</w:t>
                  </w:r>
                  <w:r w:rsidRPr="00480B17">
                    <w:rPr>
                      <w:sz w:val="24"/>
                      <w:szCs w:val="24"/>
                    </w:rPr>
                    <w:t xml:space="preserve"> za biomedicínsky výskum a </w:t>
                  </w:r>
                  <w:r w:rsidR="00480B17" w:rsidRPr="00480B17">
                    <w:rPr>
                      <w:sz w:val="24"/>
                      <w:szCs w:val="24"/>
                    </w:rPr>
                    <w:t>nariadenie (EÚ) č. 2017/745 a nariadenie (EÚ) č. 2017/746</w:t>
                  </w:r>
                  <w:r w:rsidRPr="00480B17">
                    <w:rPr>
                      <w:sz w:val="24"/>
                      <w:szCs w:val="24"/>
                    </w:rPr>
                    <w:t xml:space="preserve"> ako priamo vykonateľné vo všetkých členských štátoch Európskej únie upravuj</w:t>
                  </w:r>
                  <w:r w:rsidR="00447A19">
                    <w:rPr>
                      <w:sz w:val="24"/>
                      <w:szCs w:val="24"/>
                    </w:rPr>
                    <w:t>ú</w:t>
                  </w:r>
                  <w:r w:rsidRPr="00480B17">
                    <w:rPr>
                      <w:sz w:val="24"/>
                      <w:szCs w:val="24"/>
                    </w:rPr>
                    <w:t xml:space="preserve"> procesy posudzovania jednotlivých žiadosti je potrebné tieto požiadavky </w:t>
                  </w:r>
                  <w:r w:rsidR="00480B17" w:rsidRPr="00480B17">
                    <w:rPr>
                      <w:sz w:val="24"/>
                      <w:szCs w:val="24"/>
                    </w:rPr>
                    <w:t xml:space="preserve">vrátane posudzovania etických aspektov </w:t>
                  </w:r>
                  <w:r w:rsidRPr="00480B17">
                    <w:rPr>
                      <w:sz w:val="24"/>
                      <w:szCs w:val="24"/>
                    </w:rPr>
                    <w:t>zohľadniť aj v</w:t>
                  </w:r>
                  <w:r w:rsidR="00480B17" w:rsidRPr="00480B17">
                    <w:rPr>
                      <w:sz w:val="24"/>
                      <w:szCs w:val="24"/>
                    </w:rPr>
                    <w:t> </w:t>
                  </w:r>
                  <w:r w:rsidRPr="00480B17">
                    <w:rPr>
                      <w:sz w:val="24"/>
                      <w:szCs w:val="24"/>
                    </w:rPr>
                    <w:t>tomto</w:t>
                  </w:r>
                  <w:r w:rsidR="00480B17" w:rsidRPr="00480B17">
                    <w:rPr>
                      <w:sz w:val="24"/>
                      <w:szCs w:val="24"/>
                    </w:rPr>
                    <w:t xml:space="preserve"> návrhu </w:t>
                  </w:r>
                  <w:r w:rsidRPr="00480B17">
                    <w:rPr>
                      <w:sz w:val="24"/>
                      <w:szCs w:val="24"/>
                    </w:rPr>
                    <w:t xml:space="preserve"> zákon</w:t>
                  </w:r>
                  <w:r w:rsidR="00480B17" w:rsidRPr="00480B17">
                    <w:rPr>
                      <w:sz w:val="24"/>
                      <w:szCs w:val="24"/>
                    </w:rPr>
                    <w:t>a</w:t>
                  </w:r>
                  <w:r w:rsidRPr="00480B17">
                    <w:rPr>
                      <w:sz w:val="24"/>
                      <w:szCs w:val="24"/>
                    </w:rPr>
                    <w:t xml:space="preserve">. </w:t>
                  </w:r>
                </w:p>
                <w:p w:rsidR="00C60DD8" w:rsidRPr="00480B17" w:rsidRDefault="00C60DD8" w:rsidP="00586965">
                  <w:pPr>
                    <w:ind w:firstLine="567"/>
                    <w:rPr>
                      <w:bCs/>
                      <w:sz w:val="24"/>
                      <w:szCs w:val="24"/>
                    </w:rPr>
                  </w:pPr>
                  <w:r w:rsidRPr="00480B17">
                    <w:rPr>
                      <w:bCs/>
                      <w:sz w:val="24"/>
                      <w:szCs w:val="24"/>
                    </w:rPr>
                    <w:t>N</w:t>
                  </w:r>
                  <w:r w:rsidR="00480B17" w:rsidRPr="00480B17">
                    <w:rPr>
                      <w:bCs/>
                      <w:sz w:val="24"/>
                      <w:szCs w:val="24"/>
                    </w:rPr>
                    <w:t>avrhuje sa</w:t>
                  </w:r>
                  <w:r w:rsidRPr="00480B17">
                    <w:rPr>
                      <w:bCs/>
                      <w:sz w:val="24"/>
                      <w:szCs w:val="24"/>
                    </w:rPr>
                    <w:t xml:space="preserve"> </w:t>
                  </w:r>
                  <w:r w:rsidR="00480B17" w:rsidRPr="00480B17">
                    <w:rPr>
                      <w:bCs/>
                      <w:sz w:val="24"/>
                      <w:szCs w:val="24"/>
                    </w:rPr>
                    <w:t>spôsob určovania</w:t>
                  </w:r>
                  <w:r w:rsidRPr="00480B17">
                    <w:rPr>
                      <w:bCs/>
                      <w:sz w:val="24"/>
                      <w:szCs w:val="24"/>
                    </w:rPr>
                    <w:t xml:space="preserve"> lekárensk</w:t>
                  </w:r>
                  <w:r w:rsidR="00480B17" w:rsidRPr="00480B17">
                    <w:rPr>
                      <w:bCs/>
                      <w:sz w:val="24"/>
                      <w:szCs w:val="24"/>
                    </w:rPr>
                    <w:t>ej pohotovostnej služby upraviť do stavu, aký bol pred nadobudnutím účinnosti zákona č. 156/2018 Z. z.</w:t>
                  </w:r>
                  <w:r w:rsidRPr="00480B17">
                    <w:rPr>
                      <w:bCs/>
                      <w:sz w:val="24"/>
                      <w:szCs w:val="24"/>
                    </w:rPr>
                    <w:t xml:space="preserve"> </w:t>
                  </w:r>
                </w:p>
                <w:p w:rsidR="00F46317" w:rsidRPr="00FA3C23" w:rsidRDefault="00F46317" w:rsidP="00F46317">
                  <w:pPr>
                    <w:pBdr>
                      <w:top w:val="single" w:sz="4" w:space="1" w:color="auto"/>
                      <w:left w:val="single" w:sz="4" w:space="4" w:color="auto"/>
                      <w:bottom w:val="single" w:sz="4" w:space="1" w:color="auto"/>
                      <w:right w:val="single" w:sz="4" w:space="4" w:color="auto"/>
                    </w:pBdr>
                    <w:rPr>
                      <w:highlight w:val="yellow"/>
                    </w:rPr>
                  </w:pPr>
                </w:p>
                <w:p w:rsidR="00C60DD8" w:rsidRPr="00B164B5" w:rsidRDefault="00C60DD8" w:rsidP="00C60DD8">
                  <w:pPr>
                    <w:ind w:firstLine="567"/>
                    <w:jc w:val="both"/>
                    <w:rPr>
                      <w:i/>
                      <w:iCs/>
                    </w:rPr>
                  </w:pPr>
                </w:p>
                <w:p w:rsidR="0041395D" w:rsidRPr="00B164B5" w:rsidRDefault="0041395D" w:rsidP="003C5F58">
                  <w:pPr>
                    <w:pStyle w:val="Default"/>
                    <w:jc w:val="both"/>
                    <w:rPr>
                      <w:i/>
                      <w:sz w:val="20"/>
                      <w:szCs w:val="20"/>
                    </w:rPr>
                  </w:pPr>
                </w:p>
              </w:tc>
            </w:tr>
          </w:tbl>
          <w:p w:rsidR="003501A1" w:rsidRPr="00A179AE" w:rsidRDefault="003501A1" w:rsidP="00390FF8">
            <w:pPr>
              <w:jc w:val="both"/>
            </w:pPr>
          </w:p>
        </w:tc>
      </w:tr>
      <w:tr w:rsidR="003501A1" w:rsidRPr="00A179AE" w:rsidTr="00390FF8">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jc w:val="both"/>
              <w:rPr>
                <w:rFonts w:ascii="Times New Roman" w:hAnsi="Times New Roman"/>
                <w:b/>
              </w:rPr>
            </w:pPr>
            <w:r w:rsidRPr="00390FF8">
              <w:rPr>
                <w:rFonts w:ascii="Times New Roman" w:hAnsi="Times New Roman"/>
                <w:b/>
              </w:rPr>
              <w:lastRenderedPageBreak/>
              <w:t>Dotknuté subjekty</w:t>
            </w:r>
          </w:p>
        </w:tc>
      </w:tr>
      <w:tr w:rsidR="003501A1" w:rsidRPr="00A179AE" w:rsidTr="00390FF8">
        <w:tc>
          <w:tcPr>
            <w:tcW w:w="9180" w:type="dxa"/>
            <w:gridSpan w:val="6"/>
            <w:tcBorders>
              <w:top w:val="nil"/>
              <w:left w:val="single" w:sz="4" w:space="0" w:color="auto"/>
              <w:bottom w:val="single" w:sz="4" w:space="0" w:color="auto"/>
              <w:right w:val="single" w:sz="4" w:space="0" w:color="auto"/>
            </w:tcBorders>
            <w:shd w:val="clear" w:color="auto" w:fill="FFFFFF"/>
          </w:tcPr>
          <w:p w:rsidR="00D12AD9" w:rsidRPr="00B164B5" w:rsidRDefault="00D12AD9" w:rsidP="00390FF8">
            <w:pPr>
              <w:jc w:val="both"/>
              <w:rPr>
                <w:i/>
              </w:rPr>
            </w:pPr>
          </w:p>
          <w:tbl>
            <w:tblPr>
              <w:tblW w:w="8975" w:type="dxa"/>
              <w:tblBorders>
                <w:top w:val="nil"/>
                <w:left w:val="nil"/>
                <w:bottom w:val="nil"/>
                <w:right w:val="nil"/>
              </w:tblBorders>
              <w:tblLayout w:type="fixed"/>
              <w:tblLook w:val="0000" w:firstRow="0" w:lastRow="0" w:firstColumn="0" w:lastColumn="0" w:noHBand="0" w:noVBand="0"/>
            </w:tblPr>
            <w:tblGrid>
              <w:gridCol w:w="8975"/>
            </w:tblGrid>
            <w:tr w:rsidR="0041395D" w:rsidRPr="00B164B5" w:rsidTr="00D12AD9">
              <w:trPr>
                <w:trHeight w:val="441"/>
              </w:trPr>
              <w:tc>
                <w:tcPr>
                  <w:tcW w:w="8975" w:type="dxa"/>
                </w:tcPr>
                <w:p w:rsidR="0041395D" w:rsidRPr="00447A19" w:rsidRDefault="00D12AD9" w:rsidP="00447A19">
                  <w:pPr>
                    <w:pStyle w:val="Default"/>
                    <w:numPr>
                      <w:ilvl w:val="0"/>
                      <w:numId w:val="10"/>
                    </w:numPr>
                    <w:jc w:val="both"/>
                    <w:rPr>
                      <w:iCs/>
                    </w:rPr>
                  </w:pPr>
                  <w:r w:rsidRPr="00447A19">
                    <w:rPr>
                      <w:iCs/>
                    </w:rPr>
                    <w:t>Štátny ústav pre kontrolu liečiv</w:t>
                  </w:r>
                </w:p>
                <w:p w:rsidR="00447A19" w:rsidRPr="00447A19" w:rsidRDefault="00447A19" w:rsidP="00447A19">
                  <w:pPr>
                    <w:pStyle w:val="Odsekzoznamu"/>
                    <w:numPr>
                      <w:ilvl w:val="0"/>
                      <w:numId w:val="10"/>
                    </w:numPr>
                    <w:rPr>
                      <w:rFonts w:ascii="Times New Roman" w:hAnsi="Times New Roman"/>
                      <w:sz w:val="24"/>
                      <w:szCs w:val="24"/>
                    </w:rPr>
                  </w:pPr>
                  <w:r w:rsidRPr="00447A19">
                    <w:rPr>
                      <w:rFonts w:ascii="Times New Roman" w:hAnsi="Times New Roman"/>
                      <w:sz w:val="24"/>
                      <w:szCs w:val="24"/>
                    </w:rPr>
                    <w:t>výrobcovia zdravotníckych pomôcok a výrobcovia diagnostických zdravotníckych pomôcok in vitro a spoločnosti, ktoré pre tieto hospodárske subjekty vykonávajú klinické skúšanie zdravotníckych pomôcok a štúdie výkonu diagnostických zdravotníckych pomôcok in vitro na účely uvádzania alebo sprístupňovania na trh v</w:t>
                  </w:r>
                  <w:r>
                    <w:rPr>
                      <w:rFonts w:ascii="Times New Roman" w:hAnsi="Times New Roman"/>
                      <w:sz w:val="24"/>
                      <w:szCs w:val="24"/>
                    </w:rPr>
                    <w:t> </w:t>
                  </w:r>
                  <w:r w:rsidRPr="00447A19">
                    <w:rPr>
                      <w:rFonts w:ascii="Times New Roman" w:hAnsi="Times New Roman"/>
                      <w:sz w:val="24"/>
                      <w:szCs w:val="24"/>
                    </w:rPr>
                    <w:t>EÚ</w:t>
                  </w:r>
                  <w:r>
                    <w:rPr>
                      <w:rFonts w:ascii="Times New Roman" w:hAnsi="Times New Roman"/>
                      <w:sz w:val="24"/>
                      <w:szCs w:val="24"/>
                    </w:rPr>
                    <w:t>,</w:t>
                  </w:r>
                </w:p>
                <w:p w:rsidR="00447A19" w:rsidRPr="00447A19" w:rsidRDefault="00447A19" w:rsidP="00447A19">
                  <w:pPr>
                    <w:pStyle w:val="Default"/>
                    <w:numPr>
                      <w:ilvl w:val="0"/>
                      <w:numId w:val="10"/>
                    </w:numPr>
                    <w:jc w:val="both"/>
                  </w:pPr>
                  <w:r w:rsidRPr="00447A19">
                    <w:t>právnické osoby, ktoré sú držiteľmi povolenia na poskytovanie lekárenskej starostlivosti vo verejnej lekárni alebo v pobočke verejnej lekárne, vo výdajni zdravotníckych pomôcok</w:t>
                  </w:r>
                  <w:r>
                    <w:t>,</w:t>
                  </w:r>
                </w:p>
                <w:p w:rsidR="00447A19" w:rsidRPr="00447A19" w:rsidRDefault="00447A19" w:rsidP="00447A19">
                  <w:pPr>
                    <w:pStyle w:val="Default"/>
                    <w:ind w:left="720"/>
                    <w:jc w:val="both"/>
                  </w:pPr>
                </w:p>
                <w:p w:rsidR="00447A19" w:rsidRPr="00B164B5" w:rsidRDefault="00447A19" w:rsidP="00447A19">
                  <w:pPr>
                    <w:pStyle w:val="Odsekzoznamu"/>
                    <w:numPr>
                      <w:ilvl w:val="0"/>
                      <w:numId w:val="10"/>
                    </w:numPr>
                    <w:rPr>
                      <w:i/>
                      <w:sz w:val="20"/>
                      <w:szCs w:val="20"/>
                    </w:rPr>
                  </w:pPr>
                  <w:r w:rsidRPr="00447A19">
                    <w:rPr>
                      <w:rFonts w:ascii="Times New Roman" w:hAnsi="Times New Roman"/>
                      <w:sz w:val="24"/>
                      <w:szCs w:val="24"/>
                    </w:rPr>
                    <w:t>výrobcovia účinných látok pre farmaceutický priemysel, povinnosti im vyplývajú už z platného zákona a spresnené povinnosti implementáciou delegovaného nariadenia Komisie(EÚ) č. 1252/2014, ktorým sa dopĺňa smernica Európskeho parlamentu a Rady č. 2001/83/ES, pokiaľ ide o zásady a usmernenia vzťahujúce sa na správnu výrobnú prax pre účinné látky do liekov na humánne použitie.</w:t>
                  </w:r>
                  <w:r>
                    <w:rPr>
                      <w:rFonts w:ascii="Times New Roman" w:hAnsi="Times New Roman"/>
                      <w:sz w:val="24"/>
                      <w:szCs w:val="24"/>
                    </w:rPr>
                    <w:t xml:space="preserve"> </w:t>
                  </w:r>
                </w:p>
              </w:tc>
            </w:tr>
          </w:tbl>
          <w:p w:rsidR="00D12AD9" w:rsidRPr="00B164B5" w:rsidRDefault="00D12AD9" w:rsidP="00390FF8">
            <w:pPr>
              <w:jc w:val="both"/>
              <w:rPr>
                <w:i/>
              </w:rPr>
            </w:pPr>
            <w:r w:rsidRPr="00B164B5">
              <w:rPr>
                <w:i/>
              </w:rPr>
              <w:t xml:space="preserve">  </w:t>
            </w:r>
          </w:p>
          <w:p w:rsidR="003501A1" w:rsidRPr="00B164B5" w:rsidRDefault="003501A1" w:rsidP="00447A19">
            <w:pPr>
              <w:jc w:val="both"/>
              <w:rPr>
                <w:i/>
              </w:rPr>
            </w:pPr>
          </w:p>
        </w:tc>
      </w:tr>
      <w:tr w:rsidR="003501A1" w:rsidRPr="00A179AE" w:rsidTr="00390FF8">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Alternatívne riešenia</w:t>
            </w:r>
          </w:p>
        </w:tc>
      </w:tr>
      <w:tr w:rsidR="003501A1" w:rsidRPr="00A179AE" w:rsidTr="00390FF8">
        <w:trPr>
          <w:trHeight w:val="709"/>
        </w:trPr>
        <w:tc>
          <w:tcPr>
            <w:tcW w:w="9180" w:type="dxa"/>
            <w:gridSpan w:val="6"/>
            <w:tcBorders>
              <w:top w:val="nil"/>
              <w:left w:val="single" w:sz="4" w:space="0" w:color="auto"/>
              <w:bottom w:val="single" w:sz="4" w:space="0" w:color="auto"/>
              <w:right w:val="single" w:sz="4" w:space="0" w:color="auto"/>
            </w:tcBorders>
            <w:shd w:val="clear" w:color="auto" w:fill="FFFFFF"/>
          </w:tcPr>
          <w:p w:rsidR="00FE4B85" w:rsidRPr="00447A19" w:rsidRDefault="00FE4B85" w:rsidP="0041395D">
            <w:pPr>
              <w:pStyle w:val="Default"/>
              <w:rPr>
                <w:iCs/>
              </w:rPr>
            </w:pPr>
            <w:r w:rsidRPr="00447A19">
              <w:rPr>
                <w:iCs/>
              </w:rPr>
              <w:t>V oblasti klinického skúšania</w:t>
            </w:r>
            <w:r w:rsidR="00447A19" w:rsidRPr="00447A19">
              <w:rPr>
                <w:iCs/>
              </w:rPr>
              <w:t xml:space="preserve"> zdravotníckych pomôcok </w:t>
            </w:r>
            <w:r w:rsidR="00447A19" w:rsidRPr="00447A19">
              <w:t>a štúdie výkonu  diagnostickej zdravotníckej pomôcky in vitro</w:t>
            </w:r>
            <w:r w:rsidRPr="00447A19">
              <w:rPr>
                <w:iCs/>
              </w:rPr>
              <w:t xml:space="preserve"> alternatívne riešenia nie sú.</w:t>
            </w:r>
          </w:p>
          <w:p w:rsidR="00FE4B85" w:rsidRPr="00390FF8" w:rsidRDefault="00FE4B85" w:rsidP="0041395D">
            <w:pPr>
              <w:pStyle w:val="Default"/>
              <w:rPr>
                <w:sz w:val="20"/>
                <w:szCs w:val="20"/>
              </w:rPr>
            </w:pPr>
          </w:p>
        </w:tc>
      </w:tr>
      <w:tr w:rsidR="003501A1" w:rsidRPr="00A179AE" w:rsidTr="00390FF8">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lastRenderedPageBreak/>
              <w:t>Vykonávacie predpisy</w:t>
            </w:r>
          </w:p>
        </w:tc>
      </w:tr>
      <w:tr w:rsidR="003501A1" w:rsidRPr="00A179AE" w:rsidTr="00390FF8">
        <w:tc>
          <w:tcPr>
            <w:tcW w:w="6203" w:type="dxa"/>
            <w:gridSpan w:val="4"/>
            <w:tcBorders>
              <w:top w:val="single" w:sz="4" w:space="0" w:color="FFFFFF"/>
              <w:left w:val="single" w:sz="4" w:space="0" w:color="auto"/>
              <w:bottom w:val="nil"/>
              <w:right w:val="nil"/>
            </w:tcBorders>
            <w:shd w:val="clear" w:color="auto" w:fill="FFFFFF"/>
          </w:tcPr>
          <w:p w:rsidR="003501A1" w:rsidRPr="00390FF8" w:rsidRDefault="003501A1" w:rsidP="005C2A8E">
            <w:pPr>
              <w:rPr>
                <w:i/>
              </w:rPr>
            </w:pPr>
            <w:r w:rsidRPr="00390FF8">
              <w:rPr>
                <w:i/>
              </w:rPr>
              <w:t>Predpokladá sa prijatie/zmena  vykonávacích predpisov?</w:t>
            </w:r>
          </w:p>
        </w:tc>
        <w:tc>
          <w:tcPr>
            <w:tcW w:w="1417" w:type="dxa"/>
            <w:tcBorders>
              <w:top w:val="single" w:sz="4" w:space="0" w:color="FFFFFF"/>
              <w:left w:val="nil"/>
              <w:bottom w:val="nil"/>
              <w:right w:val="nil"/>
            </w:tcBorders>
            <w:shd w:val="clear" w:color="auto" w:fill="FFFFFF"/>
          </w:tcPr>
          <w:p w:rsidR="003501A1" w:rsidRPr="00A179AE" w:rsidRDefault="003501A1" w:rsidP="00390FF8">
            <w:pPr>
              <w:jc w:val="center"/>
            </w:pPr>
          </w:p>
        </w:tc>
        <w:tc>
          <w:tcPr>
            <w:tcW w:w="1560" w:type="dxa"/>
            <w:tcBorders>
              <w:top w:val="single" w:sz="4" w:space="0" w:color="FFFFFF"/>
              <w:left w:val="nil"/>
              <w:bottom w:val="nil"/>
              <w:right w:val="single" w:sz="4" w:space="0" w:color="auto"/>
            </w:tcBorders>
            <w:shd w:val="clear" w:color="auto" w:fill="FFFFFF"/>
          </w:tcPr>
          <w:p w:rsidR="003501A1" w:rsidRPr="00586965" w:rsidRDefault="003501A1" w:rsidP="00447A19">
            <w:pPr>
              <w:jc w:val="center"/>
              <w:rPr>
                <w:sz w:val="24"/>
                <w:szCs w:val="24"/>
              </w:rPr>
            </w:pPr>
            <w:r w:rsidRPr="00A179AE">
              <w:t xml:space="preserve"> </w:t>
            </w:r>
            <w:r w:rsidRPr="00586965">
              <w:rPr>
                <w:sz w:val="24"/>
                <w:szCs w:val="24"/>
              </w:rPr>
              <w:t>Nie</w:t>
            </w:r>
          </w:p>
        </w:tc>
      </w:tr>
      <w:tr w:rsidR="003501A1" w:rsidRPr="00A179AE" w:rsidTr="00390FF8">
        <w:tc>
          <w:tcPr>
            <w:tcW w:w="9180" w:type="dxa"/>
            <w:gridSpan w:val="6"/>
            <w:tcBorders>
              <w:top w:val="nil"/>
              <w:left w:val="single" w:sz="4" w:space="0" w:color="auto"/>
              <w:bottom w:val="single" w:sz="4" w:space="0" w:color="auto"/>
              <w:right w:val="single" w:sz="4" w:space="0" w:color="auto"/>
            </w:tcBorders>
            <w:shd w:val="clear" w:color="auto" w:fill="FFFFFF"/>
          </w:tcPr>
          <w:p w:rsidR="003501A1" w:rsidRPr="00390FF8" w:rsidRDefault="003501A1" w:rsidP="005C2A8E">
            <w:pPr>
              <w:rPr>
                <w:i/>
              </w:rPr>
            </w:pPr>
            <w:r w:rsidRPr="00390FF8">
              <w:rPr>
                <w:i/>
              </w:rPr>
              <w:t>Ak áno, uveďte ktoré oblasti budú nimi upravené, resp. ktorých vykonávacích predpisov sa zmena dotkne:</w:t>
            </w:r>
          </w:p>
          <w:p w:rsidR="00A96EAA" w:rsidRPr="00390FF8" w:rsidRDefault="00A96EAA" w:rsidP="00A96EAA">
            <w:pPr>
              <w:rPr>
                <w:i/>
              </w:rPr>
            </w:pPr>
          </w:p>
          <w:p w:rsidR="003501A1" w:rsidRPr="00A179AE" w:rsidRDefault="003501A1" w:rsidP="00447A19">
            <w:pPr>
              <w:jc w:val="both"/>
            </w:pPr>
          </w:p>
        </w:tc>
      </w:tr>
      <w:tr w:rsidR="003501A1" w:rsidRPr="00A179AE" w:rsidTr="00390FF8">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 xml:space="preserve">Transpozícia práva EÚ </w:t>
            </w:r>
          </w:p>
        </w:tc>
      </w:tr>
      <w:tr w:rsidR="003501A1" w:rsidRPr="00A179AE" w:rsidTr="00390FF8">
        <w:trPr>
          <w:trHeight w:val="157"/>
        </w:trPr>
        <w:tc>
          <w:tcPr>
            <w:tcW w:w="9180" w:type="dxa"/>
            <w:gridSpan w:val="6"/>
            <w:tcBorders>
              <w:top w:val="nil"/>
              <w:left w:val="single" w:sz="4" w:space="0" w:color="000000"/>
              <w:bottom w:val="nil"/>
              <w:right w:val="single" w:sz="4" w:space="0" w:color="auto"/>
            </w:tcBorders>
            <w:shd w:val="clear" w:color="auto" w:fill="FFFFFF"/>
          </w:tcPr>
          <w:p w:rsidR="003501A1" w:rsidRPr="00586965" w:rsidRDefault="00975D90" w:rsidP="005C2A8E">
            <w:pPr>
              <w:rPr>
                <w:sz w:val="24"/>
                <w:szCs w:val="24"/>
              </w:rPr>
            </w:pPr>
            <w:r w:rsidRPr="00586965">
              <w:rPr>
                <w:sz w:val="24"/>
                <w:szCs w:val="24"/>
              </w:rPr>
              <w:t>bezpredmetné</w:t>
            </w:r>
          </w:p>
        </w:tc>
      </w:tr>
      <w:tr w:rsidR="003501A1" w:rsidRPr="00A179AE" w:rsidTr="00390FF8">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3501A1" w:rsidRPr="00A179AE" w:rsidRDefault="003501A1" w:rsidP="00390FF8">
            <w:pPr>
              <w:jc w:val="center"/>
            </w:pPr>
          </w:p>
        </w:tc>
      </w:tr>
      <w:tr w:rsidR="003501A1" w:rsidRPr="00A179AE" w:rsidTr="00390FF8">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390FF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Preskúmanie účelnosti</w:t>
            </w:r>
            <w:r w:rsidR="00F62771" w:rsidRPr="00390FF8">
              <w:rPr>
                <w:rFonts w:ascii="Times New Roman" w:hAnsi="Times New Roman"/>
                <w:b/>
              </w:rPr>
              <w:t>**</w:t>
            </w:r>
          </w:p>
        </w:tc>
      </w:tr>
      <w:tr w:rsidR="003501A1" w:rsidRPr="00A179AE" w:rsidTr="00390FF8">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3501A1" w:rsidRPr="00390FF8" w:rsidRDefault="003501A1" w:rsidP="00293333">
            <w:pPr>
              <w:rPr>
                <w:i/>
              </w:rPr>
            </w:pPr>
          </w:p>
          <w:p w:rsidR="00293333" w:rsidRPr="00390FF8" w:rsidRDefault="00293333" w:rsidP="00293333">
            <w:pPr>
              <w:rPr>
                <w:i/>
              </w:rPr>
            </w:pPr>
          </w:p>
        </w:tc>
      </w:tr>
      <w:tr w:rsidR="003501A1" w:rsidRPr="00A179AE" w:rsidTr="00390FF8">
        <w:trPr>
          <w:trHeight w:val="715"/>
        </w:trPr>
        <w:tc>
          <w:tcPr>
            <w:tcW w:w="9180" w:type="dxa"/>
            <w:gridSpan w:val="6"/>
            <w:tcBorders>
              <w:top w:val="single" w:sz="4" w:space="0" w:color="auto"/>
              <w:left w:val="nil"/>
              <w:bottom w:val="nil"/>
              <w:right w:val="nil"/>
            </w:tcBorders>
            <w:shd w:val="clear" w:color="auto" w:fill="FFFFFF"/>
          </w:tcPr>
          <w:p w:rsidR="004F6F1F" w:rsidRDefault="004F6F1F" w:rsidP="00390FF8">
            <w:pPr>
              <w:ind w:left="142" w:hanging="142"/>
            </w:pPr>
          </w:p>
          <w:p w:rsidR="00D13B6F" w:rsidRDefault="00D13B6F" w:rsidP="00390FF8">
            <w:pPr>
              <w:ind w:left="142" w:hanging="142"/>
            </w:pPr>
          </w:p>
          <w:p w:rsidR="00F62771" w:rsidRDefault="00F62771" w:rsidP="00390FF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Default="00F62771" w:rsidP="00F22831">
            <w:r>
              <w:t>*</w:t>
            </w:r>
            <w:r w:rsidR="00F22831">
              <w:t>* nepovinné</w:t>
            </w:r>
          </w:p>
          <w:p w:rsidR="00D35768" w:rsidRDefault="00D35768" w:rsidP="00F22831"/>
          <w:p w:rsidR="00D35768" w:rsidRDefault="00D35768" w:rsidP="00F22831"/>
          <w:tbl>
            <w:tblPr>
              <w:tblStyle w:val="Mriekatabuky"/>
              <w:tblW w:w="9180" w:type="dxa"/>
              <w:tblLayout w:type="fixed"/>
              <w:tblLook w:val="04A0" w:firstRow="1" w:lastRow="0" w:firstColumn="1" w:lastColumn="0" w:noHBand="0" w:noVBand="1"/>
            </w:tblPr>
            <w:tblGrid>
              <w:gridCol w:w="3812"/>
              <w:gridCol w:w="541"/>
              <w:gridCol w:w="1281"/>
              <w:gridCol w:w="569"/>
              <w:gridCol w:w="1133"/>
              <w:gridCol w:w="547"/>
              <w:gridCol w:w="1297"/>
            </w:tblGrid>
            <w:tr w:rsidR="00D35768" w:rsidRPr="00A179AE" w:rsidTr="00AE730E">
              <w:trPr>
                <w:trHeight w:val="577"/>
              </w:trPr>
              <w:tc>
                <w:tcPr>
                  <w:tcW w:w="9180" w:type="dxa"/>
                  <w:gridSpan w:val="7"/>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D35768" w:rsidRPr="00A179AE" w:rsidRDefault="00D35768" w:rsidP="00D35768">
                  <w:pPr>
                    <w:pStyle w:val="Odsekzoznamu"/>
                    <w:numPr>
                      <w:ilvl w:val="0"/>
                      <w:numId w:val="1"/>
                    </w:numPr>
                    <w:spacing w:after="0" w:line="240" w:lineRule="auto"/>
                    <w:rPr>
                      <w:rFonts w:ascii="Times New Roman" w:hAnsi="Times New Roman"/>
                      <w:b/>
                    </w:rPr>
                  </w:pPr>
                  <w:r w:rsidRPr="00A179AE">
                    <w:rPr>
                      <w:rFonts w:ascii="Times New Roman" w:hAnsi="Times New Roman"/>
                      <w:b/>
                    </w:rPr>
                    <w:t>Vplyvy navrhovaného materiálu</w:t>
                  </w:r>
                </w:p>
              </w:tc>
            </w:tr>
            <w:tr w:rsidR="00D35768" w:rsidRPr="00A179AE" w:rsidTr="00AE730E">
              <w:tc>
                <w:tcPr>
                  <w:tcW w:w="3812" w:type="dxa"/>
                  <w:tcBorders>
                    <w:top w:val="single" w:sz="4" w:space="0" w:color="auto"/>
                    <w:left w:val="single" w:sz="4" w:space="0" w:color="auto"/>
                    <w:bottom w:val="nil"/>
                    <w:right w:val="single" w:sz="4" w:space="0" w:color="auto"/>
                  </w:tcBorders>
                  <w:shd w:val="clear" w:color="auto" w:fill="E2E2E2"/>
                </w:tcPr>
                <w:p w:rsidR="00D35768" w:rsidRPr="00A179AE" w:rsidRDefault="00D35768" w:rsidP="00D35768">
                  <w:pPr>
                    <w:rPr>
                      <w:b/>
                    </w:rPr>
                  </w:pPr>
                  <w:r w:rsidRPr="00A179AE">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34"/>
                    <w:rPr>
                      <w:b/>
                    </w:rPr>
                  </w:pPr>
                  <w:r w:rsidRPr="00A179AE">
                    <w:rPr>
                      <w:b/>
                    </w:rPr>
                    <w:t>Negatívne</w:t>
                  </w:r>
                </w:p>
              </w:tc>
            </w:tr>
            <w:tr w:rsidR="00D35768" w:rsidRPr="00A179AE" w:rsidTr="00AE730E">
              <w:tc>
                <w:tcPr>
                  <w:tcW w:w="3812" w:type="dxa"/>
                  <w:tcBorders>
                    <w:top w:val="nil"/>
                    <w:left w:val="single" w:sz="4" w:space="0" w:color="auto"/>
                    <w:bottom w:val="single" w:sz="4" w:space="0" w:color="000000" w:themeColor="text1"/>
                    <w:right w:val="single" w:sz="4" w:space="0" w:color="auto"/>
                  </w:tcBorders>
                  <w:shd w:val="clear" w:color="auto" w:fill="E2E2E2"/>
                </w:tcPr>
                <w:p w:rsidR="00D35768" w:rsidRPr="00A179AE" w:rsidRDefault="00D35768" w:rsidP="00D35768">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pPr>
                      <w:r w:rsidRPr="00A179AE">
                        <w:rPr>
                          <w:rFonts w:ascii="MS Mincho" w:eastAsia="MS Mincho" w:hAnsi="MS Mincho" w:cs="MS Mincho" w:hint="eastAsia"/>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r w:rsidRPr="00A179AE">
                    <w:t>Nie</w:t>
                  </w:r>
                </w:p>
              </w:tc>
              <w:sdt>
                <w:sdtPr>
                  <w:id w:val="36194077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34"/>
                  </w:pPr>
                  <w:r w:rsidRPr="00A179AE">
                    <w:t>Čiastočne</w:t>
                  </w:r>
                </w:p>
              </w:tc>
            </w:tr>
            <w:tr w:rsidR="00D35768" w:rsidRPr="00A179AE" w:rsidTr="00AE730E">
              <w:tc>
                <w:tcPr>
                  <w:tcW w:w="3812" w:type="dxa"/>
                  <w:tcBorders>
                    <w:top w:val="single" w:sz="4" w:space="0" w:color="000000" w:themeColor="text1"/>
                    <w:left w:val="single" w:sz="4" w:space="0" w:color="auto"/>
                    <w:bottom w:val="nil"/>
                    <w:right w:val="single" w:sz="4" w:space="0" w:color="auto"/>
                  </w:tcBorders>
                  <w:shd w:val="clear" w:color="auto" w:fill="E2E2E2"/>
                </w:tcPr>
                <w:p w:rsidR="00D35768" w:rsidRPr="00A179AE" w:rsidRDefault="00D35768" w:rsidP="00D35768">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Žiadne</w:t>
                  </w:r>
                </w:p>
              </w:tc>
              <w:sdt>
                <w:sdtPr>
                  <w:rPr>
                    <w:b/>
                  </w:rPr>
                  <w:id w:val="2173546"/>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54"/>
                    <w:rPr>
                      <w:b/>
                    </w:rPr>
                  </w:pPr>
                  <w:r w:rsidRPr="00A179AE">
                    <w:rPr>
                      <w:b/>
                    </w:rPr>
                    <w:t>Negatívne</w:t>
                  </w:r>
                </w:p>
              </w:tc>
            </w:tr>
            <w:tr w:rsidR="00D35768" w:rsidRPr="00A179AE" w:rsidTr="00AE730E">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D35768" w:rsidRPr="00A179AE" w:rsidRDefault="00D35768" w:rsidP="00D35768">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000000" w:themeColor="text1"/>
                        <w:bottom w:val="single" w:sz="4" w:space="0" w:color="auto"/>
                        <w:right w:val="nil"/>
                      </w:tcBorders>
                    </w:tcPr>
                    <w:p w:rsidR="00D35768" w:rsidRPr="00A179AE" w:rsidRDefault="00D35768" w:rsidP="00D35768">
                      <w:pPr>
                        <w:jc w:val="center"/>
                      </w:pPr>
                      <w:r w:rsidRPr="00A179AE">
                        <w:rPr>
                          <w:rFonts w:ascii="MS Mincho" w:eastAsia="MS Mincho" w:hAnsi="MS Mincho" w:cs="MS Mincho" w:hint="eastAsia"/>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r w:rsidRPr="00A179AE">
                    <w:t>Žiadne</w:t>
                  </w:r>
                </w:p>
              </w:tc>
              <w:sdt>
                <w:sdtPr>
                  <w:id w:val="671765022"/>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54"/>
                  </w:pPr>
                  <w:r w:rsidRPr="00A179AE">
                    <w:t>Negatívne</w:t>
                  </w:r>
                </w:p>
              </w:tc>
            </w:tr>
            <w:tr w:rsidR="00D35768" w:rsidRPr="00A179AE" w:rsidTr="00AE730E">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D35768" w:rsidRPr="00A179AE" w:rsidRDefault="00D35768" w:rsidP="00D35768">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54"/>
                    <w:rPr>
                      <w:b/>
                    </w:rPr>
                  </w:pPr>
                  <w:r w:rsidRPr="00A179AE">
                    <w:rPr>
                      <w:b/>
                    </w:rPr>
                    <w:t>Negatívne</w:t>
                  </w:r>
                </w:p>
              </w:tc>
            </w:tr>
            <w:tr w:rsidR="00D35768" w:rsidRPr="00A179AE" w:rsidTr="00AE730E">
              <w:tc>
                <w:tcPr>
                  <w:tcW w:w="3812" w:type="dxa"/>
                  <w:tcBorders>
                    <w:top w:val="single" w:sz="4" w:space="0" w:color="auto"/>
                    <w:left w:val="single" w:sz="4" w:space="0" w:color="auto"/>
                    <w:bottom w:val="single" w:sz="4" w:space="0" w:color="auto"/>
                    <w:right w:val="single" w:sz="4" w:space="0" w:color="auto"/>
                  </w:tcBorders>
                  <w:shd w:val="clear" w:color="auto" w:fill="E2E2E2"/>
                </w:tcPr>
                <w:p w:rsidR="00D35768" w:rsidRPr="00A179AE" w:rsidRDefault="00D35768" w:rsidP="00D35768">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54"/>
                    <w:rPr>
                      <w:b/>
                    </w:rPr>
                  </w:pPr>
                  <w:r w:rsidRPr="00A179AE">
                    <w:rPr>
                      <w:b/>
                    </w:rPr>
                    <w:t>Negatívne</w:t>
                  </w:r>
                </w:p>
              </w:tc>
            </w:tr>
            <w:tr w:rsidR="00D35768" w:rsidRPr="00A179AE" w:rsidTr="00AE730E">
              <w:tc>
                <w:tcPr>
                  <w:tcW w:w="3812" w:type="dxa"/>
                  <w:tcBorders>
                    <w:top w:val="single" w:sz="4" w:space="0" w:color="auto"/>
                    <w:left w:val="single" w:sz="4" w:space="0" w:color="auto"/>
                    <w:bottom w:val="single" w:sz="4" w:space="0" w:color="auto"/>
                    <w:right w:val="single" w:sz="4" w:space="0" w:color="auto"/>
                  </w:tcBorders>
                  <w:shd w:val="clear" w:color="auto" w:fill="E2E2E2"/>
                </w:tcPr>
                <w:p w:rsidR="00D35768" w:rsidRPr="00A179AE" w:rsidRDefault="00D35768" w:rsidP="00D35768">
                  <w:pPr>
                    <w:rPr>
                      <w:b/>
                    </w:rPr>
                  </w:pPr>
                  <w:r w:rsidRPr="00A179AE">
                    <w:rPr>
                      <w:b/>
                    </w:rPr>
                    <w:t>Vplyvy na informatizáciu</w:t>
                  </w:r>
                </w:p>
              </w:tc>
              <w:sdt>
                <w:sdtPr>
                  <w:rPr>
                    <w:b/>
                  </w:rPr>
                  <w:id w:val="-940751000"/>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tcPr>
                <w:p w:rsidR="00D35768" w:rsidRPr="00A179AE" w:rsidRDefault="00D35768" w:rsidP="00D35768">
                  <w:pPr>
                    <w:ind w:right="-108"/>
                    <w:rPr>
                      <w:b/>
                    </w:rPr>
                  </w:pPr>
                  <w:r w:rsidRPr="00A179AE">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D35768" w:rsidRPr="00A179AE" w:rsidRDefault="00D35768" w:rsidP="00D35768">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D35768" w:rsidRPr="00A179AE" w:rsidRDefault="00D35768" w:rsidP="00D35768">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D35768" w:rsidRPr="00A179AE" w:rsidRDefault="00D35768" w:rsidP="00D35768">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D35768" w:rsidRPr="00A179AE" w:rsidTr="00AE730E">
              <w:tc>
                <w:tcPr>
                  <w:tcW w:w="3812" w:type="dxa"/>
                  <w:tcBorders>
                    <w:top w:val="single" w:sz="4" w:space="0" w:color="auto"/>
                    <w:left w:val="single" w:sz="4" w:space="0" w:color="auto"/>
                    <w:bottom w:val="nil"/>
                    <w:right w:val="single" w:sz="4" w:space="0" w:color="auto"/>
                  </w:tcBorders>
                  <w:shd w:val="clear" w:color="auto" w:fill="E2E2E2"/>
                </w:tcPr>
                <w:p w:rsidR="00D35768" w:rsidRPr="00653ADA" w:rsidRDefault="00D35768" w:rsidP="00D35768">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D35768" w:rsidRPr="00653ADA" w:rsidRDefault="00D35768" w:rsidP="00D35768">
                  <w:pPr>
                    <w:jc w:val="center"/>
                    <w:rPr>
                      <w:rFonts w:eastAsia="MS Mincho"/>
                      <w:b/>
                    </w:rPr>
                  </w:pPr>
                </w:p>
              </w:tc>
              <w:tc>
                <w:tcPr>
                  <w:tcW w:w="1281" w:type="dxa"/>
                  <w:tcBorders>
                    <w:top w:val="single" w:sz="4" w:space="0" w:color="auto"/>
                    <w:left w:val="nil"/>
                    <w:bottom w:val="nil"/>
                    <w:right w:val="nil"/>
                  </w:tcBorders>
                  <w:shd w:val="clear" w:color="auto" w:fill="auto"/>
                </w:tcPr>
                <w:p w:rsidR="00D35768" w:rsidRPr="00653ADA" w:rsidRDefault="00D35768" w:rsidP="00D35768">
                  <w:pPr>
                    <w:ind w:right="-108"/>
                    <w:rPr>
                      <w:b/>
                    </w:rPr>
                  </w:pPr>
                </w:p>
              </w:tc>
              <w:tc>
                <w:tcPr>
                  <w:tcW w:w="569" w:type="dxa"/>
                  <w:tcBorders>
                    <w:top w:val="single" w:sz="4" w:space="0" w:color="auto"/>
                    <w:left w:val="nil"/>
                    <w:bottom w:val="nil"/>
                    <w:right w:val="nil"/>
                  </w:tcBorders>
                  <w:shd w:val="clear" w:color="auto" w:fill="auto"/>
                </w:tcPr>
                <w:p w:rsidR="00D35768" w:rsidRPr="00653ADA" w:rsidRDefault="00D35768" w:rsidP="00D35768">
                  <w:pPr>
                    <w:jc w:val="center"/>
                    <w:rPr>
                      <w:rFonts w:eastAsia="MS Mincho"/>
                      <w:b/>
                    </w:rPr>
                  </w:pPr>
                </w:p>
              </w:tc>
              <w:tc>
                <w:tcPr>
                  <w:tcW w:w="1133" w:type="dxa"/>
                  <w:tcBorders>
                    <w:top w:val="single" w:sz="4" w:space="0" w:color="auto"/>
                    <w:left w:val="nil"/>
                    <w:bottom w:val="nil"/>
                    <w:right w:val="nil"/>
                  </w:tcBorders>
                  <w:shd w:val="clear" w:color="auto" w:fill="auto"/>
                </w:tcPr>
                <w:p w:rsidR="00D35768" w:rsidRPr="00653ADA" w:rsidRDefault="00D35768" w:rsidP="00D35768">
                  <w:pPr>
                    <w:rPr>
                      <w:b/>
                    </w:rPr>
                  </w:pPr>
                </w:p>
              </w:tc>
              <w:tc>
                <w:tcPr>
                  <w:tcW w:w="547" w:type="dxa"/>
                  <w:tcBorders>
                    <w:top w:val="single" w:sz="4" w:space="0" w:color="auto"/>
                    <w:left w:val="nil"/>
                    <w:bottom w:val="nil"/>
                    <w:right w:val="nil"/>
                  </w:tcBorders>
                  <w:shd w:val="clear" w:color="auto" w:fill="auto"/>
                </w:tcPr>
                <w:p w:rsidR="00D35768" w:rsidRPr="00653ADA" w:rsidRDefault="00D35768" w:rsidP="00D35768">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D35768" w:rsidRPr="00653ADA" w:rsidRDefault="00D35768" w:rsidP="00D35768">
                  <w:pPr>
                    <w:ind w:left="54"/>
                    <w:rPr>
                      <w:b/>
                    </w:rPr>
                  </w:pPr>
                </w:p>
              </w:tc>
            </w:tr>
            <w:tr w:rsidR="00D35768" w:rsidRPr="009634B3" w:rsidTr="00AE730E">
              <w:tc>
                <w:tcPr>
                  <w:tcW w:w="3812" w:type="dxa"/>
                  <w:tcBorders>
                    <w:top w:val="nil"/>
                    <w:left w:val="single" w:sz="4" w:space="0" w:color="auto"/>
                    <w:bottom w:val="nil"/>
                    <w:right w:val="single" w:sz="4" w:space="0" w:color="auto"/>
                  </w:tcBorders>
                  <w:shd w:val="clear" w:color="auto" w:fill="E2E2E2"/>
                </w:tcPr>
                <w:p w:rsidR="00D35768" w:rsidRPr="009634B3" w:rsidRDefault="00D35768" w:rsidP="00D35768">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D35768" w:rsidRPr="00A179AE" w:rsidRDefault="00D35768" w:rsidP="00D35768">
                      <w:pPr>
                        <w:jc w:val="center"/>
                        <w:rPr>
                          <w:b/>
                        </w:rPr>
                      </w:pPr>
                      <w:r>
                        <w:rPr>
                          <w:rFonts w:ascii="MS Gothic" w:eastAsia="MS Gothic" w:hAnsi="MS Gothic" w:hint="eastAsia"/>
                          <w:b/>
                        </w:rPr>
                        <w:t>☐</w:t>
                      </w:r>
                    </w:p>
                  </w:tc>
                </w:sdtContent>
              </w:sdt>
              <w:tc>
                <w:tcPr>
                  <w:tcW w:w="1281" w:type="dxa"/>
                  <w:tcBorders>
                    <w:top w:val="nil"/>
                    <w:left w:val="nil"/>
                    <w:bottom w:val="nil"/>
                    <w:right w:val="nil"/>
                  </w:tcBorders>
                  <w:shd w:val="clear" w:color="auto" w:fill="auto"/>
                </w:tcPr>
                <w:p w:rsidR="00D35768" w:rsidRPr="00A179AE" w:rsidRDefault="00D35768" w:rsidP="00D35768">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D35768" w:rsidRPr="00A179AE" w:rsidRDefault="00D35768" w:rsidP="00D35768">
                      <w:pPr>
                        <w:jc w:val="center"/>
                        <w:rPr>
                          <w:b/>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D35768" w:rsidRPr="00A179AE" w:rsidRDefault="00D35768" w:rsidP="00D3576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97" w:type="dxa"/>
                  <w:tcBorders>
                    <w:top w:val="nil"/>
                    <w:left w:val="nil"/>
                    <w:bottom w:val="nil"/>
                    <w:right w:val="single" w:sz="4" w:space="0" w:color="auto"/>
                  </w:tcBorders>
                  <w:shd w:val="clear" w:color="auto" w:fill="auto"/>
                </w:tcPr>
                <w:p w:rsidR="00D35768" w:rsidRPr="00A179AE" w:rsidRDefault="00D35768" w:rsidP="00D35768">
                  <w:pPr>
                    <w:ind w:left="54"/>
                    <w:rPr>
                      <w:b/>
                    </w:rPr>
                  </w:pPr>
                  <w:r w:rsidRPr="00A179AE">
                    <w:rPr>
                      <w:b/>
                    </w:rPr>
                    <w:t>Negatívne</w:t>
                  </w:r>
                </w:p>
              </w:tc>
            </w:tr>
            <w:tr w:rsidR="00D35768" w:rsidRPr="009634B3" w:rsidTr="00AE730E">
              <w:tc>
                <w:tcPr>
                  <w:tcW w:w="3812" w:type="dxa"/>
                  <w:tcBorders>
                    <w:top w:val="nil"/>
                    <w:left w:val="single" w:sz="4" w:space="0" w:color="auto"/>
                    <w:bottom w:val="single" w:sz="4" w:space="0" w:color="auto"/>
                    <w:right w:val="single" w:sz="4" w:space="0" w:color="auto"/>
                  </w:tcBorders>
                  <w:shd w:val="clear" w:color="auto" w:fill="E2E2E2"/>
                </w:tcPr>
                <w:p w:rsidR="00D35768" w:rsidRPr="009634B3" w:rsidRDefault="00D35768" w:rsidP="00D35768">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81" w:type="dxa"/>
                  <w:tcBorders>
                    <w:top w:val="nil"/>
                    <w:left w:val="nil"/>
                    <w:bottom w:val="single" w:sz="4" w:space="0" w:color="auto"/>
                    <w:right w:val="nil"/>
                  </w:tcBorders>
                  <w:shd w:val="clear" w:color="auto" w:fill="auto"/>
                </w:tcPr>
                <w:p w:rsidR="00D35768" w:rsidRPr="00A179AE" w:rsidRDefault="00D35768" w:rsidP="00D35768">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D35768" w:rsidRPr="00A179AE" w:rsidRDefault="00D35768" w:rsidP="00D3576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D35768" w:rsidRPr="00A179AE" w:rsidRDefault="00D35768" w:rsidP="00D3576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D35768" w:rsidRPr="00A179AE" w:rsidRDefault="00D35768" w:rsidP="00D35768">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rsidR="00D35768" w:rsidRPr="00A179AE" w:rsidRDefault="00D35768" w:rsidP="00D35768">
                  <w:pPr>
                    <w:ind w:left="54"/>
                    <w:rPr>
                      <w:b/>
                    </w:rPr>
                  </w:pPr>
                  <w:r w:rsidRPr="00A179AE">
                    <w:rPr>
                      <w:b/>
                    </w:rPr>
                    <w:t>Negatívne</w:t>
                  </w:r>
                </w:p>
              </w:tc>
            </w:tr>
          </w:tbl>
          <w:p w:rsidR="00D35768" w:rsidRDefault="00D35768" w:rsidP="00F22831"/>
          <w:p w:rsidR="00D35768" w:rsidRPr="00A179AE" w:rsidRDefault="00D35768" w:rsidP="00F22831"/>
        </w:tc>
      </w:tr>
    </w:tbl>
    <w:p w:rsidR="003501A1" w:rsidRPr="00A179AE" w:rsidRDefault="003501A1" w:rsidP="003501A1">
      <w:pPr>
        <w:ind w:right="141"/>
        <w:rPr>
          <w:b/>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4F6F1F" w:rsidRPr="00A179AE" w:rsidTr="00390FF8">
        <w:tc>
          <w:tcPr>
            <w:tcW w:w="9176" w:type="dxa"/>
            <w:tcBorders>
              <w:top w:val="single" w:sz="4" w:space="0" w:color="auto"/>
              <w:left w:val="single" w:sz="4" w:space="0" w:color="auto"/>
              <w:bottom w:val="nil"/>
              <w:right w:val="single" w:sz="4" w:space="0" w:color="auto"/>
            </w:tcBorders>
            <w:shd w:val="clear" w:color="auto" w:fill="E2E2E2"/>
          </w:tcPr>
          <w:p w:rsidR="004F6F1F" w:rsidRPr="00390FF8" w:rsidRDefault="004F6F1F" w:rsidP="00D35768">
            <w:pPr>
              <w:pStyle w:val="Odsekzoznamu"/>
              <w:numPr>
                <w:ilvl w:val="0"/>
                <w:numId w:val="1"/>
              </w:numPr>
              <w:spacing w:after="0" w:line="240" w:lineRule="auto"/>
              <w:ind w:left="426"/>
              <w:rPr>
                <w:rFonts w:ascii="Times New Roman" w:hAnsi="Times New Roman"/>
                <w:b/>
              </w:rPr>
            </w:pPr>
            <w:r w:rsidRPr="00390FF8">
              <w:rPr>
                <w:rFonts w:ascii="Times New Roman" w:hAnsi="Times New Roman"/>
                <w:b/>
              </w:rPr>
              <w:t>Poznámky</w:t>
            </w:r>
          </w:p>
        </w:tc>
      </w:tr>
      <w:tr w:rsidR="004F6F1F" w:rsidRPr="00A179AE" w:rsidTr="00390FF8">
        <w:trPr>
          <w:trHeight w:val="713"/>
        </w:trPr>
        <w:tc>
          <w:tcPr>
            <w:tcW w:w="9176" w:type="dxa"/>
            <w:tcBorders>
              <w:top w:val="nil"/>
              <w:left w:val="single" w:sz="4" w:space="0" w:color="auto"/>
              <w:bottom w:val="single" w:sz="4" w:space="0" w:color="FFFFFF"/>
              <w:right w:val="single" w:sz="4" w:space="0" w:color="auto"/>
            </w:tcBorders>
            <w:shd w:val="clear" w:color="auto" w:fill="auto"/>
          </w:tcPr>
          <w:p w:rsidR="000E6EE6" w:rsidRPr="00586965" w:rsidRDefault="000E6EE6" w:rsidP="00390FF8">
            <w:pPr>
              <w:pStyle w:val="Default"/>
              <w:jc w:val="both"/>
              <w:rPr>
                <w:iCs/>
                <w:sz w:val="20"/>
                <w:szCs w:val="20"/>
              </w:rPr>
            </w:pPr>
          </w:p>
          <w:p w:rsidR="00070A71" w:rsidRPr="00586965" w:rsidRDefault="00070A71" w:rsidP="00390FF8">
            <w:pPr>
              <w:jc w:val="both"/>
              <w:rPr>
                <w:iCs/>
                <w:sz w:val="24"/>
                <w:szCs w:val="24"/>
              </w:rPr>
            </w:pPr>
            <w:r w:rsidRPr="00586965">
              <w:rPr>
                <w:iCs/>
                <w:sz w:val="24"/>
                <w:szCs w:val="24"/>
              </w:rPr>
              <w:t>Návrh zákona má pozitívne aj negatívne vplyvy na rozpočet verejnej správy (pozitívne: príjmy zo správnych poplatkov, negatívne: krytie zvýšených výdavkov Štátneho ústavu pre kontrolu liečiv</w:t>
            </w:r>
            <w:r w:rsidR="00447A19" w:rsidRPr="00586965">
              <w:rPr>
                <w:iCs/>
                <w:sz w:val="24"/>
                <w:szCs w:val="24"/>
              </w:rPr>
              <w:t>.</w:t>
            </w:r>
          </w:p>
          <w:p w:rsidR="005D771C" w:rsidRPr="00586965" w:rsidRDefault="005D771C" w:rsidP="00390FF8">
            <w:pPr>
              <w:jc w:val="both"/>
              <w:rPr>
                <w:iCs/>
                <w:sz w:val="24"/>
                <w:szCs w:val="24"/>
              </w:rPr>
            </w:pPr>
          </w:p>
          <w:p w:rsidR="00B95A4B" w:rsidRPr="00586965" w:rsidRDefault="00FB055C" w:rsidP="00390FF8">
            <w:pPr>
              <w:jc w:val="both"/>
              <w:rPr>
                <w:iCs/>
                <w:sz w:val="24"/>
                <w:szCs w:val="24"/>
              </w:rPr>
            </w:pPr>
            <w:r w:rsidRPr="00586965">
              <w:rPr>
                <w:iCs/>
                <w:sz w:val="24"/>
                <w:szCs w:val="24"/>
              </w:rPr>
              <w:t xml:space="preserve">Návrh zákona, ktorým sa mení a dopĺňa zákon č. 362/2011 Z. z. o liekoch a zdravotníckych pomôckach a o zmene a doplnení niektorých zákonov  bude mať </w:t>
            </w:r>
            <w:r w:rsidR="00447A19" w:rsidRPr="00586965">
              <w:rPr>
                <w:iCs/>
                <w:sz w:val="24"/>
                <w:szCs w:val="24"/>
              </w:rPr>
              <w:t xml:space="preserve"> v roku </w:t>
            </w:r>
            <w:r w:rsidRPr="00586965">
              <w:rPr>
                <w:iCs/>
                <w:sz w:val="24"/>
                <w:szCs w:val="24"/>
              </w:rPr>
              <w:t>20</w:t>
            </w:r>
            <w:r w:rsidR="00447A19" w:rsidRPr="00586965">
              <w:rPr>
                <w:iCs/>
                <w:sz w:val="24"/>
                <w:szCs w:val="24"/>
              </w:rPr>
              <w:t>20 pozitívny</w:t>
            </w:r>
            <w:r w:rsidRPr="00586965">
              <w:rPr>
                <w:iCs/>
                <w:sz w:val="24"/>
                <w:szCs w:val="24"/>
              </w:rPr>
              <w:t xml:space="preserve"> vplyv na verejné financie</w:t>
            </w:r>
            <w:r w:rsidR="00447A19" w:rsidRPr="00586965">
              <w:rPr>
                <w:iCs/>
                <w:sz w:val="24"/>
                <w:szCs w:val="24"/>
              </w:rPr>
              <w:t xml:space="preserve"> a v roku 2022 sa tento</w:t>
            </w:r>
            <w:r w:rsidRPr="00586965">
              <w:rPr>
                <w:iCs/>
                <w:sz w:val="24"/>
                <w:szCs w:val="24"/>
              </w:rPr>
              <w:t xml:space="preserve"> pozitívny</w:t>
            </w:r>
            <w:r w:rsidR="00447A19" w:rsidRPr="00586965">
              <w:rPr>
                <w:iCs/>
                <w:sz w:val="24"/>
                <w:szCs w:val="24"/>
              </w:rPr>
              <w:t xml:space="preserve"> vplyv zvýši</w:t>
            </w:r>
            <w:r w:rsidR="00CA6A77" w:rsidRPr="00586965">
              <w:rPr>
                <w:iCs/>
                <w:sz w:val="24"/>
                <w:szCs w:val="24"/>
              </w:rPr>
              <w:t>.</w:t>
            </w:r>
          </w:p>
          <w:p w:rsidR="005D771C" w:rsidRPr="00586965" w:rsidRDefault="005D771C" w:rsidP="00390FF8">
            <w:pPr>
              <w:jc w:val="both"/>
              <w:rPr>
                <w:iCs/>
                <w:sz w:val="24"/>
                <w:szCs w:val="24"/>
              </w:rPr>
            </w:pPr>
          </w:p>
          <w:p w:rsidR="00070A71" w:rsidRPr="00586965" w:rsidRDefault="00070A71" w:rsidP="00070A71">
            <w:pPr>
              <w:jc w:val="both"/>
              <w:rPr>
                <w:sz w:val="24"/>
                <w:szCs w:val="24"/>
              </w:rPr>
            </w:pPr>
            <w:r w:rsidRPr="00586965">
              <w:rPr>
                <w:sz w:val="24"/>
                <w:szCs w:val="24"/>
              </w:rPr>
              <w:t>V každom roku budú vplyvy na rozpočet verejnej správy pozitívne a zároveň aj negatívne. Pozitívne vplyvy predstavujú príjmy zo správnych poplatkov.</w:t>
            </w:r>
          </w:p>
          <w:p w:rsidR="005D771C" w:rsidRPr="00586965" w:rsidRDefault="005D771C" w:rsidP="00070A71">
            <w:pPr>
              <w:jc w:val="both"/>
              <w:rPr>
                <w:sz w:val="24"/>
                <w:szCs w:val="24"/>
              </w:rPr>
            </w:pPr>
          </w:p>
          <w:p w:rsidR="00CA6A77" w:rsidRPr="00586965" w:rsidRDefault="00070A71" w:rsidP="00070A71">
            <w:pPr>
              <w:jc w:val="both"/>
              <w:rPr>
                <w:sz w:val="24"/>
                <w:szCs w:val="24"/>
              </w:rPr>
            </w:pPr>
            <w:r w:rsidRPr="00586965">
              <w:rPr>
                <w:sz w:val="24"/>
                <w:szCs w:val="24"/>
              </w:rPr>
              <w:t>Negatívne vplyvy predstavujú výdavky ŠÚKL na krytie mzdových a režijných nákladov nových zamestnancov štátneho ústavu, ktorí budú zabezpečovať nové úlohy</w:t>
            </w:r>
            <w:r w:rsidRPr="00586965">
              <w:rPr>
                <w:b/>
                <w:sz w:val="24"/>
                <w:szCs w:val="24"/>
              </w:rPr>
              <w:t xml:space="preserve"> </w:t>
            </w:r>
            <w:r w:rsidRPr="00586965">
              <w:rPr>
                <w:sz w:val="24"/>
                <w:szCs w:val="24"/>
              </w:rPr>
              <w:t>v</w:t>
            </w:r>
            <w:r w:rsidR="00CA6A77" w:rsidRPr="00586965">
              <w:rPr>
                <w:sz w:val="24"/>
                <w:szCs w:val="24"/>
              </w:rPr>
              <w:t> </w:t>
            </w:r>
            <w:r w:rsidRPr="00586965">
              <w:rPr>
                <w:sz w:val="24"/>
                <w:szCs w:val="24"/>
              </w:rPr>
              <w:t>oblasti</w:t>
            </w:r>
            <w:r w:rsidR="00CA6A77" w:rsidRPr="00586965">
              <w:rPr>
                <w:sz w:val="24"/>
                <w:szCs w:val="24"/>
              </w:rPr>
              <w:t xml:space="preserve"> zdravotníckych pomôcok.</w:t>
            </w:r>
            <w:r w:rsidRPr="00586965">
              <w:rPr>
                <w:sz w:val="24"/>
                <w:szCs w:val="24"/>
              </w:rPr>
              <w:t xml:space="preserve"> </w:t>
            </w:r>
          </w:p>
          <w:p w:rsidR="00161902" w:rsidRPr="00586965" w:rsidRDefault="00070A71" w:rsidP="00CA6A77">
            <w:pPr>
              <w:jc w:val="both"/>
              <w:rPr>
                <w:sz w:val="24"/>
                <w:szCs w:val="24"/>
              </w:rPr>
            </w:pPr>
            <w:r w:rsidRPr="00586965">
              <w:rPr>
                <w:sz w:val="24"/>
                <w:szCs w:val="24"/>
              </w:rPr>
              <w:t xml:space="preserve">MZ SR </w:t>
            </w:r>
            <w:r w:rsidR="00CA6A77" w:rsidRPr="00586965">
              <w:rPr>
                <w:sz w:val="24"/>
                <w:szCs w:val="24"/>
              </w:rPr>
              <w:t xml:space="preserve">si neuplatňuje zvýšenie finančného krytia na činnosti </w:t>
            </w:r>
            <w:r w:rsidRPr="00586965">
              <w:rPr>
                <w:sz w:val="24"/>
                <w:szCs w:val="24"/>
              </w:rPr>
              <w:t>spojené s</w:t>
            </w:r>
            <w:r w:rsidR="00CA6A77" w:rsidRPr="00586965">
              <w:rPr>
                <w:sz w:val="24"/>
                <w:szCs w:val="24"/>
              </w:rPr>
              <w:t xml:space="preserve"> rozšírenou </w:t>
            </w:r>
            <w:r w:rsidRPr="00586965">
              <w:rPr>
                <w:sz w:val="24"/>
                <w:szCs w:val="24"/>
              </w:rPr>
              <w:t>činnosťou Etickej komisie pre klinické skúšanie</w:t>
            </w:r>
            <w:r w:rsidR="00CA6A77" w:rsidRPr="00586965">
              <w:rPr>
                <w:sz w:val="24"/>
                <w:szCs w:val="24"/>
              </w:rPr>
              <w:t xml:space="preserve"> a s rozšírením funkcionality </w:t>
            </w:r>
            <w:r w:rsidRPr="00586965">
              <w:rPr>
                <w:sz w:val="24"/>
                <w:szCs w:val="24"/>
              </w:rPr>
              <w:t xml:space="preserve">národného elektronického portálu. </w:t>
            </w:r>
          </w:p>
          <w:p w:rsidR="00161902" w:rsidRPr="00586965" w:rsidRDefault="00161902" w:rsidP="00070A71">
            <w:pPr>
              <w:rPr>
                <w:iCs/>
                <w:sz w:val="24"/>
                <w:szCs w:val="24"/>
              </w:rPr>
            </w:pPr>
          </w:p>
          <w:p w:rsidR="009668E1" w:rsidRPr="00586965" w:rsidRDefault="009668E1" w:rsidP="00070A71">
            <w:pPr>
              <w:rPr>
                <w:sz w:val="24"/>
                <w:szCs w:val="24"/>
              </w:rPr>
            </w:pPr>
            <w:r w:rsidRPr="00586965">
              <w:rPr>
                <w:sz w:val="24"/>
                <w:szCs w:val="24"/>
              </w:rPr>
              <w:t xml:space="preserve"> </w:t>
            </w:r>
          </w:p>
          <w:p w:rsidR="009F7AC2" w:rsidRPr="00586965" w:rsidRDefault="009F7AC2" w:rsidP="00390FF8">
            <w:pPr>
              <w:pStyle w:val="Default"/>
              <w:jc w:val="both"/>
              <w:rPr>
                <w:iCs/>
              </w:rPr>
            </w:pPr>
            <w:r w:rsidRPr="00586965">
              <w:rPr>
                <w:iCs/>
              </w:rPr>
              <w:t xml:space="preserve">Predkladaný návrh zákona zaťaží podnikateľský sektor vyššími </w:t>
            </w:r>
            <w:r w:rsidR="00161902" w:rsidRPr="00586965">
              <w:rPr>
                <w:iCs/>
              </w:rPr>
              <w:t xml:space="preserve">správnymi </w:t>
            </w:r>
            <w:r w:rsidRPr="00586965">
              <w:rPr>
                <w:iCs/>
              </w:rPr>
              <w:t xml:space="preserve">poplatkami, na druhej strane prispeje k skvalitneniu podnikateľského prostredia pre farmaceutický priemysel. Návrh zákona neovplyvní životné prostredie,  pozitívne </w:t>
            </w:r>
            <w:r w:rsidR="007B4B30" w:rsidRPr="00586965">
              <w:rPr>
                <w:iCs/>
              </w:rPr>
              <w:t xml:space="preserve">ovplyvní </w:t>
            </w:r>
            <w:r w:rsidRPr="00586965">
              <w:rPr>
                <w:iCs/>
              </w:rPr>
              <w:t>zamestnanosť a</w:t>
            </w:r>
            <w:r w:rsidR="007B4B30" w:rsidRPr="00586965">
              <w:rPr>
                <w:iCs/>
              </w:rPr>
              <w:t xml:space="preserve">  </w:t>
            </w:r>
            <w:r w:rsidRPr="00586965">
              <w:rPr>
                <w:iCs/>
              </w:rPr>
              <w:t>informatizáciu spoločnosti.</w:t>
            </w:r>
          </w:p>
          <w:p w:rsidR="00040E43" w:rsidRPr="00586965" w:rsidRDefault="00040E43" w:rsidP="00040E43">
            <w:pPr>
              <w:rPr>
                <w:sz w:val="24"/>
                <w:szCs w:val="24"/>
              </w:rPr>
            </w:pPr>
          </w:p>
          <w:p w:rsidR="00CA6A77" w:rsidRPr="00586965" w:rsidRDefault="00040E43" w:rsidP="00CA6A77">
            <w:pPr>
              <w:rPr>
                <w:bCs/>
                <w:sz w:val="24"/>
                <w:szCs w:val="24"/>
              </w:rPr>
            </w:pPr>
            <w:r w:rsidRPr="00586965">
              <w:rPr>
                <w:sz w:val="24"/>
                <w:szCs w:val="24"/>
              </w:rPr>
              <w:t>Štátny ústav požaduje zvýšenie počtu pracovníkov o </w:t>
            </w:r>
            <w:r w:rsidR="00CA6A77" w:rsidRPr="00586965">
              <w:rPr>
                <w:sz w:val="24"/>
                <w:szCs w:val="24"/>
              </w:rPr>
              <w:t>7</w:t>
            </w:r>
            <w:r w:rsidRPr="00586965">
              <w:rPr>
                <w:sz w:val="24"/>
                <w:szCs w:val="24"/>
              </w:rPr>
              <w:t xml:space="preserve">. Podrobnosti sú uvedené v prílohe </w:t>
            </w:r>
            <w:r w:rsidR="00CA6A77" w:rsidRPr="00586965">
              <w:rPr>
                <w:bCs/>
                <w:sz w:val="24"/>
                <w:szCs w:val="24"/>
              </w:rPr>
              <w:t>Analýza vplyvov na rozpočet verejnej správy, na zamestnanosť vo verejnej správe a financovanie návrhu</w:t>
            </w:r>
          </w:p>
          <w:p w:rsidR="004F6F1F" w:rsidRPr="00586965" w:rsidRDefault="004F6F1F" w:rsidP="00CA6A77">
            <w:pPr>
              <w:pStyle w:val="Default"/>
              <w:jc w:val="both"/>
              <w:rPr>
                <w:b/>
              </w:rPr>
            </w:pPr>
          </w:p>
        </w:tc>
      </w:tr>
      <w:tr w:rsidR="003501A1" w:rsidRPr="00A179AE" w:rsidTr="00390FF8">
        <w:tc>
          <w:tcPr>
            <w:tcW w:w="9176" w:type="dxa"/>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D35768">
            <w:pPr>
              <w:pStyle w:val="Odsekzoznamu"/>
              <w:numPr>
                <w:ilvl w:val="0"/>
                <w:numId w:val="1"/>
              </w:numPr>
              <w:spacing w:after="0" w:line="240" w:lineRule="auto"/>
              <w:ind w:left="426"/>
              <w:jc w:val="both"/>
              <w:rPr>
                <w:rFonts w:ascii="Times New Roman" w:hAnsi="Times New Roman"/>
                <w:b/>
              </w:rPr>
            </w:pPr>
            <w:r w:rsidRPr="00390FF8">
              <w:rPr>
                <w:rFonts w:ascii="Times New Roman" w:hAnsi="Times New Roman"/>
                <w:b/>
              </w:rPr>
              <w:t>Kontakt na spracovateľa</w:t>
            </w:r>
          </w:p>
        </w:tc>
      </w:tr>
      <w:tr w:rsidR="003501A1" w:rsidRPr="00A179AE" w:rsidTr="00390FF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501A1" w:rsidRDefault="00D13B6F" w:rsidP="00390FF8">
            <w:pPr>
              <w:jc w:val="both"/>
              <w:rPr>
                <w:i/>
              </w:rPr>
            </w:pPr>
            <w:r w:rsidRPr="00390FF8">
              <w:rPr>
                <w:i/>
              </w:rPr>
              <w:t>Uveďte údaje na kontaktnú osobu, ktorú je možné kontaktovať v súvislos</w:t>
            </w:r>
            <w:r w:rsidR="00B95A4B" w:rsidRPr="00390FF8">
              <w:rPr>
                <w:i/>
              </w:rPr>
              <w:t>ti s posúdením vybraných vplyvov.</w:t>
            </w:r>
          </w:p>
          <w:p w:rsidR="00CA6A77" w:rsidRPr="00390FF8" w:rsidRDefault="003F649C" w:rsidP="00390FF8">
            <w:pPr>
              <w:jc w:val="both"/>
              <w:rPr>
                <w:i/>
              </w:rPr>
            </w:pPr>
            <w:hyperlink r:id="rId11" w:history="1">
              <w:r w:rsidR="00CA6A77" w:rsidRPr="00057CF5">
                <w:rPr>
                  <w:rStyle w:val="Hypertextovprepojenie"/>
                  <w:i/>
                </w:rPr>
                <w:t>jozef.slany@health.gov.sk</w:t>
              </w:r>
            </w:hyperlink>
            <w:r w:rsidR="00CA6A77">
              <w:rPr>
                <w:i/>
              </w:rPr>
              <w:t xml:space="preserve"> </w:t>
            </w:r>
          </w:p>
        </w:tc>
      </w:tr>
      <w:tr w:rsidR="003501A1" w:rsidRPr="00A179AE" w:rsidTr="00390FF8">
        <w:tc>
          <w:tcPr>
            <w:tcW w:w="9176" w:type="dxa"/>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D35768">
            <w:pPr>
              <w:pStyle w:val="Odsekzoznamu"/>
              <w:numPr>
                <w:ilvl w:val="0"/>
                <w:numId w:val="1"/>
              </w:numPr>
              <w:spacing w:after="0" w:line="240" w:lineRule="auto"/>
              <w:ind w:left="426"/>
              <w:jc w:val="both"/>
              <w:rPr>
                <w:rFonts w:ascii="Times New Roman" w:hAnsi="Times New Roman"/>
                <w:b/>
              </w:rPr>
            </w:pPr>
            <w:r w:rsidRPr="00390FF8">
              <w:rPr>
                <w:rFonts w:ascii="Times New Roman" w:hAnsi="Times New Roman"/>
                <w:b/>
              </w:rPr>
              <w:t>Zdroje</w:t>
            </w:r>
          </w:p>
        </w:tc>
      </w:tr>
      <w:tr w:rsidR="003501A1" w:rsidRPr="00A179AE" w:rsidTr="00390FF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501A1" w:rsidRPr="00390FF8" w:rsidRDefault="003501A1" w:rsidP="00390FF8">
            <w:pPr>
              <w:jc w:val="both"/>
              <w:rPr>
                <w:i/>
              </w:rPr>
            </w:pPr>
            <w:r w:rsidRPr="00390FF8">
              <w:rPr>
                <w:i/>
              </w:rPr>
              <w:t>Uveďte zdroje</w:t>
            </w:r>
            <w:r w:rsidR="00EB59E3" w:rsidRPr="00390FF8">
              <w:rPr>
                <w:i/>
              </w:rPr>
              <w:t xml:space="preserve"> </w:t>
            </w:r>
            <w:r w:rsidR="00D75D35" w:rsidRPr="00390FF8">
              <w:rPr>
                <w:i/>
              </w:rPr>
              <w:t>(štatistiky, prieskumy, spoluprácu s odborníkmi a iné)</w:t>
            </w:r>
            <w:r w:rsidRPr="00390FF8">
              <w:rPr>
                <w:i/>
              </w:rPr>
              <w:t>, z ktorých ste pri vypracovávaní doložky, príp. analýz vplyvov vychádzali.</w:t>
            </w:r>
          </w:p>
          <w:p w:rsidR="003501A1" w:rsidRPr="00390FF8" w:rsidRDefault="003501A1" w:rsidP="00390FF8">
            <w:pPr>
              <w:jc w:val="both"/>
              <w:rPr>
                <w:i/>
              </w:rPr>
            </w:pPr>
          </w:p>
          <w:p w:rsidR="003501A1" w:rsidRPr="00390FF8" w:rsidRDefault="003501A1" w:rsidP="00390FF8">
            <w:pPr>
              <w:jc w:val="both"/>
              <w:rPr>
                <w:b/>
              </w:rPr>
            </w:pPr>
          </w:p>
        </w:tc>
      </w:tr>
      <w:tr w:rsidR="003501A1" w:rsidRPr="00A179AE" w:rsidTr="00390FF8">
        <w:tc>
          <w:tcPr>
            <w:tcW w:w="9176" w:type="dxa"/>
            <w:tcBorders>
              <w:top w:val="single" w:sz="4" w:space="0" w:color="auto"/>
              <w:left w:val="single" w:sz="4" w:space="0" w:color="auto"/>
              <w:bottom w:val="single" w:sz="4" w:space="0" w:color="FFFFFF"/>
              <w:right w:val="single" w:sz="4" w:space="0" w:color="auto"/>
            </w:tcBorders>
            <w:shd w:val="clear" w:color="auto" w:fill="E2E2E2"/>
          </w:tcPr>
          <w:p w:rsidR="003501A1" w:rsidRPr="00390FF8" w:rsidRDefault="003501A1" w:rsidP="00D35768">
            <w:pPr>
              <w:pStyle w:val="Odsekzoznamu"/>
              <w:numPr>
                <w:ilvl w:val="0"/>
                <w:numId w:val="1"/>
              </w:numPr>
              <w:spacing w:after="0" w:line="240" w:lineRule="auto"/>
              <w:ind w:left="426"/>
              <w:jc w:val="both"/>
              <w:rPr>
                <w:rFonts w:ascii="Times New Roman" w:hAnsi="Times New Roman"/>
                <w:b/>
              </w:rPr>
            </w:pPr>
            <w:r w:rsidRPr="00390FF8">
              <w:rPr>
                <w:rFonts w:ascii="Times New Roman" w:hAnsi="Times New Roman"/>
                <w:b/>
              </w:rPr>
              <w:t>Stanovisko Komisie pre posudzovanie vybraných vplyvov z PPK</w:t>
            </w:r>
          </w:p>
        </w:tc>
      </w:tr>
      <w:tr w:rsidR="003501A1" w:rsidRPr="00A179AE" w:rsidTr="00390FF8">
        <w:tc>
          <w:tcPr>
            <w:tcW w:w="9176" w:type="dxa"/>
            <w:tcBorders>
              <w:top w:val="single" w:sz="4" w:space="0" w:color="FFFFFF"/>
              <w:left w:val="single" w:sz="4" w:space="0" w:color="auto"/>
              <w:bottom w:val="single" w:sz="4" w:space="0" w:color="auto"/>
              <w:right w:val="single" w:sz="4" w:space="0" w:color="auto"/>
            </w:tcBorders>
            <w:shd w:val="clear" w:color="auto" w:fill="FFFFFF"/>
          </w:tcPr>
          <w:p w:rsidR="003501A1" w:rsidRPr="00540DA4" w:rsidRDefault="003501A1" w:rsidP="00390FF8">
            <w:pPr>
              <w:jc w:val="both"/>
              <w:rPr>
                <w:i/>
              </w:rPr>
            </w:pPr>
            <w:r w:rsidRPr="00540DA4">
              <w:rPr>
                <w:i/>
              </w:rPr>
              <w:lastRenderedPageBreak/>
              <w:t>Uveďte stanovisko Komisie pre posudzovanie vybraných vplyvov, ktoré Vám bolo zaslané v rámci predbežného pripomienkového konania</w:t>
            </w:r>
          </w:p>
          <w:p w:rsidR="003501A1" w:rsidRPr="00540DA4" w:rsidRDefault="003501A1" w:rsidP="00390FF8">
            <w:pPr>
              <w:jc w:val="both"/>
              <w:rPr>
                <w:b/>
              </w:rPr>
            </w:pPr>
          </w:p>
          <w:p w:rsidR="003501A1" w:rsidRPr="00540DA4" w:rsidRDefault="00540DA4" w:rsidP="00513114">
            <w:pPr>
              <w:jc w:val="both"/>
              <w:rPr>
                <w:b/>
              </w:rPr>
            </w:pPr>
            <w:r w:rsidRPr="00540DA4">
              <w:rPr>
                <w:rFonts w:eastAsia="Calibri"/>
                <w:bCs/>
                <w:lang w:eastAsia="en-US"/>
              </w:rPr>
              <w:t xml:space="preserve"> </w:t>
            </w:r>
          </w:p>
        </w:tc>
      </w:tr>
    </w:tbl>
    <w:p w:rsidR="003501A1" w:rsidRDefault="003501A1" w:rsidP="003501A1">
      <w:pPr>
        <w:rPr>
          <w:b/>
        </w:rPr>
      </w:pPr>
    </w:p>
    <w:sectPr w:rsidR="003501A1" w:rsidSect="003F4EC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9C" w:rsidRDefault="003F649C" w:rsidP="003501A1">
      <w:r>
        <w:separator/>
      </w:r>
    </w:p>
  </w:endnote>
  <w:endnote w:type="continuationSeparator" w:id="0">
    <w:p w:rsidR="003F649C" w:rsidRDefault="003F649C"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9C" w:rsidRDefault="003F649C" w:rsidP="003501A1">
      <w:r>
        <w:separator/>
      </w:r>
    </w:p>
  </w:footnote>
  <w:footnote w:type="continuationSeparator" w:id="0">
    <w:p w:rsidR="003F649C" w:rsidRDefault="003F649C" w:rsidP="0035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8E" w:rsidRPr="000A15AE" w:rsidRDefault="005C2A8E" w:rsidP="003501A1">
    <w:pPr>
      <w:pStyle w:val="Hlavika"/>
      <w:jc w:val="right"/>
      <w:rPr>
        <w:sz w:val="24"/>
        <w:szCs w:val="24"/>
      </w:rPr>
    </w:pPr>
    <w:r>
      <w:rPr>
        <w:sz w:val="24"/>
        <w:szCs w:val="24"/>
      </w:rPr>
      <w:t>Príloha č. 1</w:t>
    </w:r>
  </w:p>
  <w:p w:rsidR="005C2A8E" w:rsidRDefault="005C2A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C95"/>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1A0F7359"/>
    <w:multiLevelType w:val="hybridMultilevel"/>
    <w:tmpl w:val="4A760FAC"/>
    <w:lvl w:ilvl="0" w:tplc="C55A90B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232A5A"/>
    <w:multiLevelType w:val="hybridMultilevel"/>
    <w:tmpl w:val="D23E3D9E"/>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3" w15:restartNumberingAfterBreak="0">
    <w:nsid w:val="213C23B2"/>
    <w:multiLevelType w:val="hybridMultilevel"/>
    <w:tmpl w:val="4D308278"/>
    <w:lvl w:ilvl="0" w:tplc="D8E66A8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0452F1"/>
    <w:multiLevelType w:val="hybridMultilevel"/>
    <w:tmpl w:val="3E1AF59A"/>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5" w15:restartNumberingAfterBreak="0">
    <w:nsid w:val="4FCB5C9B"/>
    <w:multiLevelType w:val="hybridMultilevel"/>
    <w:tmpl w:val="EAF091F2"/>
    <w:lvl w:ilvl="0" w:tplc="80EEC090">
      <w:start w:val="1"/>
      <w:numFmt w:val="decimal"/>
      <w:lvlText w:val="%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557D561A"/>
    <w:multiLevelType w:val="hybridMultilevel"/>
    <w:tmpl w:val="DADEF33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15:restartNumberingAfterBreak="0">
    <w:nsid w:val="688D3360"/>
    <w:multiLevelType w:val="multilevel"/>
    <w:tmpl w:val="BA9ECA72"/>
    <w:lvl w:ilvl="0">
      <w:start w:val="1"/>
      <w:numFmt w:val="decimal"/>
      <w:pStyle w:val="Nadpis1"/>
      <w:lvlText w:val="%1"/>
      <w:lvlJc w:val="left"/>
      <w:pPr>
        <w:tabs>
          <w:tab w:val="num" w:pos="432"/>
        </w:tabs>
        <w:ind w:left="432" w:hanging="432"/>
      </w:pPr>
      <w:rPr>
        <w:rFonts w:hint="default"/>
        <w:b/>
      </w:rPr>
    </w:lvl>
    <w:lvl w:ilvl="1">
      <w:start w:val="1"/>
      <w:numFmt w:val="decimal"/>
      <w:pStyle w:val="Nadpis2"/>
      <w:lvlText w:val="%1.%2"/>
      <w:lvlJc w:val="left"/>
      <w:pPr>
        <w:tabs>
          <w:tab w:val="num" w:pos="718"/>
        </w:tabs>
        <w:ind w:left="567" w:hanging="56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7"/>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3D1D"/>
    <w:rsid w:val="0000498C"/>
    <w:rsid w:val="00025B79"/>
    <w:rsid w:val="00040E43"/>
    <w:rsid w:val="00061FFD"/>
    <w:rsid w:val="00063227"/>
    <w:rsid w:val="0006690E"/>
    <w:rsid w:val="00070A71"/>
    <w:rsid w:val="000726C4"/>
    <w:rsid w:val="0009386D"/>
    <w:rsid w:val="000A3A06"/>
    <w:rsid w:val="000B28A7"/>
    <w:rsid w:val="000B675B"/>
    <w:rsid w:val="000C52CC"/>
    <w:rsid w:val="000E6EE6"/>
    <w:rsid w:val="00103B88"/>
    <w:rsid w:val="00116900"/>
    <w:rsid w:val="00161902"/>
    <w:rsid w:val="00175FD8"/>
    <w:rsid w:val="001C026E"/>
    <w:rsid w:val="001F42AB"/>
    <w:rsid w:val="002074B7"/>
    <w:rsid w:val="002520D5"/>
    <w:rsid w:val="00274210"/>
    <w:rsid w:val="0029160D"/>
    <w:rsid w:val="00293333"/>
    <w:rsid w:val="002B3C13"/>
    <w:rsid w:val="003501A1"/>
    <w:rsid w:val="00390FF8"/>
    <w:rsid w:val="00395098"/>
    <w:rsid w:val="003C5F58"/>
    <w:rsid w:val="003F1618"/>
    <w:rsid w:val="003F4EC6"/>
    <w:rsid w:val="003F649C"/>
    <w:rsid w:val="0041395D"/>
    <w:rsid w:val="00422949"/>
    <w:rsid w:val="00426DE9"/>
    <w:rsid w:val="00447A19"/>
    <w:rsid w:val="0045136B"/>
    <w:rsid w:val="00480B17"/>
    <w:rsid w:val="00486862"/>
    <w:rsid w:val="004C60B8"/>
    <w:rsid w:val="004C794A"/>
    <w:rsid w:val="004F6F1F"/>
    <w:rsid w:val="00513114"/>
    <w:rsid w:val="00540DA4"/>
    <w:rsid w:val="00586965"/>
    <w:rsid w:val="00586B69"/>
    <w:rsid w:val="00595D97"/>
    <w:rsid w:val="005976FD"/>
    <w:rsid w:val="005B7A8D"/>
    <w:rsid w:val="005C2A8E"/>
    <w:rsid w:val="005C3073"/>
    <w:rsid w:val="005D106C"/>
    <w:rsid w:val="005D771C"/>
    <w:rsid w:val="005E04FA"/>
    <w:rsid w:val="006122A1"/>
    <w:rsid w:val="006C3B7D"/>
    <w:rsid w:val="0072110D"/>
    <w:rsid w:val="00736D6A"/>
    <w:rsid w:val="00784128"/>
    <w:rsid w:val="007907EC"/>
    <w:rsid w:val="007B4B30"/>
    <w:rsid w:val="007F3A39"/>
    <w:rsid w:val="00825B28"/>
    <w:rsid w:val="00853BF3"/>
    <w:rsid w:val="0087060A"/>
    <w:rsid w:val="008B03DD"/>
    <w:rsid w:val="009668E1"/>
    <w:rsid w:val="00975D90"/>
    <w:rsid w:val="0098177E"/>
    <w:rsid w:val="00996966"/>
    <w:rsid w:val="00997487"/>
    <w:rsid w:val="009D614A"/>
    <w:rsid w:val="009E046B"/>
    <w:rsid w:val="009E4E6C"/>
    <w:rsid w:val="009F7AC2"/>
    <w:rsid w:val="00A133FF"/>
    <w:rsid w:val="00A16366"/>
    <w:rsid w:val="00A702F6"/>
    <w:rsid w:val="00A8103A"/>
    <w:rsid w:val="00A96EAA"/>
    <w:rsid w:val="00AF4AC3"/>
    <w:rsid w:val="00B164B5"/>
    <w:rsid w:val="00B262EE"/>
    <w:rsid w:val="00B65A86"/>
    <w:rsid w:val="00B80C2A"/>
    <w:rsid w:val="00B95A4B"/>
    <w:rsid w:val="00BB697B"/>
    <w:rsid w:val="00BE30ED"/>
    <w:rsid w:val="00BE5830"/>
    <w:rsid w:val="00BF529C"/>
    <w:rsid w:val="00C11AB6"/>
    <w:rsid w:val="00C54F8D"/>
    <w:rsid w:val="00C60DD8"/>
    <w:rsid w:val="00C65DED"/>
    <w:rsid w:val="00C82F8D"/>
    <w:rsid w:val="00CA0B51"/>
    <w:rsid w:val="00CA6A77"/>
    <w:rsid w:val="00CB3623"/>
    <w:rsid w:val="00CE15BF"/>
    <w:rsid w:val="00CF0FEF"/>
    <w:rsid w:val="00D12AD9"/>
    <w:rsid w:val="00D13B6F"/>
    <w:rsid w:val="00D146B4"/>
    <w:rsid w:val="00D35768"/>
    <w:rsid w:val="00D507C7"/>
    <w:rsid w:val="00D75D35"/>
    <w:rsid w:val="00D865BE"/>
    <w:rsid w:val="00DA6EE4"/>
    <w:rsid w:val="00DC72DC"/>
    <w:rsid w:val="00DE2A12"/>
    <w:rsid w:val="00E13354"/>
    <w:rsid w:val="00E1490D"/>
    <w:rsid w:val="00E206C8"/>
    <w:rsid w:val="00E36EAF"/>
    <w:rsid w:val="00E74A4F"/>
    <w:rsid w:val="00E943E4"/>
    <w:rsid w:val="00E963CD"/>
    <w:rsid w:val="00EB1768"/>
    <w:rsid w:val="00EB59E3"/>
    <w:rsid w:val="00EB7D69"/>
    <w:rsid w:val="00EE4B8A"/>
    <w:rsid w:val="00F10057"/>
    <w:rsid w:val="00F16CEF"/>
    <w:rsid w:val="00F17014"/>
    <w:rsid w:val="00F22831"/>
    <w:rsid w:val="00F309D3"/>
    <w:rsid w:val="00F376F0"/>
    <w:rsid w:val="00F404CC"/>
    <w:rsid w:val="00F46317"/>
    <w:rsid w:val="00F552E7"/>
    <w:rsid w:val="00F62771"/>
    <w:rsid w:val="00F665B5"/>
    <w:rsid w:val="00F73E50"/>
    <w:rsid w:val="00FB055C"/>
    <w:rsid w:val="00FE4B85"/>
    <w:rsid w:val="00FF6A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269AC-D539-4AAD-86F3-161618E2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rPr>
      <w:rFonts w:ascii="Times New Roman" w:eastAsia="Times New Roman" w:hAnsi="Times New Roman"/>
    </w:rPr>
  </w:style>
  <w:style w:type="paragraph" w:styleId="Nadpis1">
    <w:name w:val="heading 1"/>
    <w:basedOn w:val="Normlny"/>
    <w:next w:val="Normlny"/>
    <w:link w:val="Nadpis1Char"/>
    <w:qFormat/>
    <w:rsid w:val="00A96EAA"/>
    <w:pPr>
      <w:keepNext/>
      <w:numPr>
        <w:numId w:val="2"/>
      </w:numPr>
      <w:spacing w:before="240" w:after="60"/>
      <w:outlineLvl w:val="0"/>
    </w:pPr>
    <w:rPr>
      <w:rFonts w:ascii="Arial" w:hAnsi="Arial" w:cs="Arial"/>
      <w:b/>
      <w:bCs/>
      <w:kern w:val="32"/>
      <w:sz w:val="32"/>
      <w:szCs w:val="32"/>
      <w:lang w:val="de-DE" w:eastAsia="de-DE"/>
    </w:rPr>
  </w:style>
  <w:style w:type="paragraph" w:styleId="Nadpis2">
    <w:name w:val="heading 2"/>
    <w:basedOn w:val="Normlny"/>
    <w:next w:val="Normlny"/>
    <w:link w:val="Nadpis2Char"/>
    <w:qFormat/>
    <w:rsid w:val="00A96EAA"/>
    <w:pPr>
      <w:keepNext/>
      <w:numPr>
        <w:ilvl w:val="1"/>
        <w:numId w:val="2"/>
      </w:numPr>
      <w:tabs>
        <w:tab w:val="left" w:pos="851"/>
      </w:tabs>
      <w:spacing w:before="240" w:after="60"/>
      <w:outlineLvl w:val="1"/>
    </w:pPr>
    <w:rPr>
      <w:rFonts w:ascii="Arial" w:hAnsi="Arial" w:cs="Arial"/>
      <w:b/>
      <w:bCs/>
      <w:iCs/>
      <w:sz w:val="28"/>
      <w:szCs w:val="28"/>
      <w:lang w:val="en-GB" w:eastAsia="de-DE"/>
    </w:rPr>
  </w:style>
  <w:style w:type="paragraph" w:styleId="Nadpis3">
    <w:name w:val="heading 3"/>
    <w:basedOn w:val="Normlny"/>
    <w:next w:val="Normlny"/>
    <w:link w:val="Nadpis3Char"/>
    <w:autoRedefine/>
    <w:qFormat/>
    <w:rsid w:val="00A96EAA"/>
    <w:pPr>
      <w:keepNext/>
      <w:numPr>
        <w:ilvl w:val="2"/>
        <w:numId w:val="2"/>
      </w:numPr>
      <w:outlineLvl w:val="2"/>
    </w:pPr>
    <w:rPr>
      <w:rFonts w:ascii="Arial" w:hAnsi="Arial" w:cs="Arial"/>
      <w:b/>
      <w:sz w:val="24"/>
      <w:szCs w:val="24"/>
      <w:lang w:val="en-GB" w:eastAsia="de-DE"/>
    </w:rPr>
  </w:style>
  <w:style w:type="paragraph" w:styleId="Nadpis4">
    <w:name w:val="heading 4"/>
    <w:basedOn w:val="Normlny"/>
    <w:next w:val="Normlny"/>
    <w:link w:val="Nadpis4Char"/>
    <w:qFormat/>
    <w:rsid w:val="00A96EAA"/>
    <w:pPr>
      <w:keepNext/>
      <w:numPr>
        <w:ilvl w:val="3"/>
        <w:numId w:val="2"/>
      </w:numPr>
      <w:outlineLvl w:val="3"/>
    </w:pPr>
    <w:rPr>
      <w:rFonts w:ascii="Calibri" w:hAnsi="Calibri" w:cs="Arial"/>
      <w:b/>
      <w:snapToGrid w:val="0"/>
      <w:sz w:val="24"/>
      <w:szCs w:val="24"/>
      <w:lang w:val="en-GB" w:eastAsia="de-DE"/>
    </w:rPr>
  </w:style>
  <w:style w:type="paragraph" w:styleId="Nadpis5">
    <w:name w:val="heading 5"/>
    <w:aliases w:val="D70AR5,titel 5"/>
    <w:basedOn w:val="Normlny"/>
    <w:next w:val="Normlny"/>
    <w:link w:val="Nadpis5Char"/>
    <w:qFormat/>
    <w:rsid w:val="00A96EAA"/>
    <w:pPr>
      <w:keepNext/>
      <w:numPr>
        <w:ilvl w:val="4"/>
        <w:numId w:val="2"/>
      </w:numPr>
      <w:outlineLvl w:val="4"/>
    </w:pPr>
    <w:rPr>
      <w:rFonts w:ascii="Times New Roman Bold" w:hAnsi="Times New Roman Bold" w:cs="Arial"/>
      <w:b/>
      <w:sz w:val="24"/>
      <w:szCs w:val="24"/>
      <w:lang w:val="en-GB" w:eastAsia="de-DE"/>
    </w:rPr>
  </w:style>
  <w:style w:type="paragraph" w:styleId="Nadpis6">
    <w:name w:val="heading 6"/>
    <w:basedOn w:val="Normlny"/>
    <w:next w:val="Normlny"/>
    <w:link w:val="Nadpis6Char"/>
    <w:qFormat/>
    <w:rsid w:val="00A96EAA"/>
    <w:pPr>
      <w:numPr>
        <w:ilvl w:val="5"/>
        <w:numId w:val="2"/>
      </w:numPr>
      <w:spacing w:before="240" w:after="60"/>
      <w:outlineLvl w:val="5"/>
    </w:pPr>
    <w:rPr>
      <w:rFonts w:cs="Arial"/>
      <w:b/>
      <w:sz w:val="24"/>
      <w:szCs w:val="24"/>
      <w:lang w:val="en-GB" w:eastAsia="de-DE"/>
    </w:rPr>
  </w:style>
  <w:style w:type="paragraph" w:styleId="Nadpis7">
    <w:name w:val="heading 7"/>
    <w:basedOn w:val="Normlny"/>
    <w:next w:val="Normlny"/>
    <w:link w:val="Nadpis7Char"/>
    <w:qFormat/>
    <w:rsid w:val="00A96EAA"/>
    <w:pPr>
      <w:numPr>
        <w:ilvl w:val="6"/>
        <w:numId w:val="2"/>
      </w:numPr>
      <w:spacing w:before="240" w:after="60"/>
      <w:outlineLvl w:val="6"/>
    </w:pPr>
    <w:rPr>
      <w:rFonts w:ascii="Arial" w:hAnsi="Arial" w:cs="Arial"/>
      <w:szCs w:val="24"/>
      <w:lang w:val="en-GB" w:eastAsia="de-DE"/>
    </w:rPr>
  </w:style>
  <w:style w:type="paragraph" w:styleId="Nadpis8">
    <w:name w:val="heading 8"/>
    <w:basedOn w:val="Normlny"/>
    <w:next w:val="Normlny"/>
    <w:link w:val="Nadpis8Char"/>
    <w:qFormat/>
    <w:rsid w:val="00A96EAA"/>
    <w:pPr>
      <w:numPr>
        <w:ilvl w:val="7"/>
        <w:numId w:val="2"/>
      </w:numPr>
      <w:spacing w:before="240" w:after="60"/>
      <w:outlineLvl w:val="7"/>
    </w:pPr>
    <w:rPr>
      <w:rFonts w:ascii="Arial" w:hAnsi="Arial" w:cs="Arial"/>
      <w:i/>
      <w:szCs w:val="24"/>
      <w:lang w:val="en-GB" w:eastAsia="de-DE"/>
    </w:rPr>
  </w:style>
  <w:style w:type="paragraph" w:styleId="Nadpis9">
    <w:name w:val="heading 9"/>
    <w:basedOn w:val="Normlny"/>
    <w:next w:val="Normlny"/>
    <w:link w:val="Nadpis9Char"/>
    <w:qFormat/>
    <w:rsid w:val="00A96EAA"/>
    <w:pPr>
      <w:keepNext/>
      <w:numPr>
        <w:ilvl w:val="8"/>
        <w:numId w:val="2"/>
      </w:numPr>
      <w:outlineLvl w:val="8"/>
    </w:pPr>
    <w:rPr>
      <w:rFonts w:cs="Arial"/>
      <w:b/>
      <w:snapToGrid w:val="0"/>
      <w:sz w:val="24"/>
      <w:szCs w:val="24"/>
      <w:u w:val="single"/>
      <w:lang w:val="en-GB"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22831"/>
    <w:rPr>
      <w:vertAlign w:val="superscript"/>
    </w:rPr>
  </w:style>
  <w:style w:type="character" w:styleId="Odkaznakomentr">
    <w:name w:val="annotation reference"/>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Default">
    <w:name w:val="Default"/>
    <w:rsid w:val="005E04FA"/>
    <w:pPr>
      <w:autoSpaceDE w:val="0"/>
      <w:autoSpaceDN w:val="0"/>
      <w:adjustRightInd w:val="0"/>
    </w:pPr>
    <w:rPr>
      <w:rFonts w:ascii="Times New Roman" w:hAnsi="Times New Roman"/>
      <w:color w:val="000000"/>
      <w:sz w:val="24"/>
      <w:szCs w:val="24"/>
      <w:lang w:eastAsia="en-US"/>
    </w:rPr>
  </w:style>
  <w:style w:type="character" w:customStyle="1" w:styleId="Nadpis1Char">
    <w:name w:val="Nadpis 1 Char"/>
    <w:link w:val="Nadpis1"/>
    <w:rsid w:val="00A96EAA"/>
    <w:rPr>
      <w:rFonts w:ascii="Arial" w:eastAsia="Times New Roman" w:hAnsi="Arial" w:cs="Arial"/>
      <w:b/>
      <w:bCs/>
      <w:kern w:val="32"/>
      <w:sz w:val="32"/>
      <w:szCs w:val="32"/>
      <w:lang w:val="de-DE" w:eastAsia="de-DE"/>
    </w:rPr>
  </w:style>
  <w:style w:type="character" w:customStyle="1" w:styleId="Nadpis2Char">
    <w:name w:val="Nadpis 2 Char"/>
    <w:link w:val="Nadpis2"/>
    <w:rsid w:val="00A96EAA"/>
    <w:rPr>
      <w:rFonts w:ascii="Arial" w:eastAsia="Times New Roman" w:hAnsi="Arial" w:cs="Arial"/>
      <w:b/>
      <w:bCs/>
      <w:iCs/>
      <w:sz w:val="28"/>
      <w:szCs w:val="28"/>
      <w:lang w:val="en-GB" w:eastAsia="de-DE"/>
    </w:rPr>
  </w:style>
  <w:style w:type="character" w:customStyle="1" w:styleId="Nadpis3Char">
    <w:name w:val="Nadpis 3 Char"/>
    <w:link w:val="Nadpis3"/>
    <w:rsid w:val="00A96EAA"/>
    <w:rPr>
      <w:rFonts w:ascii="Arial" w:eastAsia="Times New Roman" w:hAnsi="Arial" w:cs="Arial"/>
      <w:b/>
      <w:sz w:val="24"/>
      <w:szCs w:val="24"/>
      <w:lang w:val="en-GB" w:eastAsia="de-DE"/>
    </w:rPr>
  </w:style>
  <w:style w:type="character" w:customStyle="1" w:styleId="Nadpis4Char">
    <w:name w:val="Nadpis 4 Char"/>
    <w:link w:val="Nadpis4"/>
    <w:rsid w:val="00A96EAA"/>
    <w:rPr>
      <w:rFonts w:ascii="Calibri" w:eastAsia="Times New Roman" w:hAnsi="Calibri" w:cs="Arial"/>
      <w:b/>
      <w:snapToGrid w:val="0"/>
      <w:sz w:val="24"/>
      <w:szCs w:val="24"/>
      <w:lang w:val="en-GB" w:eastAsia="de-DE"/>
    </w:rPr>
  </w:style>
  <w:style w:type="character" w:customStyle="1" w:styleId="Nadpis5Char">
    <w:name w:val="Nadpis 5 Char"/>
    <w:aliases w:val="D70AR5 Char,titel 5 Char"/>
    <w:link w:val="Nadpis5"/>
    <w:rsid w:val="00A96EAA"/>
    <w:rPr>
      <w:rFonts w:ascii="Times New Roman Bold" w:eastAsia="Times New Roman" w:hAnsi="Times New Roman Bold" w:cs="Arial"/>
      <w:b/>
      <w:sz w:val="24"/>
      <w:szCs w:val="24"/>
      <w:lang w:val="en-GB" w:eastAsia="de-DE"/>
    </w:rPr>
  </w:style>
  <w:style w:type="character" w:customStyle="1" w:styleId="Nadpis6Char">
    <w:name w:val="Nadpis 6 Char"/>
    <w:link w:val="Nadpis6"/>
    <w:rsid w:val="00A96EAA"/>
    <w:rPr>
      <w:rFonts w:ascii="Times New Roman" w:eastAsia="Times New Roman" w:hAnsi="Times New Roman" w:cs="Arial"/>
      <w:b/>
      <w:sz w:val="24"/>
      <w:szCs w:val="24"/>
      <w:lang w:val="en-GB" w:eastAsia="de-DE"/>
    </w:rPr>
  </w:style>
  <w:style w:type="character" w:customStyle="1" w:styleId="Nadpis7Char">
    <w:name w:val="Nadpis 7 Char"/>
    <w:link w:val="Nadpis7"/>
    <w:rsid w:val="00A96EAA"/>
    <w:rPr>
      <w:rFonts w:ascii="Arial" w:eastAsia="Times New Roman" w:hAnsi="Arial" w:cs="Arial"/>
      <w:sz w:val="20"/>
      <w:szCs w:val="24"/>
      <w:lang w:val="en-GB" w:eastAsia="de-DE"/>
    </w:rPr>
  </w:style>
  <w:style w:type="character" w:customStyle="1" w:styleId="Nadpis8Char">
    <w:name w:val="Nadpis 8 Char"/>
    <w:link w:val="Nadpis8"/>
    <w:rsid w:val="00A96EAA"/>
    <w:rPr>
      <w:rFonts w:ascii="Arial" w:eastAsia="Times New Roman" w:hAnsi="Arial" w:cs="Arial"/>
      <w:i/>
      <w:sz w:val="20"/>
      <w:szCs w:val="24"/>
      <w:lang w:val="en-GB" w:eastAsia="de-DE"/>
    </w:rPr>
  </w:style>
  <w:style w:type="character" w:customStyle="1" w:styleId="Nadpis9Char">
    <w:name w:val="Nadpis 9 Char"/>
    <w:link w:val="Nadpis9"/>
    <w:rsid w:val="00A96EAA"/>
    <w:rPr>
      <w:rFonts w:ascii="Times New Roman" w:eastAsia="Times New Roman" w:hAnsi="Times New Roman" w:cs="Arial"/>
      <w:b/>
      <w:snapToGrid w:val="0"/>
      <w:sz w:val="24"/>
      <w:szCs w:val="24"/>
      <w:u w:val="single"/>
      <w:lang w:val="en-GB" w:eastAsia="de-DE"/>
    </w:rPr>
  </w:style>
  <w:style w:type="character" w:customStyle="1" w:styleId="exam">
    <w:name w:val="exam"/>
    <w:basedOn w:val="Predvolenpsmoodseku"/>
    <w:rsid w:val="003F4EC6"/>
  </w:style>
  <w:style w:type="character" w:styleId="Zstupntext">
    <w:name w:val="Placeholder Text"/>
    <w:uiPriority w:val="99"/>
    <w:semiHidden/>
    <w:rsid w:val="00C60DD8"/>
    <w:rPr>
      <w:rFonts w:ascii="Times New Roman" w:hAnsi="Times New Roman" w:cs="Times New Roman"/>
      <w:color w:val="808080"/>
    </w:rPr>
  </w:style>
  <w:style w:type="character" w:styleId="Hypertextovprepojenie">
    <w:name w:val="Hyperlink"/>
    <w:basedOn w:val="Predvolenpsmoodseku"/>
    <w:uiPriority w:val="99"/>
    <w:unhideWhenUsed/>
    <w:rsid w:val="00CA6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zef.slany@health.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114C-B3A8-45AB-9C6B-A42EA094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F06A-5E97-494E-8BEF-3A8FDD40D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B3714-5443-4551-A64D-6183BD7DE1F0}">
  <ds:schemaRefs>
    <ds:schemaRef ds:uri="http://schemas.microsoft.com/sharepoint/v3/contenttype/forms"/>
  </ds:schemaRefs>
</ds:datastoreItem>
</file>

<file path=customXml/itemProps4.xml><?xml version="1.0" encoding="utf-8"?>
<ds:datastoreItem xmlns:ds="http://schemas.openxmlformats.org/officeDocument/2006/customXml" ds:itemID="{57A9BA0F-ED3E-44FB-8112-FC411217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cp:lastModifiedBy>Vincová Veronika</cp:lastModifiedBy>
  <cp:revision>2</cp:revision>
  <cp:lastPrinted>2017-09-18T11:39:00Z</cp:lastPrinted>
  <dcterms:created xsi:type="dcterms:W3CDTF">2019-08-14T19:29:00Z</dcterms:created>
  <dcterms:modified xsi:type="dcterms:W3CDTF">2019-08-14T19:29:00Z</dcterms:modified>
</cp:coreProperties>
</file>