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36" w:rsidRPr="006E3A58" w:rsidRDefault="00A76C36" w:rsidP="006E3A58">
      <w:pPr>
        <w:spacing w:after="200" w:line="276" w:lineRule="auto"/>
        <w:jc w:val="center"/>
      </w:pPr>
      <w:bookmarkStart w:id="0" w:name="_GoBack"/>
      <w:bookmarkEnd w:id="0"/>
      <w:r w:rsidRPr="00A76C36">
        <w:rPr>
          <w:b/>
          <w:bCs/>
          <w:sz w:val="28"/>
          <w:szCs w:val="28"/>
        </w:rPr>
        <w:t>Doložka vybraných vplyvov</w:t>
      </w:r>
    </w:p>
    <w:p w:rsidR="00A76C36" w:rsidRPr="00A76C36" w:rsidRDefault="00A76C36" w:rsidP="00A76C36">
      <w:pPr>
        <w:pStyle w:val="Odsekzoznamu"/>
        <w:ind w:left="426"/>
        <w:rPr>
          <w:rFonts w:ascii="Times New Roman" w:hAnsi="Times New Roman" w:cs="Times New Roman"/>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A76C36" w:rsidRPr="00A76C36" w:rsidTr="00D73CD7">
        <w:tc>
          <w:tcPr>
            <w:tcW w:w="9180" w:type="dxa"/>
            <w:gridSpan w:val="10"/>
            <w:tcBorders>
              <w:bottom w:val="single" w:sz="4" w:space="0" w:color="FFFFFF" w:themeColor="background1"/>
            </w:tcBorders>
            <w:shd w:val="clear" w:color="auto" w:fill="E2E2E2"/>
          </w:tcPr>
          <w:p w:rsidR="00A76C36" w:rsidRPr="00A76C36" w:rsidRDefault="00A76C36" w:rsidP="00644416">
            <w:pPr>
              <w:pStyle w:val="Odsekzoznamu"/>
              <w:numPr>
                <w:ilvl w:val="0"/>
                <w:numId w:val="2"/>
              </w:numPr>
              <w:spacing w:after="0" w:line="240" w:lineRule="auto"/>
              <w:ind w:left="426"/>
              <w:rPr>
                <w:rFonts w:ascii="Times New Roman" w:hAnsi="Times New Roman" w:cs="Times New Roman"/>
                <w:b/>
              </w:rPr>
            </w:pPr>
            <w:r w:rsidRPr="00A76C36">
              <w:rPr>
                <w:rFonts w:ascii="Times New Roman" w:hAnsi="Times New Roman" w:cs="Times New Roman"/>
                <w:b/>
              </w:rPr>
              <w:t>Základné údaje</w:t>
            </w:r>
          </w:p>
        </w:tc>
      </w:tr>
      <w:tr w:rsidR="00A76C36" w:rsidRPr="00A76C36" w:rsidTr="00D73CD7">
        <w:tc>
          <w:tcPr>
            <w:tcW w:w="9180" w:type="dxa"/>
            <w:gridSpan w:val="10"/>
            <w:tcBorders>
              <w:bottom w:val="single" w:sz="4" w:space="0" w:color="FFFFFF" w:themeColor="background1"/>
            </w:tcBorders>
            <w:shd w:val="clear" w:color="auto" w:fill="E2E2E2"/>
          </w:tcPr>
          <w:p w:rsidR="00A76C36" w:rsidRPr="00A76C36" w:rsidRDefault="00A76C36" w:rsidP="00D73CD7">
            <w:pPr>
              <w:pStyle w:val="Odsekzoznamu"/>
              <w:ind w:left="142"/>
              <w:rPr>
                <w:rFonts w:ascii="Times New Roman" w:hAnsi="Times New Roman" w:cs="Times New Roman"/>
                <w:b/>
              </w:rPr>
            </w:pPr>
            <w:r w:rsidRPr="00A76C36">
              <w:rPr>
                <w:rFonts w:ascii="Times New Roman" w:hAnsi="Times New Roman" w:cs="Times New Roman"/>
                <w:b/>
              </w:rPr>
              <w:t>Názov materiálu</w:t>
            </w:r>
          </w:p>
        </w:tc>
      </w:tr>
      <w:tr w:rsidR="00A76C36" w:rsidRPr="00A76C36" w:rsidTr="00D73CD7">
        <w:tc>
          <w:tcPr>
            <w:tcW w:w="9180" w:type="dxa"/>
            <w:gridSpan w:val="10"/>
            <w:tcBorders>
              <w:top w:val="single" w:sz="4" w:space="0" w:color="FFFFFF" w:themeColor="background1"/>
              <w:bottom w:val="single" w:sz="4" w:space="0" w:color="auto"/>
            </w:tcBorders>
          </w:tcPr>
          <w:p w:rsidR="00A76C36" w:rsidRPr="00A76C36" w:rsidRDefault="00A76C36" w:rsidP="00D73CD7">
            <w:r w:rsidRPr="00A76C36">
              <w:t>Návrh zákona o základných požiadavkách na bezpečnosť detského ihriska a o zmene a doplnení niektorých zákonov</w:t>
            </w:r>
          </w:p>
          <w:p w:rsidR="00A76C36" w:rsidRPr="00A76C36" w:rsidRDefault="00A76C36" w:rsidP="00D73CD7"/>
        </w:tc>
      </w:tr>
      <w:tr w:rsidR="00A76C36" w:rsidRPr="00A76C36" w:rsidTr="00D73CD7">
        <w:tc>
          <w:tcPr>
            <w:tcW w:w="9180" w:type="dxa"/>
            <w:gridSpan w:val="10"/>
            <w:tcBorders>
              <w:top w:val="single" w:sz="4" w:space="0" w:color="auto"/>
              <w:left w:val="single" w:sz="4" w:space="0" w:color="auto"/>
              <w:bottom w:val="single" w:sz="4" w:space="0" w:color="FFFFFF" w:themeColor="background1"/>
            </w:tcBorders>
            <w:shd w:val="clear" w:color="auto" w:fill="E2E2E2"/>
          </w:tcPr>
          <w:p w:rsidR="00A76C36" w:rsidRPr="00A76C36" w:rsidRDefault="00A76C36" w:rsidP="00D73CD7">
            <w:pPr>
              <w:pStyle w:val="Odsekzoznamu"/>
              <w:ind w:left="142"/>
              <w:rPr>
                <w:rFonts w:ascii="Times New Roman" w:hAnsi="Times New Roman" w:cs="Times New Roman"/>
                <w:b/>
              </w:rPr>
            </w:pPr>
            <w:r w:rsidRPr="00A76C36">
              <w:rPr>
                <w:rFonts w:ascii="Times New Roman" w:hAnsi="Times New Roman" w:cs="Times New Roman"/>
                <w:b/>
              </w:rPr>
              <w:t>Predkladateľ (a spolupredkladateľ)</w:t>
            </w:r>
          </w:p>
        </w:tc>
      </w:tr>
      <w:tr w:rsidR="00A76C36" w:rsidRPr="00A76C36" w:rsidTr="00D73CD7">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rsidR="00A76C36" w:rsidRPr="00A76C36" w:rsidRDefault="00A76C36" w:rsidP="00D73CD7">
            <w:r w:rsidRPr="00A76C36">
              <w:t>Ministerstvo hospodárstva Slovenskej republiky</w:t>
            </w:r>
          </w:p>
          <w:p w:rsidR="00A76C36" w:rsidRPr="00A76C36" w:rsidRDefault="00A76C36" w:rsidP="00D73CD7"/>
        </w:tc>
      </w:tr>
      <w:tr w:rsidR="00A76C36" w:rsidRPr="00A76C36" w:rsidTr="00D73CD7">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rsidR="00A76C36" w:rsidRPr="00A76C36" w:rsidRDefault="00A76C36" w:rsidP="00D73CD7">
            <w:pPr>
              <w:pStyle w:val="Odsekzoznamu"/>
              <w:ind w:left="142"/>
              <w:rPr>
                <w:rFonts w:ascii="Times New Roman" w:hAnsi="Times New Roman" w:cs="Times New Roman"/>
                <w:b/>
              </w:rPr>
            </w:pPr>
            <w:r w:rsidRPr="00A76C36">
              <w:rPr>
                <w:rFonts w:ascii="Times New Roman" w:hAnsi="Times New Roman" w:cs="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A76C36" w:rsidRPr="00A76C36" w:rsidRDefault="00A76C36" w:rsidP="00D73CD7">
            <w:pPr>
              <w:jc w:val="center"/>
            </w:pPr>
            <w:r w:rsidRPr="00A76C36">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hemeFill="background1"/>
          </w:tcPr>
          <w:p w:rsidR="00A76C36" w:rsidRPr="00A76C36" w:rsidRDefault="00A76C36" w:rsidP="00D73CD7">
            <w:r w:rsidRPr="00A76C36">
              <w:t>Materiál nelegislatívnej povahy</w:t>
            </w:r>
          </w:p>
        </w:tc>
      </w:tr>
      <w:tr w:rsidR="00A76C36" w:rsidRPr="00A76C36" w:rsidTr="00D73CD7">
        <w:tc>
          <w:tcPr>
            <w:tcW w:w="4212" w:type="dxa"/>
            <w:gridSpan w:val="2"/>
            <w:vMerge/>
            <w:tcBorders>
              <w:top w:val="nil"/>
              <w:left w:val="single" w:sz="4" w:space="0" w:color="auto"/>
              <w:bottom w:val="single" w:sz="4" w:space="0" w:color="FFFFFF" w:themeColor="background1"/>
            </w:tcBorders>
            <w:shd w:val="clear" w:color="auto" w:fill="E2E2E2"/>
          </w:tcPr>
          <w:p w:rsidR="00A76C36" w:rsidRPr="00A76C36" w:rsidRDefault="00A76C36" w:rsidP="00D73CD7"/>
        </w:tc>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A76C36" w:rsidRPr="00A76C36" w:rsidRDefault="00A76C36" w:rsidP="00D73CD7">
            <w:pPr>
              <w:jc w:val="center"/>
            </w:pPr>
            <w:r w:rsidRPr="00A76C36">
              <w:rPr>
                <w:rFonts w:ascii="MS Mincho" w:eastAsia="MS Mincho" w:hAnsi="MS Mincho" w:cs="MS Mincho" w:hint="eastAsia"/>
              </w:rPr>
              <w:t>☒</w:t>
            </w:r>
          </w:p>
        </w:tc>
        <w:tc>
          <w:tcPr>
            <w:tcW w:w="4263" w:type="dxa"/>
            <w:gridSpan w:val="6"/>
            <w:tcBorders>
              <w:top w:val="single" w:sz="4" w:space="0" w:color="auto"/>
              <w:left w:val="nil"/>
              <w:bottom w:val="single" w:sz="4" w:space="0" w:color="auto"/>
            </w:tcBorders>
            <w:shd w:val="clear" w:color="auto" w:fill="FFFFFF" w:themeFill="background1"/>
          </w:tcPr>
          <w:p w:rsidR="00A76C36" w:rsidRPr="00A76C36" w:rsidRDefault="00A76C36" w:rsidP="00D73CD7">
            <w:pPr>
              <w:ind w:left="175" w:hanging="175"/>
            </w:pPr>
            <w:r w:rsidRPr="00A76C36">
              <w:t>Materiál legislatívnej povahy</w:t>
            </w:r>
          </w:p>
        </w:tc>
      </w:tr>
      <w:tr w:rsidR="00A76C36" w:rsidRPr="00A76C36" w:rsidTr="00D73CD7">
        <w:tc>
          <w:tcPr>
            <w:tcW w:w="4212" w:type="dxa"/>
            <w:gridSpan w:val="2"/>
            <w:vMerge/>
            <w:tcBorders>
              <w:top w:val="nil"/>
              <w:left w:val="single" w:sz="4" w:space="0" w:color="auto"/>
              <w:bottom w:val="single" w:sz="4" w:space="0" w:color="auto"/>
            </w:tcBorders>
            <w:shd w:val="clear" w:color="auto" w:fill="E2E2E2"/>
          </w:tcPr>
          <w:p w:rsidR="00A76C36" w:rsidRPr="00A76C36" w:rsidRDefault="00A76C36" w:rsidP="00D73CD7"/>
        </w:tc>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A76C36" w:rsidRPr="00A76C36" w:rsidRDefault="00A76C36" w:rsidP="00D73CD7">
            <w:pPr>
              <w:jc w:val="center"/>
            </w:pPr>
            <w:r w:rsidRPr="00A76C36">
              <w:rPr>
                <w:rFonts w:ascii="MS Mincho" w:eastAsia="MS Mincho" w:hAnsi="MS Mincho" w:cs="MS Mincho" w:hint="eastAsia"/>
              </w:rPr>
              <w:t>☐</w:t>
            </w:r>
          </w:p>
        </w:tc>
        <w:tc>
          <w:tcPr>
            <w:tcW w:w="4263" w:type="dxa"/>
            <w:gridSpan w:val="6"/>
            <w:tcBorders>
              <w:top w:val="single" w:sz="4" w:space="0" w:color="auto"/>
              <w:left w:val="nil"/>
              <w:bottom w:val="single" w:sz="4" w:space="0" w:color="auto"/>
            </w:tcBorders>
            <w:shd w:val="clear" w:color="auto" w:fill="FFFFFF" w:themeFill="background1"/>
          </w:tcPr>
          <w:p w:rsidR="00A76C36" w:rsidRPr="00A76C36" w:rsidRDefault="00A76C36" w:rsidP="00D73CD7">
            <w:r w:rsidRPr="00A76C36">
              <w:t>Transpozícia práva EÚ</w:t>
            </w:r>
          </w:p>
        </w:tc>
      </w:tr>
      <w:tr w:rsidR="00A76C36" w:rsidRPr="00A76C36" w:rsidTr="00D73CD7">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rsidR="00A76C36" w:rsidRPr="00A76C36" w:rsidRDefault="00A76C36" w:rsidP="00D73CD7">
            <w:pPr>
              <w:rPr>
                <w:i/>
              </w:rPr>
            </w:pPr>
            <w:r w:rsidRPr="00A76C36">
              <w:rPr>
                <w:i/>
              </w:rPr>
              <w:t>V prípade transpozície uveďte zoznam transponovaných predpisov:</w:t>
            </w:r>
          </w:p>
          <w:p w:rsidR="00A76C36" w:rsidRPr="00A76C36" w:rsidRDefault="00A76C36" w:rsidP="00D73CD7"/>
          <w:p w:rsidR="00A76C36" w:rsidRPr="00A76C36" w:rsidRDefault="00A76C36" w:rsidP="00D73CD7"/>
        </w:tc>
      </w:tr>
      <w:tr w:rsidR="00A76C36" w:rsidRPr="00A76C36" w:rsidTr="00D73CD7">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rsidR="00A76C36" w:rsidRPr="00A76C36" w:rsidRDefault="00A76C36" w:rsidP="00D73CD7">
            <w:pPr>
              <w:pStyle w:val="Odsekzoznamu"/>
              <w:ind w:left="142"/>
              <w:rPr>
                <w:rFonts w:ascii="Times New Roman" w:hAnsi="Times New Roman" w:cs="Times New Roman"/>
                <w:b/>
              </w:rPr>
            </w:pPr>
            <w:r w:rsidRPr="00A76C36">
              <w:rPr>
                <w:rFonts w:ascii="Times New Roman" w:hAnsi="Times New Roman" w:cs="Times New Roman"/>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rsidR="00A76C36" w:rsidRPr="00A76C36" w:rsidRDefault="00A76C36" w:rsidP="00D73CD7">
            <w:r w:rsidRPr="00A76C36">
              <w:t>16.11.2018 – 30.11.2018</w:t>
            </w:r>
          </w:p>
        </w:tc>
      </w:tr>
      <w:tr w:rsidR="00A76C36" w:rsidRPr="00A76C36" w:rsidTr="00D73CD7">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A76C36" w:rsidRPr="00A76C36" w:rsidRDefault="00A76C36" w:rsidP="00D73CD7">
            <w:pPr>
              <w:pStyle w:val="Odsekzoznamu"/>
              <w:ind w:left="142"/>
              <w:rPr>
                <w:rFonts w:ascii="Times New Roman" w:hAnsi="Times New Roman" w:cs="Times New Roman"/>
                <w:b/>
              </w:rPr>
            </w:pPr>
            <w:r w:rsidRPr="00A76C36">
              <w:rPr>
                <w:rFonts w:ascii="Times New Roman" w:hAnsi="Times New Roman" w:cs="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cPr>
          <w:p w:rsidR="00A76C36" w:rsidRPr="00A76C36" w:rsidRDefault="00A76C36" w:rsidP="00D73CD7">
            <w:r w:rsidRPr="00A76C36">
              <w:t>06.12.2018</w:t>
            </w:r>
          </w:p>
        </w:tc>
      </w:tr>
      <w:tr w:rsidR="00A76C36" w:rsidRPr="00A76C36" w:rsidTr="00D73CD7">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A76C36" w:rsidRPr="00A76C36" w:rsidRDefault="00A76C36" w:rsidP="00D73CD7">
            <w:pPr>
              <w:pStyle w:val="Odsekzoznamu"/>
              <w:ind w:left="142"/>
              <w:rPr>
                <w:rFonts w:ascii="Times New Roman" w:hAnsi="Times New Roman" w:cs="Times New Roman"/>
                <w:b/>
              </w:rPr>
            </w:pPr>
            <w:r w:rsidRPr="00A76C36">
              <w:rPr>
                <w:rFonts w:ascii="Times New Roman" w:hAnsi="Times New Roman" w:cs="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cPr>
          <w:p w:rsidR="00A76C36" w:rsidRPr="00A76C36" w:rsidRDefault="00A76C36" w:rsidP="00D73CD7">
            <w:r w:rsidRPr="00A76C36">
              <w:t xml:space="preserve">V závislosti od ukončenia </w:t>
            </w:r>
            <w:proofErr w:type="spellStart"/>
            <w:r w:rsidRPr="00A76C36">
              <w:t>vnútrokomunitárneho</w:t>
            </w:r>
            <w:proofErr w:type="spellEnd"/>
            <w:r w:rsidRPr="00A76C36">
              <w:t xml:space="preserve"> pripomienkového konania.</w:t>
            </w:r>
          </w:p>
        </w:tc>
      </w:tr>
      <w:tr w:rsidR="00A76C36" w:rsidRPr="00A76C36" w:rsidTr="00D73CD7">
        <w:tc>
          <w:tcPr>
            <w:tcW w:w="9180" w:type="dxa"/>
            <w:gridSpan w:val="10"/>
            <w:tcBorders>
              <w:top w:val="single" w:sz="4" w:space="0" w:color="auto"/>
              <w:left w:val="nil"/>
              <w:bottom w:val="single" w:sz="4" w:space="0" w:color="auto"/>
              <w:right w:val="nil"/>
            </w:tcBorders>
            <w:shd w:val="clear" w:color="auto" w:fill="FFFFFF" w:themeFill="background1"/>
          </w:tcPr>
          <w:p w:rsidR="00A76C36" w:rsidRPr="00A76C36" w:rsidRDefault="00A76C36" w:rsidP="00D73CD7"/>
        </w:tc>
      </w:tr>
      <w:tr w:rsidR="00A76C36" w:rsidRPr="00A76C36" w:rsidTr="00D73CD7">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A76C36" w:rsidRPr="00A76C36" w:rsidRDefault="00A76C36" w:rsidP="00644416">
            <w:pPr>
              <w:pStyle w:val="Odsekzoznamu"/>
              <w:numPr>
                <w:ilvl w:val="0"/>
                <w:numId w:val="2"/>
              </w:numPr>
              <w:spacing w:after="0" w:line="240" w:lineRule="auto"/>
              <w:ind w:left="426"/>
              <w:rPr>
                <w:rFonts w:ascii="Times New Roman" w:hAnsi="Times New Roman" w:cs="Times New Roman"/>
                <w:b/>
              </w:rPr>
            </w:pPr>
            <w:r w:rsidRPr="00A76C36">
              <w:rPr>
                <w:rFonts w:ascii="Times New Roman" w:hAnsi="Times New Roman" w:cs="Times New Roman"/>
                <w:b/>
              </w:rPr>
              <w:t>Definovanie problému</w:t>
            </w:r>
          </w:p>
        </w:tc>
      </w:tr>
      <w:tr w:rsidR="00A76C36" w:rsidRPr="00A76C36" w:rsidTr="00D73CD7">
        <w:trPr>
          <w:trHeight w:val="283"/>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A76C36" w:rsidRPr="00A76C36" w:rsidRDefault="00A76C36" w:rsidP="00D73CD7">
            <w:pPr>
              <w:rPr>
                <w:i/>
              </w:rPr>
            </w:pPr>
            <w:r w:rsidRPr="00A76C36">
              <w:rPr>
                <w:i/>
              </w:rPr>
              <w:t>Uveďte základné problémy, na ktoré navrhovaná regulácia reaguje.</w:t>
            </w:r>
          </w:p>
          <w:p w:rsidR="00A76C36" w:rsidRPr="00A76C36" w:rsidRDefault="00A76C36" w:rsidP="00D73CD7"/>
          <w:p w:rsidR="00A76C36" w:rsidRPr="00A76C36" w:rsidRDefault="00A76C36" w:rsidP="00D73CD7">
            <w:pPr>
              <w:jc w:val="both"/>
            </w:pPr>
            <w:r w:rsidRPr="00A76C36">
              <w:t>Návrh zákona reaguje na aktuálny spoločenský stav spočívajúci v dlhodobo pretrvávajúcich nedostatkoch v oblasti bezpečnosti detských ihrísk a tiež na súčasný právny stav, ktorý je založený na absencii ucelenej právnej úpravy, ktorá by jasným a zrozumiteľným spôsobom stanovovala bezpečnostné požiadavky na detské ihrisko ako celok, zodpovednostné vzťahy pri prevádzkovaní detských ihrísk a základné povinnosti vlastníkov, resp. prevádzkovateľov späté so sprístupňovaním detského ihriska verejnosti.</w:t>
            </w:r>
          </w:p>
          <w:p w:rsidR="00A76C36" w:rsidRPr="00A76C36" w:rsidRDefault="00A76C36" w:rsidP="00D73CD7">
            <w:pPr>
              <w:jc w:val="both"/>
            </w:pPr>
          </w:p>
          <w:p w:rsidR="00A76C36" w:rsidRPr="00A76C36" w:rsidRDefault="00A76C36" w:rsidP="00D73CD7">
            <w:pPr>
              <w:jc w:val="both"/>
            </w:pPr>
            <w:r w:rsidRPr="00A76C36">
              <w:t>Východiskom platnej právnej úpravy je nariadenie vlády Slovenskej republiky č. 349/2010 Z. z., ktorým sa ustanovujú podrobnosti o technických požiadavkách a postupoch posudzovania zhody na prostriedky ľudovej zábavy, zariadenia detských ihrísk a športovo-rekreačné zariadenia. Nariadenia vlády SR sa zameriava len na individuálne zariadenia detského ihriska, v prípade ktorých sa musí pred ich uvedením na trh alebo do prevádzky vykonať obligatórne posúdenie zhody, ktorým sa zisťuje, či pri výrobe zariadenia detského ihriska boli dodržané príslušné technické normy. V zmysle platnej právnej úpravy sa posudzuje bezpečnosť zariadenia detského ihriska len po jeho výrobe, neriešia sa však početné nedostatky spôsobené neodb</w:t>
            </w:r>
            <w:r w:rsidR="00C42DCD">
              <w:t xml:space="preserve">ornou </w:t>
            </w:r>
            <w:r w:rsidRPr="00A76C36">
              <w:t>montážou, nesprávnou inštaláciou priamo na detskom ihrisku či nedostatočnou údržbou, čím sa aj z pôvodne bezpečného zariadenia detského ihriska môže stať nebezpečný výrobok.</w:t>
            </w:r>
          </w:p>
          <w:p w:rsidR="00A76C36" w:rsidRPr="00A76C36" w:rsidRDefault="00A76C36" w:rsidP="00D73CD7">
            <w:pPr>
              <w:jc w:val="both"/>
            </w:pPr>
          </w:p>
          <w:p w:rsidR="00A76C36" w:rsidRPr="00A76C36" w:rsidRDefault="00A76C36" w:rsidP="00D73CD7">
            <w:pPr>
              <w:jc w:val="both"/>
            </w:pPr>
            <w:r w:rsidRPr="00A76C36">
              <w:t xml:space="preserve">Predmetné nariadenie vlády predstavuje výlučne národnú reguláciu a nie je transpozíciou alebo implementáciou práva Európskej únie. Uvedená povinnosť sa v nadväznosti na princíp vzájomného uznávania preto vyžaduje len v prípade tých zariadení detského ihriska, ktoré boli vyrobené na území Slovenskej republiky alebo uvedené na jednotný trh Európskej únie cez územie Slovenskej republiky, a to odo dňa 1. januára 2011. </w:t>
            </w:r>
          </w:p>
          <w:p w:rsidR="00A76C36" w:rsidRPr="00A76C36" w:rsidRDefault="00A76C36" w:rsidP="00D73CD7">
            <w:pPr>
              <w:jc w:val="both"/>
            </w:pPr>
          </w:p>
          <w:p w:rsidR="00A76C36" w:rsidRPr="00A76C36" w:rsidRDefault="00A76C36" w:rsidP="00D73CD7">
            <w:pPr>
              <w:jc w:val="both"/>
            </w:pPr>
            <w:r w:rsidRPr="00A76C36">
              <w:lastRenderedPageBreak/>
              <w:t xml:space="preserve">Ak detské ihrisko predstavuje stavbu podľa stavebného zákona (§ 43 stavebného zákona), vyžaduje sa ohlásenie stavby, ojedinele stavebné povolenie a kolaudačné rozhodnutie, prax stavebných úradov však nie je jednotná. Ďalším aplikačným problémom je, že v súčasnosti pôsobia na trhu podvodní kontrolóri detských ihrísk bez náležitého preukázania potrebnej odbornosti na výkon tejto špecifickej činnosti, ktorí oslovujú vlastníkov detských ihrísk (najmä malé obce) s ponukou na vykonanie kontroly detského ihriska pod hrozbou sankcie od Slovenskej obchodnej inšpekcie (ďalej len „SOI“) v prípade jej nevykonania. </w:t>
            </w:r>
          </w:p>
          <w:p w:rsidR="00A76C36" w:rsidRPr="00A76C36" w:rsidRDefault="00A76C36" w:rsidP="00D73CD7">
            <w:pPr>
              <w:jc w:val="both"/>
            </w:pPr>
          </w:p>
          <w:p w:rsidR="00A76C36" w:rsidRPr="00A76C36" w:rsidRDefault="00A76C36" w:rsidP="00D73CD7">
            <w:pPr>
              <w:jc w:val="both"/>
            </w:pPr>
            <w:r w:rsidRPr="00A76C36">
              <w:t>Efektívnosť a účinnosť platnej právnej úpravy v aplikačnej praxi boli opakovane preverené výkonom kontrolných akcií SOI. Výsledky kontrol od roku 2006 do roku 2017 však naznačujú, že sledovaný účel nie je zabezpečený na optimálnej úrovni, keď od účinnosti nariadenia vlády SR podiel detských ihrísk s identifikovaným nedostatkom zotrváva na úrovni približne 80% z celkového počtu kontrol.</w:t>
            </w:r>
          </w:p>
          <w:p w:rsidR="00A76C36" w:rsidRPr="00A76C36" w:rsidRDefault="00A76C36" w:rsidP="00D73CD7"/>
        </w:tc>
      </w:tr>
      <w:tr w:rsidR="00A76C36" w:rsidRPr="00A76C36" w:rsidTr="00D73CD7">
        <w:tc>
          <w:tcPr>
            <w:tcW w:w="9180" w:type="dxa"/>
            <w:gridSpan w:val="10"/>
            <w:tcBorders>
              <w:top w:val="single" w:sz="4" w:space="0" w:color="auto"/>
              <w:left w:val="single" w:sz="4" w:space="0" w:color="auto"/>
              <w:bottom w:val="nil"/>
              <w:right w:val="single" w:sz="4" w:space="0" w:color="auto"/>
            </w:tcBorders>
            <w:shd w:val="clear" w:color="auto" w:fill="E2E2E2"/>
          </w:tcPr>
          <w:p w:rsidR="00A76C36" w:rsidRPr="00A76C36" w:rsidRDefault="00A76C36" w:rsidP="00644416">
            <w:pPr>
              <w:pStyle w:val="Odsekzoznamu"/>
              <w:numPr>
                <w:ilvl w:val="0"/>
                <w:numId w:val="2"/>
              </w:numPr>
              <w:spacing w:after="0" w:line="240" w:lineRule="auto"/>
              <w:ind w:left="426"/>
              <w:rPr>
                <w:rFonts w:ascii="Times New Roman" w:hAnsi="Times New Roman" w:cs="Times New Roman"/>
                <w:b/>
              </w:rPr>
            </w:pPr>
            <w:r w:rsidRPr="00A76C36">
              <w:rPr>
                <w:rFonts w:ascii="Times New Roman" w:hAnsi="Times New Roman" w:cs="Times New Roman"/>
                <w:b/>
              </w:rPr>
              <w:lastRenderedPageBreak/>
              <w:t>Ciele a výsledný stav</w:t>
            </w:r>
          </w:p>
        </w:tc>
      </w:tr>
      <w:tr w:rsidR="00A76C36" w:rsidRPr="00A76C36" w:rsidTr="00D73CD7">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A76C36" w:rsidRPr="00A76C36" w:rsidRDefault="00A76C36" w:rsidP="00D73CD7">
            <w:pPr>
              <w:rPr>
                <w:i/>
              </w:rPr>
            </w:pPr>
            <w:r w:rsidRPr="00A76C36">
              <w:rPr>
                <w:i/>
              </w:rPr>
              <w:t>Uveďte hlavné ciele navrhovaného predpisu (aký výsledný stav chcete reguláciou dosiahnuť).</w:t>
            </w:r>
          </w:p>
          <w:p w:rsidR="00A76C36" w:rsidRPr="00A76C36" w:rsidRDefault="00A76C36" w:rsidP="00D73CD7"/>
          <w:p w:rsidR="00A76C36" w:rsidRPr="00A76C36" w:rsidRDefault="00A76C36" w:rsidP="00D73CD7">
            <w:pPr>
              <w:jc w:val="both"/>
            </w:pPr>
            <w:r w:rsidRPr="00A76C36">
              <w:t>Cieľom návrhu zákona je zvýšenie bezpečnosti detských ihrísk - bezpečné detské ihriská minimalizujúce riziká neoddeliteľne späté s hrou detí na detských ihriskách, vyjasnenie zodpovednostných vzťahov pri sprístupňovaní detských ihrísk verejnosti, stanovenie jasných a zrozumiteľných povinností vlastníkov detských ihrísk pri uvedení detského ihriska do prevádzky a počas celého obdobia jeho sprístupňovania verejnosti, definovanie pravidiel a periodicity výkonu kontrol detských ihrísk a stanovenie požiadaviek na subjekty oprávnené tieto kontroly vykonávať na potrebnej odbornej úrovni.</w:t>
            </w:r>
          </w:p>
          <w:p w:rsidR="00A76C36" w:rsidRPr="00A76C36" w:rsidRDefault="00A76C36" w:rsidP="00D73CD7">
            <w:pPr>
              <w:jc w:val="both"/>
            </w:pPr>
          </w:p>
        </w:tc>
      </w:tr>
      <w:tr w:rsidR="00A76C36" w:rsidRPr="00A76C36" w:rsidTr="00D73CD7">
        <w:tc>
          <w:tcPr>
            <w:tcW w:w="9180" w:type="dxa"/>
            <w:gridSpan w:val="10"/>
            <w:tcBorders>
              <w:top w:val="single" w:sz="4" w:space="0" w:color="auto"/>
              <w:left w:val="single" w:sz="4" w:space="0" w:color="auto"/>
              <w:bottom w:val="nil"/>
              <w:right w:val="single" w:sz="4" w:space="0" w:color="auto"/>
            </w:tcBorders>
            <w:shd w:val="clear" w:color="auto" w:fill="E2E2E2"/>
          </w:tcPr>
          <w:p w:rsidR="00A76C36" w:rsidRPr="00A76C36" w:rsidRDefault="00A76C36" w:rsidP="00644416">
            <w:pPr>
              <w:pStyle w:val="Odsekzoznamu"/>
              <w:numPr>
                <w:ilvl w:val="0"/>
                <w:numId w:val="2"/>
              </w:numPr>
              <w:spacing w:after="0" w:line="240" w:lineRule="auto"/>
              <w:ind w:left="426"/>
              <w:rPr>
                <w:rFonts w:ascii="Times New Roman" w:hAnsi="Times New Roman" w:cs="Times New Roman"/>
                <w:b/>
              </w:rPr>
            </w:pPr>
            <w:r w:rsidRPr="00A76C36">
              <w:rPr>
                <w:rFonts w:ascii="Times New Roman" w:hAnsi="Times New Roman" w:cs="Times New Roman"/>
                <w:b/>
              </w:rPr>
              <w:t>Dotknuté subjekty</w:t>
            </w:r>
          </w:p>
        </w:tc>
      </w:tr>
      <w:tr w:rsidR="00A76C36" w:rsidRPr="00A76C36" w:rsidTr="00D73CD7">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A76C36" w:rsidRPr="00A76C36" w:rsidRDefault="00A76C36" w:rsidP="00D73CD7">
            <w:pPr>
              <w:rPr>
                <w:i/>
              </w:rPr>
            </w:pPr>
            <w:r w:rsidRPr="00A76C36">
              <w:rPr>
                <w:i/>
              </w:rPr>
              <w:t>Uveďte subjekty, ktorých sa zmeny návrhu dotknú priamo aj nepriamo:</w:t>
            </w:r>
          </w:p>
          <w:p w:rsidR="00A76C36" w:rsidRPr="00A76C36" w:rsidRDefault="00A76C36" w:rsidP="00D73CD7"/>
          <w:p w:rsidR="00A76C36" w:rsidRPr="00A76C36" w:rsidRDefault="00A76C36" w:rsidP="00D73CD7">
            <w:pPr>
              <w:jc w:val="both"/>
            </w:pPr>
            <w:r w:rsidRPr="00A76C36">
              <w:t>Subjekty verejnej správy – obce (vlastníci detských ihrísk), Slovenská obchodná inšpekcia (orgán dohľadu)</w:t>
            </w:r>
          </w:p>
          <w:p w:rsidR="00A76C36" w:rsidRPr="00A76C36" w:rsidRDefault="00A76C36" w:rsidP="00D73CD7">
            <w:pPr>
              <w:jc w:val="both"/>
            </w:pPr>
          </w:p>
          <w:p w:rsidR="00A76C36" w:rsidRPr="00A76C36" w:rsidRDefault="00A76C36" w:rsidP="00D73CD7">
            <w:pPr>
              <w:jc w:val="both"/>
            </w:pPr>
            <w:r w:rsidRPr="00A76C36">
              <w:t>Podnikatelia – vlastníci detských ihrísk, prevádzkovatelia detských ihrísk, zriaďovatelia detských ihrísk, výrobcovia, dovozcovia zariadení detských ihrísk, akreditované osoby</w:t>
            </w:r>
          </w:p>
          <w:p w:rsidR="00A76C36" w:rsidRPr="00A76C36" w:rsidRDefault="00A76C36" w:rsidP="00D73CD7">
            <w:pPr>
              <w:jc w:val="both"/>
            </w:pPr>
          </w:p>
          <w:p w:rsidR="00A76C36" w:rsidRPr="00A76C36" w:rsidRDefault="00A76C36" w:rsidP="00D73CD7">
            <w:pPr>
              <w:jc w:val="both"/>
            </w:pPr>
            <w:r w:rsidRPr="00A76C36">
              <w:t xml:space="preserve">Iné osoby - osoby certifikované na ročnú kontrolu detských ihrísk </w:t>
            </w:r>
          </w:p>
          <w:p w:rsidR="00A76C36" w:rsidRPr="00A76C36" w:rsidRDefault="00A76C36" w:rsidP="00D73CD7">
            <w:pPr>
              <w:jc w:val="both"/>
            </w:pPr>
          </w:p>
          <w:p w:rsidR="00A76C36" w:rsidRPr="00A76C36" w:rsidRDefault="00A76C36" w:rsidP="00D73CD7">
            <w:pPr>
              <w:jc w:val="both"/>
            </w:pPr>
            <w:r w:rsidRPr="00A76C36">
              <w:t>Iní vlastníci/prevádzkovatelia detských ihrísk (napr. školy a školské zariadenia, zariadenia pre deti a mládež občianske združenia...)</w:t>
            </w:r>
          </w:p>
          <w:p w:rsidR="00A76C36" w:rsidRPr="00A76C36" w:rsidRDefault="00A76C36" w:rsidP="00D73CD7">
            <w:pPr>
              <w:jc w:val="both"/>
            </w:pPr>
          </w:p>
          <w:p w:rsidR="00A76C36" w:rsidRPr="00A76C36" w:rsidRDefault="00A76C36" w:rsidP="00D73CD7">
            <w:pPr>
              <w:jc w:val="both"/>
            </w:pPr>
            <w:r w:rsidRPr="00A76C36">
              <w:t>Užívatelia detských ihrísk (deti a osoby za ne zodpovedné)</w:t>
            </w:r>
          </w:p>
          <w:p w:rsidR="00A76C36" w:rsidRPr="00A76C36" w:rsidRDefault="00A76C36" w:rsidP="00D73CD7"/>
        </w:tc>
      </w:tr>
      <w:tr w:rsidR="00A76C36" w:rsidRPr="00A76C36" w:rsidTr="00D73CD7">
        <w:tc>
          <w:tcPr>
            <w:tcW w:w="9180" w:type="dxa"/>
            <w:gridSpan w:val="10"/>
            <w:tcBorders>
              <w:top w:val="single" w:sz="4" w:space="0" w:color="auto"/>
              <w:left w:val="single" w:sz="4" w:space="0" w:color="auto"/>
              <w:bottom w:val="nil"/>
              <w:right w:val="single" w:sz="4" w:space="0" w:color="auto"/>
            </w:tcBorders>
            <w:shd w:val="clear" w:color="auto" w:fill="E2E2E2"/>
          </w:tcPr>
          <w:p w:rsidR="00A76C36" w:rsidRPr="00A76C36" w:rsidRDefault="00A76C36" w:rsidP="00644416">
            <w:pPr>
              <w:pStyle w:val="Odsekzoznamu"/>
              <w:numPr>
                <w:ilvl w:val="0"/>
                <w:numId w:val="2"/>
              </w:numPr>
              <w:spacing w:after="0" w:line="240" w:lineRule="auto"/>
              <w:ind w:left="426"/>
              <w:rPr>
                <w:rFonts w:ascii="Times New Roman" w:hAnsi="Times New Roman" w:cs="Times New Roman"/>
                <w:b/>
              </w:rPr>
            </w:pPr>
            <w:r w:rsidRPr="00A76C36">
              <w:rPr>
                <w:rFonts w:ascii="Times New Roman" w:hAnsi="Times New Roman" w:cs="Times New Roman"/>
                <w:b/>
              </w:rPr>
              <w:t>Alternatívne riešenia</w:t>
            </w:r>
          </w:p>
        </w:tc>
      </w:tr>
      <w:tr w:rsidR="00A76C36" w:rsidRPr="00A76C36" w:rsidTr="00D73CD7">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A76C36" w:rsidRPr="00A76C36" w:rsidRDefault="00A76C36" w:rsidP="00D73CD7">
            <w:pPr>
              <w:rPr>
                <w:i/>
              </w:rPr>
            </w:pPr>
            <w:r w:rsidRPr="00A76C36">
              <w:rPr>
                <w:i/>
              </w:rPr>
              <w:t>Aké alternatívne riešenia boli posudzované?</w:t>
            </w:r>
          </w:p>
          <w:p w:rsidR="00A76C36" w:rsidRPr="00A76C36" w:rsidRDefault="00A76C36" w:rsidP="00D73CD7">
            <w:pPr>
              <w:rPr>
                <w:i/>
              </w:rPr>
            </w:pPr>
            <w:r w:rsidRPr="00A76C36">
              <w:rPr>
                <w:i/>
              </w:rPr>
              <w:t>Uveďte, aké alternatívne spôsoby na odstránenie definovaného problému boli identifikované a posudzované.</w:t>
            </w:r>
          </w:p>
          <w:p w:rsidR="00A76C36" w:rsidRPr="00A76C36" w:rsidRDefault="00A76C36" w:rsidP="00D73CD7">
            <w:pPr>
              <w:rPr>
                <w:i/>
              </w:rPr>
            </w:pPr>
          </w:p>
          <w:p w:rsidR="00A76C36" w:rsidRDefault="00A76C36" w:rsidP="00D73CD7">
            <w:pPr>
              <w:jc w:val="both"/>
            </w:pPr>
            <w:r w:rsidRPr="00A76C36">
              <w:t xml:space="preserve">V rámci zvažovania možností </w:t>
            </w:r>
            <w:proofErr w:type="spellStart"/>
            <w:r w:rsidRPr="006E3A58">
              <w:t>pro</w:t>
            </w:r>
            <w:proofErr w:type="spellEnd"/>
            <w:r w:rsidRPr="006E3A58">
              <w:t xml:space="preserve"> </w:t>
            </w:r>
            <w:proofErr w:type="spellStart"/>
            <w:r w:rsidRPr="006E3A58">
              <w:t>futuro</w:t>
            </w:r>
            <w:proofErr w:type="spellEnd"/>
            <w:r w:rsidRPr="00A76C36">
              <w:t xml:space="preserve"> boli zvažované tieto alternatívy:</w:t>
            </w:r>
          </w:p>
          <w:p w:rsidR="006E3A58" w:rsidRPr="00A76C36" w:rsidRDefault="006E3A58" w:rsidP="00D73CD7">
            <w:pPr>
              <w:jc w:val="both"/>
            </w:pPr>
          </w:p>
          <w:p w:rsidR="00A76C36" w:rsidRPr="00C42DCD" w:rsidRDefault="00A76C36" w:rsidP="00E122F2">
            <w:pPr>
              <w:pStyle w:val="Odsekzoznamu"/>
              <w:numPr>
                <w:ilvl w:val="0"/>
                <w:numId w:val="7"/>
              </w:numPr>
              <w:spacing w:line="240" w:lineRule="auto"/>
              <w:ind w:left="284"/>
              <w:jc w:val="both"/>
              <w:rPr>
                <w:rFonts w:ascii="Times New Roman" w:eastAsia="Times New Roman" w:hAnsi="Times New Roman" w:cs="Times New Roman"/>
                <w:lang w:eastAsia="sk-SK"/>
              </w:rPr>
            </w:pPr>
            <w:r w:rsidRPr="00C42DCD">
              <w:rPr>
                <w:rFonts w:ascii="Times New Roman" w:eastAsia="Times New Roman" w:hAnsi="Times New Roman" w:cs="Times New Roman"/>
                <w:lang w:eastAsia="sk-SK"/>
              </w:rPr>
              <w:t xml:space="preserve">Ponechanie </w:t>
            </w:r>
            <w:r w:rsidRPr="006E3A58">
              <w:rPr>
                <w:rFonts w:ascii="Times New Roman" w:eastAsia="Times New Roman" w:hAnsi="Times New Roman" w:cs="Times New Roman"/>
                <w:lang w:eastAsia="sk-SK"/>
              </w:rPr>
              <w:t xml:space="preserve">status </w:t>
            </w:r>
            <w:proofErr w:type="spellStart"/>
            <w:r w:rsidRPr="006E3A58">
              <w:rPr>
                <w:rFonts w:ascii="Times New Roman" w:eastAsia="Times New Roman" w:hAnsi="Times New Roman" w:cs="Times New Roman"/>
                <w:lang w:eastAsia="sk-SK"/>
              </w:rPr>
              <w:t>quo</w:t>
            </w:r>
            <w:proofErr w:type="spellEnd"/>
            <w:r w:rsidRPr="00C42DCD">
              <w:rPr>
                <w:rFonts w:ascii="Times New Roman" w:eastAsia="Times New Roman" w:hAnsi="Times New Roman" w:cs="Times New Roman"/>
                <w:lang w:eastAsia="sk-SK"/>
              </w:rPr>
              <w:t xml:space="preserve"> – v nadväznosti na výsledky kontrol SOI bola táto možnosť vyhodnotená ako neprípustná. Aktuálna právna úprava sa javí ako nedostatočná na dosiahnutie sledovaného účelu, keď podiel detských ihrísk s identifikovaným prvkom nebezpečenstva dlhodobo nevykazuje klesajúcu tendenciu a zotrváva na hodnotách, ktoré nemožno považovať za všeobecne vyhovujúci stav v rámci bezpečnosti detí z pohľadu rodičov, štátu ani spoločnosti ako celku.</w:t>
            </w:r>
          </w:p>
          <w:p w:rsidR="00A76C36" w:rsidRPr="00C42DCD" w:rsidRDefault="00A76C36" w:rsidP="00E122F2">
            <w:pPr>
              <w:pStyle w:val="Odsekzoznamu"/>
              <w:numPr>
                <w:ilvl w:val="0"/>
                <w:numId w:val="7"/>
              </w:numPr>
              <w:spacing w:line="240" w:lineRule="auto"/>
              <w:ind w:left="284"/>
              <w:jc w:val="both"/>
              <w:rPr>
                <w:rFonts w:ascii="Times New Roman" w:eastAsia="Times New Roman" w:hAnsi="Times New Roman" w:cs="Times New Roman"/>
                <w:lang w:eastAsia="sk-SK"/>
              </w:rPr>
            </w:pPr>
            <w:r w:rsidRPr="00C42DCD">
              <w:rPr>
                <w:rFonts w:ascii="Times New Roman" w:eastAsia="Times New Roman" w:hAnsi="Times New Roman" w:cs="Times New Roman"/>
                <w:lang w:eastAsia="sk-SK"/>
              </w:rPr>
              <w:t xml:space="preserve">Novelizácia nariadenia vlády Slovenskej republiky č. 349/2010 Z. z., ktorým sa ustanovujú podrobnosti o technických požiadavkách a postupoch posudzovania zhody na prostriedky ľudovej zábavy, zariadenia detských ihrísk a športovo-rekreačné zariadenia – na základe poznatkov </w:t>
            </w:r>
            <w:r w:rsidRPr="00C42DCD">
              <w:rPr>
                <w:rFonts w:ascii="Times New Roman" w:eastAsia="Times New Roman" w:hAnsi="Times New Roman" w:cs="Times New Roman"/>
                <w:lang w:eastAsia="sk-SK"/>
              </w:rPr>
              <w:lastRenderedPageBreak/>
              <w:t>z aplikačnej praxe bolo vyhodnotené, že uvedená možnosť nepredstavuje vhodný legislatívny nástroj z dôvodu potreby legislatívnych zmien v rozsahu, ktorý výrazne prekračuje rozsah tohto právneho predpisu.</w:t>
            </w:r>
          </w:p>
          <w:p w:rsidR="00A76C36" w:rsidRPr="00A76C36" w:rsidRDefault="00A76C36" w:rsidP="00E122F2">
            <w:pPr>
              <w:pStyle w:val="Odsekzoznamu"/>
              <w:numPr>
                <w:ilvl w:val="0"/>
                <w:numId w:val="7"/>
              </w:numPr>
              <w:spacing w:after="0" w:line="240" w:lineRule="auto"/>
              <w:ind w:left="284"/>
              <w:jc w:val="both"/>
              <w:rPr>
                <w:rFonts w:ascii="Times New Roman" w:eastAsia="Times New Roman" w:hAnsi="Times New Roman" w:cs="Times New Roman"/>
                <w:sz w:val="20"/>
                <w:szCs w:val="20"/>
                <w:lang w:eastAsia="sk-SK"/>
              </w:rPr>
            </w:pPr>
            <w:r w:rsidRPr="00C42DCD">
              <w:rPr>
                <w:rFonts w:ascii="Times New Roman" w:eastAsia="Times New Roman" w:hAnsi="Times New Roman" w:cs="Times New Roman"/>
                <w:lang w:eastAsia="sk-SK"/>
              </w:rPr>
              <w:t>Prijatie nového všeobecne záväzného predpisu za súčasného zrušenia nariadenia vlády Slovenskej republiky č. 349/2010 Z. z., ktorým sa ustanovujú podrobnosti o technických požiadavkách a postupoch posudzovania zhody na prostriedky ľudovej zábavy, zariadenia detských ihrísk a športovo-rekreačné zariadenia, a tým odstránenie neodôvodnenej národnej regulácie ukladajúcej slovenským výrobcom a dovozcom zariadení detských ihrísk vykonávať povinné posudzovanie zhody nad rozsah požiadaviek práva EÚ.</w:t>
            </w:r>
          </w:p>
        </w:tc>
      </w:tr>
      <w:tr w:rsidR="00A76C36" w:rsidRPr="00A76C36" w:rsidTr="00D73CD7">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A76C36" w:rsidRPr="00A76C36" w:rsidRDefault="00A76C36" w:rsidP="00644416">
            <w:pPr>
              <w:pStyle w:val="Odsekzoznamu"/>
              <w:numPr>
                <w:ilvl w:val="0"/>
                <w:numId w:val="7"/>
              </w:numPr>
              <w:spacing w:after="0" w:line="240" w:lineRule="auto"/>
              <w:ind w:left="426"/>
              <w:rPr>
                <w:rFonts w:ascii="Times New Roman" w:hAnsi="Times New Roman" w:cs="Times New Roman"/>
                <w:b/>
              </w:rPr>
            </w:pPr>
            <w:r w:rsidRPr="00A76C36">
              <w:rPr>
                <w:rFonts w:ascii="Times New Roman" w:hAnsi="Times New Roman" w:cs="Times New Roman"/>
                <w:b/>
              </w:rPr>
              <w:lastRenderedPageBreak/>
              <w:t>Vykonávacie predpisy</w:t>
            </w:r>
          </w:p>
        </w:tc>
      </w:tr>
      <w:tr w:rsidR="00A76C36" w:rsidRPr="00A76C36" w:rsidTr="00D73CD7">
        <w:tc>
          <w:tcPr>
            <w:tcW w:w="6203" w:type="dxa"/>
            <w:gridSpan w:val="6"/>
            <w:tcBorders>
              <w:top w:val="single" w:sz="4" w:space="0" w:color="FFFFFF" w:themeColor="background1"/>
              <w:left w:val="single" w:sz="4" w:space="0" w:color="auto"/>
              <w:bottom w:val="nil"/>
              <w:right w:val="nil"/>
            </w:tcBorders>
            <w:shd w:val="clear" w:color="auto" w:fill="FFFFFF" w:themeFill="background1"/>
          </w:tcPr>
          <w:p w:rsidR="00A76C36" w:rsidRPr="00A76C36" w:rsidRDefault="00A76C36" w:rsidP="00D73CD7">
            <w:pPr>
              <w:rPr>
                <w:i/>
              </w:rPr>
            </w:pPr>
            <w:r w:rsidRPr="00A76C36">
              <w:rPr>
                <w:i/>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A76C36" w:rsidRPr="00A76C36" w:rsidRDefault="00A76C36" w:rsidP="00D73CD7">
            <w:pPr>
              <w:jc w:val="center"/>
            </w:pPr>
            <w:r w:rsidRPr="00A76C36">
              <w:rPr>
                <w:rFonts w:ascii="MS Mincho" w:eastAsia="MS Mincho" w:hAnsi="MS Mincho" w:cs="MS Mincho" w:hint="eastAsia"/>
              </w:rPr>
              <w:t>☒</w:t>
            </w:r>
            <w:r w:rsidRPr="00A76C36">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rsidR="00A76C36" w:rsidRPr="00A76C36" w:rsidRDefault="00A76C36" w:rsidP="00D73CD7">
            <w:pPr>
              <w:jc w:val="center"/>
            </w:pPr>
            <w:r w:rsidRPr="00A76C36">
              <w:rPr>
                <w:rFonts w:ascii="MS Mincho" w:eastAsia="MS Mincho" w:hAnsi="MS Mincho" w:cs="MS Mincho" w:hint="eastAsia"/>
              </w:rPr>
              <w:t>☐</w:t>
            </w:r>
            <w:r w:rsidRPr="00A76C36">
              <w:t xml:space="preserve">  Nie</w:t>
            </w:r>
          </w:p>
        </w:tc>
      </w:tr>
      <w:tr w:rsidR="00A76C36" w:rsidRPr="00A76C36" w:rsidTr="00D73CD7">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A76C36" w:rsidRPr="00EB4DA6" w:rsidRDefault="00A76C36" w:rsidP="00D73CD7">
            <w:pPr>
              <w:rPr>
                <w:i/>
              </w:rPr>
            </w:pPr>
            <w:r w:rsidRPr="00A76C36">
              <w:rPr>
                <w:i/>
              </w:rPr>
              <w:t>Ak áno, uveďte ktoré oblasti budú nimi upravené, resp. ktorých vykonávacích predpisov sa zmena dotkne:</w:t>
            </w:r>
          </w:p>
          <w:p w:rsidR="00217731" w:rsidRDefault="00217731" w:rsidP="00C42DCD">
            <w:pPr>
              <w:jc w:val="both"/>
            </w:pPr>
          </w:p>
          <w:p w:rsidR="00A76C36" w:rsidRPr="00A76C36" w:rsidRDefault="00A76C36" w:rsidP="00217731">
            <w:pPr>
              <w:jc w:val="both"/>
            </w:pPr>
            <w:r w:rsidRPr="00A76C36">
              <w:t>Návrh zákona predpokladá prijatie vyhlášky Ministerstva hospodárstva Slovenskej republiky, ktorou budú bližšie upravené požiadavky na rozsah, obsah a vykonávanie odborného vzdelávania, aktualizačného odborného vzdelávania a odbornej skúšky osôb certifikovaných na výkon ročných kontrol detských ihrísk.</w:t>
            </w:r>
          </w:p>
        </w:tc>
      </w:tr>
      <w:tr w:rsidR="00A76C36" w:rsidRPr="00A76C36" w:rsidTr="00D73CD7">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A76C36" w:rsidRPr="00A76C36" w:rsidRDefault="00A76C36" w:rsidP="00644416">
            <w:pPr>
              <w:pStyle w:val="Odsekzoznamu"/>
              <w:numPr>
                <w:ilvl w:val="0"/>
                <w:numId w:val="7"/>
              </w:numPr>
              <w:spacing w:after="0" w:line="240" w:lineRule="auto"/>
              <w:ind w:left="426"/>
              <w:rPr>
                <w:rFonts w:ascii="Times New Roman" w:hAnsi="Times New Roman" w:cs="Times New Roman"/>
                <w:b/>
              </w:rPr>
            </w:pPr>
            <w:r w:rsidRPr="00A76C36">
              <w:rPr>
                <w:rFonts w:ascii="Times New Roman" w:hAnsi="Times New Roman" w:cs="Times New Roman"/>
                <w:b/>
              </w:rPr>
              <w:t xml:space="preserve">Transpozícia práva EÚ </w:t>
            </w:r>
          </w:p>
        </w:tc>
      </w:tr>
      <w:tr w:rsidR="00A76C36" w:rsidRPr="00A76C36" w:rsidTr="00D73CD7">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rsidR="00A76C36" w:rsidRPr="00A76C36" w:rsidRDefault="00A76C36" w:rsidP="00D73CD7">
            <w:pPr>
              <w:rPr>
                <w:i/>
              </w:rPr>
            </w:pPr>
            <w:r w:rsidRPr="00A76C36">
              <w:rPr>
                <w:i/>
              </w:rPr>
              <w:t>Uveďte, v ktorých ustanoveniach ide národná právna úprava nad rámec minimálnych poži</w:t>
            </w:r>
            <w:r w:rsidR="00C42DCD">
              <w:rPr>
                <w:i/>
              </w:rPr>
              <w:t>adaviek EÚ spolu s odôvodnením.</w:t>
            </w:r>
          </w:p>
        </w:tc>
      </w:tr>
      <w:tr w:rsidR="00A76C36" w:rsidRPr="00A76C36" w:rsidTr="00D73CD7">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217731" w:rsidRDefault="00217731" w:rsidP="00D73CD7"/>
          <w:p w:rsidR="00217731" w:rsidRPr="00A76C36" w:rsidRDefault="00A76C36" w:rsidP="00217731">
            <w:r w:rsidRPr="00A76C36">
              <w:t>Návrh zákona nepredstavuje transpozíciu práva EÚ.</w:t>
            </w:r>
          </w:p>
        </w:tc>
      </w:tr>
      <w:tr w:rsidR="00A76C36" w:rsidRPr="00A76C36" w:rsidTr="00D73CD7">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A76C36" w:rsidRPr="00A76C36" w:rsidRDefault="00A76C36" w:rsidP="00644416">
            <w:pPr>
              <w:pStyle w:val="Odsekzoznamu"/>
              <w:numPr>
                <w:ilvl w:val="0"/>
                <w:numId w:val="7"/>
              </w:numPr>
              <w:spacing w:after="0" w:line="240" w:lineRule="auto"/>
              <w:ind w:left="426"/>
              <w:rPr>
                <w:rFonts w:ascii="Times New Roman" w:hAnsi="Times New Roman" w:cs="Times New Roman"/>
                <w:b/>
              </w:rPr>
            </w:pPr>
            <w:r w:rsidRPr="00A76C36">
              <w:rPr>
                <w:rFonts w:ascii="Times New Roman" w:hAnsi="Times New Roman" w:cs="Times New Roman"/>
                <w:b/>
              </w:rPr>
              <w:t>Preskúmanie účelnosti**</w:t>
            </w:r>
          </w:p>
        </w:tc>
      </w:tr>
      <w:tr w:rsidR="00A76C36" w:rsidRPr="00A76C36" w:rsidTr="00D73CD7">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A76C36" w:rsidRPr="00A76C36" w:rsidRDefault="00A76C36" w:rsidP="00D73CD7">
            <w:pPr>
              <w:rPr>
                <w:i/>
              </w:rPr>
            </w:pPr>
            <w:r w:rsidRPr="00A76C36">
              <w:rPr>
                <w:i/>
              </w:rPr>
              <w:t>Uveďte termín, kedy by malo dôjsť k preskúmaniu účinnosti a účelnosti navrhovaného predpisu.</w:t>
            </w:r>
          </w:p>
          <w:p w:rsidR="00A76C36" w:rsidRPr="00EB4DA6" w:rsidRDefault="00A76C36" w:rsidP="00D73CD7">
            <w:pPr>
              <w:rPr>
                <w:i/>
              </w:rPr>
            </w:pPr>
            <w:r w:rsidRPr="00A76C36">
              <w:rPr>
                <w:i/>
              </w:rPr>
              <w:t>Uveďte kritériá, na základe ktorých bude preskúmanie vykonané.</w:t>
            </w:r>
          </w:p>
          <w:p w:rsidR="00217731" w:rsidRDefault="00217731" w:rsidP="00C42DCD">
            <w:pPr>
              <w:jc w:val="both"/>
            </w:pPr>
          </w:p>
          <w:p w:rsidR="00EB4DA6" w:rsidRPr="00A76C36" w:rsidRDefault="00A76C36" w:rsidP="00217731">
            <w:pPr>
              <w:jc w:val="both"/>
            </w:pPr>
            <w:r w:rsidRPr="00A76C36">
              <w:t xml:space="preserve">Účelnosť návrhu zákona bude preskúmaná na základe výsledkov kontrol SOI, v ktorých sa bude pokračovať aj po nadobudnutí účinnosti návrhu zákona, pričom výsledky sa budú následne </w:t>
            </w:r>
            <w:proofErr w:type="spellStart"/>
            <w:r w:rsidRPr="00A76C36">
              <w:t>komparovať</w:t>
            </w:r>
            <w:proofErr w:type="spellEnd"/>
            <w:r w:rsidRPr="00A76C36">
              <w:t xml:space="preserve"> s výsledkami kontrol vykonávaných podľa predchádzajúcej platnej právnej úpravy.</w:t>
            </w:r>
          </w:p>
        </w:tc>
      </w:tr>
      <w:tr w:rsidR="00A76C36" w:rsidRPr="00A76C36" w:rsidTr="00D73CD7">
        <w:trPr>
          <w:trHeight w:val="715"/>
        </w:trPr>
        <w:tc>
          <w:tcPr>
            <w:tcW w:w="9180" w:type="dxa"/>
            <w:gridSpan w:val="10"/>
            <w:tcBorders>
              <w:top w:val="single" w:sz="4" w:space="0" w:color="auto"/>
              <w:left w:val="nil"/>
              <w:bottom w:val="nil"/>
              <w:right w:val="nil"/>
            </w:tcBorders>
            <w:shd w:val="clear" w:color="auto" w:fill="FFFFFF" w:themeFill="background1"/>
          </w:tcPr>
          <w:p w:rsidR="00E122F2" w:rsidRDefault="00E122F2" w:rsidP="00D73CD7">
            <w:pPr>
              <w:ind w:left="142" w:hanging="142"/>
            </w:pPr>
          </w:p>
          <w:p w:rsidR="00A76C36" w:rsidRPr="00A76C36" w:rsidRDefault="00A76C36" w:rsidP="00D73CD7">
            <w:pPr>
              <w:ind w:left="142" w:hanging="142"/>
            </w:pPr>
            <w:r w:rsidRPr="00A76C36">
              <w:t>* vyplniť iba v prípade, ak materiál nie je zahrnutý do Plánu práce vlády Slovensk</w:t>
            </w:r>
            <w:r w:rsidR="00C42DCD">
              <w:t xml:space="preserve">ej republiky alebo Plánu </w:t>
            </w:r>
            <w:r w:rsidRPr="00A76C36">
              <w:t xml:space="preserve">legislatívnych úloh vlády Slovenskej republiky. </w:t>
            </w:r>
          </w:p>
          <w:p w:rsidR="00A76C36" w:rsidRPr="00A76C36" w:rsidRDefault="00A76C36" w:rsidP="00D73CD7">
            <w:r w:rsidRPr="00A76C36">
              <w:t>** nepovinné</w:t>
            </w:r>
          </w:p>
        </w:tc>
      </w:tr>
      <w:tr w:rsidR="00A76C36" w:rsidRPr="00A76C36" w:rsidTr="00D73CD7">
        <w:tc>
          <w:tcPr>
            <w:tcW w:w="9180" w:type="dxa"/>
            <w:gridSpan w:val="10"/>
            <w:tcBorders>
              <w:top w:val="nil"/>
              <w:left w:val="nil"/>
              <w:bottom w:val="single" w:sz="4" w:space="0" w:color="auto"/>
              <w:right w:val="nil"/>
            </w:tcBorders>
            <w:shd w:val="clear" w:color="auto" w:fill="FFFFFF" w:themeFill="background1"/>
          </w:tcPr>
          <w:p w:rsidR="00A76C36" w:rsidRPr="00A76C36" w:rsidRDefault="00A76C36" w:rsidP="00D73CD7">
            <w:pPr>
              <w:rPr>
                <w:b/>
              </w:rPr>
            </w:pPr>
          </w:p>
        </w:tc>
      </w:tr>
      <w:tr w:rsidR="00A76C36" w:rsidRPr="00A76C36" w:rsidTr="00D73CD7">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rsidR="00A76C36" w:rsidRPr="00A76C36" w:rsidRDefault="00A76C36" w:rsidP="00644416">
            <w:pPr>
              <w:pStyle w:val="Odsekzoznamu"/>
              <w:numPr>
                <w:ilvl w:val="0"/>
                <w:numId w:val="7"/>
              </w:numPr>
              <w:spacing w:after="0" w:line="240" w:lineRule="auto"/>
              <w:ind w:left="426"/>
              <w:rPr>
                <w:rFonts w:ascii="Times New Roman" w:hAnsi="Times New Roman" w:cs="Times New Roman"/>
                <w:b/>
              </w:rPr>
            </w:pPr>
            <w:r w:rsidRPr="00A76C36">
              <w:rPr>
                <w:rFonts w:ascii="Times New Roman" w:hAnsi="Times New Roman" w:cs="Times New Roman"/>
                <w:b/>
              </w:rPr>
              <w:t>Vplyvy navrhovaného materiálu</w:t>
            </w:r>
          </w:p>
        </w:tc>
      </w:tr>
      <w:tr w:rsidR="00A76C36" w:rsidRPr="00A76C36" w:rsidTr="00D73CD7">
        <w:tc>
          <w:tcPr>
            <w:tcW w:w="3812" w:type="dxa"/>
            <w:tcBorders>
              <w:top w:val="single" w:sz="4" w:space="0" w:color="auto"/>
              <w:left w:val="single" w:sz="4" w:space="0" w:color="auto"/>
              <w:bottom w:val="nil"/>
              <w:right w:val="single" w:sz="4" w:space="0" w:color="auto"/>
            </w:tcBorders>
            <w:shd w:val="clear" w:color="auto" w:fill="E2E2E2"/>
          </w:tcPr>
          <w:p w:rsidR="00A76C36" w:rsidRPr="00A76C36" w:rsidRDefault="00A76C36" w:rsidP="00D73CD7">
            <w:pPr>
              <w:rPr>
                <w:b/>
              </w:rPr>
            </w:pPr>
            <w:r w:rsidRPr="00A76C36">
              <w:rPr>
                <w:b/>
              </w:rPr>
              <w:t>Vplyvy na rozpočet verejnej správy</w:t>
            </w:r>
          </w:p>
        </w:tc>
        <w:tc>
          <w:tcPr>
            <w:tcW w:w="541" w:type="dxa"/>
            <w:gridSpan w:val="2"/>
            <w:tcBorders>
              <w:top w:val="single" w:sz="4" w:space="0" w:color="auto"/>
              <w:left w:val="single" w:sz="4" w:space="0" w:color="auto"/>
              <w:bottom w:val="single" w:sz="4" w:space="0" w:color="auto"/>
              <w:right w:val="nil"/>
            </w:tcBorders>
          </w:tcPr>
          <w:p w:rsidR="00A76C36" w:rsidRPr="00A76C36" w:rsidRDefault="00A76C36" w:rsidP="00D73CD7">
            <w:pPr>
              <w:jc w:val="center"/>
              <w:rPr>
                <w:b/>
              </w:rPr>
            </w:pPr>
            <w:r w:rsidRPr="00A76C36">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cPr>
          <w:p w:rsidR="00A76C36" w:rsidRPr="00A76C36" w:rsidRDefault="00A76C36" w:rsidP="00D73CD7">
            <w:pPr>
              <w:rPr>
                <w:b/>
              </w:rPr>
            </w:pPr>
            <w:r w:rsidRPr="00A76C36">
              <w:rPr>
                <w:b/>
              </w:rPr>
              <w:t>Pozitívne</w:t>
            </w:r>
          </w:p>
        </w:tc>
        <w:tc>
          <w:tcPr>
            <w:tcW w:w="569" w:type="dxa"/>
            <w:tcBorders>
              <w:top w:val="single" w:sz="4" w:space="0" w:color="auto"/>
              <w:left w:val="nil"/>
              <w:bottom w:val="single" w:sz="4" w:space="0" w:color="auto"/>
              <w:right w:val="nil"/>
            </w:tcBorders>
          </w:tcPr>
          <w:p w:rsidR="00A76C36" w:rsidRPr="00A76C36" w:rsidRDefault="00A76C36" w:rsidP="00D73CD7">
            <w:pPr>
              <w:jc w:val="center"/>
              <w:rPr>
                <w:b/>
              </w:rPr>
            </w:pPr>
            <w:r w:rsidRPr="00A76C36">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cPr>
          <w:p w:rsidR="00A76C36" w:rsidRPr="00A76C36" w:rsidRDefault="00A76C36" w:rsidP="00D73CD7">
            <w:pPr>
              <w:rPr>
                <w:b/>
              </w:rPr>
            </w:pPr>
            <w:r w:rsidRPr="00A76C36">
              <w:rPr>
                <w:b/>
              </w:rPr>
              <w:t>Žiadne</w:t>
            </w:r>
          </w:p>
        </w:tc>
        <w:tc>
          <w:tcPr>
            <w:tcW w:w="547" w:type="dxa"/>
            <w:gridSpan w:val="2"/>
            <w:tcBorders>
              <w:top w:val="single" w:sz="4" w:space="0" w:color="auto"/>
              <w:left w:val="nil"/>
              <w:bottom w:val="single" w:sz="4" w:space="0" w:color="auto"/>
              <w:right w:val="nil"/>
            </w:tcBorders>
          </w:tcPr>
          <w:p w:rsidR="00A76C36" w:rsidRPr="00A76C36" w:rsidRDefault="00A76C36" w:rsidP="00D73CD7">
            <w:pPr>
              <w:ind w:left="-107" w:right="-108"/>
              <w:jc w:val="center"/>
              <w:rPr>
                <w:b/>
              </w:rPr>
            </w:pPr>
            <w:r w:rsidRPr="00A76C36">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cPr>
          <w:p w:rsidR="00A76C36" w:rsidRPr="00A76C36" w:rsidRDefault="00A76C36" w:rsidP="00D73CD7">
            <w:pPr>
              <w:ind w:left="34"/>
              <w:rPr>
                <w:b/>
              </w:rPr>
            </w:pPr>
            <w:r w:rsidRPr="00A76C36">
              <w:rPr>
                <w:b/>
              </w:rPr>
              <w:t>Negatívne</w:t>
            </w:r>
          </w:p>
        </w:tc>
      </w:tr>
      <w:tr w:rsidR="00A76C36" w:rsidRPr="00A76C36" w:rsidTr="00D73CD7">
        <w:tc>
          <w:tcPr>
            <w:tcW w:w="3812" w:type="dxa"/>
            <w:tcBorders>
              <w:top w:val="nil"/>
              <w:left w:val="single" w:sz="4" w:space="0" w:color="auto"/>
              <w:bottom w:val="single" w:sz="4" w:space="0" w:color="000000" w:themeColor="text1"/>
              <w:right w:val="single" w:sz="4" w:space="0" w:color="auto"/>
            </w:tcBorders>
            <w:shd w:val="clear" w:color="auto" w:fill="E2E2E2"/>
          </w:tcPr>
          <w:p w:rsidR="00A76C36" w:rsidRPr="00A76C36" w:rsidRDefault="00A76C36" w:rsidP="00D73CD7">
            <w:r w:rsidRPr="00A76C36">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cPr>
          <w:p w:rsidR="00A76C36" w:rsidRPr="00A76C36" w:rsidRDefault="00A76C36" w:rsidP="00D73CD7">
            <w:pPr>
              <w:jc w:val="center"/>
            </w:pPr>
            <w:r w:rsidRPr="00A76C36">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cPr>
          <w:p w:rsidR="00A76C36" w:rsidRPr="00A76C36" w:rsidRDefault="00A76C36" w:rsidP="00D73CD7">
            <w:r w:rsidRPr="00A76C36">
              <w:t>Áno</w:t>
            </w:r>
          </w:p>
        </w:tc>
        <w:tc>
          <w:tcPr>
            <w:tcW w:w="569" w:type="dxa"/>
            <w:tcBorders>
              <w:top w:val="single" w:sz="4" w:space="0" w:color="auto"/>
              <w:left w:val="nil"/>
              <w:bottom w:val="single" w:sz="4" w:space="0" w:color="auto"/>
              <w:right w:val="nil"/>
            </w:tcBorders>
          </w:tcPr>
          <w:p w:rsidR="00A76C36" w:rsidRPr="00A76C36" w:rsidRDefault="00A76C36" w:rsidP="00D73CD7">
            <w:pPr>
              <w:jc w:val="center"/>
            </w:pPr>
            <w:r w:rsidRPr="00A76C36">
              <w:rPr>
                <w:rFonts w:ascii="MS Mincho" w:eastAsia="MS Mincho" w:hAnsi="MS Mincho" w:cs="MS Mincho" w:hint="eastAsia"/>
              </w:rPr>
              <w:t>☐</w:t>
            </w:r>
          </w:p>
        </w:tc>
        <w:tc>
          <w:tcPr>
            <w:tcW w:w="1133" w:type="dxa"/>
            <w:tcBorders>
              <w:top w:val="single" w:sz="4" w:space="0" w:color="auto"/>
              <w:left w:val="nil"/>
              <w:bottom w:val="single" w:sz="4" w:space="0" w:color="auto"/>
              <w:right w:val="nil"/>
            </w:tcBorders>
          </w:tcPr>
          <w:p w:rsidR="00A76C36" w:rsidRPr="00A76C36" w:rsidRDefault="00A76C36" w:rsidP="00D73CD7">
            <w:r w:rsidRPr="00A76C36">
              <w:t>Nie</w:t>
            </w:r>
          </w:p>
        </w:tc>
        <w:tc>
          <w:tcPr>
            <w:tcW w:w="547" w:type="dxa"/>
            <w:gridSpan w:val="2"/>
            <w:tcBorders>
              <w:top w:val="single" w:sz="4" w:space="0" w:color="auto"/>
              <w:left w:val="nil"/>
              <w:bottom w:val="single" w:sz="4" w:space="0" w:color="auto"/>
              <w:right w:val="nil"/>
            </w:tcBorders>
          </w:tcPr>
          <w:p w:rsidR="00A76C36" w:rsidRPr="00A76C36" w:rsidRDefault="00A76C36" w:rsidP="00D73CD7">
            <w:pPr>
              <w:ind w:left="-107" w:right="-108"/>
              <w:jc w:val="center"/>
            </w:pPr>
            <w:r w:rsidRPr="00A76C36">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cPr>
          <w:p w:rsidR="00A76C36" w:rsidRPr="00A76C36" w:rsidRDefault="00A76C36" w:rsidP="00D73CD7">
            <w:pPr>
              <w:ind w:left="34"/>
            </w:pPr>
            <w:r w:rsidRPr="00A76C36">
              <w:t>Čiastočne</w:t>
            </w:r>
          </w:p>
        </w:tc>
      </w:tr>
      <w:tr w:rsidR="00A76C36" w:rsidRPr="00A76C36" w:rsidTr="00D73CD7">
        <w:tc>
          <w:tcPr>
            <w:tcW w:w="3812" w:type="dxa"/>
            <w:tcBorders>
              <w:top w:val="single" w:sz="4" w:space="0" w:color="000000" w:themeColor="text1"/>
              <w:left w:val="single" w:sz="4" w:space="0" w:color="auto"/>
              <w:bottom w:val="nil"/>
              <w:right w:val="single" w:sz="4" w:space="0" w:color="auto"/>
            </w:tcBorders>
            <w:shd w:val="clear" w:color="auto" w:fill="E2E2E2"/>
          </w:tcPr>
          <w:p w:rsidR="00A76C36" w:rsidRPr="00A76C36" w:rsidRDefault="00A76C36" w:rsidP="00D73CD7">
            <w:pPr>
              <w:rPr>
                <w:b/>
              </w:rPr>
            </w:pPr>
            <w:r w:rsidRPr="00A76C36">
              <w:rPr>
                <w:b/>
              </w:rPr>
              <w:t>Vplyvy na podnikateľské prostredie</w:t>
            </w:r>
          </w:p>
        </w:tc>
        <w:tc>
          <w:tcPr>
            <w:tcW w:w="541" w:type="dxa"/>
            <w:gridSpan w:val="2"/>
            <w:tcBorders>
              <w:top w:val="single" w:sz="4" w:space="0" w:color="auto"/>
              <w:left w:val="single" w:sz="4" w:space="0" w:color="auto"/>
              <w:bottom w:val="single" w:sz="4" w:space="0" w:color="auto"/>
              <w:right w:val="nil"/>
            </w:tcBorders>
          </w:tcPr>
          <w:p w:rsidR="00A76C36" w:rsidRPr="00A76C36" w:rsidRDefault="00A76C36" w:rsidP="00D73CD7">
            <w:pPr>
              <w:jc w:val="center"/>
              <w:rPr>
                <w:b/>
              </w:rPr>
            </w:pPr>
            <w:r w:rsidRPr="00A76C36">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cPr>
          <w:p w:rsidR="00A76C36" w:rsidRPr="00A76C36" w:rsidRDefault="00A76C36" w:rsidP="00D73CD7">
            <w:pPr>
              <w:ind w:right="-108"/>
              <w:rPr>
                <w:b/>
              </w:rPr>
            </w:pPr>
            <w:r w:rsidRPr="00A76C36">
              <w:rPr>
                <w:b/>
              </w:rPr>
              <w:t>Pozitívne</w:t>
            </w:r>
          </w:p>
        </w:tc>
        <w:tc>
          <w:tcPr>
            <w:tcW w:w="569" w:type="dxa"/>
            <w:tcBorders>
              <w:top w:val="single" w:sz="4" w:space="0" w:color="auto"/>
              <w:left w:val="nil"/>
              <w:bottom w:val="single" w:sz="4" w:space="0" w:color="auto"/>
              <w:right w:val="nil"/>
            </w:tcBorders>
          </w:tcPr>
          <w:p w:rsidR="00A76C36" w:rsidRPr="00A76C36" w:rsidRDefault="00A76C36" w:rsidP="00D73CD7">
            <w:pPr>
              <w:jc w:val="center"/>
              <w:rPr>
                <w:b/>
              </w:rPr>
            </w:pPr>
            <w:r w:rsidRPr="00A76C36">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cPr>
          <w:p w:rsidR="00A76C36" w:rsidRPr="00A76C36" w:rsidRDefault="00A76C36" w:rsidP="00D73CD7">
            <w:pPr>
              <w:rPr>
                <w:b/>
              </w:rPr>
            </w:pPr>
            <w:r w:rsidRPr="00A76C36">
              <w:rPr>
                <w:b/>
              </w:rPr>
              <w:t>Žiadne</w:t>
            </w:r>
          </w:p>
        </w:tc>
        <w:tc>
          <w:tcPr>
            <w:tcW w:w="547" w:type="dxa"/>
            <w:gridSpan w:val="2"/>
            <w:tcBorders>
              <w:top w:val="single" w:sz="4" w:space="0" w:color="auto"/>
              <w:left w:val="nil"/>
              <w:bottom w:val="single" w:sz="4" w:space="0" w:color="auto"/>
              <w:right w:val="nil"/>
            </w:tcBorders>
          </w:tcPr>
          <w:p w:rsidR="00A76C36" w:rsidRPr="00A76C36" w:rsidRDefault="00A76C36" w:rsidP="00D73CD7">
            <w:pPr>
              <w:jc w:val="center"/>
              <w:rPr>
                <w:b/>
              </w:rPr>
            </w:pPr>
            <w:r w:rsidRPr="00A76C36">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cPr>
          <w:p w:rsidR="00A76C36" w:rsidRPr="00A76C36" w:rsidRDefault="00A76C36" w:rsidP="00D73CD7">
            <w:pPr>
              <w:ind w:left="54"/>
              <w:rPr>
                <w:b/>
              </w:rPr>
            </w:pPr>
            <w:r w:rsidRPr="00A76C36">
              <w:rPr>
                <w:b/>
              </w:rPr>
              <w:t>Negatívne</w:t>
            </w:r>
          </w:p>
        </w:tc>
      </w:tr>
      <w:tr w:rsidR="00A76C36" w:rsidRPr="00A76C36" w:rsidTr="00D73CD7">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A76C36" w:rsidRPr="00A76C36" w:rsidRDefault="00A76C36" w:rsidP="00D73CD7">
            <w:r w:rsidRPr="00A76C36">
              <w:t xml:space="preserve">    z toho vplyvy na MSP</w:t>
            </w:r>
          </w:p>
        </w:tc>
        <w:tc>
          <w:tcPr>
            <w:tcW w:w="541" w:type="dxa"/>
            <w:gridSpan w:val="2"/>
            <w:tcBorders>
              <w:top w:val="single" w:sz="4" w:space="0" w:color="auto"/>
              <w:left w:val="single" w:sz="4" w:space="0" w:color="000000" w:themeColor="text1"/>
              <w:bottom w:val="single" w:sz="4" w:space="0" w:color="auto"/>
              <w:right w:val="nil"/>
            </w:tcBorders>
          </w:tcPr>
          <w:p w:rsidR="00A76C36" w:rsidRPr="00A76C36" w:rsidRDefault="00A76C36" w:rsidP="00D73CD7">
            <w:pPr>
              <w:jc w:val="center"/>
            </w:pPr>
            <w:r w:rsidRPr="00A76C36">
              <w:rPr>
                <w:rFonts w:ascii="MS Mincho" w:eastAsia="MS Mincho" w:hAnsi="MS Mincho" w:cs="MS Mincho" w:hint="eastAsia"/>
              </w:rPr>
              <w:t>☒</w:t>
            </w:r>
          </w:p>
        </w:tc>
        <w:tc>
          <w:tcPr>
            <w:tcW w:w="1281" w:type="dxa"/>
            <w:gridSpan w:val="2"/>
            <w:tcBorders>
              <w:top w:val="single" w:sz="4" w:space="0" w:color="auto"/>
              <w:left w:val="nil"/>
              <w:bottom w:val="single" w:sz="4" w:space="0" w:color="auto"/>
              <w:right w:val="nil"/>
            </w:tcBorders>
          </w:tcPr>
          <w:p w:rsidR="00A76C36" w:rsidRPr="00A76C36" w:rsidRDefault="00A76C36" w:rsidP="00D73CD7">
            <w:pPr>
              <w:ind w:right="-108"/>
            </w:pPr>
            <w:r w:rsidRPr="00A76C36">
              <w:t>Pozitívne</w:t>
            </w:r>
          </w:p>
        </w:tc>
        <w:tc>
          <w:tcPr>
            <w:tcW w:w="569" w:type="dxa"/>
            <w:tcBorders>
              <w:top w:val="single" w:sz="4" w:space="0" w:color="auto"/>
              <w:left w:val="nil"/>
              <w:bottom w:val="single" w:sz="4" w:space="0" w:color="auto"/>
              <w:right w:val="nil"/>
            </w:tcBorders>
          </w:tcPr>
          <w:p w:rsidR="00A76C36" w:rsidRPr="00A76C36" w:rsidRDefault="00A76C36" w:rsidP="00D73CD7">
            <w:pPr>
              <w:jc w:val="center"/>
            </w:pPr>
            <w:r w:rsidRPr="00A76C36">
              <w:rPr>
                <w:rFonts w:ascii="MS Mincho" w:eastAsia="MS Mincho" w:hAnsi="MS Mincho" w:cs="MS Mincho" w:hint="eastAsia"/>
              </w:rPr>
              <w:t>☐</w:t>
            </w:r>
          </w:p>
        </w:tc>
        <w:tc>
          <w:tcPr>
            <w:tcW w:w="1133" w:type="dxa"/>
            <w:tcBorders>
              <w:top w:val="single" w:sz="4" w:space="0" w:color="auto"/>
              <w:left w:val="nil"/>
              <w:bottom w:val="single" w:sz="4" w:space="0" w:color="auto"/>
              <w:right w:val="nil"/>
            </w:tcBorders>
          </w:tcPr>
          <w:p w:rsidR="00A76C36" w:rsidRPr="00A76C36" w:rsidRDefault="00A76C36" w:rsidP="00D73CD7">
            <w:r w:rsidRPr="00A76C36">
              <w:t>Žiadne</w:t>
            </w:r>
          </w:p>
        </w:tc>
        <w:tc>
          <w:tcPr>
            <w:tcW w:w="547" w:type="dxa"/>
            <w:gridSpan w:val="2"/>
            <w:tcBorders>
              <w:top w:val="single" w:sz="4" w:space="0" w:color="auto"/>
              <w:left w:val="nil"/>
              <w:bottom w:val="single" w:sz="4" w:space="0" w:color="auto"/>
              <w:right w:val="nil"/>
            </w:tcBorders>
          </w:tcPr>
          <w:p w:rsidR="00A76C36" w:rsidRPr="00A76C36" w:rsidRDefault="00A76C36" w:rsidP="00D73CD7">
            <w:pPr>
              <w:jc w:val="center"/>
            </w:pPr>
            <w:r w:rsidRPr="00A76C36">
              <w:rPr>
                <w:rFonts w:ascii="MS Mincho" w:eastAsia="MS Mincho" w:hAnsi="MS Mincho" w:cs="MS Mincho" w:hint="eastAsia"/>
              </w:rPr>
              <w:t>☒</w:t>
            </w:r>
          </w:p>
        </w:tc>
        <w:tc>
          <w:tcPr>
            <w:tcW w:w="1297" w:type="dxa"/>
            <w:tcBorders>
              <w:top w:val="single" w:sz="4" w:space="0" w:color="auto"/>
              <w:left w:val="nil"/>
              <w:bottom w:val="single" w:sz="4" w:space="0" w:color="auto"/>
              <w:right w:val="single" w:sz="4" w:space="0" w:color="auto"/>
            </w:tcBorders>
          </w:tcPr>
          <w:p w:rsidR="00A76C36" w:rsidRPr="00A76C36" w:rsidRDefault="00A76C36" w:rsidP="00D73CD7">
            <w:pPr>
              <w:ind w:left="54"/>
            </w:pPr>
            <w:r w:rsidRPr="00A76C36">
              <w:t>Negatívne</w:t>
            </w:r>
          </w:p>
        </w:tc>
      </w:tr>
      <w:tr w:rsidR="00A76C36" w:rsidRPr="00A76C36" w:rsidTr="00D73CD7">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rsidR="00A76C36" w:rsidRPr="00A76C36" w:rsidRDefault="00A76C36" w:rsidP="00D73CD7">
            <w:pPr>
              <w:rPr>
                <w:b/>
              </w:rPr>
            </w:pPr>
            <w:r w:rsidRPr="00A76C36">
              <w:rPr>
                <w:b/>
              </w:rPr>
              <w:t>Sociálne vplyvy</w:t>
            </w:r>
          </w:p>
        </w:tc>
        <w:tc>
          <w:tcPr>
            <w:tcW w:w="541" w:type="dxa"/>
            <w:gridSpan w:val="2"/>
            <w:tcBorders>
              <w:top w:val="single" w:sz="4" w:space="0" w:color="auto"/>
              <w:left w:val="single" w:sz="4" w:space="0" w:color="auto"/>
              <w:bottom w:val="single" w:sz="4" w:space="0" w:color="auto"/>
              <w:right w:val="nil"/>
            </w:tcBorders>
          </w:tcPr>
          <w:p w:rsidR="00A76C36" w:rsidRPr="00A76C36" w:rsidRDefault="00A76C36" w:rsidP="00D73CD7">
            <w:pPr>
              <w:jc w:val="center"/>
              <w:rPr>
                <w:b/>
              </w:rPr>
            </w:pPr>
            <w:r w:rsidRPr="00A76C36">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cPr>
          <w:p w:rsidR="00A76C36" w:rsidRPr="00A76C36" w:rsidRDefault="00A76C36" w:rsidP="00D73CD7">
            <w:pPr>
              <w:ind w:right="-108"/>
              <w:rPr>
                <w:b/>
              </w:rPr>
            </w:pPr>
            <w:r w:rsidRPr="00A76C36">
              <w:rPr>
                <w:b/>
              </w:rPr>
              <w:t>Pozitívne</w:t>
            </w:r>
          </w:p>
        </w:tc>
        <w:tc>
          <w:tcPr>
            <w:tcW w:w="569" w:type="dxa"/>
            <w:tcBorders>
              <w:top w:val="single" w:sz="4" w:space="0" w:color="auto"/>
              <w:left w:val="nil"/>
              <w:bottom w:val="single" w:sz="4" w:space="0" w:color="auto"/>
              <w:right w:val="nil"/>
            </w:tcBorders>
          </w:tcPr>
          <w:p w:rsidR="00A76C36" w:rsidRPr="00A76C36" w:rsidRDefault="00A76C36" w:rsidP="00D73CD7">
            <w:pPr>
              <w:jc w:val="center"/>
              <w:rPr>
                <w:b/>
              </w:rPr>
            </w:pPr>
            <w:r w:rsidRPr="00A76C36">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cPr>
          <w:p w:rsidR="00A76C36" w:rsidRPr="00A76C36" w:rsidRDefault="00A76C36" w:rsidP="00D73CD7">
            <w:pPr>
              <w:rPr>
                <w:b/>
              </w:rPr>
            </w:pPr>
            <w:r w:rsidRPr="00A76C36">
              <w:rPr>
                <w:b/>
              </w:rPr>
              <w:t>Žiadne</w:t>
            </w:r>
          </w:p>
        </w:tc>
        <w:tc>
          <w:tcPr>
            <w:tcW w:w="547" w:type="dxa"/>
            <w:gridSpan w:val="2"/>
            <w:tcBorders>
              <w:top w:val="single" w:sz="4" w:space="0" w:color="auto"/>
              <w:left w:val="nil"/>
              <w:bottom w:val="single" w:sz="4" w:space="0" w:color="auto"/>
              <w:right w:val="nil"/>
            </w:tcBorders>
          </w:tcPr>
          <w:p w:rsidR="00A76C36" w:rsidRPr="00A76C36" w:rsidRDefault="00A76C36" w:rsidP="00D73CD7">
            <w:pPr>
              <w:jc w:val="center"/>
              <w:rPr>
                <w:b/>
              </w:rPr>
            </w:pPr>
            <w:r w:rsidRPr="00A76C36">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cPr>
          <w:p w:rsidR="00A76C36" w:rsidRPr="00A76C36" w:rsidRDefault="00A76C36" w:rsidP="00D73CD7">
            <w:pPr>
              <w:ind w:left="54"/>
              <w:rPr>
                <w:b/>
              </w:rPr>
            </w:pPr>
            <w:r w:rsidRPr="00A76C36">
              <w:rPr>
                <w:b/>
              </w:rPr>
              <w:t>Negatívne</w:t>
            </w:r>
          </w:p>
        </w:tc>
      </w:tr>
      <w:tr w:rsidR="00A76C36" w:rsidRPr="00A76C36" w:rsidTr="00D73CD7">
        <w:tc>
          <w:tcPr>
            <w:tcW w:w="3812" w:type="dxa"/>
            <w:tcBorders>
              <w:top w:val="single" w:sz="4" w:space="0" w:color="auto"/>
              <w:left w:val="single" w:sz="4" w:space="0" w:color="auto"/>
              <w:bottom w:val="single" w:sz="4" w:space="0" w:color="auto"/>
              <w:right w:val="single" w:sz="4" w:space="0" w:color="auto"/>
            </w:tcBorders>
            <w:shd w:val="clear" w:color="auto" w:fill="E2E2E2"/>
          </w:tcPr>
          <w:p w:rsidR="00A76C36" w:rsidRPr="00A76C36" w:rsidRDefault="00A76C36" w:rsidP="00D73CD7">
            <w:pPr>
              <w:rPr>
                <w:b/>
              </w:rPr>
            </w:pPr>
            <w:r w:rsidRPr="00A76C36">
              <w:rPr>
                <w:b/>
              </w:rPr>
              <w:t>Vplyvy na životné prostredie</w:t>
            </w:r>
          </w:p>
        </w:tc>
        <w:tc>
          <w:tcPr>
            <w:tcW w:w="541" w:type="dxa"/>
            <w:gridSpan w:val="2"/>
            <w:tcBorders>
              <w:top w:val="single" w:sz="4" w:space="0" w:color="auto"/>
              <w:left w:val="single" w:sz="4" w:space="0" w:color="auto"/>
              <w:bottom w:val="single" w:sz="4" w:space="0" w:color="auto"/>
              <w:right w:val="nil"/>
            </w:tcBorders>
          </w:tcPr>
          <w:p w:rsidR="00A76C36" w:rsidRPr="00A76C36" w:rsidRDefault="00A76C36" w:rsidP="00D73CD7">
            <w:pPr>
              <w:jc w:val="center"/>
              <w:rPr>
                <w:b/>
              </w:rPr>
            </w:pPr>
            <w:r w:rsidRPr="00A76C36">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cPr>
          <w:p w:rsidR="00A76C36" w:rsidRPr="00A76C36" w:rsidRDefault="00A76C36" w:rsidP="00D73CD7">
            <w:pPr>
              <w:ind w:right="-108"/>
              <w:rPr>
                <w:b/>
              </w:rPr>
            </w:pPr>
            <w:r w:rsidRPr="00A76C36">
              <w:rPr>
                <w:b/>
              </w:rPr>
              <w:t>Pozitívne</w:t>
            </w:r>
          </w:p>
        </w:tc>
        <w:tc>
          <w:tcPr>
            <w:tcW w:w="569" w:type="dxa"/>
            <w:tcBorders>
              <w:top w:val="single" w:sz="4" w:space="0" w:color="auto"/>
              <w:left w:val="nil"/>
              <w:bottom w:val="single" w:sz="4" w:space="0" w:color="auto"/>
              <w:right w:val="nil"/>
            </w:tcBorders>
          </w:tcPr>
          <w:p w:rsidR="00A76C36" w:rsidRPr="00A76C36" w:rsidRDefault="00A76C36" w:rsidP="00D73CD7">
            <w:pPr>
              <w:jc w:val="center"/>
              <w:rPr>
                <w:b/>
              </w:rPr>
            </w:pPr>
            <w:r w:rsidRPr="00A76C36">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cPr>
          <w:p w:rsidR="00A76C36" w:rsidRPr="00A76C36" w:rsidRDefault="00A76C36" w:rsidP="00D73CD7">
            <w:pPr>
              <w:rPr>
                <w:b/>
              </w:rPr>
            </w:pPr>
            <w:r w:rsidRPr="00A76C36">
              <w:rPr>
                <w:b/>
              </w:rPr>
              <w:t>Žiadne</w:t>
            </w:r>
          </w:p>
        </w:tc>
        <w:tc>
          <w:tcPr>
            <w:tcW w:w="547" w:type="dxa"/>
            <w:gridSpan w:val="2"/>
            <w:tcBorders>
              <w:top w:val="single" w:sz="4" w:space="0" w:color="auto"/>
              <w:left w:val="nil"/>
              <w:bottom w:val="single" w:sz="4" w:space="0" w:color="auto"/>
              <w:right w:val="nil"/>
            </w:tcBorders>
          </w:tcPr>
          <w:p w:rsidR="00A76C36" w:rsidRPr="00A76C36" w:rsidRDefault="00A76C36" w:rsidP="00D73CD7">
            <w:pPr>
              <w:jc w:val="center"/>
              <w:rPr>
                <w:b/>
              </w:rPr>
            </w:pPr>
            <w:r w:rsidRPr="00A76C36">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cPr>
          <w:p w:rsidR="00A76C36" w:rsidRPr="00A76C36" w:rsidRDefault="00A76C36" w:rsidP="00D73CD7">
            <w:pPr>
              <w:ind w:left="54"/>
              <w:rPr>
                <w:b/>
              </w:rPr>
            </w:pPr>
            <w:r w:rsidRPr="00A76C36">
              <w:rPr>
                <w:b/>
              </w:rPr>
              <w:t>Negatívne</w:t>
            </w:r>
          </w:p>
        </w:tc>
      </w:tr>
      <w:tr w:rsidR="00A76C36" w:rsidRPr="00A76C36" w:rsidTr="00D73CD7">
        <w:tc>
          <w:tcPr>
            <w:tcW w:w="3812" w:type="dxa"/>
            <w:tcBorders>
              <w:top w:val="single" w:sz="4" w:space="0" w:color="auto"/>
              <w:left w:val="single" w:sz="4" w:space="0" w:color="auto"/>
              <w:bottom w:val="single" w:sz="4" w:space="0" w:color="auto"/>
              <w:right w:val="single" w:sz="4" w:space="0" w:color="auto"/>
            </w:tcBorders>
            <w:shd w:val="clear" w:color="auto" w:fill="E2E2E2"/>
          </w:tcPr>
          <w:p w:rsidR="00A76C36" w:rsidRPr="00A76C36" w:rsidRDefault="00A76C36" w:rsidP="00D73CD7">
            <w:pPr>
              <w:rPr>
                <w:b/>
              </w:rPr>
            </w:pPr>
            <w:r w:rsidRPr="00A76C36">
              <w:rPr>
                <w:b/>
              </w:rPr>
              <w:t>Vplyvy na informatizáciu</w:t>
            </w:r>
          </w:p>
        </w:tc>
        <w:tc>
          <w:tcPr>
            <w:tcW w:w="541" w:type="dxa"/>
            <w:gridSpan w:val="2"/>
            <w:tcBorders>
              <w:top w:val="single" w:sz="4" w:space="0" w:color="auto"/>
              <w:left w:val="single" w:sz="4" w:space="0" w:color="auto"/>
              <w:bottom w:val="single" w:sz="4" w:space="0" w:color="auto"/>
              <w:right w:val="nil"/>
            </w:tcBorders>
          </w:tcPr>
          <w:p w:rsidR="00A76C36" w:rsidRPr="00A76C36" w:rsidRDefault="00A76C36" w:rsidP="00D73CD7">
            <w:pPr>
              <w:jc w:val="center"/>
              <w:rPr>
                <w:b/>
              </w:rPr>
            </w:pPr>
            <w:r w:rsidRPr="00A76C36">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cPr>
          <w:p w:rsidR="00A76C36" w:rsidRPr="00A76C36" w:rsidRDefault="00A76C36" w:rsidP="00D73CD7">
            <w:pPr>
              <w:ind w:right="-108"/>
              <w:rPr>
                <w:b/>
              </w:rPr>
            </w:pPr>
            <w:r w:rsidRPr="00A76C36">
              <w:rPr>
                <w:b/>
              </w:rPr>
              <w:t>Pozitívne</w:t>
            </w:r>
          </w:p>
        </w:tc>
        <w:tc>
          <w:tcPr>
            <w:tcW w:w="569" w:type="dxa"/>
            <w:tcBorders>
              <w:top w:val="single" w:sz="4" w:space="0" w:color="auto"/>
              <w:left w:val="nil"/>
              <w:bottom w:val="single" w:sz="4" w:space="0" w:color="auto"/>
              <w:right w:val="nil"/>
            </w:tcBorders>
          </w:tcPr>
          <w:p w:rsidR="00A76C36" w:rsidRPr="00A76C36" w:rsidRDefault="00A76C36" w:rsidP="00D73CD7">
            <w:pPr>
              <w:jc w:val="center"/>
              <w:rPr>
                <w:b/>
              </w:rPr>
            </w:pPr>
            <w:r w:rsidRPr="00A76C36">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cPr>
          <w:p w:rsidR="00A76C36" w:rsidRPr="00A76C36" w:rsidRDefault="00A76C36" w:rsidP="00D73CD7">
            <w:pPr>
              <w:rPr>
                <w:b/>
              </w:rPr>
            </w:pPr>
            <w:r w:rsidRPr="00A76C36">
              <w:rPr>
                <w:b/>
              </w:rPr>
              <w:t>Žiadne</w:t>
            </w:r>
          </w:p>
        </w:tc>
        <w:tc>
          <w:tcPr>
            <w:tcW w:w="547" w:type="dxa"/>
            <w:gridSpan w:val="2"/>
            <w:tcBorders>
              <w:top w:val="single" w:sz="4" w:space="0" w:color="auto"/>
              <w:left w:val="nil"/>
              <w:bottom w:val="single" w:sz="4" w:space="0" w:color="auto"/>
              <w:right w:val="nil"/>
            </w:tcBorders>
          </w:tcPr>
          <w:p w:rsidR="00A76C36" w:rsidRPr="00A76C36" w:rsidRDefault="00A76C36" w:rsidP="00D73CD7">
            <w:pPr>
              <w:jc w:val="center"/>
              <w:rPr>
                <w:b/>
              </w:rPr>
            </w:pPr>
            <w:r w:rsidRPr="00A76C36">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cPr>
          <w:p w:rsidR="00A76C36" w:rsidRPr="00A76C36" w:rsidRDefault="00A76C36" w:rsidP="00D73CD7">
            <w:pPr>
              <w:ind w:left="54"/>
              <w:rPr>
                <w:b/>
              </w:rPr>
            </w:pPr>
            <w:r w:rsidRPr="00A76C36">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A76C36" w:rsidRPr="00A76C36" w:rsidTr="00D73CD7">
        <w:tc>
          <w:tcPr>
            <w:tcW w:w="3812" w:type="dxa"/>
            <w:tcBorders>
              <w:top w:val="single" w:sz="4" w:space="0" w:color="auto"/>
              <w:left w:val="single" w:sz="4" w:space="0" w:color="auto"/>
              <w:bottom w:val="nil"/>
              <w:right w:val="single" w:sz="4" w:space="0" w:color="auto"/>
            </w:tcBorders>
            <w:shd w:val="clear" w:color="auto" w:fill="E2E2E2"/>
          </w:tcPr>
          <w:p w:rsidR="00A76C36" w:rsidRPr="00A76C36" w:rsidRDefault="00A76C36" w:rsidP="00D73CD7">
            <w:pPr>
              <w:rPr>
                <w:b/>
              </w:rPr>
            </w:pPr>
            <w:r w:rsidRPr="00A76C36">
              <w:rPr>
                <w:rFonts w:eastAsia="Calibri"/>
                <w:b/>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A76C36" w:rsidRPr="00A76C36" w:rsidRDefault="00A76C36" w:rsidP="00D73CD7">
            <w:pPr>
              <w:jc w:val="center"/>
              <w:rPr>
                <w:rFonts w:eastAsia="MS Mincho"/>
                <w:b/>
              </w:rPr>
            </w:pPr>
          </w:p>
        </w:tc>
        <w:tc>
          <w:tcPr>
            <w:tcW w:w="1281" w:type="dxa"/>
            <w:tcBorders>
              <w:top w:val="single" w:sz="4" w:space="0" w:color="auto"/>
              <w:left w:val="nil"/>
              <w:bottom w:val="nil"/>
              <w:right w:val="nil"/>
            </w:tcBorders>
            <w:shd w:val="clear" w:color="auto" w:fill="auto"/>
          </w:tcPr>
          <w:p w:rsidR="00A76C36" w:rsidRPr="00A76C36" w:rsidRDefault="00A76C36" w:rsidP="00D73CD7">
            <w:pPr>
              <w:ind w:right="-108"/>
              <w:rPr>
                <w:b/>
              </w:rPr>
            </w:pPr>
          </w:p>
        </w:tc>
        <w:tc>
          <w:tcPr>
            <w:tcW w:w="569" w:type="dxa"/>
            <w:tcBorders>
              <w:top w:val="single" w:sz="4" w:space="0" w:color="auto"/>
              <w:left w:val="nil"/>
              <w:bottom w:val="nil"/>
              <w:right w:val="nil"/>
            </w:tcBorders>
            <w:shd w:val="clear" w:color="auto" w:fill="auto"/>
          </w:tcPr>
          <w:p w:rsidR="00A76C36" w:rsidRPr="00A76C36" w:rsidRDefault="00A76C36" w:rsidP="00D73CD7">
            <w:pPr>
              <w:jc w:val="center"/>
              <w:rPr>
                <w:rFonts w:eastAsia="MS Mincho"/>
                <w:b/>
              </w:rPr>
            </w:pPr>
          </w:p>
        </w:tc>
        <w:tc>
          <w:tcPr>
            <w:tcW w:w="1133" w:type="dxa"/>
            <w:tcBorders>
              <w:top w:val="single" w:sz="4" w:space="0" w:color="auto"/>
              <w:left w:val="nil"/>
              <w:bottom w:val="nil"/>
              <w:right w:val="nil"/>
            </w:tcBorders>
            <w:shd w:val="clear" w:color="auto" w:fill="auto"/>
          </w:tcPr>
          <w:p w:rsidR="00A76C36" w:rsidRPr="00A76C36" w:rsidRDefault="00A76C36" w:rsidP="00D73CD7">
            <w:pPr>
              <w:rPr>
                <w:b/>
              </w:rPr>
            </w:pPr>
          </w:p>
        </w:tc>
        <w:tc>
          <w:tcPr>
            <w:tcW w:w="547" w:type="dxa"/>
            <w:tcBorders>
              <w:top w:val="single" w:sz="4" w:space="0" w:color="auto"/>
              <w:left w:val="nil"/>
              <w:bottom w:val="nil"/>
              <w:right w:val="nil"/>
            </w:tcBorders>
            <w:shd w:val="clear" w:color="auto" w:fill="auto"/>
          </w:tcPr>
          <w:p w:rsidR="00A76C36" w:rsidRPr="00A76C36" w:rsidRDefault="00A76C36" w:rsidP="00D73CD7">
            <w:pPr>
              <w:jc w:val="center"/>
              <w:rPr>
                <w:rFonts w:eastAsia="MS Mincho"/>
                <w:b/>
              </w:rPr>
            </w:pPr>
          </w:p>
        </w:tc>
        <w:tc>
          <w:tcPr>
            <w:tcW w:w="1297" w:type="dxa"/>
            <w:tcBorders>
              <w:top w:val="single" w:sz="4" w:space="0" w:color="auto"/>
              <w:left w:val="nil"/>
              <w:bottom w:val="nil"/>
              <w:right w:val="single" w:sz="4" w:space="0" w:color="auto"/>
            </w:tcBorders>
            <w:shd w:val="clear" w:color="auto" w:fill="auto"/>
          </w:tcPr>
          <w:p w:rsidR="00A76C36" w:rsidRPr="00A76C36" w:rsidRDefault="00A76C36" w:rsidP="00D73CD7">
            <w:pPr>
              <w:ind w:left="54"/>
              <w:rPr>
                <w:b/>
              </w:rPr>
            </w:pPr>
          </w:p>
        </w:tc>
      </w:tr>
      <w:tr w:rsidR="00A76C36" w:rsidRPr="00A76C36" w:rsidTr="00D73CD7">
        <w:tc>
          <w:tcPr>
            <w:tcW w:w="3812" w:type="dxa"/>
            <w:tcBorders>
              <w:top w:val="nil"/>
              <w:left w:val="single" w:sz="4" w:space="0" w:color="auto"/>
              <w:bottom w:val="nil"/>
              <w:right w:val="single" w:sz="4" w:space="0" w:color="auto"/>
            </w:tcBorders>
            <w:shd w:val="clear" w:color="auto" w:fill="E2E2E2"/>
          </w:tcPr>
          <w:p w:rsidR="00A76C36" w:rsidRPr="00A76C36" w:rsidRDefault="00A76C36" w:rsidP="00D73CD7">
            <w:pPr>
              <w:ind w:left="196" w:hanging="196"/>
              <w:rPr>
                <w:rFonts w:eastAsia="Calibri"/>
                <w:b/>
                <w:lang w:eastAsia="en-US"/>
              </w:rPr>
            </w:pPr>
            <w:r w:rsidRPr="00A76C36">
              <w:rPr>
                <w:rFonts w:eastAsia="Calibri"/>
                <w:b/>
                <w:lang w:eastAsia="en-US"/>
              </w:rPr>
              <w:t xml:space="preserve">    vplyvy služieb verejnej správy na občana</w:t>
            </w:r>
          </w:p>
        </w:tc>
        <w:tc>
          <w:tcPr>
            <w:tcW w:w="541" w:type="dxa"/>
            <w:tcBorders>
              <w:top w:val="nil"/>
              <w:left w:val="single" w:sz="4" w:space="0" w:color="auto"/>
              <w:bottom w:val="nil"/>
              <w:right w:val="nil"/>
            </w:tcBorders>
            <w:shd w:val="clear" w:color="auto" w:fill="auto"/>
          </w:tcPr>
          <w:p w:rsidR="00A76C36" w:rsidRPr="00A76C36" w:rsidRDefault="00A76C36" w:rsidP="00D73CD7">
            <w:pPr>
              <w:jc w:val="center"/>
              <w:rPr>
                <w:rFonts w:eastAsia="MS Mincho"/>
                <w:b/>
                <w:lang w:eastAsia="en-US"/>
              </w:rPr>
            </w:pPr>
            <w:r w:rsidRPr="00A76C36">
              <w:rPr>
                <w:rFonts w:ascii="MS Mincho" w:eastAsia="MS Mincho" w:hAnsi="MS Mincho" w:cs="MS Mincho" w:hint="eastAsia"/>
                <w:b/>
                <w:lang w:eastAsia="en-US"/>
              </w:rPr>
              <w:t>☐</w:t>
            </w:r>
          </w:p>
        </w:tc>
        <w:tc>
          <w:tcPr>
            <w:tcW w:w="1281" w:type="dxa"/>
            <w:tcBorders>
              <w:top w:val="nil"/>
              <w:left w:val="nil"/>
              <w:bottom w:val="nil"/>
              <w:right w:val="nil"/>
            </w:tcBorders>
            <w:shd w:val="clear" w:color="auto" w:fill="auto"/>
          </w:tcPr>
          <w:p w:rsidR="00A76C36" w:rsidRPr="00A76C36" w:rsidRDefault="00A76C36" w:rsidP="00D73CD7">
            <w:pPr>
              <w:ind w:right="-108"/>
              <w:rPr>
                <w:rFonts w:eastAsia="Calibri"/>
                <w:b/>
                <w:lang w:eastAsia="en-US"/>
              </w:rPr>
            </w:pPr>
            <w:r w:rsidRPr="00A76C36">
              <w:rPr>
                <w:rFonts w:eastAsia="Calibri"/>
                <w:b/>
                <w:lang w:eastAsia="en-US"/>
              </w:rPr>
              <w:t>Pozitívne</w:t>
            </w:r>
          </w:p>
        </w:tc>
        <w:tc>
          <w:tcPr>
            <w:tcW w:w="569" w:type="dxa"/>
            <w:tcBorders>
              <w:top w:val="nil"/>
              <w:left w:val="nil"/>
              <w:bottom w:val="nil"/>
              <w:right w:val="nil"/>
            </w:tcBorders>
            <w:shd w:val="clear" w:color="auto" w:fill="auto"/>
          </w:tcPr>
          <w:p w:rsidR="00A76C36" w:rsidRPr="00A76C36" w:rsidRDefault="00A76C36" w:rsidP="00D73CD7">
            <w:pPr>
              <w:jc w:val="center"/>
              <w:rPr>
                <w:b/>
              </w:rPr>
            </w:pPr>
            <w:r w:rsidRPr="00A76C36">
              <w:rPr>
                <w:rFonts w:ascii="MS Mincho" w:eastAsia="MS Mincho" w:hAnsi="MS Mincho" w:cs="MS Mincho" w:hint="eastAsia"/>
                <w:b/>
              </w:rPr>
              <w:t>☒</w:t>
            </w:r>
          </w:p>
        </w:tc>
        <w:tc>
          <w:tcPr>
            <w:tcW w:w="1133" w:type="dxa"/>
            <w:tcBorders>
              <w:top w:val="nil"/>
              <w:left w:val="nil"/>
              <w:bottom w:val="nil"/>
              <w:right w:val="nil"/>
            </w:tcBorders>
            <w:shd w:val="clear" w:color="auto" w:fill="auto"/>
          </w:tcPr>
          <w:p w:rsidR="00A76C36" w:rsidRPr="00A76C36" w:rsidRDefault="00A76C36" w:rsidP="00D73CD7">
            <w:pPr>
              <w:rPr>
                <w:b/>
              </w:rPr>
            </w:pPr>
            <w:r w:rsidRPr="00A76C36">
              <w:rPr>
                <w:b/>
              </w:rPr>
              <w:t>Žiadne</w:t>
            </w:r>
          </w:p>
        </w:tc>
        <w:tc>
          <w:tcPr>
            <w:tcW w:w="547" w:type="dxa"/>
            <w:tcBorders>
              <w:top w:val="nil"/>
              <w:left w:val="nil"/>
              <w:bottom w:val="nil"/>
              <w:right w:val="nil"/>
            </w:tcBorders>
            <w:shd w:val="clear" w:color="auto" w:fill="auto"/>
          </w:tcPr>
          <w:p w:rsidR="00A76C36" w:rsidRPr="00A76C36" w:rsidRDefault="00A76C36" w:rsidP="00D73CD7">
            <w:pPr>
              <w:jc w:val="center"/>
              <w:rPr>
                <w:rFonts w:eastAsia="MS Mincho"/>
                <w:b/>
                <w:lang w:eastAsia="en-US"/>
              </w:rPr>
            </w:pPr>
            <w:r w:rsidRPr="00A76C36">
              <w:rPr>
                <w:rFonts w:ascii="MS Mincho" w:eastAsia="MS Mincho" w:hAnsi="MS Mincho" w:cs="MS Mincho" w:hint="eastAsia"/>
                <w:b/>
                <w:lang w:eastAsia="en-US"/>
              </w:rPr>
              <w:t>☐</w:t>
            </w:r>
          </w:p>
        </w:tc>
        <w:tc>
          <w:tcPr>
            <w:tcW w:w="1297" w:type="dxa"/>
            <w:tcBorders>
              <w:top w:val="nil"/>
              <w:left w:val="nil"/>
              <w:bottom w:val="nil"/>
              <w:right w:val="single" w:sz="4" w:space="0" w:color="auto"/>
            </w:tcBorders>
            <w:shd w:val="clear" w:color="auto" w:fill="auto"/>
          </w:tcPr>
          <w:p w:rsidR="00A76C36" w:rsidRPr="00A76C36" w:rsidRDefault="00A76C36" w:rsidP="00D73CD7">
            <w:pPr>
              <w:ind w:left="54"/>
              <w:rPr>
                <w:rFonts w:eastAsia="Calibri"/>
                <w:b/>
                <w:lang w:eastAsia="en-US"/>
              </w:rPr>
            </w:pPr>
            <w:r w:rsidRPr="00A76C36">
              <w:rPr>
                <w:rFonts w:eastAsia="Calibri"/>
                <w:b/>
                <w:lang w:eastAsia="en-US"/>
              </w:rPr>
              <w:t>Negatívne“</w:t>
            </w:r>
          </w:p>
        </w:tc>
      </w:tr>
      <w:tr w:rsidR="00A76C36" w:rsidRPr="00A76C36" w:rsidTr="00D73CD7">
        <w:tc>
          <w:tcPr>
            <w:tcW w:w="3812" w:type="dxa"/>
            <w:tcBorders>
              <w:top w:val="nil"/>
              <w:left w:val="single" w:sz="4" w:space="0" w:color="auto"/>
              <w:bottom w:val="single" w:sz="4" w:space="0" w:color="auto"/>
              <w:right w:val="single" w:sz="4" w:space="0" w:color="auto"/>
            </w:tcBorders>
            <w:shd w:val="clear" w:color="auto" w:fill="E2E2E2"/>
          </w:tcPr>
          <w:p w:rsidR="00A76C36" w:rsidRPr="00A76C36" w:rsidRDefault="00A76C36" w:rsidP="00D73CD7">
            <w:pPr>
              <w:ind w:left="168" w:hanging="168"/>
              <w:rPr>
                <w:rFonts w:eastAsia="Calibri"/>
                <w:b/>
                <w:lang w:eastAsia="en-US"/>
              </w:rPr>
            </w:pPr>
            <w:r w:rsidRPr="00A76C36">
              <w:rPr>
                <w:rFonts w:eastAsia="Calibri"/>
                <w:b/>
                <w:lang w:eastAsia="en-US"/>
              </w:rPr>
              <w:t xml:space="preserve">    vplyvy na procesy služieb vo verejnej správe</w:t>
            </w:r>
          </w:p>
        </w:tc>
        <w:tc>
          <w:tcPr>
            <w:tcW w:w="541" w:type="dxa"/>
            <w:tcBorders>
              <w:top w:val="nil"/>
              <w:left w:val="single" w:sz="4" w:space="0" w:color="auto"/>
              <w:bottom w:val="single" w:sz="4" w:space="0" w:color="auto"/>
              <w:right w:val="nil"/>
            </w:tcBorders>
            <w:shd w:val="clear" w:color="auto" w:fill="auto"/>
          </w:tcPr>
          <w:p w:rsidR="00A76C36" w:rsidRPr="00A76C36" w:rsidRDefault="00A76C36" w:rsidP="00D73CD7">
            <w:pPr>
              <w:jc w:val="center"/>
              <w:rPr>
                <w:rFonts w:eastAsia="MS Mincho"/>
                <w:b/>
                <w:lang w:eastAsia="en-US"/>
              </w:rPr>
            </w:pPr>
            <w:r w:rsidRPr="00A76C36">
              <w:rPr>
                <w:rFonts w:ascii="MS Mincho" w:eastAsia="MS Mincho" w:hAnsi="MS Mincho" w:cs="MS Mincho" w:hint="eastAsia"/>
                <w:b/>
                <w:lang w:eastAsia="en-US"/>
              </w:rPr>
              <w:t>☐</w:t>
            </w:r>
          </w:p>
        </w:tc>
        <w:tc>
          <w:tcPr>
            <w:tcW w:w="1281" w:type="dxa"/>
            <w:tcBorders>
              <w:top w:val="nil"/>
              <w:left w:val="nil"/>
              <w:bottom w:val="single" w:sz="4" w:space="0" w:color="auto"/>
              <w:right w:val="nil"/>
            </w:tcBorders>
            <w:shd w:val="clear" w:color="auto" w:fill="auto"/>
          </w:tcPr>
          <w:p w:rsidR="00A76C36" w:rsidRPr="00A76C36" w:rsidRDefault="00A76C36" w:rsidP="00D73CD7">
            <w:pPr>
              <w:ind w:right="-108"/>
              <w:rPr>
                <w:rFonts w:eastAsia="Calibri"/>
                <w:b/>
                <w:lang w:eastAsia="en-US"/>
              </w:rPr>
            </w:pPr>
            <w:r w:rsidRPr="00A76C36">
              <w:rPr>
                <w:rFonts w:eastAsia="Calibri"/>
                <w:b/>
                <w:lang w:eastAsia="en-US"/>
              </w:rPr>
              <w:t>Pozitívne</w:t>
            </w:r>
          </w:p>
        </w:tc>
        <w:tc>
          <w:tcPr>
            <w:tcW w:w="569" w:type="dxa"/>
            <w:tcBorders>
              <w:top w:val="nil"/>
              <w:left w:val="nil"/>
              <w:bottom w:val="single" w:sz="4" w:space="0" w:color="auto"/>
              <w:right w:val="nil"/>
            </w:tcBorders>
            <w:shd w:val="clear" w:color="auto" w:fill="auto"/>
          </w:tcPr>
          <w:p w:rsidR="00A76C36" w:rsidRPr="00A76C36" w:rsidRDefault="00A76C36" w:rsidP="00D73CD7">
            <w:pPr>
              <w:jc w:val="center"/>
              <w:rPr>
                <w:b/>
              </w:rPr>
            </w:pPr>
            <w:r w:rsidRPr="00A76C36">
              <w:rPr>
                <w:rFonts w:ascii="MS Mincho" w:eastAsia="MS Mincho" w:hAnsi="MS Mincho" w:cs="MS Mincho" w:hint="eastAsia"/>
                <w:b/>
              </w:rPr>
              <w:t>☒</w:t>
            </w:r>
          </w:p>
        </w:tc>
        <w:tc>
          <w:tcPr>
            <w:tcW w:w="1133" w:type="dxa"/>
            <w:tcBorders>
              <w:top w:val="nil"/>
              <w:left w:val="nil"/>
              <w:bottom w:val="single" w:sz="4" w:space="0" w:color="auto"/>
              <w:right w:val="nil"/>
            </w:tcBorders>
            <w:shd w:val="clear" w:color="auto" w:fill="auto"/>
          </w:tcPr>
          <w:p w:rsidR="00A76C36" w:rsidRPr="00A76C36" w:rsidRDefault="00A76C36" w:rsidP="00D73CD7">
            <w:pPr>
              <w:rPr>
                <w:b/>
              </w:rPr>
            </w:pPr>
            <w:r w:rsidRPr="00A76C36">
              <w:rPr>
                <w:b/>
              </w:rPr>
              <w:t>Žiadne</w:t>
            </w:r>
          </w:p>
        </w:tc>
        <w:tc>
          <w:tcPr>
            <w:tcW w:w="547" w:type="dxa"/>
            <w:tcBorders>
              <w:top w:val="nil"/>
              <w:left w:val="nil"/>
              <w:bottom w:val="single" w:sz="4" w:space="0" w:color="auto"/>
              <w:right w:val="nil"/>
            </w:tcBorders>
            <w:shd w:val="clear" w:color="auto" w:fill="auto"/>
          </w:tcPr>
          <w:p w:rsidR="00A76C36" w:rsidRPr="00A76C36" w:rsidRDefault="00A76C36" w:rsidP="00D73CD7">
            <w:pPr>
              <w:jc w:val="center"/>
              <w:rPr>
                <w:rFonts w:eastAsia="MS Mincho"/>
                <w:b/>
                <w:lang w:eastAsia="en-US"/>
              </w:rPr>
            </w:pPr>
            <w:r w:rsidRPr="00A76C36">
              <w:rPr>
                <w:rFonts w:ascii="MS Mincho" w:eastAsia="MS Mincho" w:hAnsi="MS Mincho" w:cs="MS Mincho" w:hint="eastAsia"/>
                <w:b/>
                <w:lang w:eastAsia="en-US"/>
              </w:rPr>
              <w:t>☐</w:t>
            </w:r>
          </w:p>
        </w:tc>
        <w:tc>
          <w:tcPr>
            <w:tcW w:w="1297" w:type="dxa"/>
            <w:tcBorders>
              <w:top w:val="nil"/>
              <w:left w:val="nil"/>
              <w:bottom w:val="single" w:sz="4" w:space="0" w:color="auto"/>
              <w:right w:val="single" w:sz="4" w:space="0" w:color="auto"/>
            </w:tcBorders>
            <w:shd w:val="clear" w:color="auto" w:fill="auto"/>
          </w:tcPr>
          <w:p w:rsidR="00A76C36" w:rsidRPr="00A76C36" w:rsidRDefault="00A76C36" w:rsidP="00D73CD7">
            <w:pPr>
              <w:ind w:left="54"/>
              <w:rPr>
                <w:rFonts w:eastAsia="Calibri"/>
                <w:b/>
                <w:lang w:eastAsia="en-US"/>
              </w:rPr>
            </w:pPr>
            <w:r w:rsidRPr="00A76C36">
              <w:rPr>
                <w:rFonts w:eastAsia="Calibri"/>
                <w:b/>
                <w:lang w:eastAsia="en-US"/>
              </w:rPr>
              <w:t>Negatívne“</w:t>
            </w:r>
          </w:p>
        </w:tc>
      </w:tr>
    </w:tbl>
    <w:p w:rsidR="00A76C36" w:rsidRPr="00A76C36" w:rsidRDefault="00A76C36" w:rsidP="00A76C36">
      <w:pPr>
        <w:ind w:right="141"/>
        <w:rPr>
          <w:b/>
        </w:rPr>
      </w:pPr>
    </w:p>
    <w:tbl>
      <w:tblPr>
        <w:tblStyle w:val="Mriekatabuky"/>
        <w:tblW w:w="9176" w:type="dxa"/>
        <w:tblLayout w:type="fixed"/>
        <w:tblLook w:val="04A0" w:firstRow="1" w:lastRow="0" w:firstColumn="1" w:lastColumn="0" w:noHBand="0" w:noVBand="1"/>
      </w:tblPr>
      <w:tblGrid>
        <w:gridCol w:w="9176"/>
      </w:tblGrid>
      <w:tr w:rsidR="00A76C36" w:rsidRPr="00A76C36" w:rsidTr="00D73CD7">
        <w:tc>
          <w:tcPr>
            <w:tcW w:w="9176" w:type="dxa"/>
            <w:tcBorders>
              <w:top w:val="single" w:sz="4" w:space="0" w:color="auto"/>
              <w:left w:val="single" w:sz="4" w:space="0" w:color="auto"/>
              <w:bottom w:val="nil"/>
              <w:right w:val="single" w:sz="4" w:space="0" w:color="auto"/>
            </w:tcBorders>
            <w:shd w:val="clear" w:color="auto" w:fill="E2E2E2"/>
          </w:tcPr>
          <w:p w:rsidR="00A76C36" w:rsidRPr="00A76C36" w:rsidRDefault="00A76C36" w:rsidP="00644416">
            <w:pPr>
              <w:pStyle w:val="Odsekzoznamu"/>
              <w:numPr>
                <w:ilvl w:val="0"/>
                <w:numId w:val="7"/>
              </w:numPr>
              <w:spacing w:after="0" w:line="240" w:lineRule="auto"/>
              <w:ind w:left="426"/>
              <w:rPr>
                <w:rFonts w:ascii="Times New Roman" w:hAnsi="Times New Roman" w:cs="Times New Roman"/>
                <w:b/>
              </w:rPr>
            </w:pPr>
            <w:r w:rsidRPr="00A76C36">
              <w:rPr>
                <w:rFonts w:ascii="Times New Roman" w:hAnsi="Times New Roman" w:cs="Times New Roman"/>
                <w:b/>
              </w:rPr>
              <w:lastRenderedPageBreak/>
              <w:t>Poznámky</w:t>
            </w:r>
          </w:p>
        </w:tc>
      </w:tr>
      <w:tr w:rsidR="00A76C36" w:rsidRPr="00A76C36" w:rsidTr="00D73CD7">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rsidR="00A76C36" w:rsidRPr="00A76C36" w:rsidRDefault="00A76C36" w:rsidP="00D73CD7">
            <w:pPr>
              <w:rPr>
                <w:i/>
              </w:rPr>
            </w:pPr>
            <w:r w:rsidRPr="00A76C36">
              <w:rPr>
                <w:i/>
              </w:rPr>
              <w:t>V prípade potreby uveďte doplňujúce informácie k návrhu.</w:t>
            </w:r>
          </w:p>
          <w:p w:rsidR="00A76C36" w:rsidRDefault="00A76C36" w:rsidP="00D73CD7">
            <w:pPr>
              <w:rPr>
                <w:i/>
              </w:rPr>
            </w:pPr>
          </w:p>
          <w:p w:rsidR="00D73CD7" w:rsidRDefault="00D73CD7" w:rsidP="004D72CC">
            <w:pPr>
              <w:jc w:val="both"/>
            </w:pPr>
            <w:r>
              <w:t xml:space="preserve">K vplyvom na rozpočet verejnej správy - časť detských ihrísk je v zriaďovateľskej pôsobnosti miest a obcí, ktoré ako vlastníci detských ihrísk budú povinné zosúladiť stav s návrhom zákona. Je možné sa domnievať, že už v súčasnosti vynakladá každý vlastník detského ihriska isté finančné prostriedky na údržbu detského ihriska. Predkladateľ preto vidí hlavný vplyv na rozpočet verejnej správy najmä </w:t>
            </w:r>
            <w:r w:rsidR="004D72CC">
              <w:t>vo</w:t>
            </w:r>
            <w:r>
              <w:t xml:space="preserve"> vý</w:t>
            </w:r>
            <w:r w:rsidR="004D72CC">
              <w:t>davkoch</w:t>
            </w:r>
            <w:r>
              <w:t xml:space="preserve"> na výkon vstupnej/ročnej kontroly</w:t>
            </w:r>
            <w:r w:rsidR="00C42DCD">
              <w:t xml:space="preserve">. </w:t>
            </w:r>
            <w:r w:rsidR="00653498">
              <w:t>Cena za výkon vstupnej kontroly bude výsledkom</w:t>
            </w:r>
            <w:r w:rsidR="00C42DCD">
              <w:t xml:space="preserve"> </w:t>
            </w:r>
            <w:r w:rsidR="00653498">
              <w:t xml:space="preserve">pôsobenia trhového mechanizmu. Výdavky na výkon ročnej kontroly budú predstavovať buď odplatu za výkon tejto kontroly externému subjektu (cena bude rovnako kreovaná priamo na trhu) alebo výdavky </w:t>
            </w:r>
            <w:r>
              <w:t>na školenie zamestnancov, ktor</w:t>
            </w:r>
            <w:r w:rsidR="004D72CC">
              <w:t>í</w:t>
            </w:r>
            <w:r>
              <w:t xml:space="preserve"> budú </w:t>
            </w:r>
            <w:r w:rsidR="004D72CC">
              <w:t>následne oprávnení na výkon ročnej kontroly. Zamestnanec - certifikovaná osoba - bude môcť vykonávať ročné kontroly v rámci prenesenia povinností v zmysle  § 4 ods. 4 aj pre iných vlastníkov detských ihrísk, náklady preto možno rozdeliť aj medzi viac</w:t>
            </w:r>
            <w:r w:rsidR="00C42DCD">
              <w:t>erých</w:t>
            </w:r>
            <w:r w:rsidR="004D72CC">
              <w:t xml:space="preserve"> vlastníkov, nie každý vlastník bude musieť mať zamestnanca - certifikovanú osobu.</w:t>
            </w:r>
          </w:p>
          <w:p w:rsidR="00044434" w:rsidRDefault="00044434" w:rsidP="004D72CC">
            <w:pPr>
              <w:jc w:val="both"/>
            </w:pPr>
          </w:p>
          <w:p w:rsidR="00044434" w:rsidRDefault="00044434" w:rsidP="004D72CC">
            <w:pPr>
              <w:jc w:val="both"/>
            </w:pPr>
            <w:r>
              <w:t xml:space="preserve">Náklady spojené s novými administratívnymi povinnosťami je možné odhadnúť, ide o sumu </w:t>
            </w:r>
            <w:r w:rsidR="008B77CD" w:rsidRPr="008B77CD">
              <w:rPr>
                <w:i/>
              </w:rPr>
              <w:t>204,02</w:t>
            </w:r>
            <w:r w:rsidRPr="008B77CD">
              <w:rPr>
                <w:i/>
              </w:rPr>
              <w:t xml:space="preserve"> €</w:t>
            </w:r>
            <w:r>
              <w:t xml:space="preserve"> na jedno detské ihrisko</w:t>
            </w:r>
            <w:r w:rsidR="00FE4968">
              <w:t xml:space="preserve"> na rok</w:t>
            </w:r>
            <w:r>
              <w:t>, avšak počet detských ihrísk v zriaďovateľskej pôsobnosti obcí alebo miest nie je známy, preto nie je možné vyčísliť celkový vplyv na rozpočet verenej správy.</w:t>
            </w:r>
            <w:r w:rsidR="008B77CD">
              <w:t xml:space="preserve"> Je nutné tiež vyjasniť, že uvedená suma nepredstavuje administratívny náklad pre jeden subjekt, ide o administratívne náklady na jedno detské ihrisko (tzn. ide o náklady vlastníka detského ihriska a aj pre osobu vykonávajúcu kontrolu detského ihriska).</w:t>
            </w:r>
          </w:p>
          <w:p w:rsidR="004D72CC" w:rsidRDefault="004D72CC" w:rsidP="004D72CC">
            <w:pPr>
              <w:jc w:val="both"/>
            </w:pPr>
          </w:p>
          <w:p w:rsidR="004D72CC" w:rsidRDefault="004D72CC" w:rsidP="004D72CC">
            <w:pPr>
              <w:jc w:val="both"/>
            </w:pPr>
            <w:r>
              <w:t>Vplyvy na rozpočet verejnej správy</w:t>
            </w:r>
            <w:r w:rsidR="00C42DCD">
              <w:t>,</w:t>
            </w:r>
            <w:r>
              <w:t xml:space="preserve"> tzn. výdavky na uvedenie do</w:t>
            </w:r>
            <w:r w:rsidR="00C42DCD">
              <w:t xml:space="preserve"> súladu s návrhom zákona budú </w:t>
            </w:r>
            <w:r>
              <w:t>kryté v rámci stanovených rozpočtov na daný kalendárny rok.</w:t>
            </w:r>
          </w:p>
          <w:p w:rsidR="00044434" w:rsidRDefault="00044434" w:rsidP="004D72CC">
            <w:pPr>
              <w:jc w:val="both"/>
            </w:pPr>
          </w:p>
          <w:p w:rsidR="00044434" w:rsidRPr="00D73CD7" w:rsidRDefault="00044434" w:rsidP="004D72CC">
            <w:pPr>
              <w:jc w:val="both"/>
            </w:pPr>
            <w:r>
              <w:t xml:space="preserve">Pokiaľ ide o pozitívny vplyv na rozpočet verejnej správy, ako príjem štátneho rozpočtu je možné označiť pokuty udelené za porušenie ustanovení návrhu zákona. V súčasnosti však z objektívnych príčin nie je možné vyčísliť tento vplyv, keďže miera porušenia sa nedá </w:t>
            </w:r>
            <w:r w:rsidR="00653498">
              <w:t xml:space="preserve">vopred </w:t>
            </w:r>
            <w:r>
              <w:t>odhadnúť.</w:t>
            </w:r>
          </w:p>
          <w:p w:rsidR="00A76C36" w:rsidRPr="00FE4968" w:rsidRDefault="00A76C36" w:rsidP="00C42DCD"/>
          <w:p w:rsidR="00DD069C" w:rsidRPr="00C42DCD" w:rsidRDefault="00DD069C" w:rsidP="00FE4968">
            <w:pPr>
              <w:jc w:val="both"/>
              <w:rPr>
                <w:b/>
              </w:rPr>
            </w:pPr>
            <w:r w:rsidRPr="00FE4968">
              <w:t xml:space="preserve">Identifikované vplyvy návrhu zákona nie je možné presne kvantifikovať vzhľadom na chýbajúci údaj o počte detských ihrísk, ktoré budú spadať do rozsahu návrhu zákona, na území </w:t>
            </w:r>
            <w:r w:rsidR="00A222F3" w:rsidRPr="00FE4968">
              <w:t>SR</w:t>
            </w:r>
            <w:r w:rsidRPr="00FE4968">
              <w:t>. Predmetná informácia nie je súčasťou žiadneho verejného registra a tento údaj sa predkladateľovi nepodarilo získať ani priamym zberom.</w:t>
            </w:r>
          </w:p>
        </w:tc>
      </w:tr>
      <w:tr w:rsidR="00A76C36" w:rsidRPr="00A76C36" w:rsidTr="00D73CD7">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A76C36" w:rsidRPr="00A76C36" w:rsidRDefault="00A76C36" w:rsidP="00644416">
            <w:pPr>
              <w:pStyle w:val="Odsekzoznamu"/>
              <w:numPr>
                <w:ilvl w:val="0"/>
                <w:numId w:val="7"/>
              </w:numPr>
              <w:spacing w:after="0" w:line="240" w:lineRule="auto"/>
              <w:ind w:left="426"/>
              <w:rPr>
                <w:rFonts w:ascii="Times New Roman" w:hAnsi="Times New Roman" w:cs="Times New Roman"/>
                <w:b/>
              </w:rPr>
            </w:pPr>
            <w:r w:rsidRPr="00A76C36">
              <w:rPr>
                <w:rFonts w:ascii="Times New Roman" w:hAnsi="Times New Roman" w:cs="Times New Roman"/>
                <w:b/>
              </w:rPr>
              <w:t>Kontakt na spracovateľa</w:t>
            </w:r>
          </w:p>
        </w:tc>
      </w:tr>
      <w:tr w:rsidR="00A76C36" w:rsidRPr="00A76C36" w:rsidTr="00D73CD7">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A76C36" w:rsidRPr="00A76C36" w:rsidRDefault="00A76C36" w:rsidP="00D73CD7">
            <w:pPr>
              <w:rPr>
                <w:i/>
              </w:rPr>
            </w:pPr>
            <w:r w:rsidRPr="00A76C36">
              <w:rPr>
                <w:i/>
              </w:rPr>
              <w:t>Uveďte údaje na kontaktnú osobu, ktorú je možné kontaktovať v súvislosti s posúdením vybraných vplyvov</w:t>
            </w:r>
          </w:p>
          <w:p w:rsidR="00A76C36" w:rsidRPr="00A76C36" w:rsidRDefault="00A76C36" w:rsidP="00D73CD7"/>
          <w:p w:rsidR="00A76C36" w:rsidRPr="00A76C36" w:rsidRDefault="00A76C36" w:rsidP="00D73CD7">
            <w:r w:rsidRPr="00A76C36">
              <w:t>Mgr. Ivana Pavlovská</w:t>
            </w:r>
          </w:p>
          <w:p w:rsidR="00A76C36" w:rsidRPr="00A76C36" w:rsidRDefault="00A76C36" w:rsidP="00D73CD7">
            <w:r w:rsidRPr="00A76C36">
              <w:t>odbor ochrany spotrebiteľa MH SR</w:t>
            </w:r>
          </w:p>
          <w:p w:rsidR="00A76C36" w:rsidRPr="00A76C36" w:rsidRDefault="00250999" w:rsidP="00D73CD7">
            <w:hyperlink r:id="rId9" w:history="1">
              <w:r w:rsidR="00A76C36" w:rsidRPr="00A76C36">
                <w:rPr>
                  <w:rStyle w:val="Hypertextovprepojenie"/>
                </w:rPr>
                <w:t>pavlovska@mhsr.sk</w:t>
              </w:r>
            </w:hyperlink>
            <w:r w:rsidR="00A76C36" w:rsidRPr="00A76C36">
              <w:t xml:space="preserve"> </w:t>
            </w:r>
          </w:p>
          <w:p w:rsidR="00A76C36" w:rsidRPr="00A76C36" w:rsidRDefault="00A76C36" w:rsidP="00D73CD7">
            <w:r w:rsidRPr="00A76C36">
              <w:t>02/4854 2433</w:t>
            </w:r>
          </w:p>
          <w:p w:rsidR="00A76C36" w:rsidRPr="00A76C36" w:rsidRDefault="00A76C36" w:rsidP="00D73CD7"/>
        </w:tc>
      </w:tr>
      <w:tr w:rsidR="00A76C36" w:rsidRPr="00A76C36" w:rsidTr="00D73CD7">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A76C36" w:rsidRPr="00A76C36" w:rsidRDefault="00A76C36" w:rsidP="00644416">
            <w:pPr>
              <w:pStyle w:val="Odsekzoznamu"/>
              <w:numPr>
                <w:ilvl w:val="0"/>
                <w:numId w:val="7"/>
              </w:numPr>
              <w:spacing w:after="0" w:line="240" w:lineRule="auto"/>
              <w:ind w:left="426"/>
              <w:rPr>
                <w:rFonts w:ascii="Times New Roman" w:hAnsi="Times New Roman" w:cs="Times New Roman"/>
                <w:b/>
              </w:rPr>
            </w:pPr>
            <w:r w:rsidRPr="00373B76">
              <w:rPr>
                <w:rFonts w:ascii="Times New Roman" w:hAnsi="Times New Roman" w:cs="Times New Roman"/>
                <w:b/>
              </w:rPr>
              <w:t>Zdroje</w:t>
            </w:r>
          </w:p>
        </w:tc>
      </w:tr>
      <w:tr w:rsidR="00A76C36" w:rsidRPr="00A76C36" w:rsidTr="00D73CD7">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A76C36" w:rsidRPr="00A76C36" w:rsidRDefault="00A76C36" w:rsidP="00D73CD7">
            <w:pPr>
              <w:rPr>
                <w:i/>
              </w:rPr>
            </w:pPr>
            <w:r w:rsidRPr="00A76C36">
              <w:rPr>
                <w:i/>
              </w:rPr>
              <w:t>Uveďte zdroje (štatistiky, prieskumy, spoluprácu s odborníkmi a iné), z ktorých ste pri vypracovávaní doložky, príp. analýz vplyvov vychádzali).</w:t>
            </w:r>
          </w:p>
          <w:p w:rsidR="00DD069C" w:rsidRPr="00FE4968" w:rsidRDefault="00653498" w:rsidP="00653498">
            <w:r w:rsidRPr="00FE4968">
              <w:t xml:space="preserve">Predkladateľ pri vypracúvaní doložky vplyvov použil Kalkulačku nákladov regulácie a ukazovatele Štatistického úradu. </w:t>
            </w:r>
          </w:p>
          <w:p w:rsidR="00A76C36" w:rsidRPr="00A76C36" w:rsidRDefault="00A76C36" w:rsidP="00DD069C">
            <w:pPr>
              <w:rPr>
                <w:b/>
              </w:rPr>
            </w:pPr>
          </w:p>
        </w:tc>
      </w:tr>
      <w:tr w:rsidR="00A76C36" w:rsidRPr="00A76C36" w:rsidTr="00D73CD7">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A76C36" w:rsidRPr="00A76C36" w:rsidRDefault="00A76C36" w:rsidP="00644416">
            <w:pPr>
              <w:pStyle w:val="Odsekzoznamu"/>
              <w:numPr>
                <w:ilvl w:val="0"/>
                <w:numId w:val="7"/>
              </w:numPr>
              <w:spacing w:after="0" w:line="240" w:lineRule="auto"/>
              <w:ind w:left="426"/>
              <w:rPr>
                <w:rFonts w:ascii="Times New Roman" w:hAnsi="Times New Roman" w:cs="Times New Roman"/>
                <w:b/>
              </w:rPr>
            </w:pPr>
            <w:r w:rsidRPr="00A76C36">
              <w:rPr>
                <w:rFonts w:ascii="Times New Roman" w:hAnsi="Times New Roman" w:cs="Times New Roman"/>
                <w:b/>
              </w:rPr>
              <w:t>Stanovisko Komisie pre posudzovanie vybraných vplyvov z PPK</w:t>
            </w:r>
          </w:p>
        </w:tc>
      </w:tr>
      <w:tr w:rsidR="00A76C36" w:rsidRPr="00A76C36" w:rsidTr="00D73CD7">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A76C36" w:rsidRDefault="00A76C36" w:rsidP="00D73CD7">
            <w:pPr>
              <w:rPr>
                <w:i/>
              </w:rPr>
            </w:pPr>
            <w:r w:rsidRPr="00A76C36">
              <w:rPr>
                <w:i/>
              </w:rPr>
              <w:t>Uveďte stanovisko Komisie pre posudzovanie vybraných vplyvov, ktoré Vám bolo zaslané v rámci predbežného pripomienkového konania</w:t>
            </w:r>
          </w:p>
          <w:p w:rsidR="0056647E" w:rsidRPr="00A76C36" w:rsidRDefault="0056647E" w:rsidP="00D73CD7">
            <w:pPr>
              <w:rPr>
                <w:b/>
              </w:rPr>
            </w:pPr>
          </w:p>
          <w:p w:rsidR="00E122F2" w:rsidRPr="00E122F2" w:rsidRDefault="00E122F2" w:rsidP="00E122F2">
            <w:pPr>
              <w:suppressAutoHyphens/>
              <w:spacing w:line="100" w:lineRule="atLeast"/>
              <w:jc w:val="both"/>
              <w:rPr>
                <w:rFonts w:ascii="Arial" w:hAnsi="Arial" w:cs="Arial"/>
                <w:bCs/>
                <w:lang w:eastAsia="ar-SA"/>
              </w:rPr>
            </w:pPr>
            <w:r w:rsidRPr="00E122F2">
              <w:rPr>
                <w:rFonts w:ascii="Arial" w:hAnsi="Arial" w:cs="Arial"/>
                <w:b/>
                <w:bCs/>
                <w:lang w:eastAsia="ar-SA"/>
              </w:rPr>
              <w:t xml:space="preserve">I. Úvod: </w:t>
            </w:r>
            <w:r w:rsidRPr="00E122F2">
              <w:rPr>
                <w:rFonts w:ascii="Arial" w:hAnsi="Arial" w:cs="Arial"/>
                <w:bCs/>
                <w:lang w:eastAsia="ar-SA"/>
              </w:rPr>
              <w:t xml:space="preserve">Ministerstvo hospodárstva Slovenskej republiky dňa 15. novembra 2018 predložilo Stálej pracovnej komisii na posudzovanie vybraných vplyvov (ďalej len „Komisia“) na </w:t>
            </w:r>
            <w:r w:rsidRPr="00E122F2">
              <w:rPr>
                <w:rFonts w:ascii="Arial" w:hAnsi="Arial" w:cs="Arial"/>
                <w:bCs/>
                <w:lang w:eastAsia="ar-SA"/>
              </w:rPr>
              <w:lastRenderedPageBreak/>
              <w:t>predbežné pripomienkové konanie materiál</w:t>
            </w:r>
            <w:r w:rsidRPr="00E122F2">
              <w:rPr>
                <w:rFonts w:ascii="Arial" w:hAnsi="Arial" w:cs="Arial"/>
                <w:bCs/>
                <w:color w:val="FF0000"/>
                <w:lang w:eastAsia="ar-SA"/>
              </w:rPr>
              <w:t xml:space="preserve"> </w:t>
            </w:r>
            <w:r w:rsidRPr="00E122F2">
              <w:rPr>
                <w:rFonts w:ascii="Arial" w:hAnsi="Arial" w:cs="Arial"/>
                <w:bCs/>
                <w:lang w:eastAsia="ar-SA"/>
              </w:rPr>
              <w:t>„</w:t>
            </w:r>
            <w:r w:rsidRPr="00E122F2">
              <w:rPr>
                <w:rFonts w:ascii="Arial" w:hAnsi="Arial" w:cs="Arial"/>
                <w:i/>
                <w:iCs/>
                <w:lang w:eastAsia="ar-SA"/>
              </w:rPr>
              <w:t>Návrh zákona o základných požiadavkách na bezpečnosť detského ihriska a o zmene a doplnení niektorých zákonov“</w:t>
            </w:r>
            <w:r w:rsidRPr="00E122F2">
              <w:rPr>
                <w:rFonts w:ascii="Arial" w:hAnsi="Arial" w:cs="Arial"/>
                <w:iCs/>
                <w:lang w:eastAsia="ar-SA"/>
              </w:rPr>
              <w:t xml:space="preserve">. </w:t>
            </w:r>
            <w:r w:rsidRPr="00E122F2">
              <w:rPr>
                <w:rFonts w:ascii="Arial" w:hAnsi="Arial" w:cs="Arial"/>
                <w:bCs/>
                <w:lang w:eastAsia="ar-SA"/>
              </w:rPr>
              <w:t>Materiál predpokladá pozitívno-negatívne vplyvy na rozpočet verejnej správy, ktoré sú rozpočtovo zabezpečené, pozitívno-negatívne vplyvy na podnikateľské prostredie, vrátane pozitívno-negatívnych vplyvov na malé a stredné podniky a pozitívne sociálne vplyvy.</w:t>
            </w:r>
          </w:p>
          <w:p w:rsidR="00E122F2" w:rsidRPr="00E122F2" w:rsidRDefault="00E122F2" w:rsidP="00E122F2">
            <w:pPr>
              <w:tabs>
                <w:tab w:val="left" w:pos="2445"/>
              </w:tabs>
              <w:suppressAutoHyphens/>
              <w:spacing w:line="100" w:lineRule="atLeast"/>
              <w:jc w:val="both"/>
              <w:rPr>
                <w:rFonts w:ascii="Arial" w:hAnsi="Arial" w:cs="Arial"/>
                <w:bCs/>
                <w:color w:val="FF0000"/>
                <w:lang w:eastAsia="ar-SA"/>
              </w:rPr>
            </w:pPr>
            <w:r w:rsidRPr="00E122F2">
              <w:rPr>
                <w:rFonts w:ascii="Arial" w:hAnsi="Arial" w:cs="Arial"/>
                <w:bCs/>
                <w:color w:val="FF0000"/>
                <w:lang w:eastAsia="ar-SA"/>
              </w:rPr>
              <w:tab/>
            </w:r>
          </w:p>
          <w:p w:rsidR="00E122F2" w:rsidRPr="00E122F2" w:rsidRDefault="00E122F2" w:rsidP="00E122F2">
            <w:pPr>
              <w:tabs>
                <w:tab w:val="center" w:pos="6379"/>
              </w:tabs>
              <w:suppressAutoHyphens/>
              <w:spacing w:line="100" w:lineRule="atLeast"/>
              <w:ind w:right="-2"/>
              <w:jc w:val="both"/>
              <w:rPr>
                <w:rFonts w:ascii="Arial" w:hAnsi="Arial" w:cs="Arial"/>
                <w:bCs/>
                <w:lang w:eastAsia="ar-SA"/>
              </w:rPr>
            </w:pPr>
            <w:r w:rsidRPr="00E122F2">
              <w:rPr>
                <w:rFonts w:ascii="Arial" w:hAnsi="Arial" w:cs="Arial"/>
                <w:b/>
                <w:bCs/>
                <w:lang w:eastAsia="ar-SA"/>
              </w:rPr>
              <w:t>II. P</w:t>
            </w:r>
            <w:r w:rsidRPr="00E122F2">
              <w:rPr>
                <w:rFonts w:ascii="Arial" w:hAnsi="Arial" w:cs="Arial"/>
                <w:b/>
                <w:lang w:eastAsia="ar-SA"/>
              </w:rPr>
              <w:t>r</w:t>
            </w:r>
            <w:r w:rsidRPr="00E122F2">
              <w:rPr>
                <w:rFonts w:ascii="Arial" w:hAnsi="Arial" w:cs="Arial"/>
                <w:b/>
                <w:bCs/>
                <w:lang w:eastAsia="ar-SA"/>
              </w:rPr>
              <w:t>ipomienky a návrhy zm</w:t>
            </w:r>
            <w:r w:rsidRPr="00E122F2">
              <w:rPr>
                <w:rFonts w:ascii="Arial" w:hAnsi="Arial" w:cs="Arial"/>
                <w:b/>
                <w:lang w:eastAsia="ar-SA"/>
              </w:rPr>
              <w:t>ie</w:t>
            </w:r>
            <w:r w:rsidRPr="00E122F2">
              <w:rPr>
                <w:rFonts w:ascii="Arial" w:hAnsi="Arial" w:cs="Arial"/>
                <w:b/>
                <w:bCs/>
                <w:lang w:eastAsia="ar-SA"/>
              </w:rPr>
              <w:t xml:space="preserve">n: </w:t>
            </w:r>
            <w:r w:rsidRPr="00E122F2">
              <w:rPr>
                <w:rFonts w:ascii="Arial" w:hAnsi="Arial" w:cs="Arial"/>
                <w:bCs/>
                <w:lang w:eastAsia="ar-SA"/>
              </w:rPr>
              <w:t>Komisia uplatňuje k materiálu nasledovné pripomienky a odporúčania:</w:t>
            </w:r>
          </w:p>
          <w:p w:rsidR="00E122F2" w:rsidRPr="00E122F2" w:rsidRDefault="00E122F2" w:rsidP="00E122F2">
            <w:pPr>
              <w:tabs>
                <w:tab w:val="center" w:pos="6379"/>
              </w:tabs>
              <w:suppressAutoHyphens/>
              <w:spacing w:line="100" w:lineRule="atLeast"/>
              <w:ind w:right="-2"/>
              <w:jc w:val="both"/>
              <w:rPr>
                <w:rFonts w:ascii="Arial" w:hAnsi="Arial" w:cs="Arial"/>
                <w:bCs/>
                <w:lang w:eastAsia="ar-SA"/>
              </w:rPr>
            </w:pPr>
          </w:p>
          <w:p w:rsidR="00E122F2" w:rsidRPr="00E122F2" w:rsidRDefault="00E122F2" w:rsidP="00E122F2">
            <w:pPr>
              <w:suppressAutoHyphens/>
              <w:spacing w:line="100" w:lineRule="atLeast"/>
              <w:jc w:val="both"/>
              <w:rPr>
                <w:rFonts w:ascii="Arial" w:hAnsi="Arial" w:cs="Arial"/>
                <w:b/>
                <w:lang w:eastAsia="ar-SA"/>
              </w:rPr>
            </w:pPr>
            <w:r w:rsidRPr="00E122F2">
              <w:rPr>
                <w:rFonts w:ascii="Arial" w:hAnsi="Arial" w:cs="Arial"/>
                <w:b/>
                <w:lang w:eastAsia="ar-SA"/>
              </w:rPr>
              <w:t>K vplyvom na rozpočet verejnej správy</w:t>
            </w:r>
          </w:p>
          <w:p w:rsidR="00E122F2" w:rsidRPr="00E122F2" w:rsidRDefault="00E122F2" w:rsidP="00E122F2">
            <w:pPr>
              <w:suppressAutoHyphens/>
              <w:spacing w:line="100" w:lineRule="atLeast"/>
              <w:jc w:val="both"/>
              <w:rPr>
                <w:rFonts w:ascii="Arial" w:hAnsi="Arial" w:cs="Arial"/>
                <w:lang w:eastAsia="ar-SA"/>
              </w:rPr>
            </w:pPr>
            <w:r w:rsidRPr="00E122F2">
              <w:rPr>
                <w:rFonts w:ascii="Arial" w:hAnsi="Arial" w:cs="Arial"/>
                <w:lang w:eastAsia="ar-SA"/>
              </w:rPr>
              <w:t xml:space="preserve">V doložke vybraných vplyvov je uvedené, že návrh zákona bude mať pozitívny aj negatívny vplyv na rozpočet verejnej správy, ktorý bude rozpočtovo zabezpečený. K návrhu zákona nie je vypracovaná kvantifikácia vplyvov, v doložke vybraných vplyvov v časti 8. Poznámky sa len uvádza, že negatívny vplyv na rozpočet verejnej správy bude krytý v rámci stanovených rozpočtov na kalendárny rok. </w:t>
            </w:r>
          </w:p>
          <w:p w:rsidR="00E122F2" w:rsidRPr="00E122F2" w:rsidRDefault="00E122F2" w:rsidP="00E122F2">
            <w:pPr>
              <w:suppressAutoHyphens/>
              <w:spacing w:line="100" w:lineRule="atLeast"/>
              <w:jc w:val="both"/>
              <w:rPr>
                <w:rFonts w:ascii="Arial" w:hAnsi="Arial" w:cs="Arial"/>
                <w:lang w:eastAsia="ar-SA"/>
              </w:rPr>
            </w:pPr>
          </w:p>
          <w:p w:rsidR="00E122F2" w:rsidRPr="00E122F2" w:rsidRDefault="00E122F2" w:rsidP="00E122F2">
            <w:pPr>
              <w:suppressAutoHyphens/>
              <w:spacing w:line="100" w:lineRule="atLeast"/>
              <w:jc w:val="both"/>
              <w:rPr>
                <w:rFonts w:ascii="Arial" w:hAnsi="Arial" w:cs="Arial"/>
                <w:lang w:eastAsia="ar-SA"/>
              </w:rPr>
            </w:pPr>
            <w:r w:rsidRPr="00E122F2">
              <w:rPr>
                <w:rFonts w:ascii="Arial" w:hAnsi="Arial" w:cs="Arial"/>
                <w:lang w:eastAsia="ar-SA"/>
              </w:rPr>
              <w:t xml:space="preserve">Detské ihriská sú väčšinou v zriaďovateľskej pôsobnosti miest a obcí, ktorým ako „vlastníkov detských ihrísk“ vyplýva z návrhu zákona povinnosť zosúladiť stav s návrhom zákona a zavádzajú sa nové administratívne povinnosti súvisiace s výkonom vstupnej/ročnej kontroly. </w:t>
            </w:r>
          </w:p>
          <w:p w:rsidR="00E122F2" w:rsidRPr="00E122F2" w:rsidRDefault="00E122F2" w:rsidP="00E122F2">
            <w:pPr>
              <w:suppressAutoHyphens/>
              <w:spacing w:line="100" w:lineRule="atLeast"/>
              <w:jc w:val="both"/>
              <w:rPr>
                <w:rFonts w:ascii="Arial" w:hAnsi="Arial" w:cs="Arial"/>
                <w:lang w:eastAsia="ar-SA"/>
              </w:rPr>
            </w:pPr>
          </w:p>
          <w:p w:rsidR="00E122F2" w:rsidRPr="00E122F2" w:rsidRDefault="00E122F2" w:rsidP="00E122F2">
            <w:pPr>
              <w:suppressAutoHyphens/>
              <w:spacing w:line="100" w:lineRule="atLeast"/>
              <w:jc w:val="both"/>
              <w:rPr>
                <w:rFonts w:ascii="Arial" w:hAnsi="Arial" w:cs="Arial"/>
                <w:lang w:eastAsia="ar-SA"/>
              </w:rPr>
            </w:pPr>
            <w:r w:rsidRPr="00E122F2">
              <w:rPr>
                <w:rFonts w:ascii="Arial" w:hAnsi="Arial" w:cs="Arial"/>
                <w:lang w:eastAsia="ar-SA"/>
              </w:rPr>
              <w:t>V nadväznosti na uvedené žiada Komisia v zmysle § 33 zákona č. 523/2004 Z. z. o rozpočtových pravidlách verejnej správy a o zmene a doplnení niektorých zákonov doplniť kvantifikáciu dopadov na rozpočet verejnej správy s uvedením dopadov na rozpočty obcí na jednotlivé roky. Spolu s tým je potrebné uviesť aj návrhy na úhradu zvýšených výdavkov.</w:t>
            </w:r>
          </w:p>
          <w:p w:rsidR="00E122F2" w:rsidRPr="00E122F2" w:rsidRDefault="00E122F2" w:rsidP="00E122F2">
            <w:pPr>
              <w:suppressAutoHyphens/>
              <w:spacing w:line="100" w:lineRule="atLeast"/>
              <w:ind w:right="-2"/>
              <w:jc w:val="both"/>
              <w:rPr>
                <w:rFonts w:ascii="Arial" w:hAnsi="Arial" w:cs="Arial"/>
                <w:b/>
                <w:bCs/>
                <w:lang w:eastAsia="ar-SA"/>
              </w:rPr>
            </w:pPr>
          </w:p>
          <w:p w:rsidR="00E122F2" w:rsidRPr="00E122F2" w:rsidRDefault="00E122F2" w:rsidP="00E122F2">
            <w:pPr>
              <w:spacing w:after="200" w:line="276" w:lineRule="auto"/>
              <w:rPr>
                <w:rFonts w:ascii="Arial" w:hAnsi="Arial" w:cs="Arial"/>
                <w:b/>
                <w:bCs/>
                <w:lang w:eastAsia="ar-SA"/>
              </w:rPr>
            </w:pPr>
            <w:r w:rsidRPr="00E122F2">
              <w:rPr>
                <w:rFonts w:ascii="Arial" w:hAnsi="Arial" w:cs="Arial"/>
                <w:b/>
                <w:bCs/>
                <w:lang w:eastAsia="ar-SA"/>
              </w:rPr>
              <w:br w:type="page"/>
            </w:r>
          </w:p>
          <w:p w:rsidR="00E122F2" w:rsidRPr="00E122F2" w:rsidRDefault="00E122F2" w:rsidP="00E122F2">
            <w:pPr>
              <w:suppressAutoHyphens/>
              <w:spacing w:line="100" w:lineRule="atLeast"/>
              <w:ind w:right="-2"/>
              <w:jc w:val="both"/>
              <w:rPr>
                <w:rFonts w:ascii="Arial" w:hAnsi="Arial" w:cs="Arial"/>
                <w:bCs/>
                <w:lang w:eastAsia="ar-SA"/>
              </w:rPr>
            </w:pPr>
            <w:r w:rsidRPr="00E122F2">
              <w:rPr>
                <w:rFonts w:ascii="Arial" w:hAnsi="Arial" w:cs="Arial"/>
                <w:b/>
                <w:bCs/>
                <w:lang w:eastAsia="ar-SA"/>
              </w:rPr>
              <w:t xml:space="preserve">III. Záver: </w:t>
            </w:r>
            <w:r w:rsidRPr="00E122F2">
              <w:rPr>
                <w:rFonts w:ascii="Arial" w:hAnsi="Arial" w:cs="Arial"/>
                <w:bCs/>
                <w:lang w:eastAsia="ar-SA"/>
              </w:rPr>
              <w:t xml:space="preserve">Stála pracovná komisia na posudzovanie vybraných vplyvov vyjadruje </w:t>
            </w:r>
          </w:p>
          <w:p w:rsidR="00E122F2" w:rsidRPr="00E122F2" w:rsidRDefault="00E122F2" w:rsidP="00E122F2">
            <w:pPr>
              <w:tabs>
                <w:tab w:val="center" w:pos="6379"/>
              </w:tabs>
              <w:suppressAutoHyphens/>
              <w:spacing w:line="100" w:lineRule="atLeast"/>
              <w:ind w:right="-2"/>
              <w:jc w:val="both"/>
              <w:rPr>
                <w:rFonts w:ascii="Arial" w:hAnsi="Arial" w:cs="Arial"/>
                <w:bCs/>
                <w:lang w:eastAsia="ar-SA"/>
              </w:rPr>
            </w:pPr>
          </w:p>
          <w:p w:rsidR="00E122F2" w:rsidRPr="00E122F2" w:rsidRDefault="00E122F2" w:rsidP="00E122F2">
            <w:pPr>
              <w:tabs>
                <w:tab w:val="center" w:pos="6379"/>
              </w:tabs>
              <w:suppressAutoHyphens/>
              <w:spacing w:line="100" w:lineRule="atLeast"/>
              <w:ind w:right="-2"/>
              <w:jc w:val="center"/>
              <w:rPr>
                <w:rFonts w:ascii="Arial" w:eastAsia="Calibri" w:hAnsi="Arial" w:cs="Arial"/>
                <w:b/>
                <w:bCs/>
                <w:lang w:eastAsia="en-US"/>
              </w:rPr>
            </w:pPr>
          </w:p>
          <w:p w:rsidR="00E122F2" w:rsidRPr="00E122F2" w:rsidRDefault="00E122F2" w:rsidP="00E122F2">
            <w:pPr>
              <w:tabs>
                <w:tab w:val="center" w:pos="6379"/>
              </w:tabs>
              <w:suppressAutoHyphens/>
              <w:jc w:val="center"/>
              <w:rPr>
                <w:rFonts w:ascii="Arial" w:hAnsi="Arial" w:cs="Arial"/>
                <w:b/>
                <w:bCs/>
                <w:lang w:eastAsia="ar-SA"/>
              </w:rPr>
            </w:pPr>
            <w:r w:rsidRPr="00E122F2">
              <w:rPr>
                <w:rFonts w:ascii="Arial" w:hAnsi="Arial" w:cs="Arial"/>
                <w:b/>
                <w:bCs/>
                <w:lang w:eastAsia="ar-SA"/>
              </w:rPr>
              <w:t>súhlasné stanovisko s návrhom na dopracovanie</w:t>
            </w:r>
          </w:p>
          <w:p w:rsidR="00E122F2" w:rsidRPr="00E122F2" w:rsidRDefault="00E122F2" w:rsidP="00E122F2">
            <w:pPr>
              <w:tabs>
                <w:tab w:val="center" w:pos="6379"/>
              </w:tabs>
              <w:suppressAutoHyphens/>
              <w:jc w:val="both"/>
              <w:rPr>
                <w:rFonts w:ascii="Arial" w:hAnsi="Arial" w:cs="Arial"/>
                <w:bCs/>
                <w:lang w:eastAsia="ar-SA"/>
              </w:rPr>
            </w:pPr>
          </w:p>
          <w:p w:rsidR="00E122F2" w:rsidRPr="00E122F2" w:rsidRDefault="00E122F2" w:rsidP="00E122F2">
            <w:pPr>
              <w:tabs>
                <w:tab w:val="center" w:pos="6379"/>
              </w:tabs>
              <w:suppressAutoHyphens/>
              <w:jc w:val="both"/>
              <w:rPr>
                <w:rFonts w:ascii="Arial" w:hAnsi="Arial" w:cs="Arial"/>
                <w:bCs/>
                <w:lang w:eastAsia="ar-SA"/>
              </w:rPr>
            </w:pPr>
          </w:p>
          <w:p w:rsidR="00E122F2" w:rsidRPr="00E122F2" w:rsidRDefault="00E122F2" w:rsidP="00E122F2">
            <w:pPr>
              <w:tabs>
                <w:tab w:val="center" w:pos="6379"/>
              </w:tabs>
              <w:suppressAutoHyphens/>
              <w:jc w:val="both"/>
              <w:rPr>
                <w:rFonts w:ascii="Arial" w:hAnsi="Arial" w:cs="Arial"/>
                <w:bCs/>
                <w:lang w:eastAsia="ar-SA"/>
              </w:rPr>
            </w:pPr>
            <w:r w:rsidRPr="00E122F2">
              <w:rPr>
                <w:rFonts w:ascii="Arial" w:hAnsi="Arial" w:cs="Arial"/>
                <w:bCs/>
                <w:lang w:eastAsia="ar-SA"/>
              </w:rPr>
              <w:t>s materiálom predloženým na predbežné pripomienkové konanie s odporúčaním na jeho dopracovanie podľa pripomienok v bode II.</w:t>
            </w:r>
          </w:p>
          <w:p w:rsidR="00A76C36" w:rsidRDefault="00A76C36" w:rsidP="00D73CD7">
            <w:pPr>
              <w:rPr>
                <w:b/>
              </w:rPr>
            </w:pPr>
          </w:p>
          <w:p w:rsidR="004072D1" w:rsidRDefault="004072D1" w:rsidP="00D73CD7">
            <w:pPr>
              <w:rPr>
                <w:b/>
                <w:u w:val="single"/>
              </w:rPr>
            </w:pPr>
          </w:p>
          <w:p w:rsidR="0056647E" w:rsidRDefault="0056647E" w:rsidP="00D73CD7">
            <w:pPr>
              <w:rPr>
                <w:b/>
                <w:u w:val="single"/>
              </w:rPr>
            </w:pPr>
            <w:r w:rsidRPr="0056647E">
              <w:rPr>
                <w:b/>
                <w:u w:val="single"/>
              </w:rPr>
              <w:t>Vyhodnotenie pripomienok:</w:t>
            </w:r>
          </w:p>
          <w:p w:rsidR="004072D1" w:rsidRDefault="004072D1" w:rsidP="00D73CD7">
            <w:pPr>
              <w:rPr>
                <w:b/>
                <w:u w:val="single"/>
              </w:rPr>
            </w:pPr>
          </w:p>
          <w:p w:rsidR="0056647E" w:rsidRDefault="0056647E" w:rsidP="004072D1">
            <w:pPr>
              <w:jc w:val="both"/>
            </w:pPr>
            <w:r>
              <w:t xml:space="preserve">Pripomienka nebola akceptovaná. </w:t>
            </w:r>
            <w:r w:rsidR="004072D1">
              <w:t>Dôvody</w:t>
            </w:r>
            <w:r>
              <w:t>, pr</w:t>
            </w:r>
            <w:r w:rsidR="004072D1">
              <w:t>e ktoré</w:t>
            </w:r>
            <w:r>
              <w:t xml:space="preserve"> </w:t>
            </w:r>
            <w:r w:rsidR="004072D1">
              <w:t>nie je možné</w:t>
            </w:r>
            <w:r>
              <w:t xml:space="preserve"> predložiť analýzu vplyvov </w:t>
            </w:r>
            <w:r w:rsidR="00C724C2">
              <w:br/>
            </w:r>
            <w:r>
              <w:t>na rozpočet verejnej správy napriek identifikovaným pozitívnym aj neg</w:t>
            </w:r>
            <w:r w:rsidR="004072D1">
              <w:t>atívnym vplyvom návrhu zákona na rozpočet verejnej správy, sú uvedené v bode č. 8 (Poznámky) tejto doložky</w:t>
            </w:r>
            <w:r w:rsidR="00C339D7">
              <w:t>. Predkladateľ opätovne zdôrazňuje, že presná</w:t>
            </w:r>
            <w:r w:rsidR="00C339D7" w:rsidRPr="00FE4968">
              <w:t xml:space="preserve"> </w:t>
            </w:r>
            <w:r w:rsidR="00C339D7">
              <w:t xml:space="preserve">kvantifikácia vplyvov na rozpočet verejnej správy s uvedením vplyvu na rozpočty obcí nie je možná </w:t>
            </w:r>
            <w:r w:rsidR="00C339D7" w:rsidRPr="00FE4968">
              <w:t>vzhľadom na chýbajú</w:t>
            </w:r>
            <w:r w:rsidR="00C339D7">
              <w:t>ci údaj o počte detských ihrísk vo vla</w:t>
            </w:r>
            <w:r w:rsidR="00C724C2">
              <w:t>stníctve miest</w:t>
            </w:r>
            <w:r w:rsidR="00C339D7">
              <w:t xml:space="preserve"> a</w:t>
            </w:r>
            <w:r w:rsidR="00DF0532">
              <w:t> </w:t>
            </w:r>
            <w:r w:rsidR="00C339D7">
              <w:t>obcí</w:t>
            </w:r>
            <w:r w:rsidR="00DF0532">
              <w:t xml:space="preserve"> a</w:t>
            </w:r>
            <w:r w:rsidR="00C724C2">
              <w:t xml:space="preserve"> o aktuálnych výdavkoch </w:t>
            </w:r>
            <w:r w:rsidR="00DF0532">
              <w:t xml:space="preserve">miest a obcí </w:t>
            </w:r>
            <w:r w:rsidR="00C724C2">
              <w:t>spojených so správou</w:t>
            </w:r>
            <w:r w:rsidR="00DF0532">
              <w:t xml:space="preserve"> a </w:t>
            </w:r>
            <w:r w:rsidR="00C724C2">
              <w:t>údržbou</w:t>
            </w:r>
            <w:r w:rsidR="00DF0532">
              <w:t xml:space="preserve"> detských ihrísk</w:t>
            </w:r>
            <w:r w:rsidR="00C339D7" w:rsidRPr="00FE4968">
              <w:t>. Predmetná informácia nie je súčasťou žiadneho verejného registra a tento údaj sa predkladateľovi nepodarilo získať ani priamym zberom.</w:t>
            </w:r>
            <w:r w:rsidR="00C724C2">
              <w:t xml:space="preserve"> V Poznámke sú zahrnuté aspoň odhadované ročné administratívne náklady na jedno detské ihrisko vo vlastníctve obce spojené s novými povinnosťami podľa návrhu zákona.  </w:t>
            </w:r>
          </w:p>
          <w:p w:rsidR="004072D1" w:rsidRPr="0056647E" w:rsidRDefault="004072D1" w:rsidP="004072D1">
            <w:pPr>
              <w:jc w:val="both"/>
            </w:pPr>
          </w:p>
        </w:tc>
      </w:tr>
    </w:tbl>
    <w:p w:rsidR="00EA39FA" w:rsidRPr="00A76C36" w:rsidRDefault="00EA39FA" w:rsidP="0047168E">
      <w:pPr>
        <w:rPr>
          <w:color w:val="000000"/>
          <w:sz w:val="20"/>
        </w:rPr>
      </w:pPr>
    </w:p>
    <w:sectPr w:rsidR="00EA39FA" w:rsidRPr="00A76C36" w:rsidSect="0047168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408" w:rsidRDefault="009F0408" w:rsidP="00E30BC8">
      <w:r>
        <w:separator/>
      </w:r>
    </w:p>
  </w:endnote>
  <w:endnote w:type="continuationSeparator" w:id="0">
    <w:p w:rsidR="009F0408" w:rsidRDefault="009F0408" w:rsidP="00E3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79" w:rsidRPr="001D6749" w:rsidRDefault="00625A79">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408" w:rsidRDefault="009F0408" w:rsidP="00E30BC8">
      <w:r>
        <w:separator/>
      </w:r>
    </w:p>
  </w:footnote>
  <w:footnote w:type="continuationSeparator" w:id="0">
    <w:p w:rsidR="009F0408" w:rsidRDefault="009F0408" w:rsidP="00E30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79" w:rsidRPr="00CD4982" w:rsidRDefault="00625A79" w:rsidP="000F6083">
    <w:pPr>
      <w:tabs>
        <w:tab w:val="center" w:pos="4536"/>
        <w:tab w:val="right" w:pos="90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7714"/>
    <w:multiLevelType w:val="hybridMultilevel"/>
    <w:tmpl w:val="01AC65DE"/>
    <w:lvl w:ilvl="0" w:tplc="A3CC3BC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D094F98"/>
    <w:multiLevelType w:val="hybridMultilevel"/>
    <w:tmpl w:val="87E86878"/>
    <w:lvl w:ilvl="0" w:tplc="424A6D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0473054"/>
    <w:multiLevelType w:val="hybridMultilevel"/>
    <w:tmpl w:val="A664FED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nsid w:val="116D236A"/>
    <w:multiLevelType w:val="hybridMultilevel"/>
    <w:tmpl w:val="2996DF58"/>
    <w:lvl w:ilvl="0" w:tplc="902EAEF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23123A7"/>
    <w:multiLevelType w:val="hybridMultilevel"/>
    <w:tmpl w:val="165E74B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35441BD"/>
    <w:multiLevelType w:val="hybridMultilevel"/>
    <w:tmpl w:val="F6FA8C8C"/>
    <w:lvl w:ilvl="0" w:tplc="424A6D8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nsid w:val="14664B34"/>
    <w:multiLevelType w:val="hybridMultilevel"/>
    <w:tmpl w:val="A1CA4310"/>
    <w:lvl w:ilvl="0" w:tplc="041B000F">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
    <w:nsid w:val="159A65BB"/>
    <w:multiLevelType w:val="hybridMultilevel"/>
    <w:tmpl w:val="3C96B3A4"/>
    <w:lvl w:ilvl="0" w:tplc="0E285D30">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97F4B3F"/>
    <w:multiLevelType w:val="hybridMultilevel"/>
    <w:tmpl w:val="332C9D92"/>
    <w:lvl w:ilvl="0" w:tplc="2042E8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D8B1152"/>
    <w:multiLevelType w:val="hybridMultilevel"/>
    <w:tmpl w:val="594C17A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nsid w:val="256E26C6"/>
    <w:multiLevelType w:val="hybridMultilevel"/>
    <w:tmpl w:val="4316F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5AD10FC"/>
    <w:multiLevelType w:val="hybridMultilevel"/>
    <w:tmpl w:val="6D28F54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nsid w:val="25B00DDE"/>
    <w:multiLevelType w:val="hybridMultilevel"/>
    <w:tmpl w:val="CA581632"/>
    <w:lvl w:ilvl="0" w:tplc="BF3E2FC8">
      <w:start w:val="1"/>
      <w:numFmt w:val="decimal"/>
      <w:lvlText w:val="(%1)"/>
      <w:lvlJc w:val="left"/>
      <w:pPr>
        <w:ind w:left="78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2B7975B7"/>
    <w:multiLevelType w:val="hybridMultilevel"/>
    <w:tmpl w:val="F48C4618"/>
    <w:lvl w:ilvl="0" w:tplc="424A6D8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nsid w:val="2C5F7562"/>
    <w:multiLevelType w:val="hybridMultilevel"/>
    <w:tmpl w:val="1040CBA4"/>
    <w:lvl w:ilvl="0" w:tplc="A3CC3BC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F33613C"/>
    <w:multiLevelType w:val="hybridMultilevel"/>
    <w:tmpl w:val="800830BE"/>
    <w:lvl w:ilvl="0" w:tplc="4C16456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FF3CF4"/>
    <w:multiLevelType w:val="hybridMultilevel"/>
    <w:tmpl w:val="F6FA8C8C"/>
    <w:lvl w:ilvl="0" w:tplc="424A6D8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
    <w:nsid w:val="3290758A"/>
    <w:multiLevelType w:val="hybridMultilevel"/>
    <w:tmpl w:val="E6B692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34F2C4E"/>
    <w:multiLevelType w:val="hybridMultilevel"/>
    <w:tmpl w:val="4B8A56A4"/>
    <w:lvl w:ilvl="0" w:tplc="4CB678E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4346A1C"/>
    <w:multiLevelType w:val="singleLevel"/>
    <w:tmpl w:val="041B000F"/>
    <w:lvl w:ilvl="0">
      <w:start w:val="1"/>
      <w:numFmt w:val="decimal"/>
      <w:lvlText w:val="%1."/>
      <w:lvlJc w:val="left"/>
      <w:pPr>
        <w:tabs>
          <w:tab w:val="num" w:pos="360"/>
        </w:tabs>
        <w:ind w:left="360" w:hanging="360"/>
      </w:pPr>
      <w:rPr>
        <w:rFonts w:hint="default"/>
      </w:rPr>
    </w:lvl>
  </w:abstractNum>
  <w:abstractNum w:abstractNumId="21">
    <w:nsid w:val="373F2CFA"/>
    <w:multiLevelType w:val="hybridMultilevel"/>
    <w:tmpl w:val="CA581632"/>
    <w:lvl w:ilvl="0" w:tplc="BF3E2FC8">
      <w:start w:val="1"/>
      <w:numFmt w:val="decimal"/>
      <w:lvlText w:val="(%1)"/>
      <w:lvlJc w:val="left"/>
      <w:pPr>
        <w:ind w:left="78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87227AD"/>
    <w:multiLevelType w:val="hybridMultilevel"/>
    <w:tmpl w:val="A3A2022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nsid w:val="394E3747"/>
    <w:multiLevelType w:val="hybridMultilevel"/>
    <w:tmpl w:val="CCEAB33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4">
    <w:nsid w:val="3AD95845"/>
    <w:multiLevelType w:val="hybridMultilevel"/>
    <w:tmpl w:val="96F24336"/>
    <w:lvl w:ilvl="0" w:tplc="E9642CD2">
      <w:start w:val="1"/>
      <w:numFmt w:val="lowerLetter"/>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nsid w:val="3C6E0BD3"/>
    <w:multiLevelType w:val="hybridMultilevel"/>
    <w:tmpl w:val="9DDCAF0C"/>
    <w:lvl w:ilvl="0" w:tplc="0FFA62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E3F46D5"/>
    <w:multiLevelType w:val="hybridMultilevel"/>
    <w:tmpl w:val="D0D8A668"/>
    <w:lvl w:ilvl="0" w:tplc="B9EAC86E">
      <w:start w:val="1"/>
      <w:numFmt w:val="decimal"/>
      <w:suff w:val="space"/>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E797545"/>
    <w:multiLevelType w:val="hybridMultilevel"/>
    <w:tmpl w:val="1B062742"/>
    <w:lvl w:ilvl="0" w:tplc="5364BF0E">
      <w:start w:val="1"/>
      <w:numFmt w:val="lowerLetter"/>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8">
    <w:nsid w:val="3F084976"/>
    <w:multiLevelType w:val="hybridMultilevel"/>
    <w:tmpl w:val="E1F4E67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9">
    <w:nsid w:val="44F40E24"/>
    <w:multiLevelType w:val="hybridMultilevel"/>
    <w:tmpl w:val="4A8C36AE"/>
    <w:lvl w:ilvl="0" w:tplc="4C1645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nsid w:val="48940C47"/>
    <w:multiLevelType w:val="hybridMultilevel"/>
    <w:tmpl w:val="49687144"/>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nsid w:val="4A515BB8"/>
    <w:multiLevelType w:val="hybridMultilevel"/>
    <w:tmpl w:val="5EF44DDA"/>
    <w:lvl w:ilvl="0" w:tplc="18A4AED4">
      <w:start w:val="1"/>
      <w:numFmt w:val="decimal"/>
      <w:lvlText w:val="(%1)"/>
      <w:lvlJc w:val="left"/>
      <w:pPr>
        <w:ind w:left="644" w:hanging="360"/>
      </w:pPr>
      <w:rPr>
        <w:rFonts w:hint="default"/>
        <w:sz w:val="24"/>
        <w:szCs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nsid w:val="4CF46311"/>
    <w:multiLevelType w:val="hybridMultilevel"/>
    <w:tmpl w:val="BF38688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4">
    <w:nsid w:val="4FEB3923"/>
    <w:multiLevelType w:val="hybridMultilevel"/>
    <w:tmpl w:val="8A86AC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518A5C7F"/>
    <w:multiLevelType w:val="hybridMultilevel"/>
    <w:tmpl w:val="EA960BC8"/>
    <w:lvl w:ilvl="0" w:tplc="3782C422">
      <w:start w:val="1"/>
      <w:numFmt w:val="decimal"/>
      <w:suff w:val="space"/>
      <w:lvlText w:val="(%1)"/>
      <w:lvlJc w:val="left"/>
      <w:pPr>
        <w:ind w:left="680" w:hanging="254"/>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52EF70D2"/>
    <w:multiLevelType w:val="hybridMultilevel"/>
    <w:tmpl w:val="DDDCC44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7">
    <w:nsid w:val="5667064D"/>
    <w:multiLevelType w:val="hybridMultilevel"/>
    <w:tmpl w:val="D32CC700"/>
    <w:lvl w:ilvl="0" w:tplc="0B46DEC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nsid w:val="59EE5B74"/>
    <w:multiLevelType w:val="hybridMultilevel"/>
    <w:tmpl w:val="800830BE"/>
    <w:lvl w:ilvl="0" w:tplc="4C16456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AF94DE8"/>
    <w:multiLevelType w:val="hybridMultilevel"/>
    <w:tmpl w:val="EF5E9A5C"/>
    <w:lvl w:ilvl="0" w:tplc="424A6D8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0">
    <w:nsid w:val="5CA32F5B"/>
    <w:multiLevelType w:val="hybridMultilevel"/>
    <w:tmpl w:val="0A886A3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1">
    <w:nsid w:val="5E390B46"/>
    <w:multiLevelType w:val="hybridMultilevel"/>
    <w:tmpl w:val="D0DAB71C"/>
    <w:lvl w:ilvl="0" w:tplc="0FFA62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5FA46434"/>
    <w:multiLevelType w:val="hybridMultilevel"/>
    <w:tmpl w:val="FA3099D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3">
    <w:nsid w:val="633D5A4D"/>
    <w:multiLevelType w:val="hybridMultilevel"/>
    <w:tmpl w:val="51F23E94"/>
    <w:lvl w:ilvl="0" w:tplc="36C0F432">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6434631A"/>
    <w:multiLevelType w:val="hybridMultilevel"/>
    <w:tmpl w:val="6292D3A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5">
    <w:nsid w:val="6B2F3D1C"/>
    <w:multiLevelType w:val="hybridMultilevel"/>
    <w:tmpl w:val="4FC0C92E"/>
    <w:lvl w:ilvl="0" w:tplc="A3CC3BC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6BC065F7"/>
    <w:multiLevelType w:val="hybridMultilevel"/>
    <w:tmpl w:val="C14E7FC0"/>
    <w:lvl w:ilvl="0" w:tplc="903A8F62">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nsid w:val="708854A1"/>
    <w:multiLevelType w:val="multilevel"/>
    <w:tmpl w:val="041B001D"/>
    <w:styleLink w:val="tl1"/>
    <w:lvl w:ilvl="0">
      <w:start w:val="1"/>
      <w:numFmt w:val="bullet"/>
      <w:lvlText w:val="§"/>
      <w:lvlJc w:val="left"/>
      <w:pPr>
        <w:ind w:left="360" w:hanging="360"/>
      </w:pPr>
      <w:rPr>
        <w:rFonts w:ascii="Times New Roman" w:hAnsi="Times New Roman" w:cs="Times New Roman"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71633C9F"/>
    <w:multiLevelType w:val="hybridMultilevel"/>
    <w:tmpl w:val="DC94B14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9">
    <w:nsid w:val="71CD0393"/>
    <w:multiLevelType w:val="hybridMultilevel"/>
    <w:tmpl w:val="69B01026"/>
    <w:lvl w:ilvl="0" w:tplc="DF1E16F4">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72434A63"/>
    <w:multiLevelType w:val="hybridMultilevel"/>
    <w:tmpl w:val="F8ACA7F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1">
    <w:nsid w:val="7305641D"/>
    <w:multiLevelType w:val="hybridMultilevel"/>
    <w:tmpl w:val="A6E8C066"/>
    <w:lvl w:ilvl="0" w:tplc="424A6D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76BC522E"/>
    <w:multiLevelType w:val="hybridMultilevel"/>
    <w:tmpl w:val="EA960BC8"/>
    <w:lvl w:ilvl="0" w:tplc="3782C422">
      <w:start w:val="1"/>
      <w:numFmt w:val="decimal"/>
      <w:suff w:val="space"/>
      <w:lvlText w:val="(%1)"/>
      <w:lvlJc w:val="left"/>
      <w:pPr>
        <w:ind w:left="680" w:hanging="254"/>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77524F34"/>
    <w:multiLevelType w:val="hybridMultilevel"/>
    <w:tmpl w:val="EA960BC8"/>
    <w:lvl w:ilvl="0" w:tplc="3782C422">
      <w:start w:val="1"/>
      <w:numFmt w:val="decimal"/>
      <w:suff w:val="space"/>
      <w:lvlText w:val="(%1)"/>
      <w:lvlJc w:val="left"/>
      <w:pPr>
        <w:ind w:left="680" w:hanging="254"/>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79D10A19"/>
    <w:multiLevelType w:val="hybridMultilevel"/>
    <w:tmpl w:val="4FC0C92E"/>
    <w:lvl w:ilvl="0" w:tplc="A3CC3BC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79ED4CE3"/>
    <w:multiLevelType w:val="hybridMultilevel"/>
    <w:tmpl w:val="E85496D2"/>
    <w:lvl w:ilvl="0" w:tplc="424A6D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7">
    <w:nsid w:val="7F8E5231"/>
    <w:multiLevelType w:val="hybridMultilevel"/>
    <w:tmpl w:val="EB9EB52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20"/>
  </w:num>
  <w:num w:numId="2">
    <w:abstractNumId w:val="56"/>
  </w:num>
  <w:num w:numId="3">
    <w:abstractNumId w:val="49"/>
  </w:num>
  <w:num w:numId="4">
    <w:abstractNumId w:val="4"/>
  </w:num>
  <w:num w:numId="5">
    <w:abstractNumId w:val="46"/>
  </w:num>
  <w:num w:numId="6">
    <w:abstractNumId w:val="34"/>
  </w:num>
  <w:num w:numId="7">
    <w:abstractNumId w:val="6"/>
  </w:num>
  <w:num w:numId="8">
    <w:abstractNumId w:val="10"/>
  </w:num>
  <w:num w:numId="9">
    <w:abstractNumId w:val="7"/>
  </w:num>
  <w:num w:numId="10">
    <w:abstractNumId w:val="51"/>
  </w:num>
  <w:num w:numId="11">
    <w:abstractNumId w:val="26"/>
  </w:num>
  <w:num w:numId="12">
    <w:abstractNumId w:val="31"/>
  </w:num>
  <w:num w:numId="13">
    <w:abstractNumId w:val="1"/>
  </w:num>
  <w:num w:numId="14">
    <w:abstractNumId w:val="41"/>
  </w:num>
  <w:num w:numId="15">
    <w:abstractNumId w:val="9"/>
  </w:num>
  <w:num w:numId="16">
    <w:abstractNumId w:val="25"/>
  </w:num>
  <w:num w:numId="17">
    <w:abstractNumId w:val="18"/>
  </w:num>
  <w:num w:numId="18">
    <w:abstractNumId w:val="19"/>
  </w:num>
  <w:num w:numId="19">
    <w:abstractNumId w:val="39"/>
  </w:num>
  <w:num w:numId="20">
    <w:abstractNumId w:val="5"/>
  </w:num>
  <w:num w:numId="21">
    <w:abstractNumId w:val="40"/>
  </w:num>
  <w:num w:numId="22">
    <w:abstractNumId w:val="22"/>
  </w:num>
  <w:num w:numId="23">
    <w:abstractNumId w:val="14"/>
  </w:num>
  <w:num w:numId="24">
    <w:abstractNumId w:val="32"/>
  </w:num>
  <w:num w:numId="25">
    <w:abstractNumId w:val="12"/>
  </w:num>
  <w:num w:numId="26">
    <w:abstractNumId w:val="24"/>
  </w:num>
  <w:num w:numId="27">
    <w:abstractNumId w:val="48"/>
  </w:num>
  <w:num w:numId="28">
    <w:abstractNumId w:val="55"/>
  </w:num>
  <w:num w:numId="29">
    <w:abstractNumId w:val="28"/>
  </w:num>
  <w:num w:numId="30">
    <w:abstractNumId w:val="27"/>
  </w:num>
  <w:num w:numId="31">
    <w:abstractNumId w:val="2"/>
  </w:num>
  <w:num w:numId="32">
    <w:abstractNumId w:val="17"/>
  </w:num>
  <w:num w:numId="33">
    <w:abstractNumId w:val="21"/>
  </w:num>
  <w:num w:numId="34">
    <w:abstractNumId w:val="35"/>
  </w:num>
  <w:num w:numId="35">
    <w:abstractNumId w:val="23"/>
  </w:num>
  <w:num w:numId="36">
    <w:abstractNumId w:val="43"/>
  </w:num>
  <w:num w:numId="37">
    <w:abstractNumId w:val="57"/>
  </w:num>
  <w:num w:numId="38">
    <w:abstractNumId w:val="33"/>
  </w:num>
  <w:num w:numId="39">
    <w:abstractNumId w:val="52"/>
  </w:num>
  <w:num w:numId="40">
    <w:abstractNumId w:val="53"/>
  </w:num>
  <w:num w:numId="41">
    <w:abstractNumId w:val="47"/>
  </w:num>
  <w:num w:numId="42">
    <w:abstractNumId w:val="3"/>
  </w:num>
  <w:num w:numId="43">
    <w:abstractNumId w:val="50"/>
  </w:num>
  <w:num w:numId="44">
    <w:abstractNumId w:val="30"/>
  </w:num>
  <w:num w:numId="45">
    <w:abstractNumId w:val="13"/>
  </w:num>
  <w:num w:numId="46">
    <w:abstractNumId w:val="38"/>
  </w:num>
  <w:num w:numId="47">
    <w:abstractNumId w:val="42"/>
  </w:num>
  <w:num w:numId="48">
    <w:abstractNumId w:val="11"/>
  </w:num>
  <w:num w:numId="49">
    <w:abstractNumId w:val="45"/>
  </w:num>
  <w:num w:numId="50">
    <w:abstractNumId w:val="54"/>
  </w:num>
  <w:num w:numId="51">
    <w:abstractNumId w:val="0"/>
  </w:num>
  <w:num w:numId="52">
    <w:abstractNumId w:val="15"/>
  </w:num>
  <w:num w:numId="53">
    <w:abstractNumId w:val="16"/>
  </w:num>
  <w:num w:numId="54">
    <w:abstractNumId w:val="29"/>
  </w:num>
  <w:num w:numId="55">
    <w:abstractNumId w:val="36"/>
  </w:num>
  <w:num w:numId="56">
    <w:abstractNumId w:val="44"/>
  </w:num>
  <w:num w:numId="57">
    <w:abstractNumId w:val="8"/>
  </w:num>
  <w:num w:numId="58">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941B2"/>
    <w:rsid w:val="0000500F"/>
    <w:rsid w:val="00006D02"/>
    <w:rsid w:val="000242AA"/>
    <w:rsid w:val="00042E3F"/>
    <w:rsid w:val="000430E6"/>
    <w:rsid w:val="00044434"/>
    <w:rsid w:val="00064207"/>
    <w:rsid w:val="000646F9"/>
    <w:rsid w:val="0007130A"/>
    <w:rsid w:val="00072309"/>
    <w:rsid w:val="00073706"/>
    <w:rsid w:val="000A2B00"/>
    <w:rsid w:val="000B552D"/>
    <w:rsid w:val="000C1639"/>
    <w:rsid w:val="000C2351"/>
    <w:rsid w:val="000C2767"/>
    <w:rsid w:val="000D5C43"/>
    <w:rsid w:val="000D5D25"/>
    <w:rsid w:val="000E1415"/>
    <w:rsid w:val="000E487B"/>
    <w:rsid w:val="000E6037"/>
    <w:rsid w:val="000F082C"/>
    <w:rsid w:val="000F6083"/>
    <w:rsid w:val="00103897"/>
    <w:rsid w:val="00112B5E"/>
    <w:rsid w:val="0011566D"/>
    <w:rsid w:val="00115725"/>
    <w:rsid w:val="00115D96"/>
    <w:rsid w:val="00121F8A"/>
    <w:rsid w:val="00142CD0"/>
    <w:rsid w:val="00147E3A"/>
    <w:rsid w:val="00157122"/>
    <w:rsid w:val="00175780"/>
    <w:rsid w:val="00177C5C"/>
    <w:rsid w:val="00194423"/>
    <w:rsid w:val="00195BA3"/>
    <w:rsid w:val="001A46CB"/>
    <w:rsid w:val="001A71C0"/>
    <w:rsid w:val="001A74FD"/>
    <w:rsid w:val="001B1305"/>
    <w:rsid w:val="001B2CED"/>
    <w:rsid w:val="001C3A78"/>
    <w:rsid w:val="001D38F8"/>
    <w:rsid w:val="001D3B4B"/>
    <w:rsid w:val="001E2083"/>
    <w:rsid w:val="001E2377"/>
    <w:rsid w:val="001F12F2"/>
    <w:rsid w:val="001F40BE"/>
    <w:rsid w:val="00211605"/>
    <w:rsid w:val="00212156"/>
    <w:rsid w:val="00215EBA"/>
    <w:rsid w:val="00217731"/>
    <w:rsid w:val="0022248A"/>
    <w:rsid w:val="00226F15"/>
    <w:rsid w:val="00240F5C"/>
    <w:rsid w:val="00243AD6"/>
    <w:rsid w:val="00250517"/>
    <w:rsid w:val="00250999"/>
    <w:rsid w:val="00254080"/>
    <w:rsid w:val="002545A1"/>
    <w:rsid w:val="002560A0"/>
    <w:rsid w:val="00256234"/>
    <w:rsid w:val="00261E05"/>
    <w:rsid w:val="00272329"/>
    <w:rsid w:val="00272895"/>
    <w:rsid w:val="00281941"/>
    <w:rsid w:val="0028671B"/>
    <w:rsid w:val="0029048D"/>
    <w:rsid w:val="00292C90"/>
    <w:rsid w:val="002C3B94"/>
    <w:rsid w:val="002C7F69"/>
    <w:rsid w:val="002D31E7"/>
    <w:rsid w:val="002D49CB"/>
    <w:rsid w:val="002F508F"/>
    <w:rsid w:val="00311689"/>
    <w:rsid w:val="00311B14"/>
    <w:rsid w:val="0031261B"/>
    <w:rsid w:val="00316D2F"/>
    <w:rsid w:val="00321A27"/>
    <w:rsid w:val="0032263F"/>
    <w:rsid w:val="00332881"/>
    <w:rsid w:val="003338CF"/>
    <w:rsid w:val="00334F5A"/>
    <w:rsid w:val="0035114F"/>
    <w:rsid w:val="003534E9"/>
    <w:rsid w:val="003566A8"/>
    <w:rsid w:val="00356A37"/>
    <w:rsid w:val="00361B33"/>
    <w:rsid w:val="00361C94"/>
    <w:rsid w:val="003679EA"/>
    <w:rsid w:val="00372962"/>
    <w:rsid w:val="00373B76"/>
    <w:rsid w:val="00383301"/>
    <w:rsid w:val="00390E79"/>
    <w:rsid w:val="003941B2"/>
    <w:rsid w:val="003A6BF2"/>
    <w:rsid w:val="003C6C0D"/>
    <w:rsid w:val="003C6EE6"/>
    <w:rsid w:val="003E7C05"/>
    <w:rsid w:val="004045B3"/>
    <w:rsid w:val="00404BEE"/>
    <w:rsid w:val="004072D1"/>
    <w:rsid w:val="00410CF8"/>
    <w:rsid w:val="0041285F"/>
    <w:rsid w:val="004148F8"/>
    <w:rsid w:val="00420812"/>
    <w:rsid w:val="00422365"/>
    <w:rsid w:val="00424BE4"/>
    <w:rsid w:val="00424E49"/>
    <w:rsid w:val="0042686E"/>
    <w:rsid w:val="004268EF"/>
    <w:rsid w:val="00426ECF"/>
    <w:rsid w:val="00430D0C"/>
    <w:rsid w:val="004416FC"/>
    <w:rsid w:val="0045489C"/>
    <w:rsid w:val="00463E51"/>
    <w:rsid w:val="0047168E"/>
    <w:rsid w:val="00473941"/>
    <w:rsid w:val="00480A60"/>
    <w:rsid w:val="00496752"/>
    <w:rsid w:val="004A0B11"/>
    <w:rsid w:val="004B03FF"/>
    <w:rsid w:val="004B0CFF"/>
    <w:rsid w:val="004B0D5E"/>
    <w:rsid w:val="004C2E42"/>
    <w:rsid w:val="004C68B0"/>
    <w:rsid w:val="004D02FE"/>
    <w:rsid w:val="004D5252"/>
    <w:rsid w:val="004D72CC"/>
    <w:rsid w:val="00510251"/>
    <w:rsid w:val="00510385"/>
    <w:rsid w:val="00510F75"/>
    <w:rsid w:val="00517C58"/>
    <w:rsid w:val="0052147B"/>
    <w:rsid w:val="0053042D"/>
    <w:rsid w:val="00542A2E"/>
    <w:rsid w:val="00547B44"/>
    <w:rsid w:val="0055050A"/>
    <w:rsid w:val="0056353E"/>
    <w:rsid w:val="00564DDA"/>
    <w:rsid w:val="0056647E"/>
    <w:rsid w:val="00582E77"/>
    <w:rsid w:val="005864D0"/>
    <w:rsid w:val="005875F1"/>
    <w:rsid w:val="00587B3F"/>
    <w:rsid w:val="005A03A5"/>
    <w:rsid w:val="005B2EE1"/>
    <w:rsid w:val="005B6BF4"/>
    <w:rsid w:val="005B6C45"/>
    <w:rsid w:val="005E0B61"/>
    <w:rsid w:val="005E4BA0"/>
    <w:rsid w:val="005E7899"/>
    <w:rsid w:val="005F0896"/>
    <w:rsid w:val="005F217A"/>
    <w:rsid w:val="005F3098"/>
    <w:rsid w:val="00603E45"/>
    <w:rsid w:val="00611EC9"/>
    <w:rsid w:val="00612438"/>
    <w:rsid w:val="0061311B"/>
    <w:rsid w:val="00617780"/>
    <w:rsid w:val="00617EE8"/>
    <w:rsid w:val="0062475B"/>
    <w:rsid w:val="00625A79"/>
    <w:rsid w:val="0062759B"/>
    <w:rsid w:val="00631640"/>
    <w:rsid w:val="006325B7"/>
    <w:rsid w:val="00633045"/>
    <w:rsid w:val="0063406B"/>
    <w:rsid w:val="0063503E"/>
    <w:rsid w:val="00644416"/>
    <w:rsid w:val="006518A7"/>
    <w:rsid w:val="00653498"/>
    <w:rsid w:val="0065360E"/>
    <w:rsid w:val="006602B7"/>
    <w:rsid w:val="00665DF3"/>
    <w:rsid w:val="00667C35"/>
    <w:rsid w:val="006703FF"/>
    <w:rsid w:val="00672949"/>
    <w:rsid w:val="00673FF8"/>
    <w:rsid w:val="0068280C"/>
    <w:rsid w:val="00686141"/>
    <w:rsid w:val="00690EA4"/>
    <w:rsid w:val="006915C0"/>
    <w:rsid w:val="00695493"/>
    <w:rsid w:val="00695B6B"/>
    <w:rsid w:val="006C270F"/>
    <w:rsid w:val="006C710A"/>
    <w:rsid w:val="006D20F3"/>
    <w:rsid w:val="006D5CB8"/>
    <w:rsid w:val="006E3A58"/>
    <w:rsid w:val="006F132F"/>
    <w:rsid w:val="007028E9"/>
    <w:rsid w:val="00703E8C"/>
    <w:rsid w:val="007073E5"/>
    <w:rsid w:val="0072542F"/>
    <w:rsid w:val="0072653D"/>
    <w:rsid w:val="007325E9"/>
    <w:rsid w:val="007461C2"/>
    <w:rsid w:val="00752185"/>
    <w:rsid w:val="00752192"/>
    <w:rsid w:val="00753D94"/>
    <w:rsid w:val="00755508"/>
    <w:rsid w:val="007641B9"/>
    <w:rsid w:val="00765D39"/>
    <w:rsid w:val="00771B97"/>
    <w:rsid w:val="00774132"/>
    <w:rsid w:val="00782B81"/>
    <w:rsid w:val="00784F65"/>
    <w:rsid w:val="007943DB"/>
    <w:rsid w:val="00794B30"/>
    <w:rsid w:val="007A37D0"/>
    <w:rsid w:val="007A43CA"/>
    <w:rsid w:val="007A5E75"/>
    <w:rsid w:val="007B1B93"/>
    <w:rsid w:val="007B4225"/>
    <w:rsid w:val="007C214B"/>
    <w:rsid w:val="007C57D5"/>
    <w:rsid w:val="007E0C8C"/>
    <w:rsid w:val="007E3E5B"/>
    <w:rsid w:val="007E411C"/>
    <w:rsid w:val="008110BE"/>
    <w:rsid w:val="008144A5"/>
    <w:rsid w:val="00814AA0"/>
    <w:rsid w:val="00823860"/>
    <w:rsid w:val="00825C57"/>
    <w:rsid w:val="0084510E"/>
    <w:rsid w:val="00853727"/>
    <w:rsid w:val="0085756D"/>
    <w:rsid w:val="008716A8"/>
    <w:rsid w:val="0089790E"/>
    <w:rsid w:val="00897DE8"/>
    <w:rsid w:val="008B77CD"/>
    <w:rsid w:val="008C1576"/>
    <w:rsid w:val="008C5A81"/>
    <w:rsid w:val="008C638A"/>
    <w:rsid w:val="008D1CF4"/>
    <w:rsid w:val="008D7F65"/>
    <w:rsid w:val="008E28EF"/>
    <w:rsid w:val="008F5F7C"/>
    <w:rsid w:val="008F76CE"/>
    <w:rsid w:val="0090519E"/>
    <w:rsid w:val="009159F9"/>
    <w:rsid w:val="00916EC1"/>
    <w:rsid w:val="009216A3"/>
    <w:rsid w:val="00947C4E"/>
    <w:rsid w:val="00950504"/>
    <w:rsid w:val="00950909"/>
    <w:rsid w:val="00955F56"/>
    <w:rsid w:val="009653F4"/>
    <w:rsid w:val="00966C94"/>
    <w:rsid w:val="00967A38"/>
    <w:rsid w:val="009707F3"/>
    <w:rsid w:val="00976E98"/>
    <w:rsid w:val="00981F51"/>
    <w:rsid w:val="00983679"/>
    <w:rsid w:val="009866C6"/>
    <w:rsid w:val="009A1D5A"/>
    <w:rsid w:val="009A6AFC"/>
    <w:rsid w:val="009B2C22"/>
    <w:rsid w:val="009C2BD3"/>
    <w:rsid w:val="009D59B9"/>
    <w:rsid w:val="009F0025"/>
    <w:rsid w:val="009F0408"/>
    <w:rsid w:val="009F1963"/>
    <w:rsid w:val="00A00663"/>
    <w:rsid w:val="00A0306D"/>
    <w:rsid w:val="00A03A1D"/>
    <w:rsid w:val="00A111B2"/>
    <w:rsid w:val="00A12763"/>
    <w:rsid w:val="00A12C31"/>
    <w:rsid w:val="00A222F3"/>
    <w:rsid w:val="00A3659F"/>
    <w:rsid w:val="00A44671"/>
    <w:rsid w:val="00A55F9B"/>
    <w:rsid w:val="00A6380C"/>
    <w:rsid w:val="00A63D6F"/>
    <w:rsid w:val="00A64276"/>
    <w:rsid w:val="00A647B6"/>
    <w:rsid w:val="00A702C4"/>
    <w:rsid w:val="00A76C36"/>
    <w:rsid w:val="00A80F50"/>
    <w:rsid w:val="00A866A5"/>
    <w:rsid w:val="00A90141"/>
    <w:rsid w:val="00A921BD"/>
    <w:rsid w:val="00AB3529"/>
    <w:rsid w:val="00AC2B89"/>
    <w:rsid w:val="00AD0362"/>
    <w:rsid w:val="00AE3E01"/>
    <w:rsid w:val="00AF7297"/>
    <w:rsid w:val="00B00210"/>
    <w:rsid w:val="00B12167"/>
    <w:rsid w:val="00B2354C"/>
    <w:rsid w:val="00B37FF1"/>
    <w:rsid w:val="00B406CC"/>
    <w:rsid w:val="00B50DCA"/>
    <w:rsid w:val="00B52EE8"/>
    <w:rsid w:val="00B5663E"/>
    <w:rsid w:val="00B60378"/>
    <w:rsid w:val="00B66822"/>
    <w:rsid w:val="00B701A6"/>
    <w:rsid w:val="00B73BAD"/>
    <w:rsid w:val="00B842AB"/>
    <w:rsid w:val="00B8457F"/>
    <w:rsid w:val="00B86324"/>
    <w:rsid w:val="00BA08CD"/>
    <w:rsid w:val="00BA6C09"/>
    <w:rsid w:val="00BB0AF2"/>
    <w:rsid w:val="00BC069F"/>
    <w:rsid w:val="00BD50DB"/>
    <w:rsid w:val="00BE02FE"/>
    <w:rsid w:val="00BE0653"/>
    <w:rsid w:val="00BE1E5B"/>
    <w:rsid w:val="00BE319C"/>
    <w:rsid w:val="00BE33F8"/>
    <w:rsid w:val="00BE4778"/>
    <w:rsid w:val="00BE49B0"/>
    <w:rsid w:val="00BE7264"/>
    <w:rsid w:val="00BF3EDB"/>
    <w:rsid w:val="00BF43E4"/>
    <w:rsid w:val="00BF45AB"/>
    <w:rsid w:val="00C0449F"/>
    <w:rsid w:val="00C339D7"/>
    <w:rsid w:val="00C42DCD"/>
    <w:rsid w:val="00C4306B"/>
    <w:rsid w:val="00C473B0"/>
    <w:rsid w:val="00C50254"/>
    <w:rsid w:val="00C53CE1"/>
    <w:rsid w:val="00C55C77"/>
    <w:rsid w:val="00C6220C"/>
    <w:rsid w:val="00C65ACB"/>
    <w:rsid w:val="00C65FBA"/>
    <w:rsid w:val="00C7025D"/>
    <w:rsid w:val="00C724C2"/>
    <w:rsid w:val="00C74FCC"/>
    <w:rsid w:val="00C80267"/>
    <w:rsid w:val="00C8148A"/>
    <w:rsid w:val="00C82659"/>
    <w:rsid w:val="00C94C4F"/>
    <w:rsid w:val="00C96196"/>
    <w:rsid w:val="00C97181"/>
    <w:rsid w:val="00C97580"/>
    <w:rsid w:val="00CA5466"/>
    <w:rsid w:val="00CB072C"/>
    <w:rsid w:val="00CB347E"/>
    <w:rsid w:val="00CB413B"/>
    <w:rsid w:val="00CD362E"/>
    <w:rsid w:val="00CF7FCD"/>
    <w:rsid w:val="00D05872"/>
    <w:rsid w:val="00D07A50"/>
    <w:rsid w:val="00D13050"/>
    <w:rsid w:val="00D16448"/>
    <w:rsid w:val="00D20195"/>
    <w:rsid w:val="00D510AD"/>
    <w:rsid w:val="00D60BA6"/>
    <w:rsid w:val="00D67B82"/>
    <w:rsid w:val="00D73963"/>
    <w:rsid w:val="00D73CD7"/>
    <w:rsid w:val="00D73D19"/>
    <w:rsid w:val="00D8071C"/>
    <w:rsid w:val="00D9283F"/>
    <w:rsid w:val="00DA2D5A"/>
    <w:rsid w:val="00DA4EF0"/>
    <w:rsid w:val="00DB023E"/>
    <w:rsid w:val="00DB493F"/>
    <w:rsid w:val="00DB69B3"/>
    <w:rsid w:val="00DB716E"/>
    <w:rsid w:val="00DC1012"/>
    <w:rsid w:val="00DC46C0"/>
    <w:rsid w:val="00DD069C"/>
    <w:rsid w:val="00DD140D"/>
    <w:rsid w:val="00DD28CC"/>
    <w:rsid w:val="00DE2668"/>
    <w:rsid w:val="00DE590A"/>
    <w:rsid w:val="00DE6988"/>
    <w:rsid w:val="00DF0532"/>
    <w:rsid w:val="00E026D0"/>
    <w:rsid w:val="00E03509"/>
    <w:rsid w:val="00E102D4"/>
    <w:rsid w:val="00E122F2"/>
    <w:rsid w:val="00E1588E"/>
    <w:rsid w:val="00E27C8F"/>
    <w:rsid w:val="00E30BC8"/>
    <w:rsid w:val="00E351F4"/>
    <w:rsid w:val="00E4005A"/>
    <w:rsid w:val="00E41279"/>
    <w:rsid w:val="00E52B51"/>
    <w:rsid w:val="00E53014"/>
    <w:rsid w:val="00E55E9B"/>
    <w:rsid w:val="00E579FC"/>
    <w:rsid w:val="00E602FA"/>
    <w:rsid w:val="00E65D01"/>
    <w:rsid w:val="00E756E2"/>
    <w:rsid w:val="00E80D54"/>
    <w:rsid w:val="00E83638"/>
    <w:rsid w:val="00E85AA0"/>
    <w:rsid w:val="00E91931"/>
    <w:rsid w:val="00E9480B"/>
    <w:rsid w:val="00EA39FA"/>
    <w:rsid w:val="00EA59C2"/>
    <w:rsid w:val="00EA6938"/>
    <w:rsid w:val="00EB0550"/>
    <w:rsid w:val="00EB13E2"/>
    <w:rsid w:val="00EB4DA6"/>
    <w:rsid w:val="00EB66E4"/>
    <w:rsid w:val="00EC0742"/>
    <w:rsid w:val="00EC13DC"/>
    <w:rsid w:val="00ED5E87"/>
    <w:rsid w:val="00EE0AB3"/>
    <w:rsid w:val="00EF2937"/>
    <w:rsid w:val="00F007B9"/>
    <w:rsid w:val="00F0122A"/>
    <w:rsid w:val="00F01E87"/>
    <w:rsid w:val="00F12E7D"/>
    <w:rsid w:val="00F14DD2"/>
    <w:rsid w:val="00F3589C"/>
    <w:rsid w:val="00F371C6"/>
    <w:rsid w:val="00F40D32"/>
    <w:rsid w:val="00F418C7"/>
    <w:rsid w:val="00F51D92"/>
    <w:rsid w:val="00F55D01"/>
    <w:rsid w:val="00F8097F"/>
    <w:rsid w:val="00F86A5C"/>
    <w:rsid w:val="00F91849"/>
    <w:rsid w:val="00F93383"/>
    <w:rsid w:val="00F93FA9"/>
    <w:rsid w:val="00FA28AA"/>
    <w:rsid w:val="00FB0A54"/>
    <w:rsid w:val="00FB3E4C"/>
    <w:rsid w:val="00FC2E1C"/>
    <w:rsid w:val="00FE3827"/>
    <w:rsid w:val="00FE4968"/>
    <w:rsid w:val="00FE6B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0306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A0306D"/>
    <w:pPr>
      <w:keepNext/>
      <w:outlineLvl w:val="0"/>
    </w:pPr>
    <w:rPr>
      <w:szCs w:val="20"/>
    </w:rPr>
  </w:style>
  <w:style w:type="paragraph" w:styleId="Nadpis2">
    <w:name w:val="heading 2"/>
    <w:basedOn w:val="Normlny"/>
    <w:next w:val="Normlny"/>
    <w:link w:val="Nadpis2Char"/>
    <w:uiPriority w:val="9"/>
    <w:semiHidden/>
    <w:unhideWhenUsed/>
    <w:qFormat/>
    <w:rsid w:val="002728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
    <w:link w:val="Nadpis5Char"/>
    <w:uiPriority w:val="9"/>
    <w:semiHidden/>
    <w:unhideWhenUsed/>
    <w:qFormat/>
    <w:rsid w:val="00695B6B"/>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0306D"/>
    <w:rPr>
      <w:rFonts w:ascii="Times New Roman" w:eastAsia="Times New Roman" w:hAnsi="Times New Roman" w:cs="Times New Roman"/>
      <w:sz w:val="24"/>
      <w:szCs w:val="20"/>
      <w:lang w:eastAsia="sk-SK"/>
    </w:rPr>
  </w:style>
  <w:style w:type="paragraph" w:styleId="Nzov">
    <w:name w:val="Title"/>
    <w:basedOn w:val="Normlny"/>
    <w:link w:val="NzovChar"/>
    <w:qFormat/>
    <w:rsid w:val="00A0306D"/>
    <w:pPr>
      <w:jc w:val="center"/>
    </w:pPr>
    <w:rPr>
      <w:sz w:val="28"/>
      <w:szCs w:val="20"/>
    </w:rPr>
  </w:style>
  <w:style w:type="character" w:customStyle="1" w:styleId="NzovChar">
    <w:name w:val="Názov Char"/>
    <w:basedOn w:val="Predvolenpsmoodseku"/>
    <w:link w:val="Nzov"/>
    <w:rsid w:val="00A0306D"/>
    <w:rPr>
      <w:rFonts w:ascii="Times New Roman" w:eastAsia="Times New Roman" w:hAnsi="Times New Roman" w:cs="Times New Roman"/>
      <w:sz w:val="28"/>
      <w:szCs w:val="20"/>
      <w:lang w:eastAsia="sk-SK"/>
    </w:rPr>
  </w:style>
  <w:style w:type="character" w:customStyle="1" w:styleId="Nadpis5Char">
    <w:name w:val="Nadpis 5 Char"/>
    <w:basedOn w:val="Predvolenpsmoodseku"/>
    <w:link w:val="Nadpis5"/>
    <w:uiPriority w:val="9"/>
    <w:semiHidden/>
    <w:rsid w:val="00695B6B"/>
    <w:rPr>
      <w:rFonts w:asciiTheme="majorHAnsi" w:eastAsiaTheme="majorEastAsia" w:hAnsiTheme="majorHAnsi" w:cstheme="majorBidi"/>
      <w:color w:val="243F60" w:themeColor="accent1" w:themeShade="7F"/>
      <w:sz w:val="24"/>
      <w:szCs w:val="24"/>
      <w:lang w:eastAsia="sk-SK"/>
    </w:rPr>
  </w:style>
  <w:style w:type="paragraph" w:customStyle="1" w:styleId="Default">
    <w:name w:val="Default"/>
    <w:rsid w:val="006F132F"/>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59"/>
    <w:rsid w:val="007C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C57D5"/>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7C57D5"/>
    <w:rPr>
      <w:rFonts w:ascii="Tahoma" w:hAnsi="Tahoma" w:cs="Tahoma"/>
      <w:sz w:val="16"/>
      <w:szCs w:val="16"/>
    </w:rPr>
  </w:style>
  <w:style w:type="character" w:customStyle="1" w:styleId="TextbublinyChar">
    <w:name w:val="Text bubliny Char"/>
    <w:basedOn w:val="Predvolenpsmoodseku"/>
    <w:link w:val="Textbubliny"/>
    <w:uiPriority w:val="99"/>
    <w:semiHidden/>
    <w:rsid w:val="007C57D5"/>
    <w:rPr>
      <w:rFonts w:ascii="Tahoma" w:eastAsia="Times New Roman" w:hAnsi="Tahoma" w:cs="Tahoma"/>
      <w:sz w:val="16"/>
      <w:szCs w:val="16"/>
      <w:lang w:eastAsia="sk-SK"/>
    </w:rPr>
  </w:style>
  <w:style w:type="paragraph" w:styleId="Hlavika">
    <w:name w:val="header"/>
    <w:basedOn w:val="Normlny"/>
    <w:link w:val="HlavikaChar"/>
    <w:uiPriority w:val="99"/>
    <w:unhideWhenUsed/>
    <w:rsid w:val="00E30BC8"/>
    <w:pPr>
      <w:tabs>
        <w:tab w:val="center" w:pos="4536"/>
        <w:tab w:val="right" w:pos="9072"/>
      </w:tabs>
    </w:pPr>
  </w:style>
  <w:style w:type="character" w:customStyle="1" w:styleId="HlavikaChar">
    <w:name w:val="Hlavička Char"/>
    <w:basedOn w:val="Predvolenpsmoodseku"/>
    <w:link w:val="Hlavika"/>
    <w:uiPriority w:val="99"/>
    <w:rsid w:val="00E30BC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30BC8"/>
    <w:pPr>
      <w:tabs>
        <w:tab w:val="center" w:pos="4536"/>
        <w:tab w:val="right" w:pos="9072"/>
      </w:tabs>
    </w:pPr>
  </w:style>
  <w:style w:type="character" w:customStyle="1" w:styleId="PtaChar">
    <w:name w:val="Päta Char"/>
    <w:basedOn w:val="Predvolenpsmoodseku"/>
    <w:link w:val="Pta"/>
    <w:uiPriority w:val="99"/>
    <w:rsid w:val="00E30BC8"/>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272895"/>
    <w:rPr>
      <w:rFonts w:asciiTheme="majorHAnsi" w:eastAsiaTheme="majorEastAsia" w:hAnsiTheme="majorHAnsi" w:cstheme="majorBidi"/>
      <w:b/>
      <w:bCs/>
      <w:color w:val="4F81BD" w:themeColor="accent1"/>
      <w:sz w:val="26"/>
      <w:szCs w:val="26"/>
      <w:lang w:eastAsia="sk-SK"/>
    </w:rPr>
  </w:style>
  <w:style w:type="paragraph" w:styleId="Normlnywebov">
    <w:name w:val="Normal (Web)"/>
    <w:basedOn w:val="Normlny"/>
    <w:uiPriority w:val="99"/>
    <w:unhideWhenUsed/>
    <w:rsid w:val="00272895"/>
    <w:pPr>
      <w:spacing w:before="100" w:beforeAutospacing="1" w:after="100" w:afterAutospacing="1"/>
    </w:pPr>
  </w:style>
  <w:style w:type="character" w:styleId="Siln">
    <w:name w:val="Strong"/>
    <w:uiPriority w:val="22"/>
    <w:qFormat/>
    <w:rsid w:val="00272895"/>
    <w:rPr>
      <w:b/>
      <w:bCs/>
    </w:rPr>
  </w:style>
  <w:style w:type="character" w:styleId="Textzstupnhosymbolu">
    <w:name w:val="Placeholder Text"/>
    <w:uiPriority w:val="99"/>
    <w:semiHidden/>
    <w:rsid w:val="00272895"/>
    <w:rPr>
      <w:rFonts w:ascii="Times New Roman" w:hAnsi="Times New Roman" w:cs="Times New Roman"/>
      <w:color w:val="808080"/>
    </w:rPr>
  </w:style>
  <w:style w:type="character" w:styleId="Odkaznakomentr">
    <w:name w:val="annotation reference"/>
    <w:basedOn w:val="Predvolenpsmoodseku"/>
    <w:uiPriority w:val="99"/>
    <w:semiHidden/>
    <w:unhideWhenUsed/>
    <w:rsid w:val="005B6C45"/>
    <w:rPr>
      <w:sz w:val="16"/>
      <w:szCs w:val="16"/>
    </w:rPr>
  </w:style>
  <w:style w:type="paragraph" w:styleId="Textkomentra">
    <w:name w:val="annotation text"/>
    <w:basedOn w:val="Normlny"/>
    <w:link w:val="TextkomentraChar"/>
    <w:uiPriority w:val="99"/>
    <w:semiHidden/>
    <w:unhideWhenUsed/>
    <w:rsid w:val="005B6C45"/>
    <w:rPr>
      <w:sz w:val="20"/>
      <w:szCs w:val="20"/>
    </w:rPr>
  </w:style>
  <w:style w:type="character" w:customStyle="1" w:styleId="TextkomentraChar">
    <w:name w:val="Text komentára Char"/>
    <w:basedOn w:val="Predvolenpsmoodseku"/>
    <w:link w:val="Textkomentra"/>
    <w:uiPriority w:val="99"/>
    <w:semiHidden/>
    <w:rsid w:val="005B6C4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5B6C45"/>
    <w:rPr>
      <w:b/>
      <w:bCs/>
    </w:rPr>
  </w:style>
  <w:style w:type="character" w:customStyle="1" w:styleId="PredmetkomentraChar">
    <w:name w:val="Predmet komentára Char"/>
    <w:basedOn w:val="TextkomentraChar"/>
    <w:link w:val="Predmetkomentra"/>
    <w:uiPriority w:val="99"/>
    <w:semiHidden/>
    <w:rsid w:val="005B6C45"/>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A76C36"/>
    <w:rPr>
      <w:color w:val="0000FF" w:themeColor="hyperlink"/>
      <w:u w:val="single"/>
    </w:rPr>
  </w:style>
  <w:style w:type="paragraph" w:styleId="Textpoznmkypodiarou">
    <w:name w:val="footnote text"/>
    <w:basedOn w:val="Normlny"/>
    <w:link w:val="TextpoznmkypodiarouChar"/>
    <w:uiPriority w:val="99"/>
    <w:unhideWhenUsed/>
    <w:rsid w:val="00A76C36"/>
    <w:rPr>
      <w:sz w:val="20"/>
      <w:szCs w:val="20"/>
      <w:lang w:bidi="sk-SK"/>
    </w:rPr>
  </w:style>
  <w:style w:type="character" w:customStyle="1" w:styleId="TextpoznmkypodiarouChar">
    <w:name w:val="Text poznámky pod čiarou Char"/>
    <w:basedOn w:val="Predvolenpsmoodseku"/>
    <w:link w:val="Textpoznmkypodiarou"/>
    <w:uiPriority w:val="99"/>
    <w:rsid w:val="00A76C36"/>
    <w:rPr>
      <w:rFonts w:ascii="Times New Roman" w:eastAsia="Times New Roman" w:hAnsi="Times New Roman" w:cs="Times New Roman"/>
      <w:sz w:val="20"/>
      <w:szCs w:val="20"/>
      <w:lang w:eastAsia="sk-SK" w:bidi="sk-SK"/>
    </w:rPr>
  </w:style>
  <w:style w:type="character" w:styleId="Odkaznapoznmkupodiarou">
    <w:name w:val="footnote reference"/>
    <w:basedOn w:val="Predvolenpsmoodseku"/>
    <w:uiPriority w:val="99"/>
    <w:semiHidden/>
    <w:unhideWhenUsed/>
    <w:rsid w:val="00A76C36"/>
    <w:rPr>
      <w:vertAlign w:val="superscript"/>
    </w:rPr>
  </w:style>
  <w:style w:type="paragraph" w:styleId="Revzia">
    <w:name w:val="Revision"/>
    <w:hidden/>
    <w:uiPriority w:val="99"/>
    <w:semiHidden/>
    <w:rsid w:val="00A76C36"/>
    <w:pPr>
      <w:spacing w:after="0" w:line="240" w:lineRule="auto"/>
    </w:pPr>
    <w:rPr>
      <w:rFonts w:ascii="Times New Roman" w:eastAsia="Times New Roman" w:hAnsi="Times New Roman" w:cs="Times New Roman"/>
      <w:sz w:val="20"/>
      <w:szCs w:val="20"/>
      <w:lang w:eastAsia="sk-SK" w:bidi="sk-SK"/>
    </w:rPr>
  </w:style>
  <w:style w:type="numbering" w:customStyle="1" w:styleId="tl1">
    <w:name w:val="Štýl1"/>
    <w:uiPriority w:val="99"/>
    <w:rsid w:val="00A76C36"/>
    <w:pPr>
      <w:numPr>
        <w:numId w:val="4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0306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A0306D"/>
    <w:pPr>
      <w:keepNext/>
      <w:outlineLvl w:val="0"/>
    </w:pPr>
    <w:rPr>
      <w:szCs w:val="20"/>
    </w:rPr>
  </w:style>
  <w:style w:type="paragraph" w:styleId="Nadpis5">
    <w:name w:val="heading 5"/>
    <w:basedOn w:val="Normlny"/>
    <w:next w:val="Normlny"/>
    <w:link w:val="Nadpis5Char"/>
    <w:uiPriority w:val="9"/>
    <w:semiHidden/>
    <w:unhideWhenUsed/>
    <w:qFormat/>
    <w:rsid w:val="00695B6B"/>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0306D"/>
    <w:rPr>
      <w:rFonts w:ascii="Times New Roman" w:eastAsia="Times New Roman" w:hAnsi="Times New Roman" w:cs="Times New Roman"/>
      <w:sz w:val="24"/>
      <w:szCs w:val="20"/>
      <w:lang w:eastAsia="sk-SK"/>
    </w:rPr>
  </w:style>
  <w:style w:type="paragraph" w:styleId="Nzov">
    <w:name w:val="Title"/>
    <w:basedOn w:val="Normlny"/>
    <w:link w:val="NzovChar"/>
    <w:qFormat/>
    <w:rsid w:val="00A0306D"/>
    <w:pPr>
      <w:jc w:val="center"/>
    </w:pPr>
    <w:rPr>
      <w:sz w:val="28"/>
      <w:szCs w:val="20"/>
    </w:rPr>
  </w:style>
  <w:style w:type="character" w:customStyle="1" w:styleId="NzovChar">
    <w:name w:val="Názov Char"/>
    <w:basedOn w:val="Predvolenpsmoodseku"/>
    <w:link w:val="Nzov"/>
    <w:rsid w:val="00A0306D"/>
    <w:rPr>
      <w:rFonts w:ascii="Times New Roman" w:eastAsia="Times New Roman" w:hAnsi="Times New Roman" w:cs="Times New Roman"/>
      <w:sz w:val="28"/>
      <w:szCs w:val="20"/>
      <w:lang w:eastAsia="sk-SK"/>
    </w:rPr>
  </w:style>
  <w:style w:type="character" w:customStyle="1" w:styleId="Nadpis5Char">
    <w:name w:val="Nadpis 5 Char"/>
    <w:basedOn w:val="Predvolenpsmoodseku"/>
    <w:link w:val="Nadpis5"/>
    <w:uiPriority w:val="9"/>
    <w:semiHidden/>
    <w:rsid w:val="00695B6B"/>
    <w:rPr>
      <w:rFonts w:asciiTheme="majorHAnsi" w:eastAsiaTheme="majorEastAsia" w:hAnsiTheme="majorHAnsi" w:cstheme="majorBidi"/>
      <w:color w:val="243F60" w:themeColor="accent1" w:themeShade="7F"/>
      <w:sz w:val="24"/>
      <w:szCs w:val="24"/>
      <w:lang w:eastAsia="sk-SK"/>
    </w:rPr>
  </w:style>
  <w:style w:type="paragraph" w:customStyle="1" w:styleId="Default">
    <w:name w:val="Default"/>
    <w:rsid w:val="006F132F"/>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59"/>
    <w:rsid w:val="007C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C57D5"/>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7C57D5"/>
    <w:rPr>
      <w:rFonts w:ascii="Tahoma" w:hAnsi="Tahoma" w:cs="Tahoma"/>
      <w:sz w:val="16"/>
      <w:szCs w:val="16"/>
    </w:rPr>
  </w:style>
  <w:style w:type="character" w:customStyle="1" w:styleId="TextbublinyChar">
    <w:name w:val="Text bubliny Char"/>
    <w:basedOn w:val="Predvolenpsmoodseku"/>
    <w:link w:val="Textbubliny"/>
    <w:uiPriority w:val="99"/>
    <w:semiHidden/>
    <w:rsid w:val="007C57D5"/>
    <w:rPr>
      <w:rFonts w:ascii="Tahoma" w:eastAsia="Times New Roman" w:hAnsi="Tahoma" w:cs="Tahoma"/>
      <w:sz w:val="16"/>
      <w:szCs w:val="16"/>
      <w:lang w:eastAsia="sk-SK"/>
    </w:rPr>
  </w:style>
  <w:style w:type="numbering" w:customStyle="1" w:styleId="Hlavika">
    <w:name w:val="tl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4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vlovska@mh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0C354-AF01-4826-A367-20B37A10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5</Pages>
  <Words>2189</Words>
  <Characters>12482</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Pavlovska Ivana</dc:creator>
  <cp:lastModifiedBy>Hajdu Ladislav</cp:lastModifiedBy>
  <cp:revision>133</cp:revision>
  <cp:lastPrinted>2019-08-16T06:59:00Z</cp:lastPrinted>
  <dcterms:created xsi:type="dcterms:W3CDTF">2018-10-24T10:45:00Z</dcterms:created>
  <dcterms:modified xsi:type="dcterms:W3CDTF">2019-08-16T06:59:00Z</dcterms:modified>
</cp:coreProperties>
</file>