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160" w:type="dxa"/>
        <w:tblInd w:w="-52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Look w:val="0000"/>
      </w:tblPr>
      <w:tblGrid>
        <w:gridCol w:w="897"/>
        <w:gridCol w:w="749"/>
        <w:gridCol w:w="3751"/>
        <w:gridCol w:w="1265"/>
        <w:gridCol w:w="1260"/>
        <w:gridCol w:w="1260"/>
        <w:gridCol w:w="4498"/>
        <w:gridCol w:w="720"/>
        <w:gridCol w:w="1760"/>
      </w:tblGrid>
      <w:tr w:rsidTr="00A221A1">
        <w:tblPrEx>
          <w:tblW w:w="16160" w:type="dxa"/>
          <w:tblInd w:w="-52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Look w:val="0000"/>
        </w:tblPrEx>
        <w:tc>
          <w:tcPr>
            <w:tcW w:w="16160" w:type="dxa"/>
            <w:gridSpan w:val="9"/>
            <w:tcBorders>
              <w:top w:val="single" w:sz="12" w:space="0" w:color="auto"/>
              <w:left w:val="single" w:sz="12" w:space="0" w:color="auto"/>
              <w:bottom w:val="single" w:sz="4" w:space="0" w:color="auto"/>
              <w:right w:val="single" w:sz="12" w:space="0" w:color="auto"/>
            </w:tcBorders>
          </w:tcPr>
          <w:p w:rsidR="00A221A1" w:rsidRPr="0011558D" w:rsidP="00932DDD">
            <w:pPr>
              <w:pStyle w:val="Heading1"/>
              <w:spacing w:before="0" w:after="0"/>
              <w:jc w:val="center"/>
              <w:rPr>
                <w:rFonts w:ascii="Times New Roman" w:hAnsi="Times New Roman" w:cs="Times New Roman"/>
                <w:sz w:val="20"/>
                <w:szCs w:val="20"/>
              </w:rPr>
            </w:pPr>
            <w:r w:rsidRPr="0011558D">
              <w:rPr>
                <w:rFonts w:ascii="Times New Roman" w:hAnsi="Times New Roman" w:cs="Times New Roman"/>
                <w:sz w:val="20"/>
                <w:szCs w:val="20"/>
              </w:rPr>
              <w:t>TABUĽKA  ZHODY</w:t>
            </w:r>
            <w:r>
              <w:rPr>
                <w:rStyle w:val="FootnoteReference"/>
                <w:rFonts w:ascii="Times New Roman" w:hAnsi="Times New Roman" w:cs="Times New Roman"/>
                <w:sz w:val="20"/>
                <w:szCs w:val="20"/>
              </w:rPr>
              <w:footnoteReference w:id="2"/>
            </w:r>
          </w:p>
          <w:p w:rsidR="00A221A1" w:rsidRPr="0011558D" w:rsidP="00A221A1">
            <w:pPr>
              <w:pStyle w:val="Heading1"/>
              <w:spacing w:before="0" w:after="0"/>
              <w:jc w:val="center"/>
              <w:rPr>
                <w:rFonts w:ascii="Times New Roman" w:hAnsi="Times New Roman" w:cs="Times New Roman"/>
                <w:bCs w:val="0"/>
                <w:sz w:val="20"/>
                <w:szCs w:val="20"/>
              </w:rPr>
            </w:pPr>
            <w:r w:rsidRPr="0011558D" w:rsidR="005C0FE9">
              <w:rPr>
                <w:rFonts w:ascii="Times New Roman" w:hAnsi="Times New Roman" w:cs="Times New Roman"/>
                <w:bCs w:val="0"/>
                <w:sz w:val="20"/>
                <w:szCs w:val="20"/>
              </w:rPr>
              <w:t>Právneho predpisu s právom Európskej únie</w:t>
            </w:r>
          </w:p>
        </w:tc>
      </w:tr>
      <w:tr w:rsidTr="00A221A1">
        <w:tblPrEx>
          <w:tblW w:w="16160" w:type="dxa"/>
          <w:tblInd w:w="-524" w:type="dxa"/>
          <w:tblLayout w:type="fixed"/>
          <w:tblCellMar>
            <w:left w:w="43" w:type="dxa"/>
            <w:right w:w="43" w:type="dxa"/>
          </w:tblCellMar>
          <w:tblLook w:val="0000"/>
        </w:tblPrEx>
        <w:trPr>
          <w:cantSplit/>
          <w:trHeight w:val="567"/>
        </w:trPr>
        <w:tc>
          <w:tcPr>
            <w:tcW w:w="1646" w:type="dxa"/>
            <w:gridSpan w:val="2"/>
            <w:tcBorders>
              <w:top w:val="single" w:sz="4" w:space="0" w:color="auto"/>
              <w:left w:val="single" w:sz="12" w:space="0" w:color="auto"/>
              <w:bottom w:val="single" w:sz="4" w:space="0" w:color="auto"/>
              <w:right w:val="nil"/>
            </w:tcBorders>
          </w:tcPr>
          <w:p w:rsidR="00A221A1" w:rsidRPr="0011558D" w:rsidP="00932DDD">
            <w:pPr>
              <w:pStyle w:val="Heading4"/>
              <w:rPr>
                <w:color w:val="auto"/>
                <w:sz w:val="20"/>
                <w:szCs w:val="20"/>
                <w:u w:val="none"/>
              </w:rPr>
            </w:pPr>
            <w:r w:rsidRPr="0011558D">
              <w:rPr>
                <w:color w:val="auto"/>
                <w:sz w:val="20"/>
                <w:szCs w:val="20"/>
                <w:u w:val="none"/>
              </w:rPr>
              <w:t>Názov smernice:</w:t>
            </w:r>
          </w:p>
        </w:tc>
        <w:tc>
          <w:tcPr>
            <w:tcW w:w="14514" w:type="dxa"/>
            <w:gridSpan w:val="7"/>
            <w:tcBorders>
              <w:top w:val="single" w:sz="4" w:space="0" w:color="auto"/>
              <w:left w:val="nil"/>
              <w:bottom w:val="single" w:sz="4" w:space="0" w:color="auto"/>
              <w:right w:val="single" w:sz="12" w:space="0" w:color="auto"/>
            </w:tcBorders>
          </w:tcPr>
          <w:p w:rsidR="00A221A1" w:rsidRPr="0011558D" w:rsidP="00932DDD">
            <w:pPr>
              <w:spacing w:before="150" w:after="150"/>
              <w:ind w:right="750"/>
              <w:rPr>
                <w:b/>
              </w:rPr>
            </w:pPr>
            <w:r w:rsidRPr="0011558D">
              <w:rPr>
                <w:b/>
              </w:rPr>
              <w:t>S</w:t>
            </w:r>
            <w:r w:rsidRPr="0011558D" w:rsidR="00C44A67">
              <w:rPr>
                <w:b/>
              </w:rPr>
              <w:t>mernica Rady</w:t>
            </w:r>
            <w:r w:rsidRPr="0011558D">
              <w:rPr>
                <w:b/>
              </w:rPr>
              <w:t xml:space="preserve"> 92/85/EHS z 19. októbra 1992 o zavedení opatrení na podporu zlepšenia bezpečnosti a ochrany zdravia pri práci tehotných pracovníčok a pracovníčok krátko po pôrode alebo dojčiacich pracovníčok (desiata samostatná smernica v zmysle článku 16 ods. 1 smernice 89/391/EHS)</w:t>
            </w:r>
            <w:r w:rsidRPr="0011558D" w:rsidR="00234DC3">
              <w:rPr>
                <w:b/>
              </w:rPr>
              <w:t xml:space="preserve"> v znení smernice Európskeho parlamentu a Rady 2007/30/ES z 20. júna 2007 (Ú. v. EÚ L 165, 27. 6. 2007)</w:t>
            </w:r>
            <w:r w:rsidRPr="0011558D" w:rsidR="00C347A9">
              <w:rPr>
                <w:b/>
              </w:rPr>
              <w:t xml:space="preserve"> a smernice Európskeho parlamentu a Rady 2014/27/EÚ z</w:t>
            </w:r>
            <w:r w:rsidRPr="0011558D" w:rsidR="00C347A9">
              <w:rPr>
                <w:b/>
              </w:rPr>
              <w:t> 26. februára 2014 (Ú. v.</w:t>
            </w:r>
            <w:r w:rsidRPr="0011558D" w:rsidR="00423334">
              <w:rPr>
                <w:b/>
              </w:rPr>
              <w:t xml:space="preserve"> EÚ L 65, 5.3.2014)</w:t>
            </w:r>
          </w:p>
          <w:p w:rsidR="00C44A67" w:rsidRPr="0011558D" w:rsidP="00932DDD">
            <w:pPr>
              <w:spacing w:before="150" w:after="150"/>
              <w:ind w:right="750"/>
              <w:rPr>
                <w:b/>
              </w:rPr>
            </w:pPr>
            <w:r w:rsidRPr="0011558D">
              <w:t xml:space="preserve">Council Directive 92/85/EEC of 19 October 1992 on the introduction of measures to encourage improvements in the safety and health at work of pregnant workers and workers who have recently given birth or are breastfeeding (tenth individual Directive within the meaning of Article 16 (1) of Directive 89/391/EEC) </w:t>
            </w:r>
          </w:p>
        </w:tc>
      </w:tr>
      <w:tr w:rsidTr="00A221A1">
        <w:tblPrEx>
          <w:tblW w:w="16160" w:type="dxa"/>
          <w:tblInd w:w="-524" w:type="dxa"/>
          <w:tblLayout w:type="fixed"/>
          <w:tblCellMar>
            <w:left w:w="43" w:type="dxa"/>
            <w:right w:w="43" w:type="dxa"/>
          </w:tblCellMar>
          <w:tblLook w:val="0000"/>
        </w:tblPrEx>
        <w:trPr>
          <w:trHeight w:val="567"/>
        </w:trPr>
        <w:tc>
          <w:tcPr>
            <w:tcW w:w="6662" w:type="dxa"/>
            <w:gridSpan w:val="4"/>
            <w:tcBorders>
              <w:top w:val="single" w:sz="4" w:space="0" w:color="auto"/>
              <w:left w:val="single" w:sz="12" w:space="0" w:color="auto"/>
              <w:bottom w:val="single" w:sz="4" w:space="0" w:color="auto"/>
              <w:right w:val="single" w:sz="12" w:space="0" w:color="auto"/>
            </w:tcBorders>
          </w:tcPr>
          <w:p w:rsidR="00A221A1" w:rsidRPr="0011558D" w:rsidP="00932DDD">
            <w:pPr>
              <w:pStyle w:val="Heading4"/>
              <w:spacing w:before="120"/>
              <w:jc w:val="center"/>
              <w:rPr>
                <w:color w:val="auto"/>
                <w:sz w:val="20"/>
                <w:szCs w:val="20"/>
                <w:u w:val="none"/>
              </w:rPr>
            </w:pPr>
            <w:r w:rsidRPr="0011558D">
              <w:rPr>
                <w:color w:val="auto"/>
                <w:sz w:val="20"/>
                <w:szCs w:val="20"/>
                <w:u w:val="none"/>
              </w:rPr>
              <w:t>Smernica EHS</w:t>
            </w:r>
          </w:p>
          <w:p w:rsidR="00A221A1" w:rsidRPr="0011558D" w:rsidP="00932DDD">
            <w:pPr>
              <w:pStyle w:val="BodyText3"/>
              <w:spacing w:line="240" w:lineRule="exact"/>
              <w:rPr>
                <w:sz w:val="20"/>
                <w:szCs w:val="20"/>
              </w:rPr>
            </w:pPr>
          </w:p>
        </w:tc>
        <w:tc>
          <w:tcPr>
            <w:tcW w:w="9498" w:type="dxa"/>
            <w:gridSpan w:val="5"/>
            <w:tcBorders>
              <w:top w:val="single" w:sz="4" w:space="0" w:color="auto"/>
              <w:left w:val="nil"/>
              <w:bottom w:val="single" w:sz="4" w:space="0" w:color="auto"/>
              <w:right w:val="single" w:sz="12" w:space="0" w:color="auto"/>
            </w:tcBorders>
          </w:tcPr>
          <w:p w:rsidR="006321D2" w:rsidRPr="0011558D" w:rsidP="0052270D">
            <w:pPr>
              <w:spacing w:before="120"/>
              <w:rPr>
                <w:sz w:val="20"/>
                <w:szCs w:val="20"/>
              </w:rPr>
            </w:pPr>
            <w:r w:rsidRPr="0011558D">
              <w:rPr>
                <w:sz w:val="20"/>
                <w:szCs w:val="20"/>
              </w:rPr>
              <w:t>Zákon č. 281/2015 Z. z. o štátnej službe profesionálnych vojakov a o zmene a doplnení niektorých zákonov (ďalej len „zákon č. 281/2015 Z. z.“)</w:t>
            </w:r>
          </w:p>
          <w:p w:rsidR="0052270D" w:rsidRPr="0011558D" w:rsidP="005E3B12">
            <w:pPr>
              <w:spacing w:before="120"/>
              <w:jc w:val="both"/>
              <w:rPr>
                <w:b/>
                <w:sz w:val="20"/>
                <w:szCs w:val="20"/>
              </w:rPr>
            </w:pPr>
            <w:r w:rsidRPr="0011558D">
              <w:rPr>
                <w:b/>
                <w:sz w:val="20"/>
                <w:szCs w:val="20"/>
              </w:rPr>
              <w:t>N</w:t>
            </w:r>
            <w:r w:rsidRPr="0011558D" w:rsidR="005E3B12">
              <w:rPr>
                <w:b/>
                <w:sz w:val="20"/>
                <w:szCs w:val="20"/>
              </w:rPr>
              <w:t>ávrh</w:t>
            </w:r>
            <w:r w:rsidRPr="0011558D">
              <w:rPr>
                <w:b/>
                <w:sz w:val="20"/>
                <w:szCs w:val="20"/>
              </w:rPr>
              <w:t xml:space="preserve"> zákona</w:t>
            </w:r>
            <w:r w:rsidRPr="0011558D" w:rsidR="005E3B12">
              <w:rPr>
                <w:b/>
                <w:sz w:val="20"/>
                <w:szCs w:val="20"/>
              </w:rPr>
              <w:t xml:space="preserve">, ktorým sa mení a dopĺňa zákon </w:t>
            </w:r>
            <w:r w:rsidRPr="0011558D">
              <w:rPr>
                <w:b/>
                <w:sz w:val="20"/>
                <w:szCs w:val="20"/>
              </w:rPr>
              <w:t xml:space="preserve">č. 281/2015 Z. z. o štátnej službe profesionálnych vojakov a o zmene </w:t>
            </w:r>
            <w:r w:rsidRPr="0011558D">
              <w:rPr>
                <w:b/>
                <w:sz w:val="20"/>
                <w:szCs w:val="20"/>
              </w:rPr>
              <w:t xml:space="preserve">a doplnení niektorých zákonov </w:t>
            </w:r>
            <w:r w:rsidRPr="0011558D" w:rsidR="005E3B12">
              <w:rPr>
                <w:b/>
                <w:sz w:val="20"/>
                <w:szCs w:val="20"/>
              </w:rPr>
              <w:t xml:space="preserve">v znení neskorších predpisov a ktorým sa menia niektoré zákony </w:t>
            </w:r>
            <w:r w:rsidRPr="0011558D">
              <w:rPr>
                <w:b/>
                <w:sz w:val="20"/>
                <w:szCs w:val="20"/>
              </w:rPr>
              <w:t>(ďalej len „novela zákona č. 281/2015 Z. z.“)</w:t>
            </w:r>
          </w:p>
          <w:p w:rsidR="00A221A1" w:rsidRPr="0011558D" w:rsidP="00932DDD">
            <w:pPr>
              <w:pStyle w:val="Header"/>
              <w:tabs>
                <w:tab w:val="left" w:pos="709"/>
              </w:tabs>
              <w:jc w:val="center"/>
              <w:rPr>
                <w:sz w:val="20"/>
                <w:szCs w:val="20"/>
              </w:rPr>
            </w:pPr>
          </w:p>
        </w:tc>
      </w:tr>
      <w:tr w:rsidTr="00A221A1">
        <w:tblPrEx>
          <w:tblW w:w="16160" w:type="dxa"/>
          <w:tblInd w:w="-524" w:type="dxa"/>
          <w:tblLayout w:type="fixed"/>
          <w:tblCellMar>
            <w:left w:w="43" w:type="dxa"/>
            <w:right w:w="43" w:type="dxa"/>
          </w:tblCellMar>
          <w:tblLook w:val="0000"/>
        </w:tblPrEx>
        <w:tc>
          <w:tcPr>
            <w:tcW w:w="897" w:type="dxa"/>
            <w:tcBorders>
              <w:top w:val="single" w:sz="4" w:space="0" w:color="auto"/>
              <w:left w:val="single" w:sz="12" w:space="0" w:color="auto"/>
              <w:bottom w:val="single" w:sz="4" w:space="0" w:color="auto"/>
              <w:right w:val="single" w:sz="4" w:space="0" w:color="auto"/>
            </w:tcBorders>
          </w:tcPr>
          <w:p w:rsidR="002729DC" w:rsidRPr="0011558D" w:rsidP="00507EA9">
            <w:pPr>
              <w:jc w:val="center"/>
              <w:rPr>
                <w:sz w:val="20"/>
                <w:szCs w:val="20"/>
              </w:rPr>
            </w:pPr>
            <w:r w:rsidRPr="0011558D">
              <w:rPr>
                <w:sz w:val="20"/>
                <w:szCs w:val="20"/>
              </w:rPr>
              <w:t>1</w:t>
            </w:r>
          </w:p>
        </w:tc>
        <w:tc>
          <w:tcPr>
            <w:tcW w:w="4500" w:type="dxa"/>
            <w:gridSpan w:val="2"/>
            <w:tcBorders>
              <w:top w:val="single" w:sz="4" w:space="0" w:color="auto"/>
              <w:left w:val="single" w:sz="4" w:space="0" w:color="auto"/>
              <w:bottom w:val="single" w:sz="4" w:space="0" w:color="auto"/>
              <w:right w:val="single" w:sz="4" w:space="0" w:color="auto"/>
            </w:tcBorders>
          </w:tcPr>
          <w:p w:rsidR="002729DC" w:rsidRPr="0011558D" w:rsidP="00507EA9">
            <w:pPr>
              <w:jc w:val="center"/>
              <w:rPr>
                <w:sz w:val="20"/>
                <w:szCs w:val="20"/>
              </w:rPr>
            </w:pPr>
            <w:r w:rsidRPr="0011558D">
              <w:rPr>
                <w:sz w:val="20"/>
                <w:szCs w:val="20"/>
              </w:rPr>
              <w:t>2</w:t>
            </w:r>
          </w:p>
        </w:tc>
        <w:tc>
          <w:tcPr>
            <w:tcW w:w="1265" w:type="dxa"/>
            <w:tcBorders>
              <w:top w:val="single" w:sz="4" w:space="0" w:color="auto"/>
              <w:left w:val="single" w:sz="4" w:space="0" w:color="auto"/>
              <w:bottom w:val="single" w:sz="4" w:space="0" w:color="auto"/>
              <w:right w:val="single" w:sz="12" w:space="0" w:color="auto"/>
            </w:tcBorders>
          </w:tcPr>
          <w:p w:rsidR="002729DC" w:rsidRPr="0011558D" w:rsidP="00507EA9">
            <w:pPr>
              <w:jc w:val="center"/>
              <w:rPr>
                <w:sz w:val="20"/>
                <w:szCs w:val="20"/>
              </w:rPr>
            </w:pPr>
            <w:r w:rsidRPr="0011558D">
              <w:rPr>
                <w:sz w:val="20"/>
                <w:szCs w:val="20"/>
              </w:rPr>
              <w:t>3</w:t>
            </w:r>
          </w:p>
        </w:tc>
        <w:tc>
          <w:tcPr>
            <w:tcW w:w="1260" w:type="dxa"/>
            <w:tcBorders>
              <w:top w:val="single" w:sz="4" w:space="0" w:color="auto"/>
              <w:left w:val="nil"/>
              <w:bottom w:val="single" w:sz="4" w:space="0" w:color="auto"/>
              <w:right w:val="single" w:sz="4" w:space="0" w:color="auto"/>
            </w:tcBorders>
          </w:tcPr>
          <w:p w:rsidR="002729DC" w:rsidRPr="0011558D" w:rsidP="00507EA9">
            <w:pPr>
              <w:jc w:val="center"/>
              <w:rPr>
                <w:sz w:val="20"/>
                <w:szCs w:val="20"/>
              </w:rPr>
            </w:pPr>
            <w:r w:rsidRPr="0011558D">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2729DC" w:rsidRPr="0011558D" w:rsidP="00507EA9">
            <w:pPr>
              <w:pStyle w:val="BodyText2"/>
              <w:spacing w:line="240" w:lineRule="exact"/>
            </w:pPr>
            <w:r w:rsidRPr="0011558D">
              <w:t>5</w:t>
            </w:r>
          </w:p>
        </w:tc>
        <w:tc>
          <w:tcPr>
            <w:tcW w:w="4498" w:type="dxa"/>
            <w:tcBorders>
              <w:top w:val="single" w:sz="4" w:space="0" w:color="auto"/>
              <w:left w:val="single" w:sz="4" w:space="0" w:color="auto"/>
              <w:bottom w:val="single" w:sz="4" w:space="0" w:color="auto"/>
              <w:right w:val="single" w:sz="4" w:space="0" w:color="auto"/>
            </w:tcBorders>
          </w:tcPr>
          <w:p w:rsidR="002729DC" w:rsidRPr="0011558D" w:rsidP="00507EA9">
            <w:pPr>
              <w:pStyle w:val="BodyText2"/>
              <w:spacing w:line="240" w:lineRule="exact"/>
            </w:pPr>
            <w:r w:rsidRPr="0011558D">
              <w:t>6</w:t>
            </w:r>
          </w:p>
        </w:tc>
        <w:tc>
          <w:tcPr>
            <w:tcW w:w="720" w:type="dxa"/>
            <w:tcBorders>
              <w:top w:val="single" w:sz="4" w:space="0" w:color="auto"/>
              <w:left w:val="single" w:sz="4" w:space="0" w:color="auto"/>
              <w:bottom w:val="single" w:sz="4" w:space="0" w:color="auto"/>
              <w:right w:val="single" w:sz="4" w:space="0" w:color="auto"/>
            </w:tcBorders>
          </w:tcPr>
          <w:p w:rsidR="002729DC" w:rsidRPr="0011558D" w:rsidP="00507EA9">
            <w:pPr>
              <w:jc w:val="center"/>
              <w:rPr>
                <w:sz w:val="20"/>
                <w:szCs w:val="20"/>
              </w:rPr>
            </w:pPr>
            <w:r w:rsidRPr="0011558D">
              <w:rPr>
                <w:sz w:val="20"/>
                <w:szCs w:val="20"/>
              </w:rPr>
              <w:t>7</w:t>
            </w:r>
          </w:p>
        </w:tc>
        <w:tc>
          <w:tcPr>
            <w:tcW w:w="1760" w:type="dxa"/>
            <w:tcBorders>
              <w:top w:val="single" w:sz="4" w:space="0" w:color="auto"/>
              <w:left w:val="single" w:sz="4" w:space="0" w:color="auto"/>
              <w:bottom w:val="single" w:sz="4" w:space="0" w:color="auto"/>
              <w:right w:val="single" w:sz="12" w:space="0" w:color="auto"/>
            </w:tcBorders>
          </w:tcPr>
          <w:p w:rsidR="002729DC" w:rsidRPr="0011558D" w:rsidP="00507EA9">
            <w:pPr>
              <w:jc w:val="center"/>
              <w:rPr>
                <w:sz w:val="20"/>
                <w:szCs w:val="20"/>
              </w:rPr>
            </w:pPr>
            <w:r w:rsidRPr="0011558D">
              <w:rPr>
                <w:sz w:val="20"/>
                <w:szCs w:val="20"/>
              </w:rPr>
              <w:t>8</w:t>
            </w:r>
          </w:p>
        </w:tc>
      </w:tr>
      <w:tr w:rsidTr="00A221A1">
        <w:tblPrEx>
          <w:tblW w:w="16160" w:type="dxa"/>
          <w:tblInd w:w="-524" w:type="dxa"/>
          <w:tblLayout w:type="fixed"/>
          <w:tblCellMar>
            <w:left w:w="43" w:type="dxa"/>
            <w:right w:w="43" w:type="dxa"/>
          </w:tblCellMar>
          <w:tblLook w:val="0000"/>
        </w:tblPrEx>
        <w:tc>
          <w:tcPr>
            <w:tcW w:w="897" w:type="dxa"/>
            <w:tcBorders>
              <w:top w:val="single" w:sz="4" w:space="0" w:color="auto"/>
              <w:left w:val="single" w:sz="12" w:space="0" w:color="auto"/>
              <w:bottom w:val="single" w:sz="4" w:space="0" w:color="auto"/>
              <w:right w:val="single" w:sz="4" w:space="0" w:color="auto"/>
            </w:tcBorders>
          </w:tcPr>
          <w:p w:rsidR="002729DC" w:rsidRPr="0011558D" w:rsidP="00507EA9">
            <w:pPr>
              <w:pStyle w:val="Normlny"/>
              <w:jc w:val="center"/>
            </w:pPr>
            <w:r w:rsidRPr="0011558D">
              <w:t>Článok</w:t>
            </w:r>
          </w:p>
          <w:p w:rsidR="002729DC" w:rsidRPr="0011558D" w:rsidP="00507EA9">
            <w:pPr>
              <w:pStyle w:val="Normlny"/>
              <w:jc w:val="center"/>
            </w:pPr>
            <w:r w:rsidRPr="0011558D">
              <w:t>(Č, O,</w:t>
            </w:r>
          </w:p>
          <w:p w:rsidR="002729DC" w:rsidRPr="0011558D" w:rsidP="00507EA9">
            <w:pPr>
              <w:pStyle w:val="Normlny"/>
              <w:jc w:val="center"/>
            </w:pPr>
            <w:r w:rsidRPr="0011558D">
              <w:t>V, P)</w:t>
            </w:r>
          </w:p>
        </w:tc>
        <w:tc>
          <w:tcPr>
            <w:tcW w:w="4500" w:type="dxa"/>
            <w:gridSpan w:val="2"/>
            <w:tcBorders>
              <w:top w:val="single" w:sz="4" w:space="0" w:color="auto"/>
              <w:left w:val="single" w:sz="4" w:space="0" w:color="auto"/>
              <w:bottom w:val="single" w:sz="4" w:space="0" w:color="auto"/>
              <w:right w:val="single" w:sz="4" w:space="0" w:color="auto"/>
            </w:tcBorders>
          </w:tcPr>
          <w:p w:rsidR="002729DC" w:rsidRPr="0011558D" w:rsidP="00507EA9">
            <w:pPr>
              <w:pStyle w:val="Normlny"/>
              <w:jc w:val="center"/>
            </w:pPr>
            <w:r w:rsidRPr="0011558D">
              <w:t>Text</w:t>
            </w:r>
          </w:p>
        </w:tc>
        <w:tc>
          <w:tcPr>
            <w:tcW w:w="1265" w:type="dxa"/>
            <w:tcBorders>
              <w:top w:val="single" w:sz="4" w:space="0" w:color="auto"/>
              <w:left w:val="single" w:sz="4" w:space="0" w:color="auto"/>
              <w:bottom w:val="single" w:sz="4" w:space="0" w:color="auto"/>
              <w:right w:val="single" w:sz="12" w:space="0" w:color="auto"/>
            </w:tcBorders>
          </w:tcPr>
          <w:p w:rsidR="002729DC" w:rsidRPr="0011558D" w:rsidP="00507EA9">
            <w:pPr>
              <w:pStyle w:val="Normlny"/>
              <w:jc w:val="center"/>
            </w:pPr>
            <w:r w:rsidRPr="0011558D">
              <w:t>Spôsob transp.</w:t>
            </w:r>
          </w:p>
          <w:p w:rsidR="002729DC" w:rsidRPr="0011558D" w:rsidP="00507EA9">
            <w:pPr>
              <w:pStyle w:val="Normlny"/>
              <w:jc w:val="center"/>
            </w:pPr>
            <w:r w:rsidRPr="0011558D">
              <w:t>(N, O, D, n.a.)</w:t>
            </w:r>
          </w:p>
        </w:tc>
        <w:tc>
          <w:tcPr>
            <w:tcW w:w="1260" w:type="dxa"/>
            <w:tcBorders>
              <w:top w:val="single" w:sz="4" w:space="0" w:color="auto"/>
              <w:left w:val="nil"/>
              <w:bottom w:val="single" w:sz="4" w:space="0" w:color="auto"/>
              <w:right w:val="single" w:sz="4" w:space="0" w:color="auto"/>
            </w:tcBorders>
          </w:tcPr>
          <w:p w:rsidR="002729DC" w:rsidRPr="0011558D" w:rsidP="00507EA9">
            <w:pPr>
              <w:pStyle w:val="Normlny"/>
              <w:jc w:val="center"/>
            </w:pPr>
            <w:r w:rsidRPr="0011558D">
              <w:t>Číslo</w:t>
            </w:r>
          </w:p>
          <w:p w:rsidR="002729DC" w:rsidRPr="0011558D" w:rsidP="00507EA9">
            <w:pPr>
              <w:pStyle w:val="Normlny"/>
              <w:jc w:val="center"/>
            </w:pPr>
            <w:r w:rsidRPr="0011558D">
              <w:t>predpisu</w:t>
            </w:r>
          </w:p>
        </w:tc>
        <w:tc>
          <w:tcPr>
            <w:tcW w:w="1260" w:type="dxa"/>
            <w:tcBorders>
              <w:top w:val="single" w:sz="4" w:space="0" w:color="auto"/>
              <w:left w:val="single" w:sz="4" w:space="0" w:color="auto"/>
              <w:bottom w:val="single" w:sz="4" w:space="0" w:color="auto"/>
              <w:right w:val="single" w:sz="4" w:space="0" w:color="auto"/>
            </w:tcBorders>
          </w:tcPr>
          <w:p w:rsidR="002326D0" w:rsidRPr="0011558D" w:rsidP="00507EA9">
            <w:pPr>
              <w:pStyle w:val="Normlny"/>
              <w:jc w:val="center"/>
            </w:pPr>
            <w:r w:rsidRPr="0011558D" w:rsidR="002729DC">
              <w:t>Článok</w:t>
            </w:r>
          </w:p>
          <w:p w:rsidR="002729DC" w:rsidRPr="0011558D" w:rsidP="00507EA9">
            <w:pPr>
              <w:pStyle w:val="Normlny"/>
              <w:jc w:val="center"/>
            </w:pPr>
            <w:r w:rsidRPr="0011558D">
              <w:t xml:space="preserve"> (Č, §, O, V, P)</w:t>
            </w:r>
          </w:p>
        </w:tc>
        <w:tc>
          <w:tcPr>
            <w:tcW w:w="4498" w:type="dxa"/>
            <w:tcBorders>
              <w:top w:val="single" w:sz="4" w:space="0" w:color="auto"/>
              <w:left w:val="single" w:sz="4" w:space="0" w:color="auto"/>
              <w:bottom w:val="single" w:sz="4" w:space="0" w:color="auto"/>
              <w:right w:val="single" w:sz="4" w:space="0" w:color="auto"/>
            </w:tcBorders>
          </w:tcPr>
          <w:p w:rsidR="002729DC" w:rsidRPr="0011558D" w:rsidP="00507EA9">
            <w:pPr>
              <w:pStyle w:val="Normlny"/>
              <w:jc w:val="center"/>
            </w:pPr>
            <w:r w:rsidRPr="0011558D">
              <w:t>Tex</w:t>
            </w:r>
            <w:r w:rsidRPr="0011558D">
              <w:t>t</w:t>
            </w:r>
          </w:p>
        </w:tc>
        <w:tc>
          <w:tcPr>
            <w:tcW w:w="720" w:type="dxa"/>
            <w:tcBorders>
              <w:top w:val="single" w:sz="4" w:space="0" w:color="auto"/>
              <w:left w:val="single" w:sz="4" w:space="0" w:color="auto"/>
              <w:bottom w:val="single" w:sz="4" w:space="0" w:color="auto"/>
              <w:right w:val="single" w:sz="4" w:space="0" w:color="auto"/>
            </w:tcBorders>
          </w:tcPr>
          <w:p w:rsidR="002729DC" w:rsidRPr="0011558D" w:rsidP="00507EA9">
            <w:pPr>
              <w:pStyle w:val="Normlny"/>
              <w:jc w:val="center"/>
            </w:pPr>
            <w:r w:rsidRPr="0011558D">
              <w:t>Zhoda</w:t>
            </w:r>
          </w:p>
        </w:tc>
        <w:tc>
          <w:tcPr>
            <w:tcW w:w="1760" w:type="dxa"/>
            <w:tcBorders>
              <w:top w:val="single" w:sz="4" w:space="0" w:color="auto"/>
              <w:left w:val="single" w:sz="4" w:space="0" w:color="auto"/>
              <w:bottom w:val="single" w:sz="4" w:space="0" w:color="auto"/>
              <w:right w:val="single" w:sz="12" w:space="0" w:color="auto"/>
            </w:tcBorders>
          </w:tcPr>
          <w:p w:rsidR="002729DC" w:rsidRPr="0011558D" w:rsidP="00507EA9">
            <w:pPr>
              <w:pStyle w:val="Normlny"/>
              <w:jc w:val="center"/>
            </w:pPr>
            <w:r w:rsidRPr="0011558D">
              <w:t>Poznámky</w:t>
            </w:r>
          </w:p>
        </w:tc>
      </w:tr>
      <w:tr w:rsidTr="00A221A1">
        <w:tblPrEx>
          <w:tblW w:w="16160" w:type="dxa"/>
          <w:tblInd w:w="-524" w:type="dxa"/>
          <w:tblLayout w:type="fixed"/>
          <w:tblCellMar>
            <w:left w:w="43" w:type="dxa"/>
            <w:right w:w="43" w:type="dxa"/>
          </w:tblCellMar>
          <w:tblLook w:val="0000"/>
        </w:tblPrEx>
        <w:tc>
          <w:tcPr>
            <w:tcW w:w="897" w:type="dxa"/>
            <w:tcBorders>
              <w:top w:val="single" w:sz="4" w:space="0" w:color="auto"/>
              <w:left w:val="single" w:sz="12" w:space="0" w:color="auto"/>
              <w:bottom w:val="single" w:sz="4" w:space="0" w:color="auto"/>
              <w:right w:val="single" w:sz="4" w:space="0" w:color="auto"/>
            </w:tcBorders>
          </w:tcPr>
          <w:p w:rsidR="002729DC" w:rsidRPr="0011558D" w:rsidP="00507EA9">
            <w:pPr>
              <w:jc w:val="center"/>
              <w:rPr>
                <w:sz w:val="20"/>
                <w:szCs w:val="20"/>
              </w:rPr>
            </w:pPr>
            <w:r w:rsidRPr="0011558D">
              <w:rPr>
                <w:sz w:val="20"/>
                <w:szCs w:val="20"/>
              </w:rPr>
              <w:t>Č: 1</w:t>
            </w:r>
          </w:p>
          <w:p w:rsidR="00D81FCA" w:rsidRPr="0011558D" w:rsidP="00507EA9">
            <w:pPr>
              <w:jc w:val="center"/>
              <w:rPr>
                <w:sz w:val="20"/>
                <w:szCs w:val="20"/>
              </w:rPr>
            </w:pPr>
            <w:r w:rsidRPr="0011558D">
              <w:rPr>
                <w:sz w:val="20"/>
                <w:szCs w:val="20"/>
              </w:rPr>
              <w:t>O: 1</w:t>
            </w:r>
          </w:p>
        </w:tc>
        <w:tc>
          <w:tcPr>
            <w:tcW w:w="4500" w:type="dxa"/>
            <w:gridSpan w:val="2"/>
            <w:tcBorders>
              <w:top w:val="single" w:sz="4" w:space="0" w:color="auto"/>
              <w:left w:val="single" w:sz="4" w:space="0" w:color="auto"/>
              <w:bottom w:val="single" w:sz="4" w:space="0" w:color="auto"/>
              <w:right w:val="single" w:sz="4" w:space="0" w:color="auto"/>
            </w:tcBorders>
          </w:tcPr>
          <w:p w:rsidR="00DF3F10" w:rsidRPr="0011558D" w:rsidP="00DF3F10">
            <w:pPr>
              <w:pStyle w:val="Normlny"/>
            </w:pPr>
            <w:r w:rsidRPr="0011558D">
              <w:t>Účel</w:t>
            </w:r>
          </w:p>
          <w:p w:rsidR="002729DC" w:rsidRPr="0011558D" w:rsidP="00D81FCA">
            <w:pPr>
              <w:pStyle w:val="Normlny"/>
            </w:pPr>
            <w:r w:rsidRPr="0011558D" w:rsidR="00DF3F10">
              <w:t>1. Účelom te</w:t>
            </w:r>
            <w:r w:rsidRPr="0011558D" w:rsidR="00D81FCA">
              <w:t xml:space="preserve">jto smernice, ktorá je desiatou </w:t>
            </w:r>
            <w:r w:rsidRPr="0011558D" w:rsidR="00DF3F10">
              <w:t>samostatnou smernicou</w:t>
            </w:r>
            <w:r w:rsidRPr="0011558D" w:rsidR="00D81FCA">
              <w:t xml:space="preserve"> </w:t>
            </w:r>
            <w:r w:rsidRPr="0011558D" w:rsidR="00DF3F10">
              <w:t>v zmysle článku 16 ods. 1 smernice 89/391/EHS, je vykonávať</w:t>
            </w:r>
            <w:r w:rsidRPr="0011558D" w:rsidR="00D81FCA">
              <w:t xml:space="preserve"> </w:t>
            </w:r>
            <w:r w:rsidRPr="0011558D" w:rsidR="00DF3F10">
              <w:t>opatrenia na podporu zlepšenia bezpečnosti a ochrany zdravia pri</w:t>
            </w:r>
            <w:r w:rsidRPr="0011558D" w:rsidR="00D81FCA">
              <w:t xml:space="preserve"> práci tehotných pracovníčok, pracovníčok krátko po pôrode a dojčiacich pracovníčok.</w:t>
            </w:r>
          </w:p>
        </w:tc>
        <w:tc>
          <w:tcPr>
            <w:tcW w:w="1265" w:type="dxa"/>
            <w:tcBorders>
              <w:top w:val="single" w:sz="4" w:space="0" w:color="auto"/>
              <w:left w:val="single" w:sz="4" w:space="0" w:color="auto"/>
              <w:bottom w:val="single" w:sz="4" w:space="0" w:color="auto"/>
              <w:right w:val="single" w:sz="12" w:space="0" w:color="auto"/>
            </w:tcBorders>
          </w:tcPr>
          <w:p w:rsidR="002729DC" w:rsidRPr="0011558D" w:rsidP="00507EA9">
            <w:pPr>
              <w:jc w:val="center"/>
              <w:rPr>
                <w:sz w:val="20"/>
                <w:szCs w:val="20"/>
              </w:rPr>
            </w:pPr>
            <w:r w:rsidRPr="0011558D" w:rsidR="004637ED">
              <w:rPr>
                <w:sz w:val="20"/>
                <w:szCs w:val="20"/>
              </w:rPr>
              <w:t>N</w:t>
            </w:r>
          </w:p>
        </w:tc>
        <w:tc>
          <w:tcPr>
            <w:tcW w:w="1260" w:type="dxa"/>
            <w:tcBorders>
              <w:top w:val="single" w:sz="4" w:space="0" w:color="auto"/>
              <w:left w:val="nil"/>
              <w:bottom w:val="single" w:sz="4" w:space="0" w:color="auto"/>
              <w:right w:val="single" w:sz="4" w:space="0" w:color="auto"/>
            </w:tcBorders>
          </w:tcPr>
          <w:p w:rsidR="006321D2" w:rsidRPr="0011558D" w:rsidP="00507EA9">
            <w:pPr>
              <w:jc w:val="center"/>
              <w:rPr>
                <w:sz w:val="20"/>
                <w:szCs w:val="20"/>
              </w:rPr>
            </w:pPr>
            <w:r w:rsidRPr="0011558D">
              <w:rPr>
                <w:sz w:val="20"/>
                <w:szCs w:val="20"/>
              </w:rPr>
              <w:t>Zákon č. 281/2015 Z. z.</w:t>
            </w: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2729DC" w:rsidRPr="0011558D" w:rsidP="006B7BF1">
            <w:pPr>
              <w:jc w:val="center"/>
              <w:rPr>
                <w:b/>
                <w:sz w:val="20"/>
                <w:szCs w:val="20"/>
              </w:rPr>
            </w:pPr>
            <w:r w:rsidRPr="0011558D" w:rsidR="006B7BF1">
              <w:rPr>
                <w:b/>
                <w:sz w:val="20"/>
                <w:szCs w:val="20"/>
              </w:rPr>
              <w:t xml:space="preserve">Čl. I </w:t>
            </w:r>
            <w:r w:rsidRPr="0011558D" w:rsidR="00F82B1D">
              <w:rPr>
                <w:b/>
                <w:sz w:val="20"/>
                <w:szCs w:val="20"/>
              </w:rPr>
              <w:t>n</w:t>
            </w:r>
            <w:r w:rsidRPr="0011558D" w:rsidR="0052270D">
              <w:rPr>
                <w:b/>
                <w:sz w:val="20"/>
                <w:szCs w:val="20"/>
              </w:rPr>
              <w:t>ovel</w:t>
            </w:r>
            <w:r w:rsidRPr="0011558D" w:rsidR="006B7BF1">
              <w:rPr>
                <w:b/>
                <w:sz w:val="20"/>
                <w:szCs w:val="20"/>
              </w:rPr>
              <w:t>y</w:t>
            </w:r>
            <w:r w:rsidRPr="0011558D" w:rsidR="0052270D">
              <w:rPr>
                <w:b/>
                <w:sz w:val="20"/>
                <w:szCs w:val="20"/>
              </w:rPr>
              <w:t xml:space="preserve"> zákona č. 281/2015 Z. z.</w:t>
            </w:r>
          </w:p>
        </w:tc>
        <w:tc>
          <w:tcPr>
            <w:tcW w:w="1260" w:type="dxa"/>
            <w:tcBorders>
              <w:top w:val="single" w:sz="4" w:space="0" w:color="auto"/>
              <w:left w:val="single" w:sz="4" w:space="0" w:color="auto"/>
              <w:bottom w:val="single" w:sz="4" w:space="0" w:color="auto"/>
              <w:right w:val="single" w:sz="4" w:space="0" w:color="auto"/>
            </w:tcBorders>
          </w:tcPr>
          <w:p w:rsidR="006321D2" w:rsidRPr="0011558D" w:rsidP="006321D2">
            <w:pPr>
              <w:pStyle w:val="Normlny"/>
              <w:jc w:val="center"/>
            </w:pPr>
            <w:r w:rsidRPr="0011558D">
              <w:t>§ 70</w:t>
            </w:r>
          </w:p>
          <w:p w:rsidR="006321D2" w:rsidRPr="0011558D" w:rsidP="006321D2">
            <w:pPr>
              <w:pStyle w:val="Normlny"/>
              <w:jc w:val="center"/>
            </w:pPr>
            <w:r w:rsidRPr="0011558D">
              <w:t>O: 1</w:t>
            </w:r>
          </w:p>
          <w:p w:rsidR="006321D2" w:rsidRPr="0011558D" w:rsidP="006321D2">
            <w:pPr>
              <w:pStyle w:val="Normlny"/>
              <w:jc w:val="center"/>
            </w:pPr>
            <w:r w:rsidRPr="0011558D">
              <w:t>O: 2</w:t>
            </w:r>
          </w:p>
          <w:p w:rsidR="006321D2" w:rsidRPr="0011558D" w:rsidP="006321D2">
            <w:pPr>
              <w:pStyle w:val="Normlny"/>
              <w:jc w:val="center"/>
            </w:pPr>
            <w:r w:rsidRPr="0011558D">
              <w:t>O: 3</w:t>
            </w:r>
          </w:p>
          <w:p w:rsidR="006321D2" w:rsidRPr="0011558D" w:rsidP="006321D2">
            <w:pPr>
              <w:pStyle w:val="Normlny"/>
              <w:jc w:val="center"/>
            </w:pPr>
            <w:r w:rsidRPr="0011558D">
              <w:t>O: 4</w:t>
            </w:r>
          </w:p>
          <w:p w:rsidR="006321D2" w:rsidRPr="0011558D" w:rsidP="006321D2">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6321D2" w:rsidRPr="0011558D" w:rsidP="00507EA9">
            <w:pPr>
              <w:pStyle w:val="Normlny"/>
              <w:jc w:val="center"/>
            </w:pPr>
          </w:p>
          <w:p w:rsidR="00E40DE2" w:rsidRPr="0011558D" w:rsidP="00507EA9">
            <w:pPr>
              <w:pStyle w:val="Normlny"/>
              <w:jc w:val="center"/>
            </w:pPr>
            <w:r w:rsidRPr="0011558D">
              <w:t>§ 172</w:t>
            </w:r>
          </w:p>
          <w:p w:rsidR="00E40DE2" w:rsidRPr="0011558D" w:rsidP="00507EA9">
            <w:pPr>
              <w:pStyle w:val="Normlny"/>
              <w:jc w:val="center"/>
            </w:pPr>
          </w:p>
          <w:p w:rsidR="008914A0" w:rsidRPr="0011558D" w:rsidP="00507EA9">
            <w:pPr>
              <w:pStyle w:val="Normlny"/>
              <w:jc w:val="center"/>
            </w:pPr>
          </w:p>
          <w:p w:rsidR="00E40DE2" w:rsidRPr="0011558D" w:rsidP="003513BF">
            <w:pPr>
              <w:pStyle w:val="Normlny"/>
              <w:jc w:val="center"/>
            </w:pPr>
          </w:p>
        </w:tc>
        <w:tc>
          <w:tcPr>
            <w:tcW w:w="4498" w:type="dxa"/>
            <w:tcBorders>
              <w:top w:val="single" w:sz="4" w:space="0" w:color="auto"/>
              <w:left w:val="single" w:sz="4" w:space="0" w:color="auto"/>
              <w:bottom w:val="single" w:sz="4" w:space="0" w:color="auto"/>
              <w:right w:val="single" w:sz="4" w:space="0" w:color="auto"/>
            </w:tcBorders>
          </w:tcPr>
          <w:p w:rsidR="006321D2" w:rsidRPr="0011558D" w:rsidP="006321D2">
            <w:pPr>
              <w:ind w:firstLine="567"/>
              <w:contextualSpacing/>
              <w:jc w:val="both"/>
              <w:rPr>
                <w:sz w:val="20"/>
                <w:szCs w:val="20"/>
                <w:lang w:eastAsia="cs-CZ"/>
              </w:rPr>
            </w:pPr>
            <w:r w:rsidRPr="0011558D">
              <w:rPr>
                <w:sz w:val="20"/>
                <w:szCs w:val="20"/>
                <w:lang w:eastAsia="cs-CZ"/>
              </w:rPr>
              <w:t>(1) Služobný úrad preruší tehotnej profesionálnej vojačke výkon funkcie, ak činnosti vyplývajúce z funkcie sú tehotným profesionálnym vojačkám zakázané alebo ktoré podľa lekárskeho posudku ohrozujú jej tehotenstvo a ak ju nemožno ustanoviť do inej vhodnej funkcie; to platí rovnako o matke do konca deviateho mesiaca po pôrode a o dojčiacej profesionálnej vojačke.</w:t>
            </w:r>
          </w:p>
          <w:p w:rsidR="006321D2" w:rsidRPr="0011558D" w:rsidP="006321D2">
            <w:pPr>
              <w:ind w:firstLine="567"/>
              <w:contextualSpacing/>
              <w:jc w:val="both"/>
              <w:rPr>
                <w:sz w:val="20"/>
                <w:szCs w:val="20"/>
                <w:lang w:eastAsia="cs-CZ"/>
              </w:rPr>
            </w:pPr>
            <w:r w:rsidRPr="0011558D">
              <w:rPr>
                <w:sz w:val="20"/>
                <w:szCs w:val="20"/>
                <w:lang w:eastAsia="cs-CZ"/>
              </w:rPr>
              <w:t>(2) Profesionálna vojačka počas prerušenia výkonu funkcie vykonáva podľa rozhodnutia veliteľa činnosti, ktorých výkon nie je tehotným profesionálnym vojačkám zakázaný alebo ktoré neohrozujú jej tehotenstvo.</w:t>
            </w:r>
          </w:p>
          <w:p w:rsidR="006321D2" w:rsidRPr="0011558D" w:rsidP="006321D2">
            <w:pPr>
              <w:ind w:firstLine="567"/>
              <w:contextualSpacing/>
              <w:jc w:val="both"/>
              <w:rPr>
                <w:sz w:val="20"/>
                <w:szCs w:val="20"/>
                <w:lang w:eastAsia="cs-CZ"/>
              </w:rPr>
            </w:pPr>
            <w:r w:rsidRPr="0011558D">
              <w:rPr>
                <w:sz w:val="20"/>
                <w:szCs w:val="20"/>
                <w:lang w:eastAsia="cs-CZ"/>
              </w:rPr>
              <w:t xml:space="preserve">(3) Za inú vhodnú funkciu podľa odseku 1 sa považuje funkcia v tom istom služobnom úrade a v tom istom mieste výkonu štátnej služby, do ktorej možno profesionálnu vojačku ustanoviť podľa § 64 alebo § 65, a ktorá nie je tehotným profesionálnym vojačkám zakázaná alebo ktorá neohrozuje tehotenstvo profesionálnej vojačky.  </w:t>
            </w:r>
          </w:p>
          <w:p w:rsidR="006321D2" w:rsidRPr="0011558D" w:rsidP="006321D2">
            <w:pPr>
              <w:ind w:firstLine="567"/>
              <w:contextualSpacing/>
              <w:jc w:val="both"/>
              <w:rPr>
                <w:sz w:val="20"/>
                <w:szCs w:val="20"/>
                <w:lang w:eastAsia="cs-CZ"/>
              </w:rPr>
            </w:pPr>
            <w:r w:rsidRPr="0011558D">
              <w:rPr>
                <w:sz w:val="20"/>
                <w:szCs w:val="20"/>
                <w:lang w:eastAsia="cs-CZ"/>
              </w:rPr>
              <w:t>(4) Ak pominú dôvody podľa odseku 1, prerušenie výkonu funkcie služobný úrad skončí.</w:t>
            </w:r>
          </w:p>
          <w:p w:rsidR="006321D2" w:rsidRPr="0011558D" w:rsidP="008914A0">
            <w:pPr>
              <w:ind w:firstLine="567"/>
              <w:contextualSpacing/>
              <w:jc w:val="both"/>
              <w:rPr>
                <w:sz w:val="20"/>
                <w:szCs w:val="20"/>
                <w:lang w:eastAsia="cs-CZ"/>
              </w:rPr>
            </w:pPr>
          </w:p>
          <w:p w:rsidR="008914A0" w:rsidRPr="0011558D" w:rsidP="008914A0">
            <w:pPr>
              <w:ind w:firstLine="567"/>
              <w:contextualSpacing/>
              <w:jc w:val="both"/>
              <w:rPr>
                <w:b/>
                <w:sz w:val="20"/>
                <w:szCs w:val="20"/>
                <w:lang w:eastAsia="cs-CZ"/>
              </w:rPr>
            </w:pPr>
            <w:r w:rsidRPr="0011558D">
              <w:rPr>
                <w:b/>
                <w:sz w:val="20"/>
                <w:szCs w:val="20"/>
                <w:lang w:eastAsia="cs-CZ"/>
              </w:rPr>
              <w:t>Profesionálnej vojačke počas prerušenia výkonu funkcie patrí služobný plat, ktorý by jej patril, ak by jej výko</w:t>
            </w:r>
            <w:r w:rsidRPr="0011558D">
              <w:rPr>
                <w:b/>
                <w:sz w:val="20"/>
                <w:szCs w:val="20"/>
                <w:lang w:eastAsia="cs-CZ"/>
              </w:rPr>
              <w:t>n funkcie nebol prerušený.</w:t>
            </w:r>
          </w:p>
          <w:p w:rsidR="002729DC" w:rsidRPr="0011558D" w:rsidP="003B79D1">
            <w:pPr>
              <w:ind w:firstLine="342"/>
              <w:jc w:val="both"/>
              <w:rPr>
                <w:b/>
              </w:rPr>
            </w:pPr>
          </w:p>
          <w:p w:rsidR="008914A0" w:rsidRPr="0011558D" w:rsidP="008914A0">
            <w:pPr>
              <w:ind w:firstLine="567"/>
              <w:contextualSpacing/>
              <w:jc w:val="both"/>
            </w:pPr>
          </w:p>
        </w:tc>
        <w:tc>
          <w:tcPr>
            <w:tcW w:w="720" w:type="dxa"/>
            <w:tcBorders>
              <w:top w:val="single" w:sz="4" w:space="0" w:color="auto"/>
              <w:left w:val="single" w:sz="4" w:space="0" w:color="auto"/>
              <w:bottom w:val="single" w:sz="4" w:space="0" w:color="auto"/>
              <w:right w:val="single" w:sz="4" w:space="0" w:color="auto"/>
            </w:tcBorders>
          </w:tcPr>
          <w:p w:rsidR="002729DC" w:rsidRPr="0011558D" w:rsidP="00507EA9">
            <w:pPr>
              <w:jc w:val="center"/>
              <w:rPr>
                <w:sz w:val="20"/>
                <w:szCs w:val="20"/>
              </w:rPr>
            </w:pPr>
            <w:r w:rsidRPr="0011558D" w:rsidR="0054631C">
              <w:rPr>
                <w:sz w:val="20"/>
                <w:szCs w:val="20"/>
              </w:rPr>
              <w:t>Ú</w:t>
            </w:r>
          </w:p>
        </w:tc>
        <w:tc>
          <w:tcPr>
            <w:tcW w:w="1760" w:type="dxa"/>
            <w:tcBorders>
              <w:top w:val="single" w:sz="4" w:space="0" w:color="auto"/>
              <w:left w:val="single" w:sz="4" w:space="0" w:color="auto"/>
              <w:bottom w:val="single" w:sz="4" w:space="0" w:color="auto"/>
              <w:right w:val="single" w:sz="12" w:space="0" w:color="auto"/>
            </w:tcBorders>
          </w:tcPr>
          <w:p w:rsidR="002729DC" w:rsidRPr="0011558D" w:rsidP="00507EA9">
            <w:pPr>
              <w:pStyle w:val="Heading1"/>
              <w:rPr>
                <w:b w:val="0"/>
                <w:bCs w:val="0"/>
                <w:sz w:val="20"/>
                <w:szCs w:val="20"/>
              </w:rPr>
            </w:pPr>
          </w:p>
        </w:tc>
      </w:tr>
      <w:tr w:rsidTr="00A221A1">
        <w:tblPrEx>
          <w:tblW w:w="16160" w:type="dxa"/>
          <w:tblInd w:w="-524" w:type="dxa"/>
          <w:tblLayout w:type="fixed"/>
          <w:tblCellMar>
            <w:left w:w="43" w:type="dxa"/>
            <w:right w:w="43" w:type="dxa"/>
          </w:tblCellMar>
          <w:tblLook w:val="0000"/>
        </w:tblPrEx>
        <w:tc>
          <w:tcPr>
            <w:tcW w:w="897" w:type="dxa"/>
            <w:tcBorders>
              <w:top w:val="single" w:sz="4" w:space="0" w:color="auto"/>
              <w:left w:val="single" w:sz="12" w:space="0" w:color="auto"/>
              <w:bottom w:val="single" w:sz="4" w:space="0" w:color="auto"/>
              <w:right w:val="single" w:sz="4" w:space="0" w:color="auto"/>
            </w:tcBorders>
          </w:tcPr>
          <w:p w:rsidR="002729DC" w:rsidRPr="0011558D" w:rsidP="00507EA9">
            <w:pPr>
              <w:jc w:val="center"/>
              <w:rPr>
                <w:sz w:val="20"/>
                <w:szCs w:val="20"/>
              </w:rPr>
            </w:pPr>
            <w:r w:rsidRPr="0011558D" w:rsidR="00744E94">
              <w:rPr>
                <w:sz w:val="20"/>
                <w:szCs w:val="20"/>
              </w:rPr>
              <w:t>Č: 4</w:t>
            </w:r>
          </w:p>
          <w:p w:rsidR="002729DC" w:rsidRPr="0011558D" w:rsidP="00507EA9">
            <w:pPr>
              <w:jc w:val="center"/>
              <w:rPr>
                <w:sz w:val="20"/>
                <w:szCs w:val="20"/>
              </w:rPr>
            </w:pPr>
            <w:r w:rsidRPr="0011558D">
              <w:rPr>
                <w:sz w:val="20"/>
                <w:szCs w:val="20"/>
              </w:rPr>
              <w:t>O: 1</w:t>
            </w:r>
          </w:p>
        </w:tc>
        <w:tc>
          <w:tcPr>
            <w:tcW w:w="4500" w:type="dxa"/>
            <w:gridSpan w:val="2"/>
            <w:tcBorders>
              <w:top w:val="single" w:sz="4" w:space="0" w:color="auto"/>
              <w:left w:val="single" w:sz="4" w:space="0" w:color="auto"/>
              <w:bottom w:val="single" w:sz="4" w:space="0" w:color="auto"/>
              <w:right w:val="single" w:sz="4" w:space="0" w:color="auto"/>
            </w:tcBorders>
          </w:tcPr>
          <w:p w:rsidR="00744E94" w:rsidRPr="0011558D" w:rsidP="00744E94">
            <w:pPr>
              <w:autoSpaceDE w:val="0"/>
              <w:autoSpaceDN w:val="0"/>
              <w:adjustRightInd w:val="0"/>
              <w:rPr>
                <w:sz w:val="20"/>
                <w:szCs w:val="20"/>
              </w:rPr>
            </w:pPr>
            <w:r w:rsidRPr="0011558D">
              <w:rPr>
                <w:sz w:val="20"/>
                <w:szCs w:val="20"/>
              </w:rPr>
              <w:t>Hodnotenie a informovanie</w:t>
            </w:r>
          </w:p>
          <w:p w:rsidR="002729DC" w:rsidRPr="0011558D" w:rsidP="00744E94">
            <w:pPr>
              <w:autoSpaceDE w:val="0"/>
              <w:autoSpaceDN w:val="0"/>
              <w:adjustRightInd w:val="0"/>
              <w:rPr>
                <w:sz w:val="20"/>
                <w:szCs w:val="20"/>
              </w:rPr>
            </w:pPr>
            <w:r w:rsidRPr="0011558D" w:rsidR="00744E94">
              <w:rPr>
                <w:sz w:val="20"/>
                <w:szCs w:val="20"/>
              </w:rPr>
              <w:t>1. Pri všetkých činnostiach, ktoré môžu byť spojené so špecifickým rizikom vystavenia látkam a vplyvom, procesom alebo pracovným podmienkam, ktorých neúplný zoznam je uvedený v prílohe I, zamestnávateľ zhodnotí charakter, stupeň a trvanie takéhoto vystavenia pracovníčok v zmysle článku 2 v príslušnom podniku alebo závode, a to buď</w:t>
            </w:r>
            <w:r w:rsidRPr="0011558D" w:rsidR="00020D1F">
              <w:rPr>
                <w:sz w:val="20"/>
                <w:szCs w:val="20"/>
              </w:rPr>
              <w:t xml:space="preserve"> </w:t>
            </w:r>
            <w:r w:rsidRPr="0011558D" w:rsidR="00744E94">
              <w:rPr>
                <w:sz w:val="20"/>
                <w:szCs w:val="20"/>
              </w:rPr>
              <w:t>priamo, alebo prostredníctvom ochranných a preventívnych služieb uvedených v článku 7 smernice 89/391/EHS s tý</w:t>
            </w:r>
            <w:r w:rsidRPr="0011558D" w:rsidR="00744E94">
              <w:rPr>
                <w:sz w:val="20"/>
                <w:szCs w:val="20"/>
              </w:rPr>
              <w:t>m, aby:</w:t>
            </w:r>
          </w:p>
          <w:p w:rsidR="00744E94" w:rsidRPr="0011558D" w:rsidP="00744E94">
            <w:pPr>
              <w:autoSpaceDE w:val="0"/>
              <w:autoSpaceDN w:val="0"/>
              <w:adjustRightInd w:val="0"/>
              <w:rPr>
                <w:sz w:val="20"/>
                <w:szCs w:val="20"/>
              </w:rPr>
            </w:pPr>
            <w:r w:rsidRPr="0011558D">
              <w:rPr>
                <w:sz w:val="20"/>
                <w:szCs w:val="20"/>
              </w:rPr>
              <w:t>— vyhodnotil všetky riziká pre bezpečnosť alebo zdravie a všetky možné účinky na tehotenstvo alebo dojčenie pracovníčok v zmysle článku 2,</w:t>
            </w:r>
          </w:p>
          <w:p w:rsidR="00744E94" w:rsidRPr="0011558D" w:rsidP="00744E94">
            <w:pPr>
              <w:autoSpaceDE w:val="0"/>
              <w:autoSpaceDN w:val="0"/>
              <w:adjustRightInd w:val="0"/>
              <w:rPr>
                <w:sz w:val="20"/>
                <w:szCs w:val="20"/>
              </w:rPr>
            </w:pPr>
            <w:r w:rsidRPr="0011558D">
              <w:rPr>
                <w:sz w:val="20"/>
                <w:szCs w:val="20"/>
              </w:rPr>
              <w:t>— rozhodol o tom, aké opatrenia treba prijať.</w:t>
            </w:r>
          </w:p>
        </w:tc>
        <w:tc>
          <w:tcPr>
            <w:tcW w:w="1265" w:type="dxa"/>
            <w:tcBorders>
              <w:top w:val="single" w:sz="4" w:space="0" w:color="auto"/>
              <w:left w:val="single" w:sz="4" w:space="0" w:color="auto"/>
              <w:bottom w:val="single" w:sz="4" w:space="0" w:color="auto"/>
              <w:right w:val="single" w:sz="12" w:space="0" w:color="auto"/>
            </w:tcBorders>
          </w:tcPr>
          <w:p w:rsidR="002729DC" w:rsidRPr="0011558D" w:rsidP="007D145B">
            <w:pPr>
              <w:autoSpaceDE w:val="0"/>
              <w:autoSpaceDN w:val="0"/>
              <w:adjustRightInd w:val="0"/>
              <w:jc w:val="center"/>
              <w:rPr>
                <w:sz w:val="20"/>
                <w:szCs w:val="20"/>
              </w:rPr>
            </w:pPr>
            <w:r w:rsidRPr="0011558D" w:rsidR="007D145B">
              <w:rPr>
                <w:sz w:val="20"/>
                <w:szCs w:val="20"/>
              </w:rPr>
              <w:t>N</w:t>
            </w:r>
          </w:p>
        </w:tc>
        <w:tc>
          <w:tcPr>
            <w:tcW w:w="1260" w:type="dxa"/>
            <w:tcBorders>
              <w:top w:val="single" w:sz="4" w:space="0" w:color="auto"/>
              <w:left w:val="nil"/>
              <w:bottom w:val="single" w:sz="4" w:space="0" w:color="auto"/>
              <w:right w:val="single" w:sz="4" w:space="0" w:color="auto"/>
            </w:tcBorders>
          </w:tcPr>
          <w:p w:rsidR="006321D2" w:rsidRPr="0011558D" w:rsidP="00507EA9">
            <w:pPr>
              <w:jc w:val="center"/>
              <w:rPr>
                <w:sz w:val="20"/>
                <w:szCs w:val="20"/>
              </w:rPr>
            </w:pPr>
            <w:r w:rsidRPr="0011558D">
              <w:rPr>
                <w:sz w:val="20"/>
                <w:szCs w:val="20"/>
              </w:rPr>
              <w:t>Zákon č. 281/2015 Z. z.</w:t>
            </w: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6321D2" w:rsidRPr="0011558D" w:rsidP="00507EA9">
            <w:pPr>
              <w:jc w:val="center"/>
              <w:rPr>
                <w:sz w:val="20"/>
                <w:szCs w:val="20"/>
              </w:rPr>
            </w:pPr>
          </w:p>
          <w:p w:rsidR="002729DC" w:rsidRPr="0011558D" w:rsidP="00507EA9">
            <w:pPr>
              <w:jc w:val="center"/>
              <w:rPr>
                <w:b/>
                <w:sz w:val="20"/>
                <w:szCs w:val="20"/>
              </w:rPr>
            </w:pPr>
            <w:r w:rsidRPr="0011558D" w:rsidR="00AD3B5E">
              <w:rPr>
                <w:b/>
                <w:sz w:val="20"/>
                <w:szCs w:val="20"/>
              </w:rPr>
              <w:t>Č</w:t>
            </w:r>
            <w:r w:rsidRPr="0011558D" w:rsidR="00AD3B5E">
              <w:rPr>
                <w:b/>
                <w:sz w:val="20"/>
                <w:szCs w:val="20"/>
              </w:rPr>
              <w:t xml:space="preserve">l. I – </w:t>
            </w:r>
            <w:r w:rsidRPr="0011558D" w:rsidR="00F82B1D">
              <w:rPr>
                <w:b/>
                <w:sz w:val="20"/>
                <w:szCs w:val="20"/>
              </w:rPr>
              <w:t>n</w:t>
            </w:r>
            <w:r w:rsidRPr="0011558D" w:rsidR="003513BF">
              <w:rPr>
                <w:b/>
                <w:sz w:val="20"/>
                <w:szCs w:val="20"/>
              </w:rPr>
              <w:t>ovel</w:t>
            </w:r>
            <w:r w:rsidRPr="0011558D" w:rsidR="00AD3B5E">
              <w:rPr>
                <w:b/>
                <w:sz w:val="20"/>
                <w:szCs w:val="20"/>
              </w:rPr>
              <w:t>y</w:t>
            </w:r>
            <w:r w:rsidRPr="0011558D" w:rsidR="003513BF">
              <w:rPr>
                <w:b/>
                <w:sz w:val="20"/>
                <w:szCs w:val="20"/>
              </w:rPr>
              <w:t xml:space="preserve"> zákona č. 281/2015 Z. z.</w:t>
            </w:r>
          </w:p>
          <w:p w:rsidR="00F82B1D" w:rsidRPr="0011558D" w:rsidP="00507EA9">
            <w:pPr>
              <w:jc w:val="center"/>
              <w:rPr>
                <w:b/>
                <w:sz w:val="20"/>
                <w:szCs w:val="20"/>
              </w:rPr>
            </w:pPr>
          </w:p>
          <w:p w:rsidR="00F82B1D" w:rsidRPr="0011558D" w:rsidP="00507EA9">
            <w:pPr>
              <w:jc w:val="center"/>
              <w:rPr>
                <w:sz w:val="20"/>
                <w:szCs w:val="20"/>
              </w:rPr>
            </w:pPr>
            <w:r w:rsidRPr="0011558D">
              <w:rPr>
                <w:sz w:val="20"/>
                <w:szCs w:val="20"/>
              </w:rPr>
              <w:t>Zákon č. 281/2015 Z. z.</w:t>
            </w:r>
          </w:p>
        </w:tc>
        <w:tc>
          <w:tcPr>
            <w:tcW w:w="1260" w:type="dxa"/>
            <w:tcBorders>
              <w:top w:val="single" w:sz="4" w:space="0" w:color="auto"/>
              <w:left w:val="single" w:sz="4" w:space="0" w:color="auto"/>
              <w:bottom w:val="single" w:sz="4" w:space="0" w:color="auto"/>
              <w:right w:val="single" w:sz="4" w:space="0" w:color="auto"/>
            </w:tcBorders>
          </w:tcPr>
          <w:p w:rsidR="006321D2" w:rsidRPr="0011558D" w:rsidP="00F82B1D">
            <w:pPr>
              <w:pStyle w:val="Normlny"/>
              <w:jc w:val="center"/>
            </w:pPr>
            <w:r w:rsidRPr="0011558D">
              <w:t>§ 9</w:t>
            </w:r>
          </w:p>
          <w:p w:rsidR="006321D2" w:rsidRPr="0011558D" w:rsidP="00F82B1D">
            <w:pPr>
              <w:pStyle w:val="Normlny"/>
              <w:jc w:val="center"/>
            </w:pPr>
            <w:r w:rsidRPr="0011558D">
              <w:t>P: c)</w:t>
            </w:r>
          </w:p>
          <w:p w:rsidR="006321D2" w:rsidRPr="0011558D" w:rsidP="00F82B1D">
            <w:pPr>
              <w:pStyle w:val="Normlny"/>
              <w:jc w:val="center"/>
            </w:pPr>
            <w:r w:rsidRPr="0011558D">
              <w:t xml:space="preserve">P: e) </w:t>
            </w: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r w:rsidRPr="0011558D">
              <w:t>§ 70</w:t>
            </w:r>
          </w:p>
          <w:p w:rsidR="006321D2" w:rsidRPr="0011558D" w:rsidP="00F82B1D">
            <w:pPr>
              <w:pStyle w:val="Normlny"/>
              <w:jc w:val="center"/>
            </w:pPr>
            <w:r w:rsidRPr="0011558D">
              <w:t>O: 1</w:t>
            </w:r>
          </w:p>
          <w:p w:rsidR="006321D2" w:rsidRPr="0011558D" w:rsidP="00F82B1D">
            <w:pPr>
              <w:pStyle w:val="Normlny"/>
              <w:jc w:val="center"/>
            </w:pPr>
            <w:r w:rsidRPr="0011558D">
              <w:t>O: 2</w:t>
            </w:r>
          </w:p>
          <w:p w:rsidR="006321D2" w:rsidRPr="0011558D" w:rsidP="00F82B1D">
            <w:pPr>
              <w:pStyle w:val="Normlny"/>
              <w:jc w:val="center"/>
            </w:pPr>
            <w:r w:rsidRPr="0011558D">
              <w:t>O: 3</w:t>
            </w:r>
          </w:p>
          <w:p w:rsidR="006321D2" w:rsidRPr="0011558D" w:rsidP="00F82B1D">
            <w:pPr>
              <w:pStyle w:val="Normlny"/>
              <w:jc w:val="center"/>
            </w:pPr>
            <w:r w:rsidRPr="0011558D">
              <w:t>O: 4</w:t>
            </w: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6321D2" w:rsidRPr="0011558D" w:rsidP="00F82B1D">
            <w:pPr>
              <w:pStyle w:val="Normlny"/>
              <w:jc w:val="center"/>
            </w:pPr>
          </w:p>
          <w:p w:rsidR="00E40DE2" w:rsidRPr="0011558D" w:rsidP="00F82B1D">
            <w:pPr>
              <w:pStyle w:val="Normlny"/>
              <w:jc w:val="center"/>
            </w:pPr>
            <w:r w:rsidRPr="0011558D">
              <w:t>§ 172</w:t>
            </w:r>
          </w:p>
          <w:p w:rsidR="00E40DE2" w:rsidRPr="0011558D" w:rsidP="00F82B1D">
            <w:pPr>
              <w:pStyle w:val="Normlny"/>
              <w:jc w:val="center"/>
            </w:pPr>
          </w:p>
          <w:p w:rsidR="00F82B1D" w:rsidRPr="0011558D" w:rsidP="00F82B1D">
            <w:pPr>
              <w:pStyle w:val="Normlny"/>
              <w:jc w:val="center"/>
            </w:pPr>
          </w:p>
          <w:p w:rsidR="00F82B1D" w:rsidRPr="0011558D" w:rsidP="00F82B1D">
            <w:pPr>
              <w:pStyle w:val="Normlny"/>
              <w:jc w:val="center"/>
            </w:pPr>
          </w:p>
          <w:p w:rsidR="00F82B1D" w:rsidRPr="0011558D" w:rsidP="00F82B1D">
            <w:pPr>
              <w:pStyle w:val="Normlny"/>
              <w:jc w:val="center"/>
            </w:pPr>
          </w:p>
          <w:p w:rsidR="00F82B1D" w:rsidRPr="0011558D" w:rsidP="00F82B1D">
            <w:pPr>
              <w:pStyle w:val="Normlny"/>
              <w:jc w:val="center"/>
            </w:pPr>
            <w:r w:rsidRPr="0011558D">
              <w:t>§ 112</w:t>
            </w:r>
          </w:p>
          <w:p w:rsidR="00F82B1D" w:rsidRPr="0011558D" w:rsidP="00F82B1D">
            <w:pPr>
              <w:pStyle w:val="Normlny"/>
              <w:jc w:val="center"/>
            </w:pPr>
            <w:r w:rsidRPr="0011558D">
              <w:t>O: 1</w:t>
            </w:r>
          </w:p>
          <w:p w:rsidR="00F82B1D" w:rsidRPr="0011558D" w:rsidP="00F82B1D">
            <w:pPr>
              <w:pStyle w:val="Normlny"/>
              <w:jc w:val="center"/>
            </w:pPr>
            <w:r w:rsidRPr="0011558D">
              <w:t>O: 2</w:t>
            </w:r>
          </w:p>
          <w:p w:rsidR="00F82B1D" w:rsidRPr="0011558D" w:rsidP="00F82B1D">
            <w:pPr>
              <w:pStyle w:val="Normlny"/>
              <w:jc w:val="center"/>
            </w:pPr>
            <w:r w:rsidRPr="0011558D">
              <w:t>O: 3</w:t>
            </w:r>
          </w:p>
          <w:p w:rsidR="00F82B1D" w:rsidRPr="0011558D" w:rsidP="00F82B1D">
            <w:pPr>
              <w:pStyle w:val="Normlny"/>
              <w:jc w:val="center"/>
            </w:pPr>
            <w:r w:rsidRPr="0011558D">
              <w:t>O: 4</w:t>
            </w:r>
          </w:p>
          <w:p w:rsidR="00F82B1D" w:rsidRPr="0011558D" w:rsidP="00F82B1D">
            <w:pPr>
              <w:pStyle w:val="Normlny"/>
              <w:jc w:val="center"/>
            </w:pPr>
            <w:r w:rsidRPr="0011558D">
              <w:t>O: 5</w:t>
            </w:r>
          </w:p>
          <w:p w:rsidR="00F82B1D" w:rsidRPr="0011558D" w:rsidP="00F82B1D">
            <w:pPr>
              <w:pStyle w:val="Normlny"/>
              <w:jc w:val="center"/>
            </w:pPr>
            <w:r w:rsidRPr="0011558D">
              <w:t>O: 6</w:t>
            </w:r>
          </w:p>
          <w:p w:rsidR="00E40DE2" w:rsidRPr="0011558D" w:rsidP="00F82B1D">
            <w:pPr>
              <w:pStyle w:val="Normlny"/>
              <w:jc w:val="center"/>
            </w:pPr>
          </w:p>
          <w:p w:rsidR="007D145B" w:rsidRPr="0011558D" w:rsidP="007D145B">
            <w:pPr>
              <w:pStyle w:val="Normlny"/>
              <w:jc w:val="center"/>
            </w:pPr>
          </w:p>
        </w:tc>
        <w:tc>
          <w:tcPr>
            <w:tcW w:w="4498" w:type="dxa"/>
            <w:tcBorders>
              <w:top w:val="single" w:sz="4" w:space="0" w:color="auto"/>
              <w:left w:val="single" w:sz="4" w:space="0" w:color="auto"/>
              <w:bottom w:val="single" w:sz="4" w:space="0" w:color="auto"/>
              <w:right w:val="single" w:sz="4" w:space="0" w:color="auto"/>
            </w:tcBorders>
          </w:tcPr>
          <w:p w:rsidR="006321D2" w:rsidRPr="0011558D" w:rsidP="006321D2">
            <w:pPr>
              <w:ind w:firstLine="567"/>
              <w:contextualSpacing/>
              <w:jc w:val="both"/>
              <w:rPr>
                <w:sz w:val="20"/>
                <w:szCs w:val="20"/>
                <w:lang w:eastAsia="cs-CZ"/>
              </w:rPr>
            </w:pPr>
            <w:r w:rsidRPr="0011558D">
              <w:rPr>
                <w:sz w:val="20"/>
                <w:szCs w:val="20"/>
                <w:lang w:eastAsia="cs-CZ"/>
              </w:rPr>
              <w:t>Veliteľ je povinný</w:t>
            </w:r>
          </w:p>
          <w:p w:rsidR="006321D2" w:rsidRPr="0011558D" w:rsidP="006321D2">
            <w:pPr>
              <w:ind w:firstLine="567"/>
              <w:contextualSpacing/>
              <w:jc w:val="both"/>
              <w:rPr>
                <w:sz w:val="20"/>
                <w:szCs w:val="20"/>
                <w:lang w:eastAsia="cs-CZ"/>
              </w:rPr>
            </w:pPr>
            <w:r w:rsidRPr="0011558D">
              <w:rPr>
                <w:sz w:val="20"/>
                <w:szCs w:val="20"/>
                <w:lang w:eastAsia="cs-CZ"/>
              </w:rPr>
              <w:t xml:space="preserve">c) vytvárať podriadeným profesionálnym vojakom podmienky na riadny výkon štátnej služby, najmä zabezpečovať materiálne a technické podmienky pracoviska vrátane osobných ochranných pracovných prostriedkov nevyhnutných na riadny a bezpečný výkon štátnej služby, </w:t>
            </w:r>
          </w:p>
          <w:p w:rsidR="006321D2" w:rsidRPr="0011558D" w:rsidP="006321D2">
            <w:pPr>
              <w:ind w:firstLine="567"/>
              <w:contextualSpacing/>
              <w:jc w:val="both"/>
              <w:rPr>
                <w:sz w:val="20"/>
                <w:szCs w:val="20"/>
                <w:lang w:eastAsia="cs-CZ"/>
              </w:rPr>
            </w:pPr>
            <w:r w:rsidRPr="0011558D">
              <w:rPr>
                <w:sz w:val="20"/>
                <w:szCs w:val="20"/>
                <w:lang w:eastAsia="cs-CZ"/>
              </w:rPr>
              <w:t>e) zaisťovať bezpečnosť a ochranu zdravia podriadených profesionálnych vojakov pri výkone štátnej služby a kontrolovať dodržiavanie predpisov v oblasti bezpečnosti a ochrany zdravia pri výkone štátnej služby a v oblasti prevádzky technických zariadení; ak veliteľ zistí nedostatky, je povinný urobiť opat</w:t>
            </w:r>
            <w:r w:rsidRPr="0011558D">
              <w:rPr>
                <w:sz w:val="20"/>
                <w:szCs w:val="20"/>
                <w:lang w:eastAsia="cs-CZ"/>
              </w:rPr>
              <w:t>renia na ich odstránenie.</w:t>
            </w:r>
          </w:p>
          <w:p w:rsidR="006321D2" w:rsidRPr="0011558D" w:rsidP="006321D2">
            <w:pPr>
              <w:ind w:firstLine="567"/>
              <w:contextualSpacing/>
              <w:jc w:val="both"/>
              <w:rPr>
                <w:sz w:val="20"/>
                <w:szCs w:val="20"/>
                <w:lang w:eastAsia="cs-CZ"/>
              </w:rPr>
            </w:pPr>
          </w:p>
          <w:p w:rsidR="006321D2" w:rsidRPr="0011558D" w:rsidP="006321D2">
            <w:pPr>
              <w:ind w:firstLine="567"/>
              <w:contextualSpacing/>
              <w:jc w:val="both"/>
              <w:rPr>
                <w:sz w:val="20"/>
                <w:szCs w:val="20"/>
                <w:lang w:eastAsia="cs-CZ"/>
              </w:rPr>
            </w:pPr>
            <w:r w:rsidRPr="0011558D">
              <w:rPr>
                <w:sz w:val="20"/>
                <w:szCs w:val="20"/>
                <w:lang w:eastAsia="cs-CZ"/>
              </w:rPr>
              <w:t>(1) Služobný úrad preruší tehotnej profesionálnej vojačke výkon funkcie, ak činnosti vyplývajúce z funkcie sú tehotným profesionálnym vojačkám zakázané alebo ktoré podľa lekárskeho posudku ohrozujú jej tehotenstvo a ak ju nemožno ustanoviť do inej vhodnej funkcie; to platí rovnako o matke do konca deviateho mesiaca po pôrode a o dojčiacej profesionálnej vojačke.</w:t>
            </w:r>
          </w:p>
          <w:p w:rsidR="006321D2" w:rsidRPr="0011558D" w:rsidP="006321D2">
            <w:pPr>
              <w:ind w:firstLine="567"/>
              <w:contextualSpacing/>
              <w:jc w:val="both"/>
              <w:rPr>
                <w:sz w:val="20"/>
                <w:szCs w:val="20"/>
                <w:lang w:eastAsia="cs-CZ"/>
              </w:rPr>
            </w:pPr>
            <w:r w:rsidRPr="0011558D">
              <w:rPr>
                <w:sz w:val="20"/>
                <w:szCs w:val="20"/>
                <w:lang w:eastAsia="cs-CZ"/>
              </w:rPr>
              <w:t>(2) Profesionálna vojačka počas prerušenia výkonu funkcie vykonáva podľa rozhodnutia veliteľa činnosti, ktorých výkon nie je tehotným profesionálnym vojačkám zakázaný alebo ktoré neohrozujú jej tehotenstvo.</w:t>
            </w:r>
          </w:p>
          <w:p w:rsidR="006321D2" w:rsidRPr="0011558D" w:rsidP="006321D2">
            <w:pPr>
              <w:ind w:firstLine="567"/>
              <w:contextualSpacing/>
              <w:jc w:val="both"/>
              <w:rPr>
                <w:sz w:val="20"/>
                <w:szCs w:val="20"/>
                <w:lang w:eastAsia="cs-CZ"/>
              </w:rPr>
            </w:pPr>
            <w:r w:rsidRPr="0011558D">
              <w:rPr>
                <w:sz w:val="20"/>
                <w:szCs w:val="20"/>
                <w:lang w:eastAsia="cs-CZ"/>
              </w:rPr>
              <w:t xml:space="preserve">(3) Za inú vhodnú funkciu podľa odseku 1 sa považuje funkcia v tom istom služobnom úrade a v tom istom mieste výkonu štátnej služby, do ktorej možno profesionálnu vojačku ustanoviť podľa § 64 alebo § 65, a ktorá nie je tehotným profesionálnym vojačkám zakázaná alebo ktorá neohrozuje tehotenstvo profesionálnej vojačky.  </w:t>
            </w:r>
          </w:p>
          <w:p w:rsidR="006321D2" w:rsidRPr="0011558D" w:rsidP="006321D2">
            <w:pPr>
              <w:ind w:firstLine="567"/>
              <w:contextualSpacing/>
              <w:jc w:val="both"/>
              <w:rPr>
                <w:sz w:val="20"/>
                <w:szCs w:val="20"/>
                <w:lang w:eastAsia="cs-CZ"/>
              </w:rPr>
            </w:pPr>
            <w:r w:rsidRPr="0011558D">
              <w:rPr>
                <w:sz w:val="20"/>
                <w:szCs w:val="20"/>
                <w:lang w:eastAsia="cs-CZ"/>
              </w:rPr>
              <w:t>(4) Ak pominú dôvody podľa odseku 1, prerušenie výkonu funkcie služobný úrad skončí.</w:t>
            </w:r>
          </w:p>
          <w:p w:rsidR="006321D2" w:rsidRPr="0011558D" w:rsidP="003513BF">
            <w:pPr>
              <w:ind w:firstLine="567"/>
              <w:contextualSpacing/>
              <w:jc w:val="both"/>
              <w:rPr>
                <w:sz w:val="20"/>
                <w:szCs w:val="20"/>
                <w:lang w:eastAsia="cs-CZ"/>
              </w:rPr>
            </w:pPr>
          </w:p>
          <w:p w:rsidR="003513BF" w:rsidRPr="0011558D" w:rsidP="00F82B1D">
            <w:pPr>
              <w:ind w:firstLine="567"/>
              <w:contextualSpacing/>
              <w:jc w:val="both"/>
              <w:rPr>
                <w:b/>
                <w:sz w:val="20"/>
                <w:szCs w:val="20"/>
                <w:lang w:eastAsia="cs-CZ"/>
              </w:rPr>
            </w:pPr>
            <w:r w:rsidRPr="0011558D">
              <w:rPr>
                <w:b/>
                <w:sz w:val="20"/>
                <w:szCs w:val="20"/>
                <w:lang w:eastAsia="cs-CZ"/>
              </w:rPr>
              <w:t>Profesionálnej vojačke počas prerušenia výkonu funkcie patrí služobný plat, ktorý by jej patril, ak by jej výkon funkcie nebol prerušený.</w:t>
            </w:r>
          </w:p>
          <w:p w:rsidR="007D145B" w:rsidRPr="0011558D" w:rsidP="00F82B1D">
            <w:pPr>
              <w:pStyle w:val="Normlny"/>
              <w:ind w:firstLine="342"/>
              <w:jc w:val="both"/>
            </w:pPr>
          </w:p>
          <w:p w:rsidR="00F82B1D" w:rsidRPr="0011558D" w:rsidP="00F82B1D">
            <w:pPr>
              <w:pStyle w:val="Normlny"/>
              <w:ind w:firstLine="342"/>
              <w:jc w:val="both"/>
            </w:pPr>
          </w:p>
          <w:p w:rsidR="00F82B1D" w:rsidRPr="0011558D" w:rsidP="00F82B1D">
            <w:pPr>
              <w:pStyle w:val="Normlny"/>
              <w:ind w:firstLine="342"/>
              <w:jc w:val="both"/>
            </w:pPr>
            <w:r w:rsidRPr="0011558D">
              <w:t xml:space="preserve">(1) Profesionálny vojak má nárok na dodatkovú dovolenku v dĺžke šiestich služobných dní, ak po celý kalendárny rok vykonával  </w:t>
            </w:r>
          </w:p>
          <w:p w:rsidR="00F82B1D" w:rsidRPr="0011558D" w:rsidP="00F82B1D">
            <w:pPr>
              <w:pStyle w:val="Normlny"/>
              <w:ind w:firstLine="342"/>
              <w:jc w:val="both"/>
            </w:pPr>
            <w:r w:rsidRPr="0011558D">
              <w:t>a) riz</w:t>
            </w:r>
            <w:r w:rsidRPr="0011558D">
              <w:t>ikové práce,</w:t>
            </w:r>
            <w:r w:rsidRPr="0011558D">
              <w:rPr>
                <w:vertAlign w:val="superscript"/>
              </w:rPr>
              <w:t>73</w:t>
            </w:r>
            <w:r w:rsidRPr="0011558D">
              <w:t xml:space="preserve">)  </w:t>
            </w:r>
          </w:p>
          <w:p w:rsidR="00F82B1D" w:rsidRPr="0011558D" w:rsidP="00F82B1D">
            <w:pPr>
              <w:pStyle w:val="Normlny"/>
              <w:ind w:firstLine="342"/>
              <w:jc w:val="both"/>
            </w:pPr>
            <w:r w:rsidRPr="0011558D">
              <w:t>b) činnosti v mimoriadne náročnom prostredí, v ktorom by mohlo dôjsť k ohrozeniu života alebo zdravia alebo</w:t>
            </w:r>
          </w:p>
          <w:p w:rsidR="00F82B1D" w:rsidRPr="0011558D" w:rsidP="00F82B1D">
            <w:pPr>
              <w:pStyle w:val="Normlny"/>
              <w:ind w:firstLine="342"/>
              <w:jc w:val="both"/>
            </w:pPr>
            <w:r w:rsidRPr="0011558D">
              <w:t>c) mimoriadne náročnú činnosť, pri ktorej by mohlo dôjsť k ohrozeniu života alebo zdravia.</w:t>
            </w:r>
          </w:p>
          <w:p w:rsidR="00F82B1D" w:rsidRPr="0011558D" w:rsidP="00F82B1D">
            <w:pPr>
              <w:pStyle w:val="Normlny"/>
              <w:ind w:firstLine="342"/>
              <w:jc w:val="both"/>
            </w:pPr>
            <w:r w:rsidRPr="0011558D">
              <w:t xml:space="preserve">(2) Ak profesionálny vojak vykonával činnosti podľa odseku 1 len časť kalendárneho roka, patrí mu za každých 21 dní, v ktorých tieto činnosti vykonával,  jedna dvanástina dodatkovej dovolenky. </w:t>
            </w:r>
          </w:p>
          <w:p w:rsidR="00F82B1D" w:rsidRPr="0011558D" w:rsidP="00F82B1D">
            <w:pPr>
              <w:pStyle w:val="Normlny"/>
              <w:ind w:firstLine="342"/>
              <w:jc w:val="both"/>
            </w:pPr>
            <w:r w:rsidRPr="0011558D">
              <w:t xml:space="preserve">(3) Dodatková dovolenka sa poskytuje profesionálnemu vojakovi vcelku; veliteľ určí nástup dodatkovej dovolenky tak, aby ju profesionálny vojak vyčerpal prednostne pred čerpaním dovolenky. </w:t>
            </w:r>
          </w:p>
          <w:p w:rsidR="00F82B1D" w:rsidRPr="0011558D" w:rsidP="00F82B1D">
            <w:pPr>
              <w:pStyle w:val="Normlny"/>
              <w:ind w:firstLine="342"/>
              <w:jc w:val="both"/>
            </w:pPr>
            <w:r w:rsidRPr="0011558D">
              <w:t xml:space="preserve">(4) Pri skončení služobného pomeru profesionálny vojak čerpá dodatkovú dovolenku tak, aby ju vyčerpal do skončenia služobného pomeru. </w:t>
            </w:r>
          </w:p>
          <w:p w:rsidR="00F82B1D" w:rsidRPr="0011558D" w:rsidP="00F82B1D">
            <w:pPr>
              <w:pStyle w:val="Normlny"/>
              <w:ind w:firstLine="342"/>
              <w:jc w:val="both"/>
            </w:pPr>
            <w:r w:rsidRPr="0011558D">
              <w:t>(5) Činnosti v mimoriadne náročnom prostredí, v ktorom by mohlo dôjsť k ohrozeniu živo</w:t>
            </w:r>
            <w:r w:rsidRPr="0011558D">
              <w:t>ta alebo zdravia a mimoriadne náročné činnosti, pri ktorých by mohlo dôjsť k ohrozeniu života alebo zdravia na účely nároku na dodatkovú dovolenku ustanoví všeobecne záväzný právny predpis, ktorý vydá ministerstvo po dohode s Ministerstvom zdravotníctva Slovenskej republiky.</w:t>
            </w:r>
          </w:p>
          <w:p w:rsidR="00F82B1D" w:rsidRPr="0011558D" w:rsidP="00F82B1D">
            <w:pPr>
              <w:pStyle w:val="Normlny"/>
              <w:ind w:firstLine="342"/>
              <w:jc w:val="both"/>
            </w:pPr>
            <w:r w:rsidRPr="0011558D">
              <w:t>(6) Na prerušenie dodatkovej dovolenky sa použije § 110.</w:t>
            </w:r>
          </w:p>
        </w:tc>
        <w:tc>
          <w:tcPr>
            <w:tcW w:w="720" w:type="dxa"/>
            <w:tcBorders>
              <w:top w:val="single" w:sz="4" w:space="0" w:color="auto"/>
              <w:left w:val="single" w:sz="4" w:space="0" w:color="auto"/>
              <w:bottom w:val="single" w:sz="4" w:space="0" w:color="auto"/>
              <w:right w:val="single" w:sz="4" w:space="0" w:color="auto"/>
            </w:tcBorders>
          </w:tcPr>
          <w:p w:rsidR="002729DC" w:rsidRPr="0011558D" w:rsidP="00507EA9">
            <w:pPr>
              <w:jc w:val="center"/>
              <w:rPr>
                <w:sz w:val="20"/>
                <w:szCs w:val="20"/>
              </w:rPr>
            </w:pPr>
            <w:r w:rsidRPr="0011558D" w:rsidR="007645A4">
              <w:rPr>
                <w:sz w:val="20"/>
                <w:szCs w:val="20"/>
              </w:rPr>
              <w:t>Ú</w:t>
            </w:r>
          </w:p>
        </w:tc>
        <w:tc>
          <w:tcPr>
            <w:tcW w:w="1760" w:type="dxa"/>
            <w:tcBorders>
              <w:top w:val="single" w:sz="4" w:space="0" w:color="auto"/>
              <w:left w:val="single" w:sz="4" w:space="0" w:color="auto"/>
              <w:bottom w:val="single" w:sz="4" w:space="0" w:color="auto"/>
              <w:right w:val="single" w:sz="12" w:space="0" w:color="auto"/>
            </w:tcBorders>
          </w:tcPr>
          <w:p w:rsidR="002729DC" w:rsidRPr="0011558D" w:rsidP="00C80746">
            <w:pPr>
              <w:pStyle w:val="Heading1"/>
              <w:spacing w:before="0"/>
              <w:rPr>
                <w:b w:val="0"/>
                <w:bCs w:val="0"/>
                <w:sz w:val="20"/>
                <w:szCs w:val="20"/>
              </w:rPr>
            </w:pPr>
          </w:p>
          <w:p w:rsidR="00C80746" w:rsidRPr="0011558D" w:rsidP="00C80746"/>
          <w:p w:rsidR="00C80746" w:rsidRPr="0011558D" w:rsidP="00C80746"/>
          <w:p w:rsidR="00C80746" w:rsidRPr="0011558D" w:rsidP="00C80746"/>
          <w:p w:rsidR="00C80746" w:rsidRPr="0011558D" w:rsidP="00C80746"/>
          <w:p w:rsidR="00C80746" w:rsidRPr="0011558D" w:rsidP="00C80746"/>
          <w:p w:rsidR="00C80746" w:rsidRPr="0011558D" w:rsidP="00C80746"/>
          <w:p w:rsidR="00C80746" w:rsidRPr="0011558D" w:rsidP="00C80746"/>
          <w:p w:rsidR="00C80746" w:rsidRPr="0011558D" w:rsidP="00C80746"/>
          <w:p w:rsidR="00C80746" w:rsidRPr="0011558D" w:rsidP="00C80746"/>
          <w:p w:rsidR="00C80746" w:rsidRPr="0011558D" w:rsidP="00C80746"/>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p>
          <w:p w:rsidR="00C80746" w:rsidRPr="0011558D" w:rsidP="00C80746">
            <w:pPr>
              <w:rPr>
                <w:sz w:val="20"/>
                <w:szCs w:val="20"/>
              </w:rPr>
            </w:pPr>
            <w:r w:rsidRPr="0011558D">
              <w:rPr>
                <w:sz w:val="20"/>
                <w:szCs w:val="20"/>
              </w:rPr>
              <w:t>Poznámka pod čiarou:</w:t>
            </w:r>
          </w:p>
          <w:p w:rsidR="00C80746" w:rsidRPr="0011558D" w:rsidP="00C80746">
            <w:pPr>
              <w:rPr>
                <w:sz w:val="20"/>
                <w:szCs w:val="20"/>
              </w:rPr>
            </w:pPr>
          </w:p>
          <w:p w:rsidR="00C80746" w:rsidRPr="0011558D" w:rsidP="00C80746">
            <w:pPr>
              <w:pStyle w:val="FootnoteText"/>
              <w:ind w:left="-16"/>
              <w:rPr>
                <w:sz w:val="20"/>
                <w:szCs w:val="20"/>
              </w:rPr>
            </w:pPr>
            <w:r w:rsidRPr="0011558D">
              <w:rPr>
                <w:vertAlign w:val="superscript"/>
              </w:rPr>
              <w:t>73</w:t>
            </w:r>
            <w:r w:rsidRPr="0011558D">
              <w:t xml:space="preserve">) </w:t>
            </w:r>
            <w:r w:rsidRPr="0011558D">
              <w:rPr>
                <w:sz w:val="20"/>
                <w:szCs w:val="20"/>
                <w:lang w:eastAsia="sk-SK"/>
              </w:rPr>
              <w:t>§ 31 ods. 6 zákona č. 355/2007 Z. z. o ochrane, podpore a rozvoji verejného zdravia a o doplnení niektorých zákonov.</w:t>
            </w:r>
          </w:p>
          <w:p w:rsidR="00C80746" w:rsidRPr="0011558D" w:rsidP="00C80746"/>
          <w:p w:rsidR="00460BCF" w:rsidRPr="0011558D" w:rsidP="00460BCF"/>
          <w:p w:rsidR="00460BCF" w:rsidRPr="0011558D" w:rsidP="00460BCF"/>
          <w:p w:rsidR="00460BCF" w:rsidRPr="0011558D" w:rsidP="00460BCF"/>
          <w:p w:rsidR="00460BCF" w:rsidRPr="0011558D" w:rsidP="00460BCF"/>
          <w:p w:rsidR="00460BCF" w:rsidRPr="0011558D" w:rsidP="00460BCF"/>
          <w:p w:rsidR="00460BCF" w:rsidRPr="0011558D" w:rsidP="00460BCF"/>
          <w:p w:rsidR="00460BCF" w:rsidRPr="0011558D" w:rsidP="00460BCF"/>
          <w:p w:rsidR="00460BCF" w:rsidRPr="0011558D" w:rsidP="00460BCF"/>
          <w:p w:rsidR="00460BCF" w:rsidRPr="0011558D" w:rsidP="00D3668A"/>
        </w:tc>
      </w:tr>
      <w:tr w:rsidTr="00A221A1">
        <w:tblPrEx>
          <w:tblW w:w="16160" w:type="dxa"/>
          <w:tblInd w:w="-524" w:type="dxa"/>
          <w:tblLayout w:type="fixed"/>
          <w:tblCellMar>
            <w:left w:w="43" w:type="dxa"/>
            <w:right w:w="43" w:type="dxa"/>
          </w:tblCellMar>
          <w:tblLook w:val="0000"/>
        </w:tblPrEx>
        <w:tc>
          <w:tcPr>
            <w:tcW w:w="897" w:type="dxa"/>
            <w:tcBorders>
              <w:top w:val="single" w:sz="4" w:space="0" w:color="auto"/>
              <w:left w:val="single" w:sz="12" w:space="0" w:color="auto"/>
              <w:bottom w:val="single" w:sz="4" w:space="0" w:color="auto"/>
              <w:right w:val="single" w:sz="4" w:space="0" w:color="auto"/>
            </w:tcBorders>
          </w:tcPr>
          <w:p w:rsidR="002729DC" w:rsidRPr="0011558D" w:rsidP="00507EA9">
            <w:pPr>
              <w:jc w:val="center"/>
              <w:rPr>
                <w:sz w:val="20"/>
                <w:szCs w:val="20"/>
              </w:rPr>
            </w:pPr>
            <w:r w:rsidRPr="0011558D" w:rsidR="00346763">
              <w:rPr>
                <w:sz w:val="20"/>
                <w:szCs w:val="20"/>
              </w:rPr>
              <w:t>Č: 11</w:t>
            </w:r>
          </w:p>
          <w:p w:rsidR="00F717F6" w:rsidRPr="0011558D" w:rsidP="00507EA9">
            <w:pPr>
              <w:jc w:val="center"/>
              <w:rPr>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rsidR="00346763" w:rsidRPr="0011558D" w:rsidP="00346763">
            <w:pPr>
              <w:autoSpaceDE w:val="0"/>
              <w:autoSpaceDN w:val="0"/>
              <w:adjustRightInd w:val="0"/>
              <w:rPr>
                <w:sz w:val="20"/>
                <w:szCs w:val="20"/>
              </w:rPr>
            </w:pPr>
            <w:r w:rsidRPr="0011558D">
              <w:rPr>
                <w:sz w:val="20"/>
                <w:szCs w:val="20"/>
              </w:rPr>
              <w:t>Zamestnanecké práva</w:t>
            </w:r>
          </w:p>
          <w:p w:rsidR="00346763" w:rsidRPr="0011558D" w:rsidP="00346763">
            <w:pPr>
              <w:autoSpaceDE w:val="0"/>
              <w:autoSpaceDN w:val="0"/>
              <w:adjustRightInd w:val="0"/>
              <w:rPr>
                <w:sz w:val="20"/>
                <w:szCs w:val="20"/>
              </w:rPr>
            </w:pPr>
            <w:r w:rsidRPr="0011558D">
              <w:rPr>
                <w:sz w:val="20"/>
                <w:szCs w:val="20"/>
              </w:rPr>
              <w:t>Aby sa pracovníčkam v zmysle článku 2 zaručilo uplatňovanie ich práv na ochranu zdravia a bezpečnosť, ako ich ustanovuje uvedený článok,</w:t>
            </w:r>
          </w:p>
          <w:p w:rsidR="00346763" w:rsidRPr="0011558D" w:rsidP="00346763">
            <w:pPr>
              <w:autoSpaceDE w:val="0"/>
              <w:autoSpaceDN w:val="0"/>
              <w:adjustRightInd w:val="0"/>
              <w:rPr>
                <w:sz w:val="20"/>
                <w:szCs w:val="20"/>
              </w:rPr>
            </w:pPr>
            <w:r w:rsidRPr="0011558D">
              <w:rPr>
                <w:sz w:val="20"/>
                <w:szCs w:val="20"/>
              </w:rPr>
              <w:t>zabezpečí sa, že:</w:t>
            </w:r>
          </w:p>
          <w:p w:rsidR="00036363" w:rsidRPr="0011558D" w:rsidP="00036363">
            <w:pPr>
              <w:autoSpaceDE w:val="0"/>
              <w:autoSpaceDN w:val="0"/>
              <w:adjustRightInd w:val="0"/>
              <w:rPr>
                <w:rFonts w:ascii="TimesNewRoman" w:hAnsi="TimesNewRoman" w:cs="TimesNewRoman"/>
                <w:sz w:val="19"/>
                <w:szCs w:val="19"/>
              </w:rPr>
            </w:pPr>
            <w:r w:rsidRPr="0011558D" w:rsidR="00346763">
              <w:rPr>
                <w:sz w:val="20"/>
                <w:szCs w:val="20"/>
              </w:rPr>
              <w:t>1. v prípadoch uvedených v článkoch 5, 6 a 7 musia byť zabezpečené zamestnanecké práva pracovníčok v zmysle článku 2, týkajúce sa pracovnej zmluvy vrátane zachovania výplaty a/alebo nároku na primeranú dávku v súlade s týmito vnútroštátnymi právnymi predpismi a/alebo vnútroštátnou praxou;</w:t>
            </w:r>
            <w:r w:rsidRPr="0011558D">
              <w:rPr>
                <w:rFonts w:ascii="TimesNewRoman" w:hAnsi="TimesNewRoman" w:cs="TimesNewRoman"/>
                <w:sz w:val="19"/>
                <w:szCs w:val="19"/>
              </w:rPr>
              <w:t xml:space="preserve"> </w:t>
            </w:r>
          </w:p>
          <w:p w:rsidR="00036363" w:rsidRPr="0011558D" w:rsidP="00036363">
            <w:pPr>
              <w:autoSpaceDE w:val="0"/>
              <w:autoSpaceDN w:val="0"/>
              <w:adjustRightInd w:val="0"/>
              <w:rPr>
                <w:rFonts w:ascii="TimesNewRoman" w:hAnsi="TimesNewRoman" w:cs="TimesNewRoman"/>
                <w:sz w:val="19"/>
                <w:szCs w:val="19"/>
              </w:rPr>
            </w:pPr>
            <w:r w:rsidRPr="0011558D">
              <w:rPr>
                <w:rFonts w:ascii="TimesNewRoman" w:hAnsi="TimesNewRoman" w:cs="TimesNewRoman"/>
                <w:sz w:val="19"/>
                <w:szCs w:val="19"/>
              </w:rPr>
              <w:t xml:space="preserve">2. v prípade uvedenom v </w:t>
            </w:r>
            <w:r w:rsidRPr="0011558D">
              <w:rPr>
                <w:rFonts w:ascii="TimesNewRoman+01" w:hAnsi="TimesNewRoman+01" w:cs="TimesNewRoman+01"/>
                <w:sz w:val="19"/>
                <w:szCs w:val="19"/>
              </w:rPr>
              <w:t>č</w:t>
            </w:r>
            <w:r w:rsidRPr="0011558D">
              <w:rPr>
                <w:rFonts w:ascii="TimesNewRoman" w:hAnsi="TimesNewRoman" w:cs="TimesNewRoman"/>
                <w:sz w:val="19"/>
                <w:szCs w:val="19"/>
              </w:rPr>
              <w:t>lánku 8 sa musia by</w:t>
            </w:r>
            <w:r w:rsidRPr="0011558D">
              <w:rPr>
                <w:rFonts w:ascii="TimesNewRoman+01" w:hAnsi="TimesNewRoman+01" w:cs="TimesNewRoman+01"/>
                <w:sz w:val="19"/>
                <w:szCs w:val="19"/>
              </w:rPr>
              <w:t xml:space="preserve">ť </w:t>
            </w:r>
            <w:r w:rsidRPr="0011558D">
              <w:rPr>
                <w:rFonts w:ascii="TimesNewRoman" w:hAnsi="TimesNewRoman" w:cs="TimesNewRoman"/>
                <w:sz w:val="19"/>
                <w:szCs w:val="19"/>
              </w:rPr>
              <w:t>zabezpe</w:t>
            </w:r>
            <w:r w:rsidRPr="0011558D">
              <w:rPr>
                <w:rFonts w:ascii="TimesNewRoman+01" w:hAnsi="TimesNewRoman+01" w:cs="TimesNewRoman+01"/>
                <w:sz w:val="19"/>
                <w:szCs w:val="19"/>
              </w:rPr>
              <w:t>č</w:t>
            </w:r>
            <w:r w:rsidRPr="0011558D">
              <w:rPr>
                <w:rFonts w:ascii="TimesNewRoman" w:hAnsi="TimesNewRoman" w:cs="TimesNewRoman"/>
                <w:sz w:val="19"/>
                <w:szCs w:val="19"/>
              </w:rPr>
              <w:t>i</w:t>
            </w:r>
            <w:r w:rsidRPr="0011558D">
              <w:rPr>
                <w:rFonts w:ascii="TimesNewRoman+01" w:hAnsi="TimesNewRoman+01" w:cs="TimesNewRoman+01"/>
                <w:sz w:val="19"/>
                <w:szCs w:val="19"/>
              </w:rPr>
              <w:t>ť</w:t>
            </w:r>
            <w:r w:rsidRPr="0011558D">
              <w:rPr>
                <w:rFonts w:ascii="TimesNewRoman" w:hAnsi="TimesNewRoman" w:cs="TimesNewRoman"/>
                <w:sz w:val="19"/>
                <w:szCs w:val="19"/>
              </w:rPr>
              <w:t>:</w:t>
            </w:r>
          </w:p>
          <w:p w:rsidR="00036363" w:rsidRPr="0011558D" w:rsidP="00036363">
            <w:pPr>
              <w:autoSpaceDE w:val="0"/>
              <w:autoSpaceDN w:val="0"/>
              <w:adjustRightInd w:val="0"/>
              <w:rPr>
                <w:rFonts w:ascii="TimesNewRoman" w:hAnsi="TimesNewRoman" w:cs="TimesNewRoman"/>
                <w:sz w:val="19"/>
                <w:szCs w:val="19"/>
              </w:rPr>
            </w:pPr>
            <w:r w:rsidRPr="0011558D">
              <w:rPr>
                <w:rFonts w:ascii="TimesNewRoman" w:hAnsi="TimesNewRoman" w:cs="TimesNewRoman"/>
                <w:sz w:val="19"/>
                <w:szCs w:val="19"/>
              </w:rPr>
              <w:t>a) práva spojené s pracovnou zmluvou  pracovní</w:t>
            </w:r>
            <w:r w:rsidRPr="0011558D">
              <w:rPr>
                <w:rFonts w:ascii="TimesNewRoman+01" w:hAnsi="TimesNewRoman+01" w:cs="TimesNewRoman+01"/>
                <w:sz w:val="19"/>
                <w:szCs w:val="19"/>
              </w:rPr>
              <w:t>č</w:t>
            </w:r>
            <w:r w:rsidRPr="0011558D">
              <w:rPr>
                <w:rFonts w:ascii="TimesNewRoman" w:hAnsi="TimesNewRoman" w:cs="TimesNewRoman"/>
                <w:sz w:val="19"/>
                <w:szCs w:val="19"/>
              </w:rPr>
              <w:t xml:space="preserve">ok v zmysle </w:t>
            </w:r>
            <w:r w:rsidRPr="0011558D">
              <w:rPr>
                <w:rFonts w:ascii="TimesNewRoman+01" w:hAnsi="TimesNewRoman+01" w:cs="TimesNewRoman+01"/>
                <w:sz w:val="19"/>
                <w:szCs w:val="19"/>
              </w:rPr>
              <w:t>č</w:t>
            </w:r>
            <w:r w:rsidRPr="0011558D">
              <w:rPr>
                <w:rFonts w:ascii="TimesNewRoman" w:hAnsi="TimesNewRoman" w:cs="TimesNewRoman"/>
                <w:sz w:val="19"/>
                <w:szCs w:val="19"/>
              </w:rPr>
              <w:t>lánku 2 popri právach  uvedených ni</w:t>
            </w:r>
            <w:r w:rsidRPr="0011558D">
              <w:rPr>
                <w:rFonts w:ascii="TimesNewRoman+01" w:hAnsi="TimesNewRoman+01" w:cs="TimesNewRoman+01"/>
                <w:sz w:val="19"/>
                <w:szCs w:val="19"/>
              </w:rPr>
              <w:t>žš</w:t>
            </w:r>
            <w:r w:rsidRPr="0011558D">
              <w:rPr>
                <w:rFonts w:ascii="TimesNewRoman" w:hAnsi="TimesNewRoman" w:cs="TimesNewRoman"/>
                <w:sz w:val="19"/>
                <w:szCs w:val="19"/>
              </w:rPr>
              <w:t>ie pod písmenom b);</w:t>
            </w:r>
          </w:p>
          <w:p w:rsidR="002A1A76" w:rsidRPr="0011558D" w:rsidP="002A1A76">
            <w:pPr>
              <w:autoSpaceDE w:val="0"/>
              <w:autoSpaceDN w:val="0"/>
              <w:adjustRightInd w:val="0"/>
              <w:rPr>
                <w:sz w:val="20"/>
                <w:szCs w:val="20"/>
              </w:rPr>
            </w:pPr>
            <w:r w:rsidRPr="0011558D" w:rsidR="00036363">
              <w:rPr>
                <w:rFonts w:ascii="TimesNewRoman" w:hAnsi="TimesNewRoman" w:cs="TimesNewRoman"/>
                <w:sz w:val="19"/>
                <w:szCs w:val="19"/>
              </w:rPr>
              <w:t>b) zachovanie výplaty a/alebo nároku  na primeranú dávku  pre</w:t>
            </w:r>
            <w:r w:rsidRPr="0011558D">
              <w:rPr>
                <w:rFonts w:ascii="TimesNewRoman" w:hAnsi="TimesNewRoman" w:cs="TimesNewRoman"/>
                <w:sz w:val="19"/>
                <w:szCs w:val="19"/>
              </w:rPr>
              <w:t xml:space="preserve"> </w:t>
            </w:r>
            <w:r w:rsidRPr="0011558D" w:rsidR="00036363">
              <w:rPr>
                <w:rFonts w:ascii="TimesNewRoman" w:hAnsi="TimesNewRoman" w:cs="TimesNewRoman"/>
                <w:sz w:val="19"/>
                <w:szCs w:val="19"/>
              </w:rPr>
              <w:t>pracovní</w:t>
            </w:r>
            <w:r w:rsidRPr="0011558D" w:rsidR="00036363">
              <w:rPr>
                <w:rFonts w:ascii="TimesNewRoman+01" w:hAnsi="TimesNewRoman+01" w:cs="TimesNewRoman+01"/>
                <w:sz w:val="19"/>
                <w:szCs w:val="19"/>
              </w:rPr>
              <w:t>č</w:t>
            </w:r>
            <w:r w:rsidRPr="0011558D" w:rsidR="00036363">
              <w:rPr>
                <w:rFonts w:ascii="TimesNewRoman" w:hAnsi="TimesNewRoman" w:cs="TimesNewRoman"/>
                <w:sz w:val="19"/>
                <w:szCs w:val="19"/>
              </w:rPr>
              <w:t xml:space="preserve">ky v zmysle </w:t>
            </w:r>
            <w:r w:rsidRPr="0011558D" w:rsidR="00036363">
              <w:rPr>
                <w:rFonts w:ascii="TimesNewRoman+01" w:hAnsi="TimesNewRoman+01" w:cs="TimesNewRoman+01"/>
                <w:sz w:val="19"/>
                <w:szCs w:val="19"/>
              </w:rPr>
              <w:t>č</w:t>
            </w:r>
            <w:r w:rsidRPr="0011558D" w:rsidR="00036363">
              <w:rPr>
                <w:rFonts w:ascii="TimesNewRoman" w:hAnsi="TimesNewRoman" w:cs="TimesNewRoman"/>
                <w:sz w:val="19"/>
                <w:szCs w:val="19"/>
              </w:rPr>
              <w:t>lánku 2;</w:t>
            </w:r>
            <w:r w:rsidRPr="0011558D">
              <w:rPr>
                <w:sz w:val="20"/>
                <w:szCs w:val="20"/>
              </w:rPr>
              <w:t xml:space="preserve"> </w:t>
            </w:r>
          </w:p>
          <w:p w:rsidR="00B30944" w:rsidRPr="0011558D" w:rsidP="00B30944">
            <w:pPr>
              <w:autoSpaceDE w:val="0"/>
              <w:autoSpaceDN w:val="0"/>
              <w:adjustRightInd w:val="0"/>
              <w:rPr>
                <w:rFonts w:ascii="TimesNewRoman" w:hAnsi="TimesNewRoman" w:cs="TimesNewRoman"/>
                <w:sz w:val="19"/>
                <w:szCs w:val="19"/>
              </w:rPr>
            </w:pPr>
            <w:r w:rsidRPr="0011558D" w:rsidR="002A1A76">
              <w:rPr>
                <w:sz w:val="20"/>
                <w:szCs w:val="20"/>
              </w:rPr>
              <w:t>3. dávka uvedená v bode 2 písm. b) sa pokladá za primeranú vtedy, ak zabezpečuje príjem prinajmenšom ekvivalentný tomu, ktorý by príslušná pracovníčka dostala v prípade prerušenia svojej činnosti z dôvodov spojených s jej zdravotným stavom, s výhradou hornej hranice ustanovenej vnútroštátnymi právnymi predpismi;</w:t>
            </w:r>
            <w:r w:rsidRPr="0011558D">
              <w:rPr>
                <w:rFonts w:ascii="TimesNewRoman" w:hAnsi="TimesNewRoman" w:cs="TimesNewRoman"/>
                <w:sz w:val="19"/>
                <w:szCs w:val="19"/>
              </w:rPr>
              <w:t xml:space="preserve"> </w:t>
            </w:r>
          </w:p>
          <w:p w:rsidR="00B30944" w:rsidRPr="0011558D" w:rsidP="00B30944">
            <w:pPr>
              <w:autoSpaceDE w:val="0"/>
              <w:autoSpaceDN w:val="0"/>
              <w:adjustRightInd w:val="0"/>
              <w:rPr>
                <w:sz w:val="20"/>
                <w:szCs w:val="20"/>
              </w:rPr>
            </w:pPr>
            <w:r w:rsidRPr="0011558D">
              <w:rPr>
                <w:rFonts w:ascii="TimesNewRoman" w:hAnsi="TimesNewRoman" w:cs="TimesNewRoman"/>
                <w:sz w:val="19"/>
                <w:szCs w:val="19"/>
              </w:rPr>
              <w:t>4</w:t>
            </w:r>
            <w:r w:rsidRPr="0011558D">
              <w:rPr>
                <w:sz w:val="20"/>
                <w:szCs w:val="20"/>
              </w:rPr>
              <w:t>. členské štáty môžu podmieniť nárok na výplatu alebo dávku uvedenú v bode 1 a 2 b) vtedy, ak pracovníčka splní podmienky pre vznik nároku na také dávky ustanovené vnútroštátnymi právnymi predpismi.</w:t>
            </w:r>
          </w:p>
          <w:p w:rsidR="002729DC" w:rsidRPr="0011558D" w:rsidP="00B30944">
            <w:pPr>
              <w:autoSpaceDE w:val="0"/>
              <w:autoSpaceDN w:val="0"/>
              <w:adjustRightInd w:val="0"/>
              <w:rPr>
                <w:sz w:val="20"/>
                <w:szCs w:val="20"/>
              </w:rPr>
            </w:pPr>
            <w:r w:rsidRPr="0011558D" w:rsidR="00B30944">
              <w:rPr>
                <w:sz w:val="20"/>
                <w:szCs w:val="20"/>
              </w:rPr>
              <w:t>Tieto podmienky však za žiadnych okolností nemôžu vyžadovať doby predchádzajúceho zamestnania presahujúce dvanásť mesiacov pred predpokladaným dátumom pôrodu.</w:t>
            </w:r>
          </w:p>
        </w:tc>
        <w:tc>
          <w:tcPr>
            <w:tcW w:w="1265" w:type="dxa"/>
            <w:tcBorders>
              <w:top w:val="single" w:sz="4" w:space="0" w:color="auto"/>
              <w:left w:val="single" w:sz="4" w:space="0" w:color="auto"/>
              <w:bottom w:val="single" w:sz="4" w:space="0" w:color="auto"/>
              <w:right w:val="single" w:sz="12" w:space="0" w:color="auto"/>
            </w:tcBorders>
          </w:tcPr>
          <w:p w:rsidR="002729DC" w:rsidRPr="0011558D" w:rsidP="00507EA9">
            <w:pPr>
              <w:jc w:val="center"/>
              <w:rPr>
                <w:sz w:val="20"/>
                <w:szCs w:val="20"/>
              </w:rPr>
            </w:pPr>
            <w:r w:rsidRPr="0011558D" w:rsidR="00B83C42">
              <w:rPr>
                <w:sz w:val="20"/>
                <w:szCs w:val="20"/>
              </w:rPr>
              <w:t>N</w:t>
            </w:r>
          </w:p>
        </w:tc>
        <w:tc>
          <w:tcPr>
            <w:tcW w:w="1260" w:type="dxa"/>
            <w:tcBorders>
              <w:top w:val="single" w:sz="4" w:space="0" w:color="auto"/>
              <w:left w:val="nil"/>
              <w:bottom w:val="single" w:sz="4" w:space="0" w:color="auto"/>
              <w:right w:val="single" w:sz="4" w:space="0" w:color="auto"/>
            </w:tcBorders>
          </w:tcPr>
          <w:p w:rsidR="00F82B1D" w:rsidRPr="0011558D" w:rsidP="00507EA9">
            <w:pPr>
              <w:jc w:val="center"/>
              <w:rPr>
                <w:sz w:val="20"/>
                <w:szCs w:val="20"/>
              </w:rPr>
            </w:pPr>
            <w:r w:rsidRPr="0011558D">
              <w:rPr>
                <w:sz w:val="20"/>
                <w:szCs w:val="20"/>
              </w:rPr>
              <w:t>Zákon č. 281/2015 Z. z.</w:t>
            </w: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r w:rsidRPr="0011558D" w:rsidR="003F5AC0">
              <w:rPr>
                <w:sz w:val="20"/>
                <w:szCs w:val="20"/>
              </w:rPr>
              <w:t>Zákon č. 281/2015 Z. z.</w:t>
            </w:r>
          </w:p>
          <w:p w:rsidR="00F82B1D" w:rsidRPr="0011558D" w:rsidP="00507EA9">
            <w:pPr>
              <w:jc w:val="center"/>
              <w:rPr>
                <w:sz w:val="20"/>
                <w:szCs w:val="20"/>
              </w:rPr>
            </w:pPr>
          </w:p>
          <w:p w:rsidR="00F82B1D" w:rsidRPr="0011558D" w:rsidP="00507EA9">
            <w:pPr>
              <w:jc w:val="center"/>
              <w:rPr>
                <w:sz w:val="20"/>
                <w:szCs w:val="20"/>
              </w:rPr>
            </w:pPr>
          </w:p>
          <w:p w:rsidR="00F82B1D" w:rsidRPr="0011558D" w:rsidP="00507EA9">
            <w:pPr>
              <w:jc w:val="center"/>
              <w:rPr>
                <w:sz w:val="20"/>
                <w:szCs w:val="20"/>
              </w:rPr>
            </w:pPr>
          </w:p>
          <w:p w:rsidR="003F5AC0" w:rsidRPr="0011558D" w:rsidP="00507EA9">
            <w:pPr>
              <w:jc w:val="center"/>
              <w:rPr>
                <w:sz w:val="20"/>
                <w:szCs w:val="20"/>
              </w:rPr>
            </w:pPr>
          </w:p>
          <w:p w:rsidR="003F5AC0" w:rsidRPr="0011558D" w:rsidP="00507EA9">
            <w:pPr>
              <w:jc w:val="center"/>
              <w:rPr>
                <w:sz w:val="20"/>
                <w:szCs w:val="20"/>
              </w:rPr>
            </w:pPr>
          </w:p>
          <w:p w:rsidR="003F5AC0" w:rsidRPr="0011558D" w:rsidP="00507EA9">
            <w:pPr>
              <w:jc w:val="center"/>
              <w:rPr>
                <w:sz w:val="20"/>
                <w:szCs w:val="20"/>
              </w:rPr>
            </w:pPr>
          </w:p>
          <w:p w:rsidR="003F5AC0" w:rsidRPr="0011558D" w:rsidP="00507EA9">
            <w:pPr>
              <w:jc w:val="center"/>
              <w:rPr>
                <w:sz w:val="20"/>
                <w:szCs w:val="20"/>
              </w:rPr>
            </w:pPr>
          </w:p>
          <w:p w:rsidR="003F5AC0" w:rsidRPr="0011558D" w:rsidP="00507EA9">
            <w:pPr>
              <w:jc w:val="center"/>
              <w:rPr>
                <w:sz w:val="20"/>
                <w:szCs w:val="20"/>
              </w:rPr>
            </w:pPr>
          </w:p>
          <w:p w:rsidR="003F5AC0" w:rsidRPr="0011558D" w:rsidP="00507EA9">
            <w:pPr>
              <w:jc w:val="center"/>
              <w:rPr>
                <w:sz w:val="20"/>
                <w:szCs w:val="20"/>
              </w:rPr>
            </w:pPr>
          </w:p>
          <w:p w:rsidR="003F5AC0" w:rsidRPr="0011558D" w:rsidP="00507EA9">
            <w:pPr>
              <w:jc w:val="center"/>
              <w:rPr>
                <w:sz w:val="20"/>
                <w:szCs w:val="20"/>
              </w:rPr>
            </w:pPr>
          </w:p>
          <w:p w:rsidR="003F5AC0" w:rsidRPr="0011558D" w:rsidP="00507EA9">
            <w:pPr>
              <w:jc w:val="center"/>
              <w:rPr>
                <w:sz w:val="20"/>
                <w:szCs w:val="20"/>
              </w:rPr>
            </w:pPr>
          </w:p>
          <w:p w:rsidR="003F5AC0" w:rsidRPr="0011558D" w:rsidP="00507EA9">
            <w:pPr>
              <w:jc w:val="center"/>
              <w:rPr>
                <w:sz w:val="20"/>
                <w:szCs w:val="20"/>
              </w:rPr>
            </w:pPr>
          </w:p>
          <w:p w:rsidR="002729DC" w:rsidRPr="0011558D" w:rsidP="002E301E">
            <w:pPr>
              <w:jc w:val="center"/>
              <w:rPr>
                <w:b/>
                <w:sz w:val="20"/>
                <w:szCs w:val="20"/>
              </w:rPr>
            </w:pPr>
            <w:r w:rsidRPr="0011558D" w:rsidR="002E301E">
              <w:rPr>
                <w:b/>
                <w:sz w:val="20"/>
                <w:szCs w:val="20"/>
              </w:rPr>
              <w:t xml:space="preserve">Čl. I - </w:t>
            </w:r>
            <w:r w:rsidRPr="0011558D" w:rsidR="003F5AC0">
              <w:rPr>
                <w:b/>
                <w:sz w:val="20"/>
                <w:szCs w:val="20"/>
              </w:rPr>
              <w:t>n</w:t>
            </w:r>
            <w:r w:rsidRPr="0011558D" w:rsidR="00E22A18">
              <w:rPr>
                <w:b/>
                <w:sz w:val="20"/>
                <w:szCs w:val="20"/>
              </w:rPr>
              <w:t>ovel</w:t>
            </w:r>
            <w:r w:rsidRPr="0011558D" w:rsidR="002E301E">
              <w:rPr>
                <w:b/>
                <w:sz w:val="20"/>
                <w:szCs w:val="20"/>
              </w:rPr>
              <w:t>y</w:t>
            </w:r>
            <w:r w:rsidRPr="0011558D" w:rsidR="00E22A18">
              <w:rPr>
                <w:b/>
                <w:sz w:val="20"/>
                <w:szCs w:val="20"/>
              </w:rPr>
              <w:t xml:space="preserve"> zákona č. 281/2015 Z. z.</w:t>
            </w:r>
          </w:p>
        </w:tc>
        <w:tc>
          <w:tcPr>
            <w:tcW w:w="1260" w:type="dxa"/>
            <w:tcBorders>
              <w:top w:val="single" w:sz="4" w:space="0" w:color="auto"/>
              <w:left w:val="single" w:sz="4" w:space="0" w:color="auto"/>
              <w:bottom w:val="single" w:sz="4" w:space="0" w:color="auto"/>
              <w:right w:val="single" w:sz="4" w:space="0" w:color="auto"/>
            </w:tcBorders>
          </w:tcPr>
          <w:p w:rsidR="00F82B1D" w:rsidRPr="0011558D" w:rsidP="00F82B1D">
            <w:pPr>
              <w:pStyle w:val="Normlny"/>
              <w:jc w:val="center"/>
            </w:pPr>
            <w:r w:rsidRPr="0011558D">
              <w:t>§ 70</w:t>
            </w:r>
          </w:p>
          <w:p w:rsidR="00F82B1D" w:rsidRPr="0011558D" w:rsidP="00F82B1D">
            <w:pPr>
              <w:pStyle w:val="Normlny"/>
              <w:jc w:val="center"/>
            </w:pPr>
            <w:r w:rsidRPr="0011558D">
              <w:t>O: 1</w:t>
            </w:r>
          </w:p>
          <w:p w:rsidR="00F82B1D" w:rsidRPr="0011558D" w:rsidP="00F82B1D">
            <w:pPr>
              <w:pStyle w:val="Normlny"/>
              <w:jc w:val="center"/>
            </w:pPr>
            <w:r w:rsidRPr="0011558D">
              <w:t>O: 2</w:t>
            </w:r>
          </w:p>
          <w:p w:rsidR="00F82B1D" w:rsidRPr="0011558D" w:rsidP="00F82B1D">
            <w:pPr>
              <w:pStyle w:val="Normlny"/>
              <w:jc w:val="center"/>
            </w:pPr>
            <w:r w:rsidRPr="0011558D">
              <w:t>O: 3</w:t>
            </w:r>
          </w:p>
          <w:p w:rsidR="00F82B1D" w:rsidRPr="0011558D" w:rsidP="00F82B1D">
            <w:pPr>
              <w:pStyle w:val="Normlny"/>
              <w:jc w:val="center"/>
            </w:pPr>
            <w:r w:rsidRPr="0011558D">
              <w:t>O: 4</w:t>
            </w: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B20E69">
            <w:pPr>
              <w:pStyle w:val="Normlny"/>
              <w:jc w:val="center"/>
            </w:pPr>
          </w:p>
          <w:p w:rsidR="00F82B1D" w:rsidRPr="0011558D" w:rsidP="00F82B1D">
            <w:pPr>
              <w:pStyle w:val="Normlny"/>
              <w:jc w:val="center"/>
            </w:pPr>
            <w:r w:rsidRPr="0011558D">
              <w:t>§ 130</w:t>
            </w:r>
          </w:p>
          <w:p w:rsidR="00F82B1D" w:rsidRPr="0011558D" w:rsidP="00F82B1D">
            <w:pPr>
              <w:pStyle w:val="Normlny"/>
              <w:jc w:val="center"/>
            </w:pPr>
            <w:r w:rsidRPr="0011558D">
              <w:t>O: 1</w:t>
            </w:r>
          </w:p>
          <w:p w:rsidR="00F82B1D" w:rsidRPr="0011558D" w:rsidP="00F82B1D">
            <w:pPr>
              <w:pStyle w:val="Normlny"/>
              <w:jc w:val="center"/>
            </w:pPr>
            <w:r w:rsidRPr="0011558D">
              <w:t>O: 2</w:t>
            </w:r>
          </w:p>
          <w:p w:rsidR="00F82B1D" w:rsidRPr="0011558D" w:rsidP="00B20E69">
            <w:pPr>
              <w:pStyle w:val="Normlny"/>
              <w:jc w:val="center"/>
            </w:pPr>
          </w:p>
          <w:p w:rsidR="00F82B1D" w:rsidRPr="0011558D" w:rsidP="00B20E69">
            <w:pPr>
              <w:pStyle w:val="Normlny"/>
              <w:jc w:val="center"/>
            </w:pPr>
          </w:p>
          <w:p w:rsidR="003F5AC0" w:rsidRPr="0011558D" w:rsidP="00B20E69">
            <w:pPr>
              <w:pStyle w:val="Normlny"/>
              <w:jc w:val="center"/>
            </w:pPr>
          </w:p>
          <w:p w:rsidR="003F5AC0" w:rsidRPr="0011558D" w:rsidP="00B20E69">
            <w:pPr>
              <w:pStyle w:val="Normlny"/>
              <w:jc w:val="center"/>
            </w:pPr>
          </w:p>
          <w:p w:rsidR="003F5AC0" w:rsidRPr="0011558D" w:rsidP="00B20E69">
            <w:pPr>
              <w:pStyle w:val="Normlny"/>
              <w:jc w:val="center"/>
            </w:pPr>
          </w:p>
          <w:p w:rsidR="003F5AC0" w:rsidRPr="0011558D" w:rsidP="00B20E69">
            <w:pPr>
              <w:pStyle w:val="Normlny"/>
              <w:jc w:val="center"/>
            </w:pPr>
          </w:p>
          <w:p w:rsidR="003F5AC0" w:rsidRPr="0011558D" w:rsidP="00B20E69">
            <w:pPr>
              <w:pStyle w:val="Normlny"/>
              <w:jc w:val="center"/>
            </w:pPr>
          </w:p>
          <w:p w:rsidR="003F5AC0" w:rsidRPr="0011558D" w:rsidP="00B20E69">
            <w:pPr>
              <w:pStyle w:val="Normlny"/>
              <w:jc w:val="center"/>
            </w:pPr>
          </w:p>
          <w:p w:rsidR="003F5AC0" w:rsidRPr="0011558D" w:rsidP="00B20E69">
            <w:pPr>
              <w:pStyle w:val="Normlny"/>
              <w:jc w:val="center"/>
            </w:pPr>
          </w:p>
          <w:p w:rsidR="003F5AC0" w:rsidRPr="0011558D" w:rsidP="00B20E69">
            <w:pPr>
              <w:pStyle w:val="Normlny"/>
              <w:jc w:val="center"/>
            </w:pPr>
          </w:p>
          <w:p w:rsidR="003F5AC0" w:rsidRPr="0011558D" w:rsidP="00B20E69">
            <w:pPr>
              <w:pStyle w:val="Normlny"/>
              <w:jc w:val="center"/>
            </w:pPr>
          </w:p>
          <w:p w:rsidR="00E32B1B" w:rsidRPr="0011558D" w:rsidP="00B20E69">
            <w:pPr>
              <w:pStyle w:val="Normlny"/>
              <w:jc w:val="center"/>
            </w:pPr>
            <w:r w:rsidRPr="0011558D">
              <w:t>§ 172</w:t>
            </w:r>
          </w:p>
          <w:p w:rsidR="002729DC" w:rsidRPr="0011558D" w:rsidP="00507EA9">
            <w:pPr>
              <w:pStyle w:val="Normlny"/>
              <w:jc w:val="center"/>
            </w:pPr>
          </w:p>
        </w:tc>
        <w:tc>
          <w:tcPr>
            <w:tcW w:w="4498" w:type="dxa"/>
            <w:tcBorders>
              <w:top w:val="single" w:sz="4" w:space="0" w:color="auto"/>
              <w:left w:val="single" w:sz="4" w:space="0" w:color="auto"/>
              <w:bottom w:val="single" w:sz="4" w:space="0" w:color="auto"/>
              <w:right w:val="single" w:sz="4" w:space="0" w:color="auto"/>
            </w:tcBorders>
          </w:tcPr>
          <w:p w:rsidR="00F82B1D" w:rsidRPr="0011558D" w:rsidP="00F82B1D">
            <w:pPr>
              <w:ind w:firstLine="567"/>
              <w:contextualSpacing/>
              <w:jc w:val="both"/>
              <w:rPr>
                <w:sz w:val="20"/>
                <w:szCs w:val="20"/>
                <w:lang w:eastAsia="cs-CZ"/>
              </w:rPr>
            </w:pPr>
            <w:r w:rsidRPr="0011558D">
              <w:rPr>
                <w:sz w:val="20"/>
                <w:szCs w:val="20"/>
                <w:lang w:eastAsia="cs-CZ"/>
              </w:rPr>
              <w:t>(1) Služobný úrad preruší tehotnej profesionálnej vojačke výkon funkcie, ak činnosti vyplývajúce z funkcie sú tehotným profesionálnym vojačkám zakázané alebo ktoré podľa lekárskeho posudku ohrozujú jej tehotenstvo a ak ju nemožno ustanoviť do inej vhodnej funkcie; to platí rovnako o matke do konca deviateho mesiaca po pôrode a o dojčiacej profesionálnej vojačke.</w:t>
            </w:r>
          </w:p>
          <w:p w:rsidR="00F82B1D" w:rsidRPr="0011558D" w:rsidP="00F82B1D">
            <w:pPr>
              <w:ind w:firstLine="567"/>
              <w:contextualSpacing/>
              <w:jc w:val="both"/>
              <w:rPr>
                <w:sz w:val="20"/>
                <w:szCs w:val="20"/>
                <w:lang w:eastAsia="cs-CZ"/>
              </w:rPr>
            </w:pPr>
            <w:r w:rsidRPr="0011558D">
              <w:rPr>
                <w:sz w:val="20"/>
                <w:szCs w:val="20"/>
                <w:lang w:eastAsia="cs-CZ"/>
              </w:rPr>
              <w:t>(2) Profesionálna vojačka počas prerušenia výkonu funkcie vykonáva podľa rozhodnutia veliteľa činnosti, ktorých výkon nie je tehotným profesionálnym vojačkám zakázaný alebo ktoré neohrozujú jej tehotenstvo.</w:t>
            </w:r>
          </w:p>
          <w:p w:rsidR="00F82B1D" w:rsidRPr="0011558D" w:rsidP="00F82B1D">
            <w:pPr>
              <w:ind w:firstLine="567"/>
              <w:contextualSpacing/>
              <w:jc w:val="both"/>
              <w:rPr>
                <w:sz w:val="20"/>
                <w:szCs w:val="20"/>
                <w:lang w:eastAsia="cs-CZ"/>
              </w:rPr>
            </w:pPr>
            <w:r w:rsidRPr="0011558D" w:rsidR="00C80746">
              <w:rPr>
                <w:sz w:val="20"/>
                <w:szCs w:val="20"/>
                <w:lang w:eastAsia="cs-CZ"/>
              </w:rPr>
              <w:t>(</w:t>
            </w:r>
            <w:r w:rsidRPr="0011558D">
              <w:rPr>
                <w:sz w:val="20"/>
                <w:szCs w:val="20"/>
                <w:lang w:eastAsia="cs-CZ"/>
              </w:rPr>
              <w:t xml:space="preserve">3) Za inú vhodnú funkciu podľa odseku 1 sa považuje funkcia v tom istom služobnom úrade a v tom istom mieste výkonu štátnej služby, do ktorej možno profesionálnu vojačku ustanoviť podľa § 64 alebo § 65, a ktorá nie je tehotným profesionálnym vojačkám zakázaná alebo ktorá neohrozuje tehotenstvo profesionálnej vojačky.  </w:t>
            </w:r>
          </w:p>
          <w:p w:rsidR="00F82B1D" w:rsidRPr="0011558D" w:rsidP="00F82B1D">
            <w:pPr>
              <w:ind w:firstLine="567"/>
              <w:contextualSpacing/>
              <w:jc w:val="both"/>
              <w:rPr>
                <w:sz w:val="20"/>
                <w:szCs w:val="20"/>
                <w:lang w:eastAsia="cs-CZ"/>
              </w:rPr>
            </w:pPr>
            <w:r w:rsidRPr="0011558D">
              <w:rPr>
                <w:sz w:val="20"/>
                <w:szCs w:val="20"/>
                <w:lang w:eastAsia="cs-CZ"/>
              </w:rPr>
              <w:t>(4) Ak pominú dôvody podľa odseku 1, prerušenie výkonu funkcie služobný úrad skončí.</w:t>
            </w:r>
          </w:p>
          <w:p w:rsidR="00F82B1D" w:rsidRPr="0011558D" w:rsidP="00E22A18">
            <w:pPr>
              <w:ind w:firstLine="567"/>
              <w:contextualSpacing/>
              <w:jc w:val="both"/>
              <w:rPr>
                <w:sz w:val="20"/>
                <w:szCs w:val="20"/>
                <w:lang w:eastAsia="cs-CZ"/>
              </w:rPr>
            </w:pPr>
          </w:p>
          <w:p w:rsidR="00F82B1D" w:rsidRPr="0011558D" w:rsidP="00F82B1D">
            <w:pPr>
              <w:ind w:firstLine="567"/>
              <w:contextualSpacing/>
              <w:jc w:val="both"/>
              <w:rPr>
                <w:sz w:val="20"/>
                <w:szCs w:val="20"/>
                <w:lang w:eastAsia="cs-CZ"/>
              </w:rPr>
            </w:pPr>
            <w:r w:rsidRPr="0011558D">
              <w:rPr>
                <w:sz w:val="20"/>
                <w:szCs w:val="20"/>
                <w:lang w:eastAsia="cs-CZ"/>
              </w:rPr>
              <w:t>(1) Ak by tehotná profesionálna vojačka vo výkone štátnej služby mala vykonávať činnosti, ktorých výkon sa tehotným profesionálnym vojačkám zakazuje alebo ktoré podľa lekárskeho posudku ohrozujú jej tehotenstvo, veliteľ je povinný prijať opatrenia na zabezpečenie dočasného prispôsobenia pracovných podmienok alebo dočasne upraviť služobný čas; to platí rovnako o matke do konca deviateho mesiaca po pôrode a o dojčiacej profesionálnej vojačke.</w:t>
            </w:r>
          </w:p>
          <w:p w:rsidR="00F82B1D" w:rsidRPr="0011558D" w:rsidP="00F82B1D">
            <w:pPr>
              <w:ind w:firstLine="567"/>
              <w:contextualSpacing/>
              <w:jc w:val="both"/>
              <w:rPr>
                <w:sz w:val="20"/>
                <w:szCs w:val="20"/>
                <w:lang w:eastAsia="cs-CZ"/>
              </w:rPr>
            </w:pPr>
            <w:r w:rsidRPr="0011558D">
              <w:rPr>
                <w:sz w:val="20"/>
                <w:szCs w:val="20"/>
                <w:lang w:eastAsia="cs-CZ"/>
              </w:rPr>
              <w:t>(2) Ak nemožno prijať opatrenia podľa odseku 1, služobný úrad je povinný prerušiť profesionálnej vojačke výkon funkcie.</w:t>
            </w:r>
          </w:p>
          <w:p w:rsidR="00F82B1D" w:rsidRPr="0011558D" w:rsidP="00E22A18">
            <w:pPr>
              <w:ind w:firstLine="567"/>
              <w:contextualSpacing/>
              <w:jc w:val="both"/>
              <w:rPr>
                <w:sz w:val="20"/>
                <w:szCs w:val="20"/>
                <w:lang w:eastAsia="cs-CZ"/>
              </w:rPr>
            </w:pPr>
          </w:p>
          <w:p w:rsidR="00E22A18" w:rsidRPr="0011558D" w:rsidP="00E22A18">
            <w:pPr>
              <w:ind w:firstLine="567"/>
              <w:contextualSpacing/>
              <w:jc w:val="both"/>
              <w:rPr>
                <w:b/>
                <w:sz w:val="20"/>
                <w:szCs w:val="20"/>
                <w:lang w:eastAsia="cs-CZ"/>
              </w:rPr>
            </w:pPr>
            <w:r w:rsidRPr="0011558D">
              <w:rPr>
                <w:b/>
                <w:sz w:val="20"/>
                <w:szCs w:val="20"/>
                <w:lang w:eastAsia="cs-CZ"/>
              </w:rPr>
              <w:t>Profesionálnej vojačke počas prerušenia výkonu funkcie patrí služobný plat, ktorý by jej patril, ak by jej výkon funkcie nebol prerušený.</w:t>
            </w:r>
          </w:p>
          <w:p w:rsidR="00E22A18" w:rsidRPr="0011558D" w:rsidP="00E22A18">
            <w:pPr>
              <w:ind w:firstLine="342"/>
              <w:jc w:val="both"/>
            </w:pPr>
          </w:p>
          <w:p w:rsidR="00E32B1B" w:rsidRPr="0011558D" w:rsidP="004C65E3">
            <w:pPr>
              <w:pStyle w:val="Normlny"/>
              <w:ind w:firstLine="522"/>
              <w:jc w:val="both"/>
            </w:pPr>
          </w:p>
        </w:tc>
        <w:tc>
          <w:tcPr>
            <w:tcW w:w="720" w:type="dxa"/>
            <w:tcBorders>
              <w:top w:val="single" w:sz="4" w:space="0" w:color="auto"/>
              <w:left w:val="single" w:sz="4" w:space="0" w:color="auto"/>
              <w:bottom w:val="single" w:sz="4" w:space="0" w:color="auto"/>
              <w:right w:val="single" w:sz="4" w:space="0" w:color="auto"/>
            </w:tcBorders>
          </w:tcPr>
          <w:p w:rsidR="002729DC" w:rsidRPr="0011558D" w:rsidP="00507EA9">
            <w:pPr>
              <w:jc w:val="center"/>
              <w:rPr>
                <w:sz w:val="20"/>
                <w:szCs w:val="20"/>
              </w:rPr>
            </w:pPr>
            <w:r w:rsidRPr="0011558D" w:rsidR="004C65E3">
              <w:rPr>
                <w:sz w:val="20"/>
                <w:szCs w:val="20"/>
              </w:rPr>
              <w:t>Ú</w:t>
            </w:r>
          </w:p>
        </w:tc>
        <w:tc>
          <w:tcPr>
            <w:tcW w:w="1760" w:type="dxa"/>
            <w:tcBorders>
              <w:top w:val="single" w:sz="4" w:space="0" w:color="auto"/>
              <w:left w:val="single" w:sz="4" w:space="0" w:color="auto"/>
              <w:bottom w:val="single" w:sz="4" w:space="0" w:color="auto"/>
              <w:right w:val="single" w:sz="12" w:space="0" w:color="auto"/>
            </w:tcBorders>
          </w:tcPr>
          <w:p w:rsidR="002729DC" w:rsidRPr="0011558D" w:rsidP="00507EA9">
            <w:pPr>
              <w:pStyle w:val="Heading1"/>
              <w:rPr>
                <w:b w:val="0"/>
                <w:bCs w:val="0"/>
                <w:sz w:val="20"/>
                <w:szCs w:val="20"/>
              </w:rPr>
            </w:pPr>
          </w:p>
        </w:tc>
      </w:tr>
    </w:tbl>
    <w:p w:rsidR="002729DC" w:rsidRPr="0011558D" w:rsidP="002729DC">
      <w:pPr>
        <w:ind w:left="360"/>
        <w:rPr>
          <w:sz w:val="20"/>
          <w:szCs w:val="20"/>
        </w:rPr>
      </w:pPr>
    </w:p>
    <w:p w:rsidR="002729DC" w:rsidRPr="0011558D" w:rsidP="002729DC">
      <w:pPr>
        <w:rPr>
          <w:sz w:val="20"/>
          <w:szCs w:val="20"/>
        </w:rPr>
      </w:pPr>
      <w:r w:rsidRPr="0011558D">
        <w:rPr>
          <w:sz w:val="20"/>
          <w:szCs w:val="20"/>
        </w:rPr>
        <w:t>LEGENDA:</w:t>
      </w:r>
    </w:p>
    <w:tbl>
      <w:tblPr>
        <w:tblStyle w:val="TableNormal"/>
        <w:tblW w:w="16200" w:type="dxa"/>
        <w:tblInd w:w="-470" w:type="dxa"/>
        <w:tblCellMar>
          <w:left w:w="70" w:type="dxa"/>
          <w:right w:w="70" w:type="dxa"/>
        </w:tblCellMar>
        <w:tblLook w:val="0000"/>
      </w:tblPr>
      <w:tblGrid>
        <w:gridCol w:w="470"/>
        <w:gridCol w:w="716"/>
        <w:gridCol w:w="1694"/>
        <w:gridCol w:w="3780"/>
        <w:gridCol w:w="2340"/>
        <w:gridCol w:w="7160"/>
        <w:gridCol w:w="40"/>
      </w:tblGrid>
      <w:tr w:rsidTr="00507EA9">
        <w:tblPrEx>
          <w:tblW w:w="16200" w:type="dxa"/>
          <w:tblInd w:w="-470" w:type="dxa"/>
          <w:tblCellMar>
            <w:left w:w="70" w:type="dxa"/>
            <w:right w:w="70" w:type="dxa"/>
          </w:tblCellMar>
          <w:tblLook w:val="0000"/>
        </w:tblPrEx>
        <w:trPr>
          <w:gridBefore w:val="1"/>
          <w:wBefore w:w="470" w:type="dxa"/>
        </w:trPr>
        <w:tc>
          <w:tcPr>
            <w:tcW w:w="2410" w:type="dxa"/>
            <w:gridSpan w:val="2"/>
            <w:tcBorders>
              <w:top w:val="nil"/>
              <w:left w:val="nil"/>
              <w:bottom w:val="nil"/>
              <w:right w:val="nil"/>
            </w:tcBorders>
          </w:tcPr>
          <w:p w:rsidR="002729DC" w:rsidRPr="0011558D" w:rsidP="00507EA9">
            <w:pPr>
              <w:pStyle w:val="Normlny"/>
              <w:autoSpaceDE/>
              <w:autoSpaceDN/>
              <w:spacing w:after="60"/>
              <w:rPr>
                <w:lang w:eastAsia="sk-SK"/>
              </w:rPr>
            </w:pPr>
            <w:r w:rsidRPr="0011558D">
              <w:rPr>
                <w:lang w:eastAsia="sk-SK"/>
              </w:rPr>
              <w:t>V stĺpci (1):</w:t>
            </w:r>
          </w:p>
          <w:p w:rsidR="002729DC" w:rsidRPr="0011558D" w:rsidP="00507EA9">
            <w:pPr>
              <w:rPr>
                <w:sz w:val="20"/>
                <w:szCs w:val="20"/>
              </w:rPr>
            </w:pPr>
            <w:r w:rsidRPr="0011558D">
              <w:rPr>
                <w:sz w:val="20"/>
                <w:szCs w:val="20"/>
              </w:rPr>
              <w:t>Č – článok</w:t>
            </w:r>
          </w:p>
          <w:p w:rsidR="002729DC" w:rsidRPr="0011558D" w:rsidP="00507EA9">
            <w:pPr>
              <w:rPr>
                <w:sz w:val="20"/>
                <w:szCs w:val="20"/>
              </w:rPr>
            </w:pPr>
            <w:r w:rsidRPr="0011558D">
              <w:rPr>
                <w:sz w:val="20"/>
                <w:szCs w:val="20"/>
              </w:rPr>
              <w:t>O – odsek</w:t>
            </w:r>
          </w:p>
          <w:p w:rsidR="002729DC" w:rsidRPr="0011558D" w:rsidP="00507EA9">
            <w:pPr>
              <w:rPr>
                <w:sz w:val="20"/>
                <w:szCs w:val="20"/>
              </w:rPr>
            </w:pPr>
            <w:r w:rsidRPr="0011558D">
              <w:rPr>
                <w:sz w:val="20"/>
                <w:szCs w:val="20"/>
              </w:rPr>
              <w:t>V – veta</w:t>
            </w:r>
          </w:p>
          <w:p w:rsidR="002729DC" w:rsidRPr="0011558D" w:rsidP="00507EA9">
            <w:pPr>
              <w:rPr>
                <w:sz w:val="20"/>
                <w:szCs w:val="20"/>
              </w:rPr>
            </w:pPr>
            <w:r w:rsidRPr="0011558D">
              <w:rPr>
                <w:sz w:val="20"/>
                <w:szCs w:val="20"/>
              </w:rPr>
              <w:t>P – číslo (písmeno)</w:t>
            </w:r>
          </w:p>
          <w:p w:rsidR="002729DC" w:rsidRPr="0011558D" w:rsidP="00507EA9">
            <w:pPr>
              <w:rPr>
                <w:sz w:val="20"/>
                <w:szCs w:val="20"/>
              </w:rPr>
            </w:pPr>
          </w:p>
        </w:tc>
        <w:tc>
          <w:tcPr>
            <w:tcW w:w="3780" w:type="dxa"/>
            <w:tcBorders>
              <w:top w:val="nil"/>
              <w:left w:val="nil"/>
              <w:bottom w:val="nil"/>
              <w:right w:val="nil"/>
            </w:tcBorders>
          </w:tcPr>
          <w:p w:rsidR="002729DC" w:rsidRPr="0011558D" w:rsidP="00507EA9">
            <w:pPr>
              <w:pStyle w:val="Normlny"/>
              <w:autoSpaceDE/>
              <w:autoSpaceDN/>
              <w:spacing w:after="60"/>
              <w:rPr>
                <w:lang w:eastAsia="sk-SK"/>
              </w:rPr>
            </w:pPr>
            <w:r w:rsidRPr="0011558D">
              <w:rPr>
                <w:lang w:eastAsia="sk-SK"/>
              </w:rPr>
              <w:t>V stĺpci (3):</w:t>
            </w:r>
          </w:p>
          <w:p w:rsidR="002729DC" w:rsidRPr="0011558D" w:rsidP="00507EA9">
            <w:pPr>
              <w:rPr>
                <w:sz w:val="20"/>
                <w:szCs w:val="20"/>
              </w:rPr>
            </w:pPr>
            <w:r w:rsidRPr="0011558D">
              <w:rPr>
                <w:sz w:val="20"/>
                <w:szCs w:val="20"/>
              </w:rPr>
              <w:t>N – bežná transp</w:t>
            </w:r>
            <w:r w:rsidRPr="0011558D">
              <w:rPr>
                <w:sz w:val="20"/>
                <w:szCs w:val="20"/>
              </w:rPr>
              <w:t>o</w:t>
            </w:r>
            <w:r w:rsidRPr="0011558D">
              <w:rPr>
                <w:sz w:val="20"/>
                <w:szCs w:val="20"/>
              </w:rPr>
              <w:t>zícia</w:t>
            </w:r>
          </w:p>
          <w:p w:rsidR="002729DC" w:rsidRPr="0011558D" w:rsidP="00507EA9">
            <w:pPr>
              <w:rPr>
                <w:sz w:val="20"/>
                <w:szCs w:val="20"/>
              </w:rPr>
            </w:pPr>
            <w:r w:rsidRPr="0011558D">
              <w:rPr>
                <w:sz w:val="20"/>
                <w:szCs w:val="20"/>
              </w:rPr>
              <w:t>O – transpozícia s možnosťou vo</w:t>
            </w:r>
            <w:r w:rsidRPr="0011558D">
              <w:rPr>
                <w:sz w:val="20"/>
                <w:szCs w:val="20"/>
              </w:rPr>
              <w:t>ľ</w:t>
            </w:r>
            <w:r w:rsidRPr="0011558D">
              <w:rPr>
                <w:sz w:val="20"/>
                <w:szCs w:val="20"/>
              </w:rPr>
              <w:t>by</w:t>
            </w:r>
          </w:p>
          <w:p w:rsidR="002729DC" w:rsidRPr="0011558D" w:rsidP="00507EA9">
            <w:pPr>
              <w:rPr>
                <w:sz w:val="20"/>
                <w:szCs w:val="20"/>
              </w:rPr>
            </w:pPr>
            <w:r w:rsidRPr="0011558D">
              <w:rPr>
                <w:sz w:val="20"/>
                <w:szCs w:val="20"/>
              </w:rPr>
              <w:t>D – transpozícia podľa úvahy (do</w:t>
            </w:r>
            <w:r w:rsidRPr="0011558D">
              <w:rPr>
                <w:sz w:val="20"/>
                <w:szCs w:val="20"/>
              </w:rPr>
              <w:t>b</w:t>
            </w:r>
            <w:r w:rsidRPr="0011558D">
              <w:rPr>
                <w:sz w:val="20"/>
                <w:szCs w:val="20"/>
              </w:rPr>
              <w:t>rovoľná)</w:t>
            </w:r>
          </w:p>
          <w:p w:rsidR="002729DC" w:rsidRPr="0011558D" w:rsidP="00507EA9">
            <w:pPr>
              <w:rPr>
                <w:sz w:val="20"/>
                <w:szCs w:val="20"/>
              </w:rPr>
            </w:pPr>
            <w:r w:rsidRPr="0011558D">
              <w:rPr>
                <w:sz w:val="20"/>
                <w:szCs w:val="20"/>
              </w:rPr>
              <w:t>n. a. – transpozícia sa neuskutočňuje</w:t>
            </w:r>
          </w:p>
        </w:tc>
        <w:tc>
          <w:tcPr>
            <w:tcW w:w="2340" w:type="dxa"/>
            <w:tcBorders>
              <w:top w:val="nil"/>
              <w:left w:val="nil"/>
              <w:bottom w:val="nil"/>
              <w:right w:val="nil"/>
            </w:tcBorders>
          </w:tcPr>
          <w:p w:rsidR="002729DC" w:rsidRPr="0011558D" w:rsidP="00507EA9">
            <w:pPr>
              <w:pStyle w:val="Normlny"/>
              <w:autoSpaceDE/>
              <w:autoSpaceDN/>
              <w:spacing w:after="60"/>
              <w:rPr>
                <w:lang w:eastAsia="sk-SK"/>
              </w:rPr>
            </w:pPr>
            <w:r w:rsidRPr="0011558D">
              <w:rPr>
                <w:lang w:eastAsia="sk-SK"/>
              </w:rPr>
              <w:t>V stĺpci (5):</w:t>
            </w:r>
          </w:p>
          <w:p w:rsidR="002729DC" w:rsidRPr="0011558D" w:rsidP="00507EA9">
            <w:pPr>
              <w:rPr>
                <w:sz w:val="20"/>
                <w:szCs w:val="20"/>
              </w:rPr>
            </w:pPr>
            <w:r w:rsidRPr="0011558D">
              <w:rPr>
                <w:sz w:val="20"/>
                <w:szCs w:val="20"/>
              </w:rPr>
              <w:t>Č – článok</w:t>
            </w:r>
          </w:p>
          <w:p w:rsidR="002729DC" w:rsidRPr="0011558D" w:rsidP="00507EA9">
            <w:pPr>
              <w:rPr>
                <w:sz w:val="20"/>
                <w:szCs w:val="20"/>
              </w:rPr>
            </w:pPr>
            <w:r w:rsidRPr="0011558D">
              <w:rPr>
                <w:sz w:val="20"/>
                <w:szCs w:val="20"/>
              </w:rPr>
              <w:t>§ – par</w:t>
            </w:r>
            <w:r w:rsidRPr="0011558D">
              <w:rPr>
                <w:sz w:val="20"/>
                <w:szCs w:val="20"/>
              </w:rPr>
              <w:t>a</w:t>
            </w:r>
            <w:r w:rsidRPr="0011558D">
              <w:rPr>
                <w:sz w:val="20"/>
                <w:szCs w:val="20"/>
              </w:rPr>
              <w:t>graf</w:t>
            </w:r>
          </w:p>
          <w:p w:rsidR="002729DC" w:rsidRPr="0011558D" w:rsidP="00507EA9">
            <w:pPr>
              <w:rPr>
                <w:sz w:val="20"/>
                <w:szCs w:val="20"/>
              </w:rPr>
            </w:pPr>
            <w:r w:rsidRPr="0011558D">
              <w:rPr>
                <w:sz w:val="20"/>
                <w:szCs w:val="20"/>
              </w:rPr>
              <w:t>O – odsek</w:t>
            </w:r>
          </w:p>
          <w:p w:rsidR="002729DC" w:rsidRPr="0011558D" w:rsidP="00507EA9">
            <w:pPr>
              <w:rPr>
                <w:sz w:val="20"/>
                <w:szCs w:val="20"/>
              </w:rPr>
            </w:pPr>
            <w:r w:rsidRPr="0011558D">
              <w:rPr>
                <w:sz w:val="20"/>
                <w:szCs w:val="20"/>
              </w:rPr>
              <w:t>V – veta</w:t>
            </w:r>
          </w:p>
          <w:p w:rsidR="002729DC" w:rsidRPr="0011558D" w:rsidP="00507EA9">
            <w:pPr>
              <w:rPr>
                <w:sz w:val="20"/>
                <w:szCs w:val="20"/>
              </w:rPr>
            </w:pPr>
            <w:r w:rsidRPr="0011558D">
              <w:rPr>
                <w:sz w:val="20"/>
                <w:szCs w:val="20"/>
              </w:rPr>
              <w:t>P – písm</w:t>
            </w:r>
            <w:r w:rsidRPr="0011558D">
              <w:rPr>
                <w:sz w:val="20"/>
                <w:szCs w:val="20"/>
              </w:rPr>
              <w:t>e</w:t>
            </w:r>
            <w:r w:rsidRPr="0011558D">
              <w:rPr>
                <w:sz w:val="20"/>
                <w:szCs w:val="20"/>
              </w:rPr>
              <w:t>no (číslo)</w:t>
            </w:r>
          </w:p>
        </w:tc>
        <w:tc>
          <w:tcPr>
            <w:tcW w:w="7200" w:type="dxa"/>
            <w:gridSpan w:val="2"/>
            <w:tcBorders>
              <w:top w:val="nil"/>
              <w:left w:val="nil"/>
              <w:bottom w:val="nil"/>
              <w:right w:val="nil"/>
            </w:tcBorders>
          </w:tcPr>
          <w:p w:rsidR="002729DC" w:rsidRPr="0011558D" w:rsidP="00507EA9">
            <w:pPr>
              <w:pStyle w:val="Normlny"/>
              <w:autoSpaceDE/>
              <w:autoSpaceDN/>
              <w:spacing w:after="60"/>
              <w:rPr>
                <w:lang w:eastAsia="sk-SK"/>
              </w:rPr>
            </w:pPr>
            <w:r w:rsidRPr="0011558D">
              <w:rPr>
                <w:lang w:eastAsia="sk-SK"/>
              </w:rPr>
              <w:t>V stĺpci (7):</w:t>
            </w:r>
          </w:p>
          <w:p w:rsidR="002729DC" w:rsidRPr="0011558D" w:rsidP="00507EA9">
            <w:pPr>
              <w:ind w:left="290" w:hanging="290"/>
              <w:rPr>
                <w:sz w:val="20"/>
                <w:szCs w:val="20"/>
              </w:rPr>
            </w:pPr>
            <w:r w:rsidRPr="0011558D">
              <w:rPr>
                <w:sz w:val="20"/>
                <w:szCs w:val="20"/>
              </w:rPr>
              <w:t>Ú – úplná zhoda (ak bolo ustanovenie smernice prebraté v celom rozsahu, správne, v príslušnej forme, so zabezpečenou inštitucionálnou infraštruktúrou, s príslušnými sankciami a vo vzájomnej s</w:t>
            </w:r>
            <w:r w:rsidRPr="0011558D">
              <w:rPr>
                <w:sz w:val="20"/>
                <w:szCs w:val="20"/>
              </w:rPr>
              <w:t>ú</w:t>
            </w:r>
            <w:r w:rsidRPr="0011558D">
              <w:rPr>
                <w:sz w:val="20"/>
                <w:szCs w:val="20"/>
              </w:rPr>
              <w:t>vislosti)</w:t>
            </w:r>
          </w:p>
          <w:p w:rsidR="002729DC" w:rsidRPr="0011558D" w:rsidP="00507EA9">
            <w:pPr>
              <w:rPr>
                <w:sz w:val="20"/>
                <w:szCs w:val="20"/>
              </w:rPr>
            </w:pPr>
            <w:r w:rsidRPr="0011558D">
              <w:rPr>
                <w:sz w:val="20"/>
                <w:szCs w:val="20"/>
              </w:rPr>
              <w:t>Č – čiastočná zhoda (ak minimálne jedna z podmienok úplnej zhody nie je splnená)</w:t>
            </w:r>
          </w:p>
          <w:p w:rsidR="002729DC" w:rsidRPr="0011558D" w:rsidP="00507EA9">
            <w:pPr>
              <w:pStyle w:val="BodyTextIndent2"/>
              <w:ind w:left="0" w:firstLine="0"/>
              <w:rPr>
                <w:color w:val="auto"/>
                <w:sz w:val="20"/>
                <w:szCs w:val="20"/>
              </w:rPr>
            </w:pPr>
            <w:r w:rsidRPr="0011558D">
              <w:rPr>
                <w:color w:val="auto"/>
                <w:sz w:val="20"/>
                <w:szCs w:val="20"/>
              </w:rPr>
              <w:t>Ž – žiadna zhoda (ak nebola dosiahnutá ani úplná ani čiastočná zhoda alebo k prebratiu dôjde v budúcnosti)</w:t>
            </w:r>
          </w:p>
          <w:p w:rsidR="002729DC" w:rsidRPr="0011558D" w:rsidP="00507EA9">
            <w:pPr>
              <w:ind w:left="290" w:hanging="290"/>
              <w:rPr>
                <w:sz w:val="20"/>
                <w:szCs w:val="20"/>
              </w:rPr>
            </w:pPr>
            <w:r w:rsidRPr="0011558D">
              <w:rPr>
                <w:sz w:val="20"/>
                <w:szCs w:val="20"/>
              </w:rPr>
              <w:t>n. a. – neaplikovateľnosť (ak sa ustanovenie smernice netýka SR alebo nie je potrebné ho prebrať)</w:t>
            </w:r>
          </w:p>
          <w:p w:rsidR="006A60DC" w:rsidRPr="0011558D" w:rsidP="00507EA9">
            <w:pPr>
              <w:ind w:left="290" w:hanging="290"/>
              <w:rPr>
                <w:sz w:val="20"/>
                <w:szCs w:val="20"/>
              </w:rPr>
            </w:pP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6160" w:type="dxa"/>
            <w:gridSpan w:val="6"/>
            <w:tcBorders>
              <w:top w:val="single" w:sz="12" w:space="0" w:color="auto"/>
              <w:left w:val="single" w:sz="12" w:space="0" w:color="auto"/>
              <w:bottom w:val="single" w:sz="4" w:space="0" w:color="auto"/>
              <w:right w:val="single" w:sz="12" w:space="0" w:color="auto"/>
            </w:tcBorders>
          </w:tcPr>
          <w:p w:rsidR="002729DC" w:rsidRPr="0011558D" w:rsidP="00507EA9">
            <w:pPr>
              <w:pStyle w:val="Heading2"/>
              <w:jc w:val="center"/>
              <w:rPr>
                <w:rFonts w:ascii="Times New Roman" w:hAnsi="Times New Roman" w:cs="Times New Roman"/>
                <w:i w:val="0"/>
                <w:sz w:val="24"/>
                <w:szCs w:val="24"/>
              </w:rPr>
            </w:pPr>
            <w:r w:rsidRPr="0011558D">
              <w:rPr>
                <w:rFonts w:ascii="Times New Roman" w:hAnsi="Times New Roman" w:cs="Times New Roman"/>
                <w:i w:val="0"/>
                <w:sz w:val="24"/>
                <w:szCs w:val="24"/>
              </w:rPr>
              <w:t>Zoznam všeobecne záväzných právnych p</w:t>
            </w:r>
            <w:r w:rsidRPr="0011558D" w:rsidR="00E01C55">
              <w:rPr>
                <w:rFonts w:ascii="Times New Roman" w:hAnsi="Times New Roman" w:cs="Times New Roman"/>
                <w:i w:val="0"/>
                <w:sz w:val="24"/>
                <w:szCs w:val="24"/>
              </w:rPr>
              <w:t>redpisov preberajúcich</w:t>
            </w:r>
            <w:r w:rsidRPr="0011558D" w:rsidR="00E01C55">
              <w:rPr>
                <w:b w:val="0"/>
                <w:sz w:val="22"/>
                <w:szCs w:val="22"/>
              </w:rPr>
              <w:t xml:space="preserve"> </w:t>
            </w:r>
            <w:r w:rsidRPr="0011558D" w:rsidR="003462D8">
              <w:rPr>
                <w:rFonts w:ascii="Times New Roman" w:hAnsi="Times New Roman" w:cs="Times New Roman"/>
                <w:i w:val="0"/>
                <w:sz w:val="24"/>
                <w:szCs w:val="24"/>
              </w:rPr>
              <w:t>smernicu R</w:t>
            </w:r>
            <w:r w:rsidRPr="0011558D" w:rsidR="00E01C55">
              <w:rPr>
                <w:rFonts w:ascii="Times New Roman" w:hAnsi="Times New Roman" w:cs="Times New Roman"/>
                <w:i w:val="0"/>
                <w:sz w:val="24"/>
                <w:szCs w:val="24"/>
              </w:rPr>
              <w:t>ady 92/85/EHS</w:t>
            </w:r>
          </w:p>
          <w:p w:rsidR="002729DC" w:rsidRPr="0011558D" w:rsidP="00507EA9">
            <w:pPr>
              <w:jc w:val="center"/>
              <w:rPr>
                <w:sz w:val="20"/>
                <w:szCs w:val="20"/>
              </w:rPr>
            </w:pPr>
          </w:p>
        </w:tc>
      </w:tr>
      <w:tr w:rsidTr="006C5581">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Height w:val="605"/>
        </w:trPr>
        <w:tc>
          <w:tcPr>
            <w:tcW w:w="1186" w:type="dxa"/>
            <w:gridSpan w:val="2"/>
            <w:tcBorders>
              <w:top w:val="single" w:sz="4" w:space="0" w:color="auto"/>
              <w:left w:val="single" w:sz="12" w:space="0" w:color="auto"/>
              <w:bottom w:val="single" w:sz="4" w:space="0" w:color="auto"/>
              <w:right w:val="single" w:sz="4" w:space="0" w:color="auto"/>
            </w:tcBorders>
          </w:tcPr>
          <w:p w:rsidR="002729DC" w:rsidRPr="0011558D" w:rsidP="00507EA9">
            <w:pPr>
              <w:spacing w:after="120"/>
              <w:jc w:val="center"/>
              <w:rPr>
                <w:sz w:val="20"/>
                <w:szCs w:val="20"/>
              </w:rPr>
            </w:pPr>
            <w:r w:rsidRPr="0011558D">
              <w:rPr>
                <w:sz w:val="20"/>
                <w:szCs w:val="20"/>
              </w:rPr>
              <w:t>Por. č.</w:t>
            </w:r>
          </w:p>
        </w:tc>
        <w:tc>
          <w:tcPr>
            <w:tcW w:w="14974" w:type="dxa"/>
            <w:gridSpan w:val="4"/>
            <w:tcBorders>
              <w:top w:val="single" w:sz="4" w:space="0" w:color="auto"/>
              <w:left w:val="single" w:sz="4" w:space="0" w:color="auto"/>
              <w:bottom w:val="single" w:sz="4" w:space="0" w:color="auto"/>
              <w:right w:val="single" w:sz="12" w:space="0" w:color="auto"/>
            </w:tcBorders>
          </w:tcPr>
          <w:p w:rsidR="002729DC" w:rsidRPr="0011558D" w:rsidP="00507EA9">
            <w:pPr>
              <w:pStyle w:val="Normlny"/>
              <w:rPr>
                <w:lang w:eastAsia="sk-SK"/>
              </w:rPr>
            </w:pPr>
            <w:r w:rsidRPr="0011558D">
              <w:rPr>
                <w:lang w:eastAsia="sk-SK"/>
              </w:rPr>
              <w:t>Názov predpisu</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2729DC" w:rsidRPr="0011558D"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2729DC" w:rsidRPr="0011558D" w:rsidP="00C15601">
            <w:pPr>
              <w:pStyle w:val="abc"/>
              <w:widowControl/>
              <w:tabs>
                <w:tab w:val="clear" w:pos="360"/>
                <w:tab w:val="clear" w:pos="680"/>
              </w:tabs>
              <w:rPr>
                <w:b/>
              </w:rPr>
            </w:pPr>
            <w:r w:rsidRPr="0011558D" w:rsidR="00C15601">
              <w:rPr>
                <w:b/>
              </w:rPr>
              <w:t xml:space="preserve">Zákon č. 73/1998 Z. z. o štátnej službe príslušníkov Policajného zboru, Slovenskej informačnej služby, Zboru väzenskej a justičnej stráže Slovenskej republiky a Železničnej polície v znení neskorších predpisov </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6C5581" w:rsidRPr="0011558D"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6C5581" w:rsidRPr="0011558D" w:rsidP="00507EA9">
            <w:pPr>
              <w:pStyle w:val="abc"/>
              <w:widowControl/>
              <w:tabs>
                <w:tab w:val="clear" w:pos="360"/>
                <w:tab w:val="clear" w:pos="680"/>
              </w:tabs>
              <w:rPr>
                <w:b/>
                <w:lang w:eastAsia="sk-SK"/>
              </w:rPr>
            </w:pPr>
            <w:r w:rsidRPr="0011558D" w:rsidR="00C15601">
              <w:rPr>
                <w:b/>
                <w:lang w:eastAsia="sk-SK"/>
              </w:rPr>
              <w:t>Zákon č. 311/2001 Z. z. Zákonník práce v znení neskorších predpisov</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4C65E3" w:rsidRPr="0011558D"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4C65E3" w:rsidRPr="0011558D" w:rsidP="00507EA9">
            <w:pPr>
              <w:pStyle w:val="abc"/>
              <w:widowControl/>
              <w:tabs>
                <w:tab w:val="clear" w:pos="360"/>
                <w:tab w:val="clear" w:pos="680"/>
              </w:tabs>
              <w:rPr>
                <w:b/>
                <w:lang w:eastAsia="sk-SK"/>
              </w:rPr>
            </w:pPr>
            <w:r w:rsidRPr="0011558D">
              <w:rPr>
                <w:b/>
                <w:lang w:eastAsia="sk-SK"/>
              </w:rPr>
              <w:t>Zákon č. 315/2001 Z. z. o Hasičskom a záchrannom zbore v znení neskorších predpisov</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4C65E3" w:rsidRPr="0011558D"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4C65E3" w:rsidRPr="0011558D" w:rsidP="00507EA9">
            <w:pPr>
              <w:pStyle w:val="abc"/>
              <w:widowControl/>
              <w:tabs>
                <w:tab w:val="clear" w:pos="360"/>
                <w:tab w:val="clear" w:pos="680"/>
              </w:tabs>
              <w:rPr>
                <w:b/>
                <w:lang w:eastAsia="sk-SK"/>
              </w:rPr>
            </w:pPr>
            <w:r w:rsidRPr="0011558D">
              <w:rPr>
                <w:b/>
                <w:lang w:eastAsia="sk-SK"/>
              </w:rPr>
              <w:t xml:space="preserve">Zákon č. 461/2003 Z. z. o sociálnom poistení v znení neskorších predpisov </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4C65E3" w:rsidRPr="0011558D"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4C65E3" w:rsidRPr="0011558D" w:rsidP="005E3B12">
            <w:pPr>
              <w:pStyle w:val="abc"/>
              <w:widowControl/>
              <w:tabs>
                <w:tab w:val="clear" w:pos="360"/>
                <w:tab w:val="clear" w:pos="680"/>
              </w:tabs>
              <w:rPr>
                <w:b/>
                <w:lang w:eastAsia="sk-SK"/>
              </w:rPr>
            </w:pPr>
            <w:r w:rsidRPr="0011558D" w:rsidR="006B2051">
              <w:rPr>
                <w:b/>
              </w:rPr>
              <w:t xml:space="preserve">Nariadenie vlády SR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v znení </w:t>
            </w:r>
            <w:r w:rsidRPr="0011558D" w:rsidR="005E3B12">
              <w:rPr>
                <w:b/>
              </w:rPr>
              <w:t>neskorších predpisov</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5E3B12" w:rsidRPr="0011558D"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5E3B12" w:rsidRPr="0011558D" w:rsidP="00507EA9">
            <w:pPr>
              <w:pStyle w:val="abc"/>
              <w:widowControl/>
              <w:tabs>
                <w:tab w:val="clear" w:pos="360"/>
                <w:tab w:val="clear" w:pos="680"/>
              </w:tabs>
              <w:rPr>
                <w:b/>
              </w:rPr>
            </w:pPr>
            <w:r w:rsidRPr="0011558D">
              <w:rPr>
                <w:b/>
              </w:rPr>
              <w:t>Zákon č. 365/2004 Z. z. o rovnakom zaobchádzaní v niektorých oblastiach a o ochrane pred diskrimináciou a o zmene a doplnení niektorých zákonov v znení neskorších predpisov</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5E3B12" w:rsidRPr="0011558D"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5E3B12" w:rsidRPr="0011558D" w:rsidP="00507EA9">
            <w:pPr>
              <w:pStyle w:val="abc"/>
              <w:widowControl/>
              <w:tabs>
                <w:tab w:val="clear" w:pos="360"/>
                <w:tab w:val="clear" w:pos="680"/>
              </w:tabs>
              <w:rPr>
                <w:b/>
              </w:rPr>
            </w:pPr>
            <w:r w:rsidRPr="0011558D">
              <w:rPr>
                <w:b/>
              </w:rPr>
              <w:t>Zákon č. 124/2006 Z. z. o bezpečnosti a ochrane zdravia pri práci a o zmene a doplnení niektorých zákonov v znení neskorších predpisov</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C15601" w:rsidRPr="0011558D"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C15601" w:rsidRPr="0011558D" w:rsidP="00507EA9">
            <w:pPr>
              <w:pStyle w:val="abc"/>
              <w:widowControl/>
              <w:tabs>
                <w:tab w:val="clear" w:pos="360"/>
                <w:tab w:val="clear" w:pos="680"/>
              </w:tabs>
              <w:jc w:val="left"/>
              <w:rPr>
                <w:b/>
              </w:rPr>
            </w:pPr>
            <w:r w:rsidRPr="0011558D">
              <w:rPr>
                <w:b/>
              </w:rPr>
              <w:t>Zákon č. 281/2015 Z. z. o štátnej službe profesionálnych vojakov a o zmene a doplnení niektorých zákonov v znení neskorších predpisov</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C15601" w:rsidRPr="0011558D"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C15601" w:rsidRPr="0011558D" w:rsidP="00C15601">
            <w:pPr>
              <w:pStyle w:val="abc"/>
              <w:widowControl/>
              <w:tabs>
                <w:tab w:val="clear" w:pos="360"/>
                <w:tab w:val="clear" w:pos="680"/>
              </w:tabs>
              <w:jc w:val="left"/>
              <w:rPr>
                <w:b/>
              </w:rPr>
            </w:pPr>
            <w:r w:rsidRPr="0011558D">
              <w:rPr>
                <w:b/>
              </w:rPr>
              <w:t>Zákon č. 55/2017 Z. z. o štátnej službe a o zmene a doplnení niektorých zákonov</w:t>
            </w:r>
            <w:r w:rsidRPr="0011558D" w:rsidR="00385779">
              <w:rPr>
                <w:b/>
              </w:rPr>
              <w:t xml:space="preserve"> v znení neskorších predpisov</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12" w:space="0" w:color="auto"/>
              <w:right w:val="single" w:sz="4" w:space="0" w:color="auto"/>
            </w:tcBorders>
          </w:tcPr>
          <w:p w:rsidR="002729DC" w:rsidRPr="0011558D"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12" w:space="0" w:color="auto"/>
              <w:right w:val="single" w:sz="12" w:space="0" w:color="auto"/>
            </w:tcBorders>
          </w:tcPr>
          <w:p w:rsidR="002729DC" w:rsidRPr="0011558D" w:rsidP="005C030D">
            <w:pPr>
              <w:pStyle w:val="abc"/>
              <w:widowControl/>
              <w:tabs>
                <w:tab w:val="clear" w:pos="360"/>
                <w:tab w:val="clear" w:pos="680"/>
              </w:tabs>
              <w:rPr>
                <w:b/>
                <w:strike/>
              </w:rPr>
            </w:pPr>
            <w:r w:rsidRPr="0011558D" w:rsidR="00315594">
              <w:rPr>
                <w:b/>
              </w:rPr>
              <w:t>Zákon č</w:t>
            </w:r>
            <w:r w:rsidRPr="0011558D" w:rsidR="00385779">
              <w:rPr>
                <w:b/>
              </w:rPr>
              <w:t>. 35/201</w:t>
            </w:r>
            <w:r w:rsidRPr="0011558D" w:rsidR="005C030D">
              <w:rPr>
                <w:b/>
              </w:rPr>
              <w:t>9</w:t>
            </w:r>
            <w:r w:rsidRPr="0011558D" w:rsidR="00385779">
              <w:rPr>
                <w:b/>
              </w:rPr>
              <w:t xml:space="preserve"> Z. z. o finančnej správe a o zmene a doplnení niektorých zákonov</w:t>
            </w:r>
          </w:p>
        </w:tc>
      </w:tr>
    </w:tbl>
    <w:p w:rsidR="002729DC" w:rsidRPr="0011558D" w:rsidP="00206138">
      <w:pPr>
        <w:ind w:right="-1418"/>
      </w:pPr>
    </w:p>
    <w:sectPr w:rsidSect="00CF02A1">
      <w:footerReference w:type="even" r:id="rId5"/>
      <w:footerReference w:type="default" r:id="rId6"/>
      <w:pgSz w:w="16838" w:h="11906" w:orient="landscape"/>
      <w:pgMar w:top="851" w:right="851" w:bottom="851" w:left="851"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01">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29" w:rsidP="00BD53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44129" w:rsidP="00ED5B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29">
    <w:pPr>
      <w:pStyle w:val="Footer"/>
      <w:jc w:val="center"/>
    </w:pPr>
    <w:r>
      <w:fldChar w:fldCharType="begin"/>
    </w:r>
    <w:r>
      <w:instrText xml:space="preserve"> PAGE   \* MERGEFORMAT </w:instrText>
    </w:r>
    <w:r>
      <w:fldChar w:fldCharType="separate"/>
    </w:r>
    <w:r w:rsidR="0011558D">
      <w:rPr>
        <w:noProof/>
      </w:rPr>
      <w:t>2</w:t>
    </w:r>
    <w:r>
      <w:fldChar w:fldCharType="end"/>
    </w:r>
  </w:p>
  <w:p w:rsidR="00744129" w:rsidP="00ED5B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C99">
      <w:r>
        <w:separator/>
      </w:r>
    </w:p>
  </w:footnote>
  <w:footnote w:type="continuationSeparator" w:id="1">
    <w:p w:rsidR="00B84C99">
      <w:r>
        <w:continuationSeparator/>
      </w:r>
    </w:p>
  </w:footnote>
  <w:footnote w:id="2">
    <w:p w:rsidR="00744129" w:rsidP="00A221A1">
      <w:pPr>
        <w:pStyle w:val="FootnoteText"/>
      </w:pPr>
      <w:r>
        <w:rPr>
          <w:rStyle w:val="FootnoteReference"/>
        </w:rPr>
        <w:footnoteRef/>
      </w:r>
      <w:r>
        <w:t xml:space="preserve"> Tabuľku zhody uložte s názvom súboru vo formáte </w:t>
      </w:r>
      <w:r>
        <w:rPr>
          <w:b/>
          <w:bCs/>
        </w:rPr>
        <w:t>CT_celex. číslo sme</w:t>
      </w:r>
      <w:r>
        <w:rPr>
          <w:b/>
          <w:bCs/>
        </w:rPr>
        <w:t>r</w:t>
      </w:r>
      <w:r>
        <w:rPr>
          <w:b/>
          <w:bCs/>
        </w:rPr>
        <w:t>nice</w:t>
      </w:r>
      <w:r w:rsidR="005C0FE9">
        <w:rPr>
          <w:b/>
          <w:bCs/>
        </w:rPr>
        <w:t>_dátum odoslania TZ e-mailom</w:t>
      </w:r>
      <w:r w:rsidR="005C0FE9">
        <w:t>, napr. CT_32005L0001_310114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Pr>
    </w:lvl>
    <w:lvl w:ilvl="1">
      <w:start w:val="1"/>
      <w:numFmt w:val="lowerLetter"/>
      <w:lvlText w:val="%2."/>
      <w:lvlJc w:val="left"/>
      <w:pPr>
        <w:ind w:left="1959" w:hanging="360"/>
      </w:pPr>
      <w:rPr>
        <w:rFonts w:ascii="Times New Roman" w:hAnsi="Times New Roman" w:cs="Times New Roman"/>
      </w:rPr>
    </w:lvl>
    <w:lvl w:ilvl="2">
      <w:start w:val="1"/>
      <w:numFmt w:val="lowerRoman"/>
      <w:lvlText w:val="%3."/>
      <w:lvlJc w:val="right"/>
      <w:pPr>
        <w:ind w:left="2679" w:hanging="180"/>
      </w:pPr>
      <w:rPr>
        <w:rFonts w:ascii="Times New Roman" w:hAnsi="Times New Roman" w:cs="Times New Roman"/>
      </w:rPr>
    </w:lvl>
    <w:lvl w:ilvl="3">
      <w:start w:val="1"/>
      <w:numFmt w:val="decimal"/>
      <w:lvlText w:val="%4."/>
      <w:lvlJc w:val="left"/>
      <w:pPr>
        <w:ind w:left="3399" w:hanging="360"/>
      </w:pPr>
      <w:rPr>
        <w:rFonts w:ascii="Times New Roman" w:hAnsi="Times New Roman" w:cs="Times New Roman"/>
      </w:rPr>
    </w:lvl>
    <w:lvl w:ilvl="4">
      <w:start w:val="1"/>
      <w:numFmt w:val="lowerLetter"/>
      <w:lvlText w:val="%5."/>
      <w:lvlJc w:val="left"/>
      <w:pPr>
        <w:ind w:left="4119" w:hanging="360"/>
      </w:pPr>
      <w:rPr>
        <w:rFonts w:ascii="Times New Roman" w:hAnsi="Times New Roman" w:cs="Times New Roman"/>
      </w:rPr>
    </w:lvl>
    <w:lvl w:ilvl="5">
      <w:start w:val="1"/>
      <w:numFmt w:val="lowerRoman"/>
      <w:lvlText w:val="%6."/>
      <w:lvlJc w:val="right"/>
      <w:pPr>
        <w:ind w:left="4839" w:hanging="180"/>
      </w:pPr>
      <w:rPr>
        <w:rFonts w:ascii="Times New Roman" w:hAnsi="Times New Roman" w:cs="Times New Roman"/>
      </w:rPr>
    </w:lvl>
    <w:lvl w:ilvl="6">
      <w:start w:val="1"/>
      <w:numFmt w:val="decimal"/>
      <w:lvlText w:val="%7."/>
      <w:lvlJc w:val="left"/>
      <w:pPr>
        <w:ind w:left="5559" w:hanging="360"/>
      </w:pPr>
      <w:rPr>
        <w:rFonts w:ascii="Times New Roman" w:hAnsi="Times New Roman" w:cs="Times New Roman"/>
      </w:rPr>
    </w:lvl>
    <w:lvl w:ilvl="7">
      <w:start w:val="1"/>
      <w:numFmt w:val="lowerLetter"/>
      <w:lvlText w:val="%8."/>
      <w:lvlJc w:val="left"/>
      <w:pPr>
        <w:ind w:left="6279" w:hanging="360"/>
      </w:pPr>
      <w:rPr>
        <w:rFonts w:ascii="Times New Roman" w:hAnsi="Times New Roman" w:cs="Times New Roman"/>
      </w:rPr>
    </w:lvl>
    <w:lvl w:ilvl="8">
      <w:start w:val="1"/>
      <w:numFmt w:val="lowerRoman"/>
      <w:lvlText w:val="%9."/>
      <w:lvlJc w:val="right"/>
      <w:pPr>
        <w:ind w:left="6999" w:hanging="180"/>
      </w:pPr>
      <w:rPr>
        <w:rFonts w:ascii="Times New Roman" w:hAnsi="Times New Roman" w:cs="Times New Roman"/>
      </w:rPr>
    </w:lvl>
  </w:abstractNum>
  <w:abstractNum w:abstractNumId="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osite"/>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pStyle w:val="Zakladnysty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Heading5"/>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4680"/>
        </w:tabs>
        <w:ind w:left="432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3">
    <w:nsid w:val="1B8F6180"/>
    <w:multiLevelType w:val="hybridMultilevel"/>
    <w:tmpl w:val="65BEC976"/>
    <w:lvl w:ilvl="0">
      <w:start w:val="1"/>
      <w:numFmt w:val="decimal"/>
      <w:lvlText w:val="%1."/>
      <w:lvlJc w:val="left"/>
      <w:pPr>
        <w:ind w:left="1062" w:hanging="360"/>
      </w:pPr>
    </w:lvl>
    <w:lvl w:ilvl="1" w:tentative="1">
      <w:start w:val="1"/>
      <w:numFmt w:val="lowerLetter"/>
      <w:lvlText w:val="%2."/>
      <w:lvlJc w:val="left"/>
      <w:pPr>
        <w:ind w:left="1782" w:hanging="360"/>
      </w:pPr>
    </w:lvl>
    <w:lvl w:ilvl="2" w:tentative="1">
      <w:start w:val="1"/>
      <w:numFmt w:val="lowerRoman"/>
      <w:lvlText w:val="%3."/>
      <w:lvlJc w:val="right"/>
      <w:pPr>
        <w:ind w:left="2502" w:hanging="180"/>
      </w:p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abstractNum w:abstractNumId="4">
    <w:nsid w:val="25FC5F29"/>
    <w:multiLevelType w:val="hybridMultilevel"/>
    <w:tmpl w:val="49C2EBE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C630597"/>
    <w:multiLevelType w:val="hybridMultilevel"/>
    <w:tmpl w:val="F6E2CCB4"/>
    <w:lvl w:ilvl="0">
      <w:start w:val="1"/>
      <w:numFmt w:val="lowerLetter"/>
      <w:lvlText w:val="%1)"/>
      <w:lvlJc w:val="left"/>
      <w:pPr>
        <w:tabs>
          <w:tab w:val="num" w:pos="357"/>
        </w:tabs>
        <w:ind w:left="357" w:hanging="357"/>
      </w:pPr>
      <w:rPr>
        <w:rFonts w:cs="Cambria" w:hint="default"/>
      </w:rPr>
    </w:lvl>
    <w:lvl w:ilvl="1">
      <w:start w:val="1"/>
      <w:numFmt w:val="decimal"/>
      <w:lvlText w:val="%2."/>
      <w:lvlJc w:val="left"/>
      <w:pPr>
        <w:tabs>
          <w:tab w:val="num" w:pos="714"/>
        </w:tabs>
        <w:ind w:left="714" w:hanging="357"/>
      </w:pPr>
      <w:rPr>
        <w:rFonts w:cs="Times New Roman" w:hint="default"/>
        <w:b w:val="0"/>
        <w:i w:val="0"/>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34876780"/>
    <w:multiLevelType w:val="hybridMultilevel"/>
    <w:tmpl w:val="B2D8B070"/>
    <w:lvl w:ilvl="0">
      <w:start w:val="1"/>
      <w:numFmt w:val="lowerLetter"/>
      <w:lvlText w:val="%1)"/>
      <w:lvlJc w:val="left"/>
      <w:pPr>
        <w:tabs>
          <w:tab w:val="num" w:pos="357"/>
        </w:tabs>
        <w:ind w:left="357" w:hanging="357"/>
      </w:pPr>
      <w:rPr>
        <w:rFonts w:cs="Cambria"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360C3B91"/>
    <w:multiLevelType w:val="hybridMultilevel"/>
    <w:tmpl w:val="857C847C"/>
    <w:lvl w:ilvl="0">
      <w:start w:val="1"/>
      <w:numFmt w:val="lowerLetter"/>
      <w:lvlText w:val="%1)"/>
      <w:lvlJc w:val="left"/>
      <w:pPr>
        <w:tabs>
          <w:tab w:val="num" w:pos="454"/>
        </w:tabs>
        <w:ind w:left="454" w:hanging="454"/>
      </w:pPr>
      <w:rPr>
        <w:rFonts w:cs="Times New Roman" w:hint="default"/>
      </w:rPr>
    </w:lvl>
    <w:lvl w:ilvl="1">
      <w:start w:val="1"/>
      <w:numFmt w:val="lowerLetter"/>
      <w:lvlText w:val="%2)"/>
      <w:lvlJc w:val="left"/>
      <w:pPr>
        <w:tabs>
          <w:tab w:val="num" w:pos="454"/>
        </w:tabs>
        <w:ind w:left="454" w:hanging="454"/>
      </w:pPr>
      <w:rPr>
        <w:rFonts w:cs="Times New Roman" w:hint="default"/>
      </w:rPr>
    </w:lvl>
    <w:lvl w:ilvl="2">
      <w:start w:val="1"/>
      <w:numFmt w:val="decimal"/>
      <w:lvlText w:val="%3."/>
      <w:lvlJc w:val="left"/>
      <w:pPr>
        <w:tabs>
          <w:tab w:val="num" w:pos="737"/>
        </w:tabs>
        <w:ind w:left="737" w:hanging="283"/>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489257CD"/>
    <w:multiLevelType w:val="hybridMultilevel"/>
    <w:tmpl w:val="5DD65CC4"/>
    <w:lvl w:ilvl="0">
      <w:start w:val="1"/>
      <w:numFmt w:val="lowerLetter"/>
      <w:lvlText w:val="%1)"/>
      <w:lvlJc w:val="left"/>
      <w:pPr>
        <w:tabs>
          <w:tab w:val="num" w:pos="454"/>
        </w:tabs>
        <w:ind w:left="454" w:hanging="454"/>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C2D1DAB"/>
    <w:multiLevelType w:val="hybridMultilevel"/>
    <w:tmpl w:val="E26CF64C"/>
    <w:lvl w:ilvl="0">
      <w:start w:val="1"/>
      <w:numFmt w:val="lowerLetter"/>
      <w:lvlText w:val="%1)"/>
      <w:lvlJc w:val="left"/>
      <w:pPr>
        <w:tabs>
          <w:tab w:val="num" w:pos="357"/>
        </w:tabs>
        <w:ind w:left="357" w:hanging="357"/>
      </w:pPr>
      <w:rPr>
        <w:rFonts w:cs="Cambria"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4D6C7B85"/>
    <w:multiLevelType w:val="hybridMultilevel"/>
    <w:tmpl w:val="DD6AEC16"/>
    <w:lvl w:ilvl="0">
      <w:start w:val="3"/>
      <w:numFmt w:val="lowerLetter"/>
      <w:lvlText w:val="%1)"/>
      <w:lvlJc w:val="left"/>
      <w:pPr>
        <w:tabs>
          <w:tab w:val="num" w:pos="454"/>
        </w:tabs>
        <w:ind w:left="454" w:hanging="45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579251CF"/>
    <w:multiLevelType w:val="hybridMultilevel"/>
    <w:tmpl w:val="346CA39C"/>
    <w:lvl w:ilvl="0">
      <w:start w:val="0"/>
      <w:numFmt w:val="bullet"/>
      <w:lvlText w:val="–"/>
      <w:lvlJc w:val="left"/>
      <w:pPr>
        <w:tabs>
          <w:tab w:val="num" w:pos="1211"/>
        </w:tabs>
        <w:ind w:left="1211" w:hanging="360"/>
      </w:pPr>
      <w:rPr>
        <w:rFonts w:ascii="Times New Roman" w:eastAsia="Times New Roman" w:hAnsi="Times New Roman" w:hint="default"/>
      </w:rPr>
    </w:lvl>
    <w:lvl w:ilvl="1" w:tentative="1">
      <w:start w:val="1"/>
      <w:numFmt w:val="bullet"/>
      <w:lvlText w:val="o"/>
      <w:lvlJc w:val="left"/>
      <w:pPr>
        <w:tabs>
          <w:tab w:val="num" w:pos="1931"/>
        </w:tabs>
        <w:ind w:left="1931" w:hanging="360"/>
      </w:pPr>
      <w:rPr>
        <w:rFonts w:ascii="Courier New" w:hAnsi="Courier New"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12">
    <w:nsid w:val="5FA34DB4"/>
    <w:multiLevelType w:val="hybridMultilevel"/>
    <w:tmpl w:val="83F490B6"/>
    <w:lvl w:ilvl="0">
      <w:start w:val="1"/>
      <w:numFmt w:val="lowerLetter"/>
      <w:lvlText w:val="%1)"/>
      <w:lvlJc w:val="left"/>
      <w:pPr>
        <w:tabs>
          <w:tab w:val="num" w:pos="454"/>
        </w:tabs>
        <w:ind w:left="454" w:hanging="454"/>
      </w:pPr>
      <w:rPr>
        <w:rFonts w:cs="Times New Roman" w:hint="default"/>
      </w:rPr>
    </w:lvl>
    <w:lvl w:ilvl="1">
      <w:start w:val="1"/>
      <w:numFmt w:val="decimal"/>
      <w:lvlText w:val="%2."/>
      <w:lvlJc w:val="left"/>
      <w:pPr>
        <w:tabs>
          <w:tab w:val="num" w:pos="737"/>
        </w:tabs>
        <w:ind w:left="737" w:hanging="283"/>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66A94026"/>
    <w:multiLevelType w:val="hybridMultilevel"/>
    <w:tmpl w:val="884A1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167A1C"/>
    <w:multiLevelType w:val="hybridMultilevel"/>
    <w:tmpl w:val="B53AF6BC"/>
    <w:lvl w:ilvl="0">
      <w:start w:val="1"/>
      <w:numFmt w:val="lowerLetter"/>
      <w:lvlText w:val="%1)"/>
      <w:lvlJc w:val="left"/>
      <w:pPr>
        <w:tabs>
          <w:tab w:val="num" w:pos="454"/>
        </w:tabs>
        <w:ind w:left="454" w:hanging="45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6B992D65"/>
    <w:multiLevelType w:val="hybridMultilevel"/>
    <w:tmpl w:val="099E518C"/>
    <w:lvl w:ilvl="0">
      <w:start w:val="5"/>
      <w:numFmt w:val="decimal"/>
      <w:lvlText w:val="%1."/>
      <w:lvlJc w:val="left"/>
      <w:pPr>
        <w:tabs>
          <w:tab w:val="num" w:pos="717"/>
        </w:tabs>
        <w:ind w:left="717" w:hanging="360"/>
      </w:pPr>
      <w:rPr>
        <w:rFonts w:cs="Times New Roman" w:hint="default"/>
      </w:rPr>
    </w:lvl>
    <w:lvl w:ilvl="1" w:tentative="1">
      <w:start w:val="1"/>
      <w:numFmt w:val="lowerLetter"/>
      <w:lvlText w:val="%2."/>
      <w:lvlJc w:val="left"/>
      <w:pPr>
        <w:tabs>
          <w:tab w:val="num" w:pos="1437"/>
        </w:tabs>
        <w:ind w:left="1437" w:hanging="360"/>
      </w:pPr>
      <w:rPr>
        <w:rFonts w:cs="Times New Roman"/>
      </w:rPr>
    </w:lvl>
    <w:lvl w:ilvl="2" w:tentative="1">
      <w:start w:val="1"/>
      <w:numFmt w:val="lowerRoman"/>
      <w:lvlText w:val="%3."/>
      <w:lvlJc w:val="right"/>
      <w:pPr>
        <w:tabs>
          <w:tab w:val="num" w:pos="2157"/>
        </w:tabs>
        <w:ind w:left="2157" w:hanging="180"/>
      </w:pPr>
      <w:rPr>
        <w:rFonts w:cs="Times New Roman"/>
      </w:rPr>
    </w:lvl>
    <w:lvl w:ilvl="3" w:tentative="1">
      <w:start w:val="1"/>
      <w:numFmt w:val="decimal"/>
      <w:lvlText w:val="%4."/>
      <w:lvlJc w:val="left"/>
      <w:pPr>
        <w:tabs>
          <w:tab w:val="num" w:pos="2877"/>
        </w:tabs>
        <w:ind w:left="2877" w:hanging="360"/>
      </w:pPr>
      <w:rPr>
        <w:rFonts w:cs="Times New Roman"/>
      </w:rPr>
    </w:lvl>
    <w:lvl w:ilvl="4" w:tentative="1">
      <w:start w:val="1"/>
      <w:numFmt w:val="lowerLetter"/>
      <w:lvlText w:val="%5."/>
      <w:lvlJc w:val="left"/>
      <w:pPr>
        <w:tabs>
          <w:tab w:val="num" w:pos="3597"/>
        </w:tabs>
        <w:ind w:left="3597" w:hanging="360"/>
      </w:pPr>
      <w:rPr>
        <w:rFonts w:cs="Times New Roman"/>
      </w:rPr>
    </w:lvl>
    <w:lvl w:ilvl="5" w:tentative="1">
      <w:start w:val="1"/>
      <w:numFmt w:val="lowerRoman"/>
      <w:lvlText w:val="%6."/>
      <w:lvlJc w:val="right"/>
      <w:pPr>
        <w:tabs>
          <w:tab w:val="num" w:pos="4317"/>
        </w:tabs>
        <w:ind w:left="4317" w:hanging="180"/>
      </w:pPr>
      <w:rPr>
        <w:rFonts w:cs="Times New Roman"/>
      </w:rPr>
    </w:lvl>
    <w:lvl w:ilvl="6" w:tentative="1">
      <w:start w:val="1"/>
      <w:numFmt w:val="decimal"/>
      <w:lvlText w:val="%7."/>
      <w:lvlJc w:val="left"/>
      <w:pPr>
        <w:tabs>
          <w:tab w:val="num" w:pos="5037"/>
        </w:tabs>
        <w:ind w:left="5037" w:hanging="360"/>
      </w:pPr>
      <w:rPr>
        <w:rFonts w:cs="Times New Roman"/>
      </w:rPr>
    </w:lvl>
    <w:lvl w:ilvl="7" w:tentative="1">
      <w:start w:val="1"/>
      <w:numFmt w:val="lowerLetter"/>
      <w:lvlText w:val="%8."/>
      <w:lvlJc w:val="left"/>
      <w:pPr>
        <w:tabs>
          <w:tab w:val="num" w:pos="5757"/>
        </w:tabs>
        <w:ind w:left="5757" w:hanging="360"/>
      </w:pPr>
      <w:rPr>
        <w:rFonts w:cs="Times New Roman"/>
      </w:rPr>
    </w:lvl>
    <w:lvl w:ilvl="8" w:tentative="1">
      <w:start w:val="1"/>
      <w:numFmt w:val="lowerRoman"/>
      <w:lvlText w:val="%9."/>
      <w:lvlJc w:val="right"/>
      <w:pPr>
        <w:tabs>
          <w:tab w:val="num" w:pos="6477"/>
        </w:tabs>
        <w:ind w:left="6477" w:hanging="180"/>
      </w:pPr>
      <w:rPr>
        <w:rFonts w:cs="Times New Roman"/>
      </w:rPr>
    </w:lvl>
  </w:abstractNum>
  <w:abstractNum w:abstractNumId="16">
    <w:nsid w:val="6C815142"/>
    <w:multiLevelType w:val="hybridMultilevel"/>
    <w:tmpl w:val="D42E68A0"/>
    <w:lvl w:ilvl="0">
      <w:start w:val="3"/>
      <w:numFmt w:val="lowerLetter"/>
      <w:lvlText w:val="%1)"/>
      <w:lvlJc w:val="left"/>
      <w:pPr>
        <w:tabs>
          <w:tab w:val="num" w:pos="1022"/>
        </w:tabs>
        <w:ind w:left="1022" w:hanging="705"/>
      </w:pPr>
      <w:rPr>
        <w:rFonts w:hint="default"/>
      </w:rPr>
    </w:lvl>
    <w:lvl w:ilvl="1">
      <w:start w:val="1"/>
      <w:numFmt w:val="decimal"/>
      <w:lvlText w:val="(%2)"/>
      <w:lvlJc w:val="left"/>
      <w:pPr>
        <w:tabs>
          <w:tab w:val="num" w:pos="1397"/>
        </w:tabs>
        <w:ind w:left="1397" w:hanging="360"/>
      </w:pPr>
      <w:rPr>
        <w:rFonts w:hint="default"/>
      </w:rPr>
    </w:lvl>
    <w:lvl w:ilvl="2" w:tentative="1">
      <w:start w:val="1"/>
      <w:numFmt w:val="lowerRoman"/>
      <w:lvlText w:val="%3."/>
      <w:lvlJc w:val="right"/>
      <w:pPr>
        <w:tabs>
          <w:tab w:val="num" w:pos="2117"/>
        </w:tabs>
        <w:ind w:left="2117" w:hanging="180"/>
      </w:pPr>
    </w:lvl>
    <w:lvl w:ilvl="3" w:tentative="1">
      <w:start w:val="1"/>
      <w:numFmt w:val="decimal"/>
      <w:lvlText w:val="%4."/>
      <w:lvlJc w:val="left"/>
      <w:pPr>
        <w:tabs>
          <w:tab w:val="num" w:pos="2837"/>
        </w:tabs>
        <w:ind w:left="2837" w:hanging="360"/>
      </w:pPr>
    </w:lvl>
    <w:lvl w:ilvl="4" w:tentative="1">
      <w:start w:val="1"/>
      <w:numFmt w:val="lowerLetter"/>
      <w:lvlText w:val="%5."/>
      <w:lvlJc w:val="left"/>
      <w:pPr>
        <w:tabs>
          <w:tab w:val="num" w:pos="3557"/>
        </w:tabs>
        <w:ind w:left="3557" w:hanging="360"/>
      </w:pPr>
    </w:lvl>
    <w:lvl w:ilvl="5" w:tentative="1">
      <w:start w:val="1"/>
      <w:numFmt w:val="lowerRoman"/>
      <w:lvlText w:val="%6."/>
      <w:lvlJc w:val="right"/>
      <w:pPr>
        <w:tabs>
          <w:tab w:val="num" w:pos="4277"/>
        </w:tabs>
        <w:ind w:left="4277" w:hanging="180"/>
      </w:pPr>
    </w:lvl>
    <w:lvl w:ilvl="6" w:tentative="1">
      <w:start w:val="1"/>
      <w:numFmt w:val="decimal"/>
      <w:lvlText w:val="%7."/>
      <w:lvlJc w:val="left"/>
      <w:pPr>
        <w:tabs>
          <w:tab w:val="num" w:pos="4997"/>
        </w:tabs>
        <w:ind w:left="4997" w:hanging="360"/>
      </w:pPr>
    </w:lvl>
    <w:lvl w:ilvl="7" w:tentative="1">
      <w:start w:val="1"/>
      <w:numFmt w:val="lowerLetter"/>
      <w:lvlText w:val="%8."/>
      <w:lvlJc w:val="left"/>
      <w:pPr>
        <w:tabs>
          <w:tab w:val="num" w:pos="5717"/>
        </w:tabs>
        <w:ind w:left="5717" w:hanging="360"/>
      </w:pPr>
    </w:lvl>
    <w:lvl w:ilvl="8" w:tentative="1">
      <w:start w:val="1"/>
      <w:numFmt w:val="lowerRoman"/>
      <w:lvlText w:val="%9."/>
      <w:lvlJc w:val="right"/>
      <w:pPr>
        <w:tabs>
          <w:tab w:val="num" w:pos="6437"/>
        </w:tabs>
        <w:ind w:left="6437" w:hanging="180"/>
      </w:pPr>
    </w:lvl>
  </w:abstractNum>
  <w:abstractNum w:abstractNumId="17">
    <w:nsid w:val="73ED13F6"/>
    <w:multiLevelType w:val="hybridMultilevel"/>
    <w:tmpl w:val="25BAA1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E7947D1"/>
    <w:multiLevelType w:val="hybridMultilevel"/>
    <w:tmpl w:val="C8FC09E2"/>
    <w:lvl w:ilvl="0">
      <w:start w:val="1"/>
      <w:numFmt w:val="decimal"/>
      <w:pStyle w:val="Apato1"/>
      <w:lvlText w:val="%1."/>
      <w:lvlJc w:val="left"/>
      <w:pPr>
        <w:tabs>
          <w:tab w:val="num" w:pos="684"/>
        </w:tabs>
        <w:ind w:left="684" w:hanging="360"/>
      </w:pPr>
      <w:rPr>
        <w:rFonts w:hint="default"/>
      </w:rPr>
    </w:lvl>
    <w:lvl w:ilvl="1" w:tentative="1">
      <w:start w:val="1"/>
      <w:numFmt w:val="lowerLetter"/>
      <w:lvlText w:val="%2."/>
      <w:lvlJc w:val="left"/>
      <w:pPr>
        <w:tabs>
          <w:tab w:val="num" w:pos="1404"/>
        </w:tabs>
        <w:ind w:left="1404" w:hanging="360"/>
      </w:pPr>
    </w:lvl>
    <w:lvl w:ilvl="2" w:tentative="1">
      <w:start w:val="1"/>
      <w:numFmt w:val="lowerRoman"/>
      <w:lvlText w:val="%3."/>
      <w:lvlJc w:val="right"/>
      <w:pPr>
        <w:tabs>
          <w:tab w:val="num" w:pos="2124"/>
        </w:tabs>
        <w:ind w:left="2124" w:hanging="180"/>
      </w:pPr>
    </w:lvl>
    <w:lvl w:ilvl="3" w:tentative="1">
      <w:start w:val="1"/>
      <w:numFmt w:val="decimal"/>
      <w:lvlText w:val="%4."/>
      <w:lvlJc w:val="left"/>
      <w:pPr>
        <w:tabs>
          <w:tab w:val="num" w:pos="2844"/>
        </w:tabs>
        <w:ind w:left="2844" w:hanging="360"/>
      </w:pPr>
    </w:lvl>
    <w:lvl w:ilvl="4" w:tentative="1">
      <w:start w:val="1"/>
      <w:numFmt w:val="lowerLetter"/>
      <w:lvlText w:val="%5."/>
      <w:lvlJc w:val="left"/>
      <w:pPr>
        <w:tabs>
          <w:tab w:val="num" w:pos="3564"/>
        </w:tabs>
        <w:ind w:left="3564" w:hanging="360"/>
      </w:pPr>
    </w:lvl>
    <w:lvl w:ilvl="5" w:tentative="1">
      <w:start w:val="1"/>
      <w:numFmt w:val="lowerRoman"/>
      <w:lvlText w:val="%6."/>
      <w:lvlJc w:val="right"/>
      <w:pPr>
        <w:tabs>
          <w:tab w:val="num" w:pos="4284"/>
        </w:tabs>
        <w:ind w:left="4284" w:hanging="180"/>
      </w:pPr>
    </w:lvl>
    <w:lvl w:ilvl="6" w:tentative="1">
      <w:start w:val="1"/>
      <w:numFmt w:val="decimal"/>
      <w:lvlText w:val="%7."/>
      <w:lvlJc w:val="left"/>
      <w:pPr>
        <w:tabs>
          <w:tab w:val="num" w:pos="5004"/>
        </w:tabs>
        <w:ind w:left="5004" w:hanging="360"/>
      </w:pPr>
    </w:lvl>
    <w:lvl w:ilvl="7" w:tentative="1">
      <w:start w:val="1"/>
      <w:numFmt w:val="lowerLetter"/>
      <w:lvlText w:val="%8."/>
      <w:lvlJc w:val="left"/>
      <w:pPr>
        <w:tabs>
          <w:tab w:val="num" w:pos="5724"/>
        </w:tabs>
        <w:ind w:left="5724" w:hanging="360"/>
      </w:pPr>
    </w:lvl>
    <w:lvl w:ilvl="8" w:tentative="1">
      <w:start w:val="1"/>
      <w:numFmt w:val="lowerRoman"/>
      <w:lvlText w:val="%9."/>
      <w:lvlJc w:val="right"/>
      <w:pPr>
        <w:tabs>
          <w:tab w:val="num" w:pos="6444"/>
        </w:tabs>
        <w:ind w:left="6444" w:hanging="180"/>
      </w:pPr>
    </w:lvl>
  </w:abstractNum>
  <w:num w:numId="1">
    <w:abstractNumId w:val="2"/>
  </w:num>
  <w:num w:numId="2">
    <w:abstractNumId w:val="18"/>
  </w:num>
  <w:num w:numId="3">
    <w:abstractNumId w:val="11"/>
  </w:num>
  <w:num w:numId="4">
    <w:abstractNumId w:val="1"/>
  </w:num>
  <w:num w:numId="5">
    <w:abstractNumId w:val="0"/>
  </w:num>
  <w:num w:numId="6">
    <w:abstractNumId w:val="5"/>
  </w:num>
  <w:num w:numId="7">
    <w:abstractNumId w:val="15"/>
  </w:num>
  <w:num w:numId="8">
    <w:abstractNumId w:val="9"/>
  </w:num>
  <w:num w:numId="9">
    <w:abstractNumId w:val="6"/>
  </w:num>
  <w:num w:numId="10">
    <w:abstractNumId w:val="16"/>
  </w:num>
  <w:num w:numId="11">
    <w:abstractNumId w:val="17"/>
  </w:num>
  <w:num w:numId="12">
    <w:abstractNumId w:val="4"/>
  </w:num>
  <w:num w:numId="13">
    <w:abstractNumId w:val="12"/>
  </w:num>
  <w:num w:numId="14">
    <w:abstractNumId w:val="14"/>
  </w:num>
  <w:num w:numId="15">
    <w:abstractNumId w:val="7"/>
  </w:num>
  <w:num w:numId="16">
    <w:abstractNumId w:val="10"/>
  </w:num>
  <w:num w:numId="17">
    <w:abstractNumId w:val="3"/>
  </w:num>
  <w:num w:numId="18">
    <w:abstractNumId w:val="1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29DC"/>
    <w:rsid w:val="00020D1F"/>
    <w:rsid w:val="000303AE"/>
    <w:rsid w:val="00036363"/>
    <w:rsid w:val="00051BE2"/>
    <w:rsid w:val="00057BD8"/>
    <w:rsid w:val="00064DF4"/>
    <w:rsid w:val="000674B3"/>
    <w:rsid w:val="00072607"/>
    <w:rsid w:val="000768FA"/>
    <w:rsid w:val="00077A97"/>
    <w:rsid w:val="00097093"/>
    <w:rsid w:val="000C121B"/>
    <w:rsid w:val="000C3BA7"/>
    <w:rsid w:val="0011558D"/>
    <w:rsid w:val="001A204B"/>
    <w:rsid w:val="001A5EFB"/>
    <w:rsid w:val="001A7BBA"/>
    <w:rsid w:val="001A7FB2"/>
    <w:rsid w:val="001B0D3C"/>
    <w:rsid w:val="001B3469"/>
    <w:rsid w:val="001C37B1"/>
    <w:rsid w:val="00206138"/>
    <w:rsid w:val="00213A0C"/>
    <w:rsid w:val="00221955"/>
    <w:rsid w:val="0022259B"/>
    <w:rsid w:val="002326D0"/>
    <w:rsid w:val="00234DC3"/>
    <w:rsid w:val="00241B26"/>
    <w:rsid w:val="0025541D"/>
    <w:rsid w:val="00262D7A"/>
    <w:rsid w:val="002729DC"/>
    <w:rsid w:val="00282DF8"/>
    <w:rsid w:val="002A1A76"/>
    <w:rsid w:val="002A55B9"/>
    <w:rsid w:val="002B7086"/>
    <w:rsid w:val="002D02F2"/>
    <w:rsid w:val="002D309E"/>
    <w:rsid w:val="002E2E22"/>
    <w:rsid w:val="002E301E"/>
    <w:rsid w:val="002E3552"/>
    <w:rsid w:val="003138E5"/>
    <w:rsid w:val="00315594"/>
    <w:rsid w:val="0033232E"/>
    <w:rsid w:val="00333FBA"/>
    <w:rsid w:val="0034490F"/>
    <w:rsid w:val="003462D8"/>
    <w:rsid w:val="00346511"/>
    <w:rsid w:val="00346763"/>
    <w:rsid w:val="003513BF"/>
    <w:rsid w:val="00360021"/>
    <w:rsid w:val="00385779"/>
    <w:rsid w:val="003A545A"/>
    <w:rsid w:val="003B5A8F"/>
    <w:rsid w:val="003B79D1"/>
    <w:rsid w:val="003C0078"/>
    <w:rsid w:val="003C519D"/>
    <w:rsid w:val="003C62C5"/>
    <w:rsid w:val="003D0D41"/>
    <w:rsid w:val="003D18AF"/>
    <w:rsid w:val="003E0D41"/>
    <w:rsid w:val="003F4254"/>
    <w:rsid w:val="003F5AC0"/>
    <w:rsid w:val="0040431C"/>
    <w:rsid w:val="00423334"/>
    <w:rsid w:val="0043398E"/>
    <w:rsid w:val="00460BCF"/>
    <w:rsid w:val="004637ED"/>
    <w:rsid w:val="004667E2"/>
    <w:rsid w:val="00470202"/>
    <w:rsid w:val="004B26CD"/>
    <w:rsid w:val="004C65E3"/>
    <w:rsid w:val="004D339E"/>
    <w:rsid w:val="004D6214"/>
    <w:rsid w:val="005003BB"/>
    <w:rsid w:val="005035A2"/>
    <w:rsid w:val="005067BF"/>
    <w:rsid w:val="00507EA9"/>
    <w:rsid w:val="00511955"/>
    <w:rsid w:val="005215B7"/>
    <w:rsid w:val="0052270D"/>
    <w:rsid w:val="005277D1"/>
    <w:rsid w:val="00532A49"/>
    <w:rsid w:val="0054631C"/>
    <w:rsid w:val="00586958"/>
    <w:rsid w:val="005B14BF"/>
    <w:rsid w:val="005B58D8"/>
    <w:rsid w:val="005B6AB1"/>
    <w:rsid w:val="005B7B67"/>
    <w:rsid w:val="005C030D"/>
    <w:rsid w:val="005C0FE9"/>
    <w:rsid w:val="005C43AD"/>
    <w:rsid w:val="005C5703"/>
    <w:rsid w:val="005E3B12"/>
    <w:rsid w:val="005F106A"/>
    <w:rsid w:val="00604603"/>
    <w:rsid w:val="00621FD5"/>
    <w:rsid w:val="00624543"/>
    <w:rsid w:val="006321D2"/>
    <w:rsid w:val="00643024"/>
    <w:rsid w:val="00644D56"/>
    <w:rsid w:val="006670E9"/>
    <w:rsid w:val="00670E6B"/>
    <w:rsid w:val="006A18E7"/>
    <w:rsid w:val="006A60DC"/>
    <w:rsid w:val="006B2051"/>
    <w:rsid w:val="006B24A2"/>
    <w:rsid w:val="006B3F5D"/>
    <w:rsid w:val="006B7BF1"/>
    <w:rsid w:val="006C07DA"/>
    <w:rsid w:val="006C5581"/>
    <w:rsid w:val="006D670E"/>
    <w:rsid w:val="006D7CF8"/>
    <w:rsid w:val="006E5719"/>
    <w:rsid w:val="006E6C32"/>
    <w:rsid w:val="0070055A"/>
    <w:rsid w:val="0070546A"/>
    <w:rsid w:val="0071197B"/>
    <w:rsid w:val="00724245"/>
    <w:rsid w:val="00724AFA"/>
    <w:rsid w:val="00725004"/>
    <w:rsid w:val="007276B7"/>
    <w:rsid w:val="007362DD"/>
    <w:rsid w:val="007413B9"/>
    <w:rsid w:val="00744129"/>
    <w:rsid w:val="00744E94"/>
    <w:rsid w:val="00753632"/>
    <w:rsid w:val="007645A4"/>
    <w:rsid w:val="00767EF7"/>
    <w:rsid w:val="007941EE"/>
    <w:rsid w:val="007A0DCF"/>
    <w:rsid w:val="007B2C21"/>
    <w:rsid w:val="007B58D6"/>
    <w:rsid w:val="007D145B"/>
    <w:rsid w:val="007D50EE"/>
    <w:rsid w:val="007E7C60"/>
    <w:rsid w:val="0080031C"/>
    <w:rsid w:val="0080519A"/>
    <w:rsid w:val="00820337"/>
    <w:rsid w:val="00840866"/>
    <w:rsid w:val="00850780"/>
    <w:rsid w:val="00852EE5"/>
    <w:rsid w:val="00862424"/>
    <w:rsid w:val="0086376E"/>
    <w:rsid w:val="00880164"/>
    <w:rsid w:val="008914A0"/>
    <w:rsid w:val="008B4905"/>
    <w:rsid w:val="008C0591"/>
    <w:rsid w:val="008C432F"/>
    <w:rsid w:val="008D06ED"/>
    <w:rsid w:val="008D40FB"/>
    <w:rsid w:val="008E7011"/>
    <w:rsid w:val="00902773"/>
    <w:rsid w:val="009028C6"/>
    <w:rsid w:val="00921A8B"/>
    <w:rsid w:val="00921C78"/>
    <w:rsid w:val="00932DDD"/>
    <w:rsid w:val="00957F90"/>
    <w:rsid w:val="009600B5"/>
    <w:rsid w:val="0096113A"/>
    <w:rsid w:val="009979DF"/>
    <w:rsid w:val="009E7A7C"/>
    <w:rsid w:val="009F3BE9"/>
    <w:rsid w:val="009F42D9"/>
    <w:rsid w:val="00A1074B"/>
    <w:rsid w:val="00A221A1"/>
    <w:rsid w:val="00A26BF5"/>
    <w:rsid w:val="00A32089"/>
    <w:rsid w:val="00AA3230"/>
    <w:rsid w:val="00AC0736"/>
    <w:rsid w:val="00AC6815"/>
    <w:rsid w:val="00AD3B5E"/>
    <w:rsid w:val="00AD495D"/>
    <w:rsid w:val="00B1141D"/>
    <w:rsid w:val="00B20E69"/>
    <w:rsid w:val="00B2298A"/>
    <w:rsid w:val="00B30944"/>
    <w:rsid w:val="00B36E46"/>
    <w:rsid w:val="00B419B8"/>
    <w:rsid w:val="00B52606"/>
    <w:rsid w:val="00B62F85"/>
    <w:rsid w:val="00B662B6"/>
    <w:rsid w:val="00B83C42"/>
    <w:rsid w:val="00B84C99"/>
    <w:rsid w:val="00B87F98"/>
    <w:rsid w:val="00B97468"/>
    <w:rsid w:val="00BA7238"/>
    <w:rsid w:val="00BB0937"/>
    <w:rsid w:val="00BB5D09"/>
    <w:rsid w:val="00BD53D4"/>
    <w:rsid w:val="00BE4F37"/>
    <w:rsid w:val="00BF02F2"/>
    <w:rsid w:val="00BF0B5C"/>
    <w:rsid w:val="00BF7DC7"/>
    <w:rsid w:val="00C04AF5"/>
    <w:rsid w:val="00C1378E"/>
    <w:rsid w:val="00C15601"/>
    <w:rsid w:val="00C21F94"/>
    <w:rsid w:val="00C2333A"/>
    <w:rsid w:val="00C347A9"/>
    <w:rsid w:val="00C44A67"/>
    <w:rsid w:val="00C52037"/>
    <w:rsid w:val="00C544AA"/>
    <w:rsid w:val="00C562D0"/>
    <w:rsid w:val="00C6471D"/>
    <w:rsid w:val="00C71336"/>
    <w:rsid w:val="00C80746"/>
    <w:rsid w:val="00C90A45"/>
    <w:rsid w:val="00CA0567"/>
    <w:rsid w:val="00CA541D"/>
    <w:rsid w:val="00CB4C99"/>
    <w:rsid w:val="00CC4862"/>
    <w:rsid w:val="00CD770A"/>
    <w:rsid w:val="00CE45F4"/>
    <w:rsid w:val="00CF02A1"/>
    <w:rsid w:val="00CF1616"/>
    <w:rsid w:val="00CF7095"/>
    <w:rsid w:val="00D12DA7"/>
    <w:rsid w:val="00D16EA5"/>
    <w:rsid w:val="00D20EF8"/>
    <w:rsid w:val="00D3668A"/>
    <w:rsid w:val="00D4411F"/>
    <w:rsid w:val="00D53901"/>
    <w:rsid w:val="00D54DCD"/>
    <w:rsid w:val="00D74A3F"/>
    <w:rsid w:val="00D7681E"/>
    <w:rsid w:val="00D81FCA"/>
    <w:rsid w:val="00D94668"/>
    <w:rsid w:val="00DA3621"/>
    <w:rsid w:val="00DC0F9D"/>
    <w:rsid w:val="00DD0CBA"/>
    <w:rsid w:val="00DF3F10"/>
    <w:rsid w:val="00E01C55"/>
    <w:rsid w:val="00E22A18"/>
    <w:rsid w:val="00E32B1B"/>
    <w:rsid w:val="00E40DE2"/>
    <w:rsid w:val="00E5351D"/>
    <w:rsid w:val="00E55333"/>
    <w:rsid w:val="00E657BD"/>
    <w:rsid w:val="00E81C11"/>
    <w:rsid w:val="00E82160"/>
    <w:rsid w:val="00E97EC8"/>
    <w:rsid w:val="00EA440F"/>
    <w:rsid w:val="00ED019A"/>
    <w:rsid w:val="00ED5B67"/>
    <w:rsid w:val="00EF08F1"/>
    <w:rsid w:val="00F07BEC"/>
    <w:rsid w:val="00F105C0"/>
    <w:rsid w:val="00F15B40"/>
    <w:rsid w:val="00F169F2"/>
    <w:rsid w:val="00F23E54"/>
    <w:rsid w:val="00F31A3F"/>
    <w:rsid w:val="00F408C9"/>
    <w:rsid w:val="00F512E0"/>
    <w:rsid w:val="00F5457E"/>
    <w:rsid w:val="00F60904"/>
    <w:rsid w:val="00F61FD5"/>
    <w:rsid w:val="00F717F6"/>
    <w:rsid w:val="00F72D92"/>
    <w:rsid w:val="00F80B9F"/>
    <w:rsid w:val="00F82B1D"/>
    <w:rsid w:val="00F94EB7"/>
    <w:rsid w:val="00F9680F"/>
    <w:rsid w:val="00FA203C"/>
    <w:rsid w:val="00FC565B"/>
    <w:rsid w:val="00FD1D7E"/>
    <w:rsid w:val="00FF1AD7"/>
    <w:rsid w:val="00FF260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2729DC"/>
    <w:rPr>
      <w:sz w:val="24"/>
      <w:szCs w:val="24"/>
      <w:lang w:val="sk-SK" w:eastAsia="sk-SK" w:bidi="ar-SA"/>
    </w:rPr>
  </w:style>
  <w:style w:type="paragraph" w:styleId="Heading1">
    <w:name w:val="heading 1"/>
    <w:basedOn w:val="Normal"/>
    <w:next w:val="Normal"/>
    <w:qFormat/>
    <w:rsid w:val="002729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9D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29DC"/>
    <w:pPr>
      <w:keepNext/>
      <w:outlineLvl w:val="2"/>
    </w:pPr>
    <w:rPr>
      <w:b/>
      <w:bCs/>
      <w:iCs/>
      <w:color w:val="99CC00"/>
      <w:u w:val="single"/>
    </w:rPr>
  </w:style>
  <w:style w:type="paragraph" w:styleId="Heading4">
    <w:name w:val="heading 4"/>
    <w:basedOn w:val="Normal"/>
    <w:next w:val="Normal"/>
    <w:qFormat/>
    <w:rsid w:val="002729DC"/>
    <w:pPr>
      <w:keepNext/>
      <w:ind w:left="360" w:hanging="360"/>
      <w:jc w:val="both"/>
      <w:outlineLvl w:val="3"/>
    </w:pPr>
    <w:rPr>
      <w:b/>
      <w:bCs/>
      <w:color w:val="0000FF"/>
      <w:u w:val="single"/>
    </w:rPr>
  </w:style>
  <w:style w:type="paragraph" w:styleId="Heading5">
    <w:name w:val="heading 5"/>
    <w:basedOn w:val="Normal"/>
    <w:next w:val="Normal"/>
    <w:qFormat/>
    <w:rsid w:val="002729DC"/>
    <w:pPr>
      <w:numPr>
        <w:ilvl w:val="4"/>
        <w:numId w:val="1"/>
      </w:numPr>
      <w:spacing w:before="240" w:after="60"/>
      <w:outlineLvl w:val="4"/>
    </w:pPr>
    <w:rPr>
      <w:b/>
      <w:bCs/>
      <w:i/>
      <w:iCs/>
      <w:sz w:val="26"/>
      <w:szCs w:val="26"/>
      <w:lang w:eastAsia="cs-CZ"/>
    </w:rPr>
  </w:style>
  <w:style w:type="paragraph" w:styleId="Heading6">
    <w:name w:val="heading 6"/>
    <w:basedOn w:val="Normal"/>
    <w:next w:val="Normal"/>
    <w:qFormat/>
    <w:rsid w:val="002729DC"/>
    <w:pPr>
      <w:numPr>
        <w:ilvl w:val="5"/>
        <w:numId w:val="1"/>
      </w:numPr>
      <w:spacing w:before="240" w:after="60"/>
      <w:outlineLvl w:val="5"/>
    </w:pPr>
    <w:rPr>
      <w:b/>
      <w:bCs/>
      <w:sz w:val="22"/>
      <w:szCs w:val="22"/>
      <w:lang w:eastAsia="cs-CZ"/>
    </w:rPr>
  </w:style>
  <w:style w:type="paragraph" w:styleId="Heading7">
    <w:name w:val="heading 7"/>
    <w:basedOn w:val="Normal"/>
    <w:next w:val="Normal"/>
    <w:qFormat/>
    <w:rsid w:val="002729DC"/>
    <w:pPr>
      <w:numPr>
        <w:ilvl w:val="6"/>
        <w:numId w:val="1"/>
      </w:numPr>
      <w:spacing w:before="240" w:after="60"/>
      <w:outlineLvl w:val="6"/>
    </w:pPr>
    <w:rPr>
      <w:lang w:eastAsia="cs-CZ"/>
    </w:rPr>
  </w:style>
  <w:style w:type="paragraph" w:styleId="Heading8">
    <w:name w:val="heading 8"/>
    <w:basedOn w:val="Normal"/>
    <w:next w:val="Normal"/>
    <w:qFormat/>
    <w:rsid w:val="002729DC"/>
    <w:pPr>
      <w:numPr>
        <w:ilvl w:val="7"/>
        <w:numId w:val="1"/>
      </w:numPr>
      <w:spacing w:before="240" w:after="60"/>
      <w:outlineLvl w:val="7"/>
    </w:pPr>
    <w:rPr>
      <w:i/>
      <w:iCs/>
      <w:lang w:eastAsia="cs-CZ"/>
    </w:rPr>
  </w:style>
  <w:style w:type="paragraph" w:styleId="Heading9">
    <w:name w:val="heading 9"/>
    <w:basedOn w:val="Normal"/>
    <w:next w:val="Normal"/>
    <w:qFormat/>
    <w:rsid w:val="002729DC"/>
    <w:pPr>
      <w:numPr>
        <w:ilvl w:val="8"/>
        <w:numId w:val="1"/>
      </w:numPr>
      <w:spacing w:before="240" w:after="60"/>
      <w:outlineLvl w:val="8"/>
    </w:pPr>
    <w:rPr>
      <w:rFonts w:ascii="Arial" w:hAnsi="Arial" w:cs="Arial"/>
      <w:sz w:val="22"/>
      <w:szCs w:val="22"/>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CharCharChar">
    <w:name w:val=" Char Char Char Char Char Char Char"/>
    <w:basedOn w:val="Normal"/>
    <w:rsid w:val="002729DC"/>
    <w:pPr>
      <w:spacing w:after="160" w:line="240" w:lineRule="exact"/>
    </w:pPr>
    <w:rPr>
      <w:rFonts w:ascii="Arial" w:hAnsi="Arial"/>
      <w:sz w:val="20"/>
      <w:szCs w:val="20"/>
      <w:lang w:val="en-US" w:eastAsia="en-US"/>
    </w:rPr>
  </w:style>
  <w:style w:type="paragraph" w:customStyle="1" w:styleId="Char">
    <w:name w:val="Char"/>
    <w:basedOn w:val="Normal"/>
    <w:rsid w:val="002729DC"/>
    <w:pPr>
      <w:spacing w:after="160" w:line="240" w:lineRule="exact"/>
    </w:pPr>
    <w:rPr>
      <w:rFonts w:ascii="Tahoma" w:hAnsi="Tahoma" w:cs="Tahoma"/>
      <w:sz w:val="20"/>
      <w:szCs w:val="20"/>
      <w:lang w:val="en-US" w:eastAsia="en-US"/>
    </w:rPr>
  </w:style>
  <w:style w:type="paragraph" w:customStyle="1" w:styleId="CharCharChar">
    <w:name w:val=" Char Char Char"/>
    <w:basedOn w:val="Normal"/>
    <w:rsid w:val="002729DC"/>
    <w:pPr>
      <w:spacing w:after="160" w:line="240" w:lineRule="exact"/>
    </w:pPr>
    <w:rPr>
      <w:rFonts w:ascii="Arial" w:hAnsi="Arial"/>
      <w:sz w:val="20"/>
      <w:szCs w:val="20"/>
      <w:lang w:val="en-US" w:eastAsia="en-US"/>
    </w:rPr>
  </w:style>
  <w:style w:type="paragraph" w:styleId="BlockText">
    <w:name w:val="Block Text"/>
    <w:basedOn w:val="Normal"/>
    <w:rsid w:val="002729DC"/>
    <w:pPr>
      <w:tabs>
        <w:tab w:val="num" w:pos="540"/>
      </w:tabs>
      <w:spacing w:line="360" w:lineRule="auto"/>
      <w:ind w:left="540" w:right="108"/>
      <w:jc w:val="both"/>
    </w:pPr>
    <w:rPr>
      <w:szCs w:val="12"/>
      <w:lang w:eastAsia="cs-CZ"/>
    </w:rPr>
  </w:style>
  <w:style w:type="paragraph" w:styleId="BodyTextIndent">
    <w:name w:val="Body Text Indent"/>
    <w:basedOn w:val="Normal"/>
    <w:link w:val="ZarkazkladnhotextuChar"/>
    <w:rsid w:val="002729DC"/>
    <w:pPr>
      <w:spacing w:after="120"/>
      <w:ind w:left="283"/>
    </w:pPr>
    <w:rPr>
      <w:lang w:eastAsia="cs-CZ"/>
    </w:rPr>
  </w:style>
  <w:style w:type="character" w:customStyle="1" w:styleId="ZarkazkladnhotextuChar">
    <w:name w:val="Zarážka základného textu Char"/>
    <w:link w:val="BodyTextIndent"/>
    <w:rsid w:val="002729DC"/>
    <w:rPr>
      <w:sz w:val="24"/>
      <w:szCs w:val="24"/>
      <w:lang w:val="sk-SK" w:eastAsia="cs-CZ" w:bidi="ar-SA"/>
    </w:rPr>
  </w:style>
  <w:style w:type="paragraph" w:styleId="BodyText">
    <w:name w:val="Body Text"/>
    <w:basedOn w:val="Normal"/>
    <w:rsid w:val="002729DC"/>
    <w:pPr>
      <w:spacing w:after="120"/>
    </w:pPr>
  </w:style>
  <w:style w:type="paragraph" w:styleId="BodyText3">
    <w:name w:val="Body Text 3"/>
    <w:basedOn w:val="Normal"/>
    <w:rsid w:val="002729DC"/>
    <w:pPr>
      <w:spacing w:after="120"/>
    </w:pPr>
    <w:rPr>
      <w:sz w:val="16"/>
      <w:szCs w:val="16"/>
    </w:rPr>
  </w:style>
  <w:style w:type="character" w:styleId="FootnoteReference">
    <w:name w:val="footnote reference"/>
    <w:uiPriority w:val="99"/>
    <w:semiHidden/>
    <w:rsid w:val="002729DC"/>
    <w:rPr>
      <w:vertAlign w:val="superscript"/>
    </w:rPr>
  </w:style>
  <w:style w:type="paragraph" w:styleId="FootnoteText">
    <w:name w:val="footnote text"/>
    <w:basedOn w:val="Normal"/>
    <w:link w:val="TextpoznmkypodiarouChar"/>
    <w:uiPriority w:val="99"/>
    <w:semiHidden/>
    <w:rsid w:val="002729DC"/>
    <w:rPr>
      <w:lang w:eastAsia="cs-CZ"/>
    </w:rPr>
  </w:style>
  <w:style w:type="paragraph" w:styleId="Header">
    <w:name w:val="header"/>
    <w:basedOn w:val="Normal"/>
    <w:link w:val="HlavikaChar"/>
    <w:rsid w:val="002729DC"/>
    <w:pPr>
      <w:tabs>
        <w:tab w:val="center" w:pos="4536"/>
        <w:tab w:val="right" w:pos="9072"/>
      </w:tabs>
    </w:pPr>
  </w:style>
  <w:style w:type="character" w:customStyle="1" w:styleId="HlavikaChar">
    <w:name w:val="Hlavička Char"/>
    <w:link w:val="Header"/>
    <w:rsid w:val="002729DC"/>
    <w:rPr>
      <w:sz w:val="24"/>
      <w:szCs w:val="24"/>
      <w:lang w:val="sk-SK" w:eastAsia="sk-SK" w:bidi="ar-SA"/>
    </w:rPr>
  </w:style>
  <w:style w:type="paragraph" w:customStyle="1" w:styleId="Nadpis1orobas">
    <w:name w:val="Nadpis 1.Čo robí (časť)"/>
    <w:basedOn w:val="Normal"/>
    <w:next w:val="Nosite"/>
    <w:rsid w:val="002729DC"/>
    <w:pPr>
      <w:keepNext/>
      <w:numPr>
        <w:ilvl w:val="0"/>
        <w:numId w:val="1"/>
      </w:numPr>
      <w:spacing w:before="360"/>
    </w:pPr>
    <w:rPr>
      <w:b/>
      <w:bCs/>
      <w:kern w:val="32"/>
      <w:sz w:val="28"/>
      <w:szCs w:val="28"/>
      <w:lang w:eastAsia="cs-CZ"/>
    </w:rPr>
  </w:style>
  <w:style w:type="paragraph" w:customStyle="1" w:styleId="Nosite">
    <w:name w:val="Nositeľ"/>
    <w:basedOn w:val="Zakladnystyl"/>
    <w:next w:val="Nadpis2loha"/>
    <w:rsid w:val="002729DC"/>
    <w:pPr>
      <w:numPr>
        <w:ilvl w:val="1"/>
        <w:numId w:val="1"/>
      </w:numPr>
      <w:tabs>
        <w:tab w:val="clear" w:pos="851"/>
      </w:tabs>
      <w:spacing w:before="240" w:after="120"/>
      <w:ind w:left="567" w:firstLine="0"/>
    </w:pPr>
    <w:rPr>
      <w:b/>
      <w:bCs/>
    </w:rPr>
  </w:style>
  <w:style w:type="paragraph" w:customStyle="1" w:styleId="Zakladnystyl">
    <w:name w:val="Zakladny styl"/>
    <w:rsid w:val="002729DC"/>
    <w:pPr>
      <w:numPr>
        <w:ilvl w:val="2"/>
        <w:numId w:val="1"/>
      </w:numPr>
      <w:tabs>
        <w:tab w:val="clear" w:pos="1418"/>
      </w:tabs>
      <w:ind w:left="0" w:firstLine="0"/>
    </w:pPr>
    <w:rPr>
      <w:sz w:val="24"/>
      <w:szCs w:val="24"/>
      <w:lang w:val="sk-SK" w:eastAsia="cs-CZ" w:bidi="ar-SA"/>
    </w:rPr>
  </w:style>
  <w:style w:type="paragraph" w:customStyle="1" w:styleId="Nadpis2loha">
    <w:name w:val="Nadpis 2.Úloha"/>
    <w:basedOn w:val="Normal"/>
    <w:rsid w:val="002729DC"/>
    <w:pPr>
      <w:numPr>
        <w:ilvl w:val="3"/>
        <w:numId w:val="1"/>
      </w:numPr>
      <w:tabs>
        <w:tab w:val="num" w:pos="851"/>
        <w:tab w:val="clear" w:pos="1418"/>
      </w:tabs>
      <w:spacing w:before="120"/>
      <w:ind w:left="851" w:hanging="851"/>
      <w:jc w:val="both"/>
    </w:pPr>
    <w:rPr>
      <w:lang w:eastAsia="cs-CZ"/>
    </w:rPr>
  </w:style>
  <w:style w:type="paragraph" w:customStyle="1" w:styleId="Nadpis3Podloha">
    <w:name w:val="Nadpis 3.Podúloha"/>
    <w:basedOn w:val="Normal"/>
    <w:rsid w:val="002729DC"/>
    <w:pPr>
      <w:keepNext/>
      <w:numPr>
        <w:ilvl w:val="2"/>
        <w:numId w:val="1"/>
      </w:numPr>
      <w:spacing w:before="120"/>
      <w:ind w:left="2269"/>
    </w:pPr>
    <w:rPr>
      <w:lang w:eastAsia="cs-CZ"/>
    </w:rPr>
  </w:style>
  <w:style w:type="paragraph" w:customStyle="1" w:styleId="Nadpis4Termn">
    <w:name w:val="Nadpis 4.Termín"/>
    <w:basedOn w:val="Normal"/>
    <w:next w:val="Nadpis2loha"/>
    <w:rsid w:val="002729DC"/>
    <w:pPr>
      <w:numPr>
        <w:ilvl w:val="3"/>
        <w:numId w:val="1"/>
      </w:numPr>
      <w:spacing w:before="120" w:after="120"/>
    </w:pPr>
    <w:rPr>
      <w:i/>
      <w:iCs/>
      <w:lang w:eastAsia="cs-CZ"/>
    </w:rPr>
  </w:style>
  <w:style w:type="paragraph" w:customStyle="1" w:styleId="Vlada">
    <w:name w:val="Vlada"/>
    <w:basedOn w:val="Normal"/>
    <w:rsid w:val="002729DC"/>
    <w:pPr>
      <w:spacing w:before="480" w:after="120"/>
    </w:pPr>
    <w:rPr>
      <w:b/>
      <w:bCs/>
      <w:sz w:val="32"/>
      <w:szCs w:val="32"/>
      <w:lang w:eastAsia="cs-CZ"/>
    </w:rPr>
  </w:style>
  <w:style w:type="paragraph" w:styleId="BodyTextIndent3">
    <w:name w:val="Body Text Indent 3"/>
    <w:basedOn w:val="Normal"/>
    <w:rsid w:val="002729DC"/>
    <w:pPr>
      <w:spacing w:after="120"/>
      <w:ind w:left="283"/>
    </w:pPr>
    <w:rPr>
      <w:sz w:val="16"/>
      <w:szCs w:val="16"/>
    </w:rPr>
  </w:style>
  <w:style w:type="paragraph" w:styleId="Footer">
    <w:name w:val="footer"/>
    <w:basedOn w:val="Normal"/>
    <w:link w:val="PtaChar"/>
    <w:uiPriority w:val="99"/>
    <w:rsid w:val="002729DC"/>
    <w:pPr>
      <w:tabs>
        <w:tab w:val="center" w:pos="4536"/>
        <w:tab w:val="right" w:pos="9072"/>
      </w:tabs>
    </w:pPr>
  </w:style>
  <w:style w:type="character" w:customStyle="1" w:styleId="PtaChar">
    <w:name w:val="Päta Char"/>
    <w:link w:val="Footer"/>
    <w:uiPriority w:val="99"/>
    <w:rsid w:val="002729DC"/>
    <w:rPr>
      <w:sz w:val="24"/>
      <w:szCs w:val="24"/>
      <w:lang w:val="sk-SK" w:eastAsia="sk-SK" w:bidi="ar-SA"/>
    </w:rPr>
  </w:style>
  <w:style w:type="character" w:styleId="PageNumber">
    <w:name w:val="page number"/>
    <w:basedOn w:val="DefaultParagraphFont"/>
    <w:rsid w:val="002729DC"/>
  </w:style>
  <w:style w:type="paragraph" w:styleId="BodyText2">
    <w:name w:val="Body Text 2"/>
    <w:basedOn w:val="Normal"/>
    <w:link w:val="Zkladntext2Char"/>
    <w:uiPriority w:val="99"/>
    <w:rsid w:val="002729DC"/>
    <w:pPr>
      <w:spacing w:after="120" w:line="480" w:lineRule="auto"/>
    </w:pPr>
  </w:style>
  <w:style w:type="paragraph" w:styleId="BodyTextIndent2">
    <w:name w:val="Body Text Indent 2"/>
    <w:basedOn w:val="Normal"/>
    <w:rsid w:val="002729DC"/>
    <w:pPr>
      <w:ind w:left="340" w:firstLine="368"/>
      <w:jc w:val="both"/>
    </w:pPr>
    <w:rPr>
      <w:color w:val="99CC00"/>
    </w:rPr>
  </w:style>
  <w:style w:type="character" w:styleId="Strong">
    <w:name w:val="Strong"/>
    <w:qFormat/>
    <w:rsid w:val="002729DC"/>
    <w:rPr>
      <w:b/>
      <w:bCs/>
    </w:rPr>
  </w:style>
  <w:style w:type="paragraph" w:customStyle="1" w:styleId="Apato1">
    <w:name w:val="A_pato1"/>
    <w:basedOn w:val="Heading1"/>
    <w:next w:val="Normal"/>
    <w:autoRedefine/>
    <w:rsid w:val="002729DC"/>
    <w:pPr>
      <w:numPr>
        <w:ilvl w:val="0"/>
        <w:numId w:val="2"/>
      </w:numPr>
      <w:spacing w:before="0" w:after="0"/>
    </w:pPr>
    <w:rPr>
      <w:rFonts w:ascii="Times New Roman" w:hAnsi="Times New Roman" w:cs="Times New Roman"/>
      <w:bCs w:val="0"/>
      <w:kern w:val="0"/>
      <w:sz w:val="24"/>
      <w:szCs w:val="20"/>
    </w:rPr>
  </w:style>
  <w:style w:type="character" w:styleId="Hyperlink">
    <w:name w:val="Hyperlink"/>
    <w:rsid w:val="002729DC"/>
    <w:rPr>
      <w:color w:val="0000FF"/>
      <w:u w:val="single"/>
    </w:rPr>
  </w:style>
  <w:style w:type="character" w:styleId="FollowedHyperlink">
    <w:name w:val="FollowedHyperlink"/>
    <w:rsid w:val="002729DC"/>
    <w:rPr>
      <w:color w:val="606420"/>
      <w:u w:val="single"/>
    </w:rPr>
  </w:style>
  <w:style w:type="paragraph" w:customStyle="1" w:styleId="CharCharCharChar">
    <w:name w:val=" Char Char Char Char"/>
    <w:basedOn w:val="Normal"/>
    <w:rsid w:val="002729DC"/>
    <w:pPr>
      <w:spacing w:after="160" w:line="240" w:lineRule="exact"/>
    </w:pPr>
    <w:rPr>
      <w:rFonts w:ascii="Arial" w:hAnsi="Arial"/>
      <w:sz w:val="20"/>
      <w:szCs w:val="20"/>
      <w:lang w:val="en-US" w:eastAsia="en-US"/>
    </w:rPr>
  </w:style>
  <w:style w:type="paragraph" w:customStyle="1" w:styleId="Char0">
    <w:name w:val=" Char"/>
    <w:basedOn w:val="Normal"/>
    <w:rsid w:val="002729DC"/>
    <w:pPr>
      <w:spacing w:after="160" w:line="240" w:lineRule="exact"/>
    </w:pPr>
    <w:rPr>
      <w:rFonts w:ascii="Tahoma" w:hAnsi="Tahoma"/>
      <w:sz w:val="20"/>
      <w:szCs w:val="20"/>
      <w:lang w:val="en-US" w:eastAsia="en-US"/>
    </w:rPr>
  </w:style>
  <w:style w:type="paragraph" w:customStyle="1" w:styleId="CharChar">
    <w:name w:val="Char Char"/>
    <w:basedOn w:val="Normal"/>
    <w:rsid w:val="002729DC"/>
    <w:pPr>
      <w:spacing w:after="160" w:line="240" w:lineRule="exact"/>
    </w:pPr>
    <w:rPr>
      <w:rFonts w:ascii="Arial" w:hAnsi="Arial"/>
      <w:sz w:val="20"/>
      <w:szCs w:val="20"/>
      <w:lang w:val="en-US" w:eastAsia="en-US"/>
    </w:rPr>
  </w:style>
  <w:style w:type="paragraph" w:styleId="NormalWeb">
    <w:name w:val="Normal (Web)"/>
    <w:basedOn w:val="Normal"/>
    <w:rsid w:val="002729DC"/>
    <w:pPr>
      <w:spacing w:before="100" w:beforeAutospacing="1" w:after="100" w:afterAutospacing="1"/>
    </w:pPr>
  </w:style>
  <w:style w:type="paragraph" w:customStyle="1" w:styleId="Normlny">
    <w:name w:val="_Normálny"/>
    <w:basedOn w:val="Normal"/>
    <w:rsid w:val="002729DC"/>
    <w:pPr>
      <w:autoSpaceDE w:val="0"/>
      <w:autoSpaceDN w:val="0"/>
    </w:pPr>
    <w:rPr>
      <w:sz w:val="20"/>
      <w:szCs w:val="20"/>
      <w:lang w:eastAsia="en-US"/>
    </w:rPr>
  </w:style>
  <w:style w:type="paragraph" w:styleId="ListParagraph">
    <w:name w:val="List Paragraph"/>
    <w:basedOn w:val="Normal"/>
    <w:qFormat/>
    <w:rsid w:val="002729DC"/>
    <w:pPr>
      <w:spacing w:after="200" w:line="276" w:lineRule="auto"/>
      <w:ind w:left="720"/>
      <w:contextualSpacing/>
    </w:pPr>
    <w:rPr>
      <w:rFonts w:ascii="Calibri" w:eastAsia="Calibri" w:hAnsi="Calibri"/>
      <w:sz w:val="22"/>
      <w:szCs w:val="22"/>
      <w:lang w:eastAsia="en-US"/>
    </w:rPr>
  </w:style>
  <w:style w:type="paragraph" w:styleId="NoSpacing">
    <w:name w:val="No Spacing"/>
    <w:qFormat/>
    <w:rsid w:val="002729DC"/>
    <w:rPr>
      <w:sz w:val="24"/>
      <w:szCs w:val="24"/>
      <w:lang w:val="sk-SK" w:eastAsia="sk-SK" w:bidi="ar-SA"/>
    </w:rPr>
  </w:style>
  <w:style w:type="paragraph" w:customStyle="1" w:styleId="PARA">
    <w:name w:val="PARA"/>
    <w:basedOn w:val="Normal"/>
    <w:next w:val="Normal"/>
    <w:rsid w:val="002729DC"/>
    <w:pPr>
      <w:keepNext/>
      <w:keepLines/>
      <w:tabs>
        <w:tab w:val="left" w:pos="680"/>
      </w:tabs>
      <w:autoSpaceDE w:val="0"/>
      <w:autoSpaceDN w:val="0"/>
      <w:spacing w:before="240" w:after="120"/>
      <w:jc w:val="center"/>
    </w:pPr>
    <w:rPr>
      <w:lang w:val="en-US"/>
    </w:rPr>
  </w:style>
  <w:style w:type="paragraph" w:customStyle="1" w:styleId="abc">
    <w:name w:val="abc"/>
    <w:basedOn w:val="Normal"/>
    <w:rsid w:val="002729DC"/>
    <w:pPr>
      <w:widowControl w:val="0"/>
      <w:tabs>
        <w:tab w:val="left" w:pos="360"/>
        <w:tab w:val="left" w:pos="680"/>
      </w:tabs>
      <w:autoSpaceDE w:val="0"/>
      <w:autoSpaceDN w:val="0"/>
      <w:jc w:val="both"/>
    </w:pPr>
    <w:rPr>
      <w:sz w:val="20"/>
      <w:szCs w:val="20"/>
      <w:lang w:eastAsia="en-US"/>
    </w:rPr>
  </w:style>
  <w:style w:type="paragraph" w:customStyle="1" w:styleId="CM4">
    <w:name w:val="CM4"/>
    <w:basedOn w:val="Normal"/>
    <w:next w:val="Normal"/>
    <w:rsid w:val="002729DC"/>
    <w:pPr>
      <w:autoSpaceDE w:val="0"/>
      <w:autoSpaceDN w:val="0"/>
      <w:adjustRightInd w:val="0"/>
    </w:pPr>
    <w:rPr>
      <w:rFonts w:ascii="EUAlbertina" w:hAnsi="EUAlbertina"/>
    </w:rPr>
  </w:style>
  <w:style w:type="paragraph" w:styleId="BalloonText">
    <w:name w:val="Balloon Text"/>
    <w:basedOn w:val="Normal"/>
    <w:semiHidden/>
    <w:rsid w:val="00ED5B67"/>
    <w:rPr>
      <w:rFonts w:ascii="Tahoma" w:hAnsi="Tahoma" w:cs="Tahoma"/>
      <w:sz w:val="16"/>
      <w:szCs w:val="16"/>
    </w:rPr>
  </w:style>
  <w:style w:type="character" w:customStyle="1" w:styleId="TextpoznmkypodiarouChar">
    <w:name w:val="Text poznámky pod čiarou Char"/>
    <w:link w:val="FootnoteText"/>
    <w:uiPriority w:val="99"/>
    <w:semiHidden/>
    <w:locked/>
    <w:rsid w:val="005277D1"/>
    <w:rPr>
      <w:sz w:val="24"/>
      <w:szCs w:val="24"/>
      <w:lang w:val="sk-SK" w:eastAsia="cs-CZ" w:bidi="ar-SA"/>
    </w:rPr>
  </w:style>
  <w:style w:type="character" w:customStyle="1" w:styleId="Zkladntext2Char">
    <w:name w:val="Základný text 2 Char"/>
    <w:link w:val="BodyText2"/>
    <w:uiPriority w:val="99"/>
    <w:rsid w:val="00E40DE2"/>
    <w:rPr>
      <w:sz w:val="24"/>
      <w:szCs w:val="24"/>
    </w:rPr>
  </w:style>
  <w:style w:type="character" w:customStyle="1" w:styleId="CharChar11">
    <w:name w:val="Char Char11"/>
    <w:semiHidden/>
    <w:locked/>
    <w:rsid w:val="00460BCF"/>
    <w:rPr>
      <w:lang w:val="sk-SK" w:eastAsia="sk-SK" w:bidi="ar-SA"/>
    </w:rPr>
  </w:style>
  <w:style w:type="character" w:customStyle="1" w:styleId="CharChar110">
    <w:name w:val=" Char Char11"/>
    <w:semiHidden/>
    <w:locked/>
    <w:rsid w:val="003C62C5"/>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232</TotalTime>
  <Pages>5</Pages>
  <Words>1917</Words>
  <Characters>10933</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12825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ondrejcikovaj</dc:creator>
  <cp:lastModifiedBy>DONATOVA Dasa</cp:lastModifiedBy>
  <cp:revision>10</cp:revision>
  <cp:lastPrinted>2014-05-29T07:49:00Z</cp:lastPrinted>
  <dcterms:created xsi:type="dcterms:W3CDTF">2019-04-11T09:32:00Z</dcterms:created>
  <dcterms:modified xsi:type="dcterms:W3CDTF">2019-08-20T11:34:00Z</dcterms:modified>
</cp:coreProperties>
</file>