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2EC" w:rsidRPr="00346AAE" w:rsidP="00C3513B">
      <w:pPr>
        <w:autoSpaceDE/>
        <w:ind w:left="360"/>
        <w:jc w:val="center"/>
        <w:rPr>
          <w:b/>
          <w:sz w:val="32"/>
          <w:szCs w:val="32"/>
        </w:rPr>
      </w:pPr>
      <w:r w:rsidRPr="00346AAE">
        <w:rPr>
          <w:b/>
          <w:sz w:val="32"/>
          <w:szCs w:val="32"/>
        </w:rPr>
        <w:t>TABUĽKA ZHODY</w:t>
      </w:r>
    </w:p>
    <w:p w:rsidR="002762EC" w:rsidRPr="00346AAE" w:rsidP="00C3513B">
      <w:pPr>
        <w:autoSpaceDE/>
        <w:ind w:left="360"/>
        <w:jc w:val="center"/>
        <w:rPr>
          <w:b/>
          <w:sz w:val="32"/>
          <w:szCs w:val="32"/>
        </w:rPr>
      </w:pPr>
      <w:r w:rsidRPr="00346AAE" w:rsidR="00727D31">
        <w:rPr>
          <w:b/>
          <w:sz w:val="32"/>
          <w:szCs w:val="32"/>
        </w:rPr>
        <w:t xml:space="preserve">návrhu </w:t>
      </w:r>
      <w:r w:rsidRPr="00346AAE">
        <w:rPr>
          <w:b/>
          <w:sz w:val="32"/>
          <w:szCs w:val="32"/>
        </w:rPr>
        <w:t>právneho predpisu s právom Európskej únie</w:t>
      </w:r>
    </w:p>
    <w:p w:rsidR="002762EC" w:rsidRPr="00346AAE" w:rsidP="00C3513B">
      <w:pPr>
        <w:autoSpaceDE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-572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757"/>
        <w:gridCol w:w="4820"/>
        <w:gridCol w:w="708"/>
        <w:gridCol w:w="851"/>
        <w:gridCol w:w="709"/>
        <w:gridCol w:w="5244"/>
        <w:gridCol w:w="426"/>
        <w:gridCol w:w="1134"/>
      </w:tblGrid>
      <w:tr w:rsidTr="006C5AD8"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567"/>
        </w:trPr>
        <w:tc>
          <w:tcPr>
            <w:tcW w:w="6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jc w:val="both"/>
              <w:rPr>
                <w:b/>
                <w:sz w:val="20"/>
                <w:szCs w:val="20"/>
              </w:rPr>
            </w:pPr>
            <w:r w:rsidRPr="00346AAE">
              <w:rPr>
                <w:b/>
                <w:sz w:val="20"/>
                <w:szCs w:val="20"/>
              </w:rPr>
              <w:t>SMERNICA EURÓPSKEHO PARLAMENTU A RADY (EÚ) 2016/801</w:t>
            </w:r>
          </w:p>
          <w:p w:rsidR="006E059D" w:rsidRPr="00346AAE" w:rsidP="006E059D">
            <w:pPr>
              <w:jc w:val="both"/>
              <w:rPr>
                <w:b/>
                <w:sz w:val="20"/>
                <w:szCs w:val="20"/>
              </w:rPr>
            </w:pPr>
            <w:r w:rsidRPr="00346AAE">
              <w:rPr>
                <w:b/>
                <w:sz w:val="20"/>
                <w:szCs w:val="20"/>
              </w:rPr>
              <w:t>z 11. mája 2016 o podmienkach vstupu a pobytu štátnych príslušníkov tretích krajín na účely výskumu, štúdia, odborného vzdelávania, dobrovoľníckej služby, výmenných programov žiakov alebo vzdelávacích projektov a činnosti aupair</w:t>
            </w:r>
          </w:p>
          <w:p w:rsidR="006E059D" w:rsidRPr="00346AAE" w:rsidP="006E05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59D" w:rsidRPr="006E059D" w:rsidP="006E059D">
            <w:pPr>
              <w:numPr>
                <w:ilvl w:val="0"/>
                <w:numId w:val="28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222C68">
              <w:rPr>
                <w:b/>
                <w:sz w:val="20"/>
                <w:szCs w:val="20"/>
              </w:rPr>
              <w:t>ákon č. 282/2008 Z. z. o podpore práce s mládežou a o zmene a doplnení zákona č. 131/2002 Z. z. o vysokých školách a o zmene a doplnení niektorých zákonov v znení ne</w:t>
            </w:r>
            <w:r w:rsidRPr="00222C68">
              <w:rPr>
                <w:b/>
                <w:sz w:val="20"/>
                <w:szCs w:val="20"/>
              </w:rPr>
              <w:t>skorších predpisov v znení neskorších predpisov</w:t>
            </w:r>
          </w:p>
          <w:p w:rsidR="006E059D" w:rsidRPr="00222C68" w:rsidP="006E059D">
            <w:pPr>
              <w:numPr>
                <w:ilvl w:val="0"/>
                <w:numId w:val="2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222C68">
              <w:rPr>
                <w:b/>
                <w:sz w:val="20"/>
                <w:szCs w:val="20"/>
              </w:rPr>
              <w:t>Návrh zákona, 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zákon č. 406/2011 Z. z. o dobrovoľníctve a o zmene a doplnení niektorých zákonov v znení zákona č. 440/2015 Z. z.</w:t>
            </w:r>
          </w:p>
        </w:tc>
      </w:tr>
      <w:tr w:rsidTr="00952AFF"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snapToGrid w:val="0"/>
              <w:jc w:val="center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snapToGrid w:val="0"/>
              <w:jc w:val="center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snapToGrid w:val="0"/>
              <w:jc w:val="center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snapToGrid w:val="0"/>
              <w:jc w:val="center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pStyle w:val="BodyTextIndent"/>
              <w:snapToGrid w:val="0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pStyle w:val="BodyTextIndent"/>
              <w:snapToGrid w:val="0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snapToGrid w:val="0"/>
              <w:jc w:val="center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59D" w:rsidRPr="00346AAE" w:rsidP="006E059D">
            <w:pPr>
              <w:snapToGrid w:val="0"/>
              <w:jc w:val="center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8</w:t>
            </w:r>
          </w:p>
        </w:tc>
      </w:tr>
      <w:tr w:rsidTr="00952AFF"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pStyle w:val="Normlny"/>
              <w:snapToGrid w:val="0"/>
              <w:ind w:left="-137" w:right="-185"/>
              <w:jc w:val="center"/>
            </w:pPr>
            <w:r w:rsidRPr="00346AAE">
              <w:t>Článok</w:t>
            </w:r>
          </w:p>
          <w:p w:rsidR="006E059D" w:rsidRPr="00346AAE" w:rsidP="006E059D">
            <w:pPr>
              <w:pStyle w:val="Normlny"/>
              <w:jc w:val="center"/>
            </w:pPr>
            <w:r w:rsidRPr="00346AAE">
              <w:t>(Č, O,</w:t>
            </w:r>
          </w:p>
          <w:p w:rsidR="006E059D" w:rsidRPr="00346AAE" w:rsidP="006E059D">
            <w:pPr>
              <w:pStyle w:val="Normlny"/>
              <w:jc w:val="center"/>
            </w:pPr>
            <w:r w:rsidRPr="00346AAE">
              <w:t>V, P)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pStyle w:val="Normlny"/>
              <w:snapToGrid w:val="0"/>
              <w:jc w:val="center"/>
            </w:pPr>
            <w:r w:rsidRPr="00346AAE">
              <w:t>Text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pStyle w:val="Normlny"/>
              <w:snapToGrid w:val="0"/>
              <w:ind w:left="-43" w:right="-116"/>
              <w:jc w:val="center"/>
            </w:pPr>
            <w:r w:rsidRPr="00346AAE">
              <w:t>Spôsob transp.</w:t>
            </w:r>
          </w:p>
          <w:p w:rsidR="006E059D" w:rsidRPr="00346AAE" w:rsidP="006E059D">
            <w:pPr>
              <w:pStyle w:val="Normlny"/>
              <w:ind w:left="-43" w:right="-116"/>
              <w:jc w:val="center"/>
            </w:pPr>
            <w:r w:rsidRPr="00346AAE">
              <w:t>(N, O,</w:t>
            </w:r>
          </w:p>
          <w:p w:rsidR="006E059D" w:rsidRPr="00346AAE" w:rsidP="006E059D">
            <w:pPr>
              <w:pStyle w:val="Normlny"/>
              <w:ind w:left="-43" w:right="-116"/>
              <w:jc w:val="center"/>
            </w:pPr>
            <w:r w:rsidRPr="00346AAE">
              <w:t>D, n.a.)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pStyle w:val="Normlny"/>
              <w:snapToGrid w:val="0"/>
              <w:jc w:val="center"/>
            </w:pPr>
            <w:r w:rsidRPr="00346AAE">
              <w:t>Číslo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pStyle w:val="Normlny"/>
              <w:snapToGrid w:val="0"/>
              <w:ind w:left="-172" w:right="-185"/>
              <w:jc w:val="center"/>
            </w:pPr>
            <w:r w:rsidRPr="00346AAE">
              <w:t>Článok     (Č, §,</w:t>
            </w:r>
          </w:p>
          <w:p w:rsidR="006E059D" w:rsidRPr="00346AAE" w:rsidP="006E059D">
            <w:pPr>
              <w:pStyle w:val="Normlny"/>
              <w:snapToGrid w:val="0"/>
              <w:ind w:left="-172" w:right="-185"/>
              <w:jc w:val="center"/>
            </w:pPr>
            <w:r w:rsidRPr="00346AAE">
              <w:t>O, V,</w:t>
            </w:r>
          </w:p>
          <w:p w:rsidR="006E059D" w:rsidRPr="00346AAE" w:rsidP="006E059D">
            <w:pPr>
              <w:pStyle w:val="Normlny"/>
              <w:snapToGrid w:val="0"/>
              <w:ind w:left="-172" w:right="-185"/>
              <w:jc w:val="center"/>
            </w:pPr>
            <w:r w:rsidRPr="00346AAE">
              <w:t>P)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pStyle w:val="Normlny"/>
              <w:snapToGrid w:val="0"/>
              <w:jc w:val="center"/>
            </w:pPr>
            <w:r w:rsidRPr="00346AAE">
              <w:t>Text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pStyle w:val="Normlny"/>
              <w:snapToGrid w:val="0"/>
              <w:ind w:left="-43" w:right="-43"/>
              <w:jc w:val="center"/>
            </w:pPr>
            <w:r w:rsidRPr="00346AAE">
              <w:t>Zhoda</w:t>
            </w:r>
          </w:p>
          <w:p w:rsidR="006E059D" w:rsidRPr="00346AAE" w:rsidP="006E059D">
            <w:pPr>
              <w:pStyle w:val="Normlny"/>
              <w:snapToGrid w:val="0"/>
              <w:jc w:val="center"/>
            </w:pPr>
            <w:r w:rsidRPr="00346AAE">
              <w:t>(Ú, Č, R, 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59D" w:rsidRPr="00346AAE" w:rsidP="006E059D">
            <w:pPr>
              <w:pStyle w:val="Normlny"/>
              <w:snapToGrid w:val="0"/>
              <w:jc w:val="center"/>
            </w:pPr>
            <w:r w:rsidRPr="00346AAE">
              <w:t>Poznámky</w:t>
            </w:r>
          </w:p>
          <w:p w:rsidR="006E059D" w:rsidRPr="00346AAE" w:rsidP="006E059D">
            <w:pPr>
              <w:pStyle w:val="Normlny"/>
              <w:jc w:val="center"/>
            </w:pPr>
          </w:p>
        </w:tc>
      </w:tr>
      <w:tr w:rsidTr="00952AFF"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snapToGrid w:val="0"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 xml:space="preserve">C: 35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Členské štáty zabezpečia, aby pre žiadateľov boli ľahko dostupné informácie o všetkých listinných dôkazoch potrebných k žiadosti a informácie o podmienkach vstupu a pobytu vrátane práv, po</w:t>
            </w:r>
            <w:r w:rsidRPr="00346AAE">
              <w:rPr>
                <w:sz w:val="20"/>
                <w:szCs w:val="20"/>
              </w:rPr>
              <w:t>vinností a procesných záruk štátnych príslušníkov tretích krajín, ktorí spadajú do rozsahu pôsobnosti tejto smernice, a prípadn</w:t>
            </w:r>
            <w:r w:rsidRPr="00346AAE">
              <w:rPr>
                <w:sz w:val="20"/>
                <w:szCs w:val="20"/>
              </w:rPr>
              <w:t xml:space="preserve">e ich rodinných príslušníkov. To zahŕňa – tam, kde je to vhodné – úroveň mesačných dostatočných zdrojov vrátane dostatočných zdrojov potrebných na pokrytie študijných nákladov alebo nákladov na odbornú prípravu bez toho, aby bola dotknutá možnosť individuálne preskúmať každý prípad, a príslušných poplatkov. </w:t>
            </w:r>
          </w:p>
          <w:p w:rsidR="006E059D" w:rsidRPr="00346AAE" w:rsidP="006E059D">
            <w:pPr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Príslušné orgány v každom členskom štáte uverejnia zoznam hostiteľských subjektov schválených na účely tejto smernice. Po akýchkoľvek zmenách takýchto zoznamov sa aktualizované verzie uverejnia čo najskôr.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snapToGrid w:val="0"/>
              <w:jc w:val="center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P="006E059D">
            <w:pPr>
              <w:snapToGrid w:val="0"/>
              <w:jc w:val="center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Zákon č. 282/2008 Z. z.</w:t>
            </w:r>
          </w:p>
          <w:p w:rsidR="006E059D" w:rsidP="006E05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E059D" w:rsidP="006E05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E059D" w:rsidP="006E05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E059D" w:rsidRPr="006E059D" w:rsidP="006E059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E059D">
              <w:rPr>
                <w:b/>
                <w:sz w:val="20"/>
                <w:szCs w:val="20"/>
              </w:rPr>
              <w:t>Návrh zákona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pStyle w:val="Normlny"/>
              <w:snapToGrid w:val="0"/>
              <w:jc w:val="center"/>
            </w:pPr>
            <w:r w:rsidRPr="00346AAE">
              <w:t>§ 9</w:t>
            </w:r>
          </w:p>
          <w:p w:rsidR="006E059D" w:rsidP="006E059D">
            <w:pPr>
              <w:pStyle w:val="Normlny"/>
              <w:snapToGrid w:val="0"/>
              <w:jc w:val="center"/>
            </w:pPr>
            <w:r w:rsidRPr="00346AAE">
              <w:t>O: 3</w:t>
            </w:r>
          </w:p>
          <w:p w:rsidR="006E059D" w:rsidP="006E059D">
            <w:pPr>
              <w:pStyle w:val="Normlny"/>
              <w:snapToGrid w:val="0"/>
              <w:jc w:val="center"/>
            </w:pPr>
          </w:p>
          <w:p w:rsidR="006E059D" w:rsidP="006E059D">
            <w:pPr>
              <w:pStyle w:val="Normlny"/>
              <w:snapToGrid w:val="0"/>
              <w:jc w:val="center"/>
            </w:pPr>
          </w:p>
          <w:p w:rsidR="006E059D" w:rsidP="006E059D">
            <w:pPr>
              <w:pStyle w:val="Normlny"/>
              <w:snapToGrid w:val="0"/>
              <w:jc w:val="center"/>
            </w:pPr>
          </w:p>
          <w:p w:rsidR="006E059D" w:rsidP="006E059D">
            <w:pPr>
              <w:pStyle w:val="Normlny"/>
              <w:snapToGrid w:val="0"/>
              <w:jc w:val="center"/>
            </w:pPr>
          </w:p>
          <w:p w:rsidR="006E059D" w:rsidRPr="00346AAE" w:rsidP="006E059D">
            <w:pPr>
              <w:pStyle w:val="Normlny"/>
              <w:snapToGrid w:val="0"/>
              <w:jc w:val="center"/>
            </w:pPr>
            <w:r>
              <w:t>§</w:t>
            </w:r>
            <w:r w:rsidRPr="00346AAE">
              <w:t xml:space="preserve"> 9</w:t>
            </w:r>
          </w:p>
          <w:p w:rsidR="006E059D" w:rsidRPr="00346AAE" w:rsidP="006E059D">
            <w:pPr>
              <w:pStyle w:val="Normlny"/>
              <w:snapToGrid w:val="0"/>
              <w:jc w:val="center"/>
            </w:pPr>
            <w:r w:rsidRPr="00346AAE">
              <w:t>O: 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P="006E059D">
            <w:pPr>
              <w:pStyle w:val="Normlny"/>
              <w:snapToGrid w:val="0"/>
              <w:jc w:val="both"/>
            </w:pPr>
            <w:r>
              <w:t>(3) Zoznam akreditovaných vzdelávacích zariadení s uvedením špecializovaných činností práce s mládežou, pre ktoré bolo potvrdenie o akreditácii vydané, ako aj odobratie potvrdenia o akreditácii sa uverejňuje na internetovej stránke ministerstva a v publikačnom prostriedku ministerstva.</w:t>
            </w:r>
          </w:p>
          <w:p w:rsidR="006E059D" w:rsidP="006E059D">
            <w:pPr>
              <w:pStyle w:val="Normlny"/>
              <w:snapToGrid w:val="0"/>
              <w:jc w:val="both"/>
            </w:pPr>
          </w:p>
          <w:p w:rsidR="006E059D" w:rsidRPr="006E059D" w:rsidP="006E059D">
            <w:pPr>
              <w:pStyle w:val="Normlny"/>
              <w:snapToGrid w:val="0"/>
              <w:jc w:val="both"/>
              <w:rPr>
                <w:b/>
              </w:rPr>
            </w:pPr>
            <w:r w:rsidRPr="006E059D">
              <w:rPr>
                <w:b/>
              </w:rPr>
              <w:t>(3) Zoznam subjektov s uvedením činností práce s mládežou, pre ktoré bolo potvrdenie o akreditácii vydané, ako aj odobratie potvrdenia o akreditácii sa uverejňuje na internetovej stránke ministerstva a v publikačnom prostriedku ministerstva.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59D" w:rsidRPr="00346AAE" w:rsidP="006E059D">
            <w:pPr>
              <w:snapToGrid w:val="0"/>
              <w:jc w:val="center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59D" w:rsidRPr="00346AAE" w:rsidP="006E059D">
            <w:pPr>
              <w:pStyle w:val="Heading1"/>
              <w:snapToGrid w:val="0"/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6C5AD8" w:rsidRPr="00346AAE" w:rsidP="00C3513B">
      <w:pPr>
        <w:autoSpaceDE/>
        <w:jc w:val="both"/>
        <w:rPr>
          <w:sz w:val="20"/>
          <w:szCs w:val="20"/>
        </w:rPr>
      </w:pPr>
    </w:p>
    <w:p w:rsidR="006C5AD8" w:rsidRPr="00346AAE" w:rsidP="00C3513B">
      <w:pPr>
        <w:autoSpaceDE/>
        <w:jc w:val="both"/>
        <w:rPr>
          <w:sz w:val="20"/>
          <w:szCs w:val="20"/>
        </w:rPr>
      </w:pPr>
    </w:p>
    <w:p w:rsidR="006C5AD8" w:rsidRPr="00346AAE" w:rsidP="00C3513B">
      <w:pPr>
        <w:autoSpaceDE/>
        <w:jc w:val="both"/>
        <w:rPr>
          <w:sz w:val="20"/>
          <w:szCs w:val="20"/>
        </w:rPr>
      </w:pPr>
    </w:p>
    <w:p w:rsidR="002762EC" w:rsidRPr="00346AAE" w:rsidP="00C3513B">
      <w:pPr>
        <w:autoSpaceDE/>
        <w:jc w:val="both"/>
        <w:rPr>
          <w:sz w:val="20"/>
          <w:szCs w:val="20"/>
        </w:rPr>
      </w:pPr>
      <w:r w:rsidRPr="00346AAE">
        <w:rPr>
          <w:sz w:val="20"/>
          <w:szCs w:val="20"/>
        </w:rPr>
        <w:t>LEGENDA:</w:t>
      </w: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63"/>
        <w:gridCol w:w="3719"/>
        <w:gridCol w:w="2164"/>
        <w:gridCol w:w="6081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440"/>
        </w:trPr>
        <w:tc>
          <w:tcPr>
            <w:tcW w:w="2163" w:type="dxa"/>
            <w:shd w:val="clear" w:color="auto" w:fill="auto"/>
          </w:tcPr>
          <w:p w:rsidR="002762EC" w:rsidRPr="00346AAE" w:rsidP="00C3513B">
            <w:pPr>
              <w:pStyle w:val="Normlny"/>
              <w:autoSpaceDE/>
              <w:snapToGrid w:val="0"/>
              <w:spacing w:after="60"/>
              <w:jc w:val="both"/>
            </w:pPr>
            <w:r w:rsidRPr="00346AAE">
              <w:t>V stĺpci (1):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Č – článok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O – odsek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V – veta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P – písmeno (číslo)</w:t>
            </w:r>
          </w:p>
          <w:p w:rsidR="00F57AC5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B - bod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</w:p>
        </w:tc>
        <w:tc>
          <w:tcPr>
            <w:tcW w:w="3719" w:type="dxa"/>
            <w:shd w:val="clear" w:color="auto" w:fill="auto"/>
          </w:tcPr>
          <w:p w:rsidR="002762EC" w:rsidRPr="00346AAE" w:rsidP="00C3513B">
            <w:pPr>
              <w:pStyle w:val="Normlny"/>
              <w:autoSpaceDE/>
              <w:snapToGrid w:val="0"/>
              <w:spacing w:after="60"/>
              <w:jc w:val="both"/>
            </w:pPr>
            <w:r w:rsidRPr="00346AAE">
              <w:t>V stĺpci (3):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N – bežná transpozícia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O – transpozícia s možnosťou voľby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D – transpozícia podľa úvahy (dobrovoľná)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164" w:type="dxa"/>
            <w:shd w:val="clear" w:color="auto" w:fill="auto"/>
          </w:tcPr>
          <w:p w:rsidR="002762EC" w:rsidRPr="00346AAE" w:rsidP="00C3513B">
            <w:pPr>
              <w:pStyle w:val="Normlny"/>
              <w:autoSpaceDE/>
              <w:snapToGrid w:val="0"/>
              <w:spacing w:after="60"/>
              <w:jc w:val="both"/>
            </w:pPr>
            <w:r w:rsidRPr="00346AAE">
              <w:t>V stĺpci (5):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Č – článok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§ – paragraf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O – odsek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V – veta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6081" w:type="dxa"/>
            <w:shd w:val="clear" w:color="auto" w:fill="auto"/>
          </w:tcPr>
          <w:p w:rsidR="002762EC" w:rsidRPr="00346AAE" w:rsidP="00C3513B">
            <w:pPr>
              <w:pStyle w:val="Normlny"/>
              <w:autoSpaceDE/>
              <w:snapToGrid w:val="0"/>
              <w:spacing w:after="60"/>
              <w:jc w:val="both"/>
            </w:pPr>
            <w:r w:rsidRPr="00346AAE">
              <w:t>V stĺpci (7):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Ú – úplná zhoda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Č – čiastočná zhoda</w:t>
            </w:r>
          </w:p>
          <w:p w:rsidR="002762EC" w:rsidRPr="00346AAE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R – rozpor (v príp., že zatiaľ nedošlo k transp., ale príde k nej v budúcnosti)</w:t>
            </w:r>
          </w:p>
          <w:p w:rsidR="002762EC" w:rsidRPr="00C06980" w:rsidP="00C3513B">
            <w:pPr>
              <w:autoSpaceDE/>
              <w:jc w:val="both"/>
              <w:rPr>
                <w:sz w:val="20"/>
                <w:szCs w:val="20"/>
              </w:rPr>
            </w:pPr>
            <w:r w:rsidRPr="00346AAE">
              <w:rPr>
                <w:sz w:val="20"/>
                <w:szCs w:val="20"/>
              </w:rPr>
              <w:t>N – neaplikovateľné</w:t>
            </w:r>
          </w:p>
        </w:tc>
      </w:tr>
    </w:tbl>
    <w:p w:rsidR="002762EC" w:rsidRPr="00C06980" w:rsidP="00C3513B">
      <w:pPr>
        <w:jc w:val="both"/>
      </w:pPr>
    </w:p>
    <w:sectPr w:rsidSect="00281C98">
      <w:footerReference w:type="default" r:id="rId6"/>
      <w:pgSz w:w="16838" w:h="11906" w:orient="landscape"/>
      <w:pgMar w:top="568" w:right="1418" w:bottom="1474" w:left="1418" w:header="708" w:footer="19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FF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96FB0">
      <w:rPr>
        <w:noProof/>
      </w:rPr>
      <w:t>2</w:t>
    </w:r>
    <w:r>
      <w:fldChar w:fldCharType="end"/>
    </w:r>
  </w:p>
  <w:p w:rsidR="00952AF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A1C80E8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0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5">
    <w:nsid w:val="06C97974"/>
    <w:multiLevelType w:val="hybridMultilevel"/>
    <w:tmpl w:val="CD109290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86573"/>
    <w:multiLevelType w:val="hybridMultilevel"/>
    <w:tmpl w:val="F838151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94A5C"/>
    <w:multiLevelType w:val="hybridMultilevel"/>
    <w:tmpl w:val="4E28A6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F7CBA"/>
    <w:multiLevelType w:val="hybridMultilevel"/>
    <w:tmpl w:val="64AC8FA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C72E8"/>
    <w:multiLevelType w:val="hybridMultilevel"/>
    <w:tmpl w:val="A0128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9159C"/>
    <w:multiLevelType w:val="hybridMultilevel"/>
    <w:tmpl w:val="7C7AF9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E4937"/>
    <w:multiLevelType w:val="hybridMultilevel"/>
    <w:tmpl w:val="FF26E84A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907E1"/>
    <w:multiLevelType w:val="hybridMultilevel"/>
    <w:tmpl w:val="E2A6A2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218B5"/>
    <w:multiLevelType w:val="hybridMultilevel"/>
    <w:tmpl w:val="4A087E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B302A"/>
    <w:multiLevelType w:val="hybridMultilevel"/>
    <w:tmpl w:val="4366055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A7AD8"/>
    <w:multiLevelType w:val="hybridMultilevel"/>
    <w:tmpl w:val="58CC09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4742E"/>
    <w:multiLevelType w:val="hybridMultilevel"/>
    <w:tmpl w:val="2DC2F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D54F1"/>
    <w:multiLevelType w:val="hybridMultilevel"/>
    <w:tmpl w:val="7478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75077"/>
    <w:multiLevelType w:val="hybridMultilevel"/>
    <w:tmpl w:val="1F4022A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6685C"/>
    <w:multiLevelType w:val="hybridMultilevel"/>
    <w:tmpl w:val="FAB46B8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94D71"/>
    <w:multiLevelType w:val="hybridMultilevel"/>
    <w:tmpl w:val="82CC707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72B82"/>
    <w:multiLevelType w:val="hybridMultilevel"/>
    <w:tmpl w:val="EE5E52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E553C"/>
    <w:multiLevelType w:val="hybridMultilevel"/>
    <w:tmpl w:val="8C6A552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585915"/>
    <w:multiLevelType w:val="hybridMultilevel"/>
    <w:tmpl w:val="CAF6E57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35FB2"/>
    <w:multiLevelType w:val="hybridMultilevel"/>
    <w:tmpl w:val="A0128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C595C"/>
    <w:multiLevelType w:val="hybridMultilevel"/>
    <w:tmpl w:val="75665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2C2D37"/>
    <w:multiLevelType w:val="hybridMultilevel"/>
    <w:tmpl w:val="1EE481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5"/>
  </w:num>
  <w:num w:numId="8">
    <w:abstractNumId w:val="12"/>
  </w:num>
  <w:num w:numId="9">
    <w:abstractNumId w:val="24"/>
  </w:num>
  <w:num w:numId="10">
    <w:abstractNumId w:val="16"/>
  </w:num>
  <w:num w:numId="11">
    <w:abstractNumId w:val="17"/>
  </w:num>
  <w:num w:numId="12">
    <w:abstractNumId w:val="13"/>
  </w:num>
  <w:num w:numId="13">
    <w:abstractNumId w:val="14"/>
  </w:num>
  <w:num w:numId="14">
    <w:abstractNumId w:val="9"/>
  </w:num>
  <w:num w:numId="15">
    <w:abstractNumId w:val="21"/>
  </w:num>
  <w:num w:numId="16">
    <w:abstractNumId w:val="22"/>
  </w:num>
  <w:num w:numId="17">
    <w:abstractNumId w:val="10"/>
  </w:num>
  <w:num w:numId="18">
    <w:abstractNumId w:val="7"/>
  </w:num>
  <w:num w:numId="19">
    <w:abstractNumId w:val="11"/>
  </w:num>
  <w:num w:numId="20">
    <w:abstractNumId w:val="26"/>
  </w:num>
  <w:num w:numId="21">
    <w:abstractNumId w:val="5"/>
  </w:num>
  <w:num w:numId="22">
    <w:abstractNumId w:val="0"/>
  </w:num>
  <w:num w:numId="23">
    <w:abstractNumId w:val="20"/>
  </w:num>
  <w:num w:numId="24">
    <w:abstractNumId w:val="18"/>
  </w:num>
  <w:num w:numId="25">
    <w:abstractNumId w:val="19"/>
  </w:num>
  <w:num w:numId="26">
    <w:abstractNumId w:val="6"/>
  </w:num>
  <w:num w:numId="27">
    <w:abstractNumId w:val="23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02D"/>
    <w:rsid w:val="00002D78"/>
    <w:rsid w:val="00010663"/>
    <w:rsid w:val="00031365"/>
    <w:rsid w:val="000353E0"/>
    <w:rsid w:val="00044E48"/>
    <w:rsid w:val="0004546C"/>
    <w:rsid w:val="00057463"/>
    <w:rsid w:val="00063DB0"/>
    <w:rsid w:val="00070901"/>
    <w:rsid w:val="000841F4"/>
    <w:rsid w:val="00084419"/>
    <w:rsid w:val="000D3FE7"/>
    <w:rsid w:val="000D52D6"/>
    <w:rsid w:val="000E018D"/>
    <w:rsid w:val="000F73E8"/>
    <w:rsid w:val="00117217"/>
    <w:rsid w:val="0013372D"/>
    <w:rsid w:val="00137EF3"/>
    <w:rsid w:val="00147703"/>
    <w:rsid w:val="001652BE"/>
    <w:rsid w:val="0017288D"/>
    <w:rsid w:val="00192C8E"/>
    <w:rsid w:val="00195733"/>
    <w:rsid w:val="001A25A3"/>
    <w:rsid w:val="001B1D27"/>
    <w:rsid w:val="001B4472"/>
    <w:rsid w:val="001B77D7"/>
    <w:rsid w:val="001D3F46"/>
    <w:rsid w:val="001E1105"/>
    <w:rsid w:val="001F37F4"/>
    <w:rsid w:val="00200C34"/>
    <w:rsid w:val="00213385"/>
    <w:rsid w:val="0022095B"/>
    <w:rsid w:val="00222C68"/>
    <w:rsid w:val="002321FA"/>
    <w:rsid w:val="002408C3"/>
    <w:rsid w:val="002502E6"/>
    <w:rsid w:val="00251F6C"/>
    <w:rsid w:val="002524A2"/>
    <w:rsid w:val="0026089B"/>
    <w:rsid w:val="002762EC"/>
    <w:rsid w:val="00281110"/>
    <w:rsid w:val="00281C98"/>
    <w:rsid w:val="00286EF9"/>
    <w:rsid w:val="00290210"/>
    <w:rsid w:val="00297BC9"/>
    <w:rsid w:val="002A13E0"/>
    <w:rsid w:val="002B11DC"/>
    <w:rsid w:val="002D48EE"/>
    <w:rsid w:val="002F00B0"/>
    <w:rsid w:val="002F4D3A"/>
    <w:rsid w:val="00307748"/>
    <w:rsid w:val="00321952"/>
    <w:rsid w:val="00331A93"/>
    <w:rsid w:val="00346288"/>
    <w:rsid w:val="00346AAE"/>
    <w:rsid w:val="00351E51"/>
    <w:rsid w:val="00376682"/>
    <w:rsid w:val="00381F04"/>
    <w:rsid w:val="003A58EF"/>
    <w:rsid w:val="003B4053"/>
    <w:rsid w:val="003C0968"/>
    <w:rsid w:val="003C20AC"/>
    <w:rsid w:val="003D5B00"/>
    <w:rsid w:val="003F16DB"/>
    <w:rsid w:val="00446BC1"/>
    <w:rsid w:val="00447E9B"/>
    <w:rsid w:val="004533AB"/>
    <w:rsid w:val="0045591C"/>
    <w:rsid w:val="00457DF6"/>
    <w:rsid w:val="0046304D"/>
    <w:rsid w:val="0049042E"/>
    <w:rsid w:val="004919C5"/>
    <w:rsid w:val="004B3668"/>
    <w:rsid w:val="004C5AE6"/>
    <w:rsid w:val="004D0677"/>
    <w:rsid w:val="004D2453"/>
    <w:rsid w:val="004E7A1F"/>
    <w:rsid w:val="004F555A"/>
    <w:rsid w:val="005102F4"/>
    <w:rsid w:val="00514426"/>
    <w:rsid w:val="005271D3"/>
    <w:rsid w:val="00544739"/>
    <w:rsid w:val="00574DC8"/>
    <w:rsid w:val="00576E13"/>
    <w:rsid w:val="00584FA8"/>
    <w:rsid w:val="00586BF4"/>
    <w:rsid w:val="00596FB0"/>
    <w:rsid w:val="005A046F"/>
    <w:rsid w:val="005A0F11"/>
    <w:rsid w:val="005C3F3E"/>
    <w:rsid w:val="005D23A9"/>
    <w:rsid w:val="005F52DE"/>
    <w:rsid w:val="005F5DBD"/>
    <w:rsid w:val="005F712D"/>
    <w:rsid w:val="00603502"/>
    <w:rsid w:val="00610141"/>
    <w:rsid w:val="006200F6"/>
    <w:rsid w:val="006510DB"/>
    <w:rsid w:val="00675750"/>
    <w:rsid w:val="006C26AA"/>
    <w:rsid w:val="006C5AD8"/>
    <w:rsid w:val="006E059D"/>
    <w:rsid w:val="006E27CF"/>
    <w:rsid w:val="00722D96"/>
    <w:rsid w:val="00727D31"/>
    <w:rsid w:val="00743796"/>
    <w:rsid w:val="00746C3B"/>
    <w:rsid w:val="007508BD"/>
    <w:rsid w:val="00751CFD"/>
    <w:rsid w:val="00783697"/>
    <w:rsid w:val="00794015"/>
    <w:rsid w:val="00794E51"/>
    <w:rsid w:val="007A6A02"/>
    <w:rsid w:val="007E40FD"/>
    <w:rsid w:val="007F78CB"/>
    <w:rsid w:val="00805B65"/>
    <w:rsid w:val="00811544"/>
    <w:rsid w:val="00814B19"/>
    <w:rsid w:val="008307A2"/>
    <w:rsid w:val="00837230"/>
    <w:rsid w:val="00843197"/>
    <w:rsid w:val="008453C8"/>
    <w:rsid w:val="008536FF"/>
    <w:rsid w:val="00874C8D"/>
    <w:rsid w:val="008835B3"/>
    <w:rsid w:val="00885ABC"/>
    <w:rsid w:val="00886301"/>
    <w:rsid w:val="008A010C"/>
    <w:rsid w:val="008A5525"/>
    <w:rsid w:val="008B34D9"/>
    <w:rsid w:val="008C7B24"/>
    <w:rsid w:val="008D202D"/>
    <w:rsid w:val="008D4652"/>
    <w:rsid w:val="008E4393"/>
    <w:rsid w:val="008F200A"/>
    <w:rsid w:val="008F5A48"/>
    <w:rsid w:val="00905F7B"/>
    <w:rsid w:val="00907AB2"/>
    <w:rsid w:val="00952AF3"/>
    <w:rsid w:val="00952AFF"/>
    <w:rsid w:val="009579B3"/>
    <w:rsid w:val="00965CCA"/>
    <w:rsid w:val="00975F01"/>
    <w:rsid w:val="009805D0"/>
    <w:rsid w:val="00980C28"/>
    <w:rsid w:val="00981AA2"/>
    <w:rsid w:val="009C0DFD"/>
    <w:rsid w:val="009C12DF"/>
    <w:rsid w:val="009C1DFE"/>
    <w:rsid w:val="009D78E0"/>
    <w:rsid w:val="009D7C2F"/>
    <w:rsid w:val="009E0FFF"/>
    <w:rsid w:val="009E1DCB"/>
    <w:rsid w:val="009E39D6"/>
    <w:rsid w:val="009E6457"/>
    <w:rsid w:val="009E6D48"/>
    <w:rsid w:val="00A05B75"/>
    <w:rsid w:val="00A31E60"/>
    <w:rsid w:val="00A405C3"/>
    <w:rsid w:val="00A41050"/>
    <w:rsid w:val="00A445AC"/>
    <w:rsid w:val="00A457EF"/>
    <w:rsid w:val="00A47E57"/>
    <w:rsid w:val="00A5210E"/>
    <w:rsid w:val="00A6092A"/>
    <w:rsid w:val="00A65FED"/>
    <w:rsid w:val="00A76874"/>
    <w:rsid w:val="00A840F5"/>
    <w:rsid w:val="00A93DFC"/>
    <w:rsid w:val="00A94EA7"/>
    <w:rsid w:val="00AA572E"/>
    <w:rsid w:val="00AB71A1"/>
    <w:rsid w:val="00AC7E68"/>
    <w:rsid w:val="00AD16E5"/>
    <w:rsid w:val="00AD738B"/>
    <w:rsid w:val="00AE3A8B"/>
    <w:rsid w:val="00AF0669"/>
    <w:rsid w:val="00AF0B3B"/>
    <w:rsid w:val="00AF19E0"/>
    <w:rsid w:val="00AF756D"/>
    <w:rsid w:val="00B05F44"/>
    <w:rsid w:val="00B26107"/>
    <w:rsid w:val="00B33FE5"/>
    <w:rsid w:val="00B346EE"/>
    <w:rsid w:val="00B41CD0"/>
    <w:rsid w:val="00B41FC3"/>
    <w:rsid w:val="00B531EC"/>
    <w:rsid w:val="00B533EF"/>
    <w:rsid w:val="00B646BF"/>
    <w:rsid w:val="00B742F9"/>
    <w:rsid w:val="00B84BDE"/>
    <w:rsid w:val="00BC3637"/>
    <w:rsid w:val="00BD4FC2"/>
    <w:rsid w:val="00BE0A51"/>
    <w:rsid w:val="00BE26D3"/>
    <w:rsid w:val="00BE30FC"/>
    <w:rsid w:val="00BE4972"/>
    <w:rsid w:val="00BE5D1C"/>
    <w:rsid w:val="00BF2AA6"/>
    <w:rsid w:val="00BF3130"/>
    <w:rsid w:val="00BF5584"/>
    <w:rsid w:val="00C06980"/>
    <w:rsid w:val="00C13E6E"/>
    <w:rsid w:val="00C23C8F"/>
    <w:rsid w:val="00C3513B"/>
    <w:rsid w:val="00C54DFE"/>
    <w:rsid w:val="00C74D95"/>
    <w:rsid w:val="00C855CB"/>
    <w:rsid w:val="00C8640A"/>
    <w:rsid w:val="00C864EA"/>
    <w:rsid w:val="00C90348"/>
    <w:rsid w:val="00C9351F"/>
    <w:rsid w:val="00C97943"/>
    <w:rsid w:val="00CB0578"/>
    <w:rsid w:val="00CB248A"/>
    <w:rsid w:val="00CB3F59"/>
    <w:rsid w:val="00CD445F"/>
    <w:rsid w:val="00D00023"/>
    <w:rsid w:val="00D17AE2"/>
    <w:rsid w:val="00D30378"/>
    <w:rsid w:val="00D31E7E"/>
    <w:rsid w:val="00D43932"/>
    <w:rsid w:val="00D46E56"/>
    <w:rsid w:val="00D6212C"/>
    <w:rsid w:val="00D75E8B"/>
    <w:rsid w:val="00D902AB"/>
    <w:rsid w:val="00DA06E7"/>
    <w:rsid w:val="00DA26D9"/>
    <w:rsid w:val="00DA2A59"/>
    <w:rsid w:val="00DB12AC"/>
    <w:rsid w:val="00DB3B46"/>
    <w:rsid w:val="00DC1CFD"/>
    <w:rsid w:val="00DC4D3F"/>
    <w:rsid w:val="00DC5532"/>
    <w:rsid w:val="00DD01FC"/>
    <w:rsid w:val="00DD3B4A"/>
    <w:rsid w:val="00DE6BC0"/>
    <w:rsid w:val="00DE6C47"/>
    <w:rsid w:val="00DF282F"/>
    <w:rsid w:val="00DF2ECC"/>
    <w:rsid w:val="00E238EA"/>
    <w:rsid w:val="00E25526"/>
    <w:rsid w:val="00E4315D"/>
    <w:rsid w:val="00E625C5"/>
    <w:rsid w:val="00E76592"/>
    <w:rsid w:val="00E77920"/>
    <w:rsid w:val="00E90371"/>
    <w:rsid w:val="00E945B6"/>
    <w:rsid w:val="00E95D85"/>
    <w:rsid w:val="00E96488"/>
    <w:rsid w:val="00EC60EB"/>
    <w:rsid w:val="00ED10E1"/>
    <w:rsid w:val="00ED56A5"/>
    <w:rsid w:val="00ED59AE"/>
    <w:rsid w:val="00ED6145"/>
    <w:rsid w:val="00F04F74"/>
    <w:rsid w:val="00F05089"/>
    <w:rsid w:val="00F20E7E"/>
    <w:rsid w:val="00F24C27"/>
    <w:rsid w:val="00F57AC5"/>
    <w:rsid w:val="00F65C48"/>
    <w:rsid w:val="00F67029"/>
    <w:rsid w:val="00F776F2"/>
    <w:rsid w:val="00FB2516"/>
    <w:rsid w:val="00FB6928"/>
    <w:rsid w:val="00FC572D"/>
    <w:rsid w:val="00FF1BC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E7A1F"/>
    <w:pPr>
      <w:suppressAutoHyphens/>
      <w:autoSpaceDE w:val="0"/>
    </w:pPr>
    <w:rPr>
      <w:sz w:val="24"/>
      <w:szCs w:val="24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hAnsi="Times New Roman" w:cs="Times New Roman"/>
      <w:sz w:val="24"/>
      <w:szCs w:val="24"/>
    </w:rPr>
  </w:style>
  <w:style w:type="character" w:customStyle="1" w:styleId="Predvolenpsmoodseku2">
    <w:name w:val="Predvolené písmo odseku2"/>
  </w:style>
  <w:style w:type="character" w:customStyle="1" w:styleId="Absatz-Standardschriftart">
    <w:name w:val="Absatz-Standardschriftart"/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13z1">
    <w:name w:val="WW8Num13z1"/>
    <w:rPr>
      <w:color w:val="auto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21z0">
    <w:name w:val="WW8Num21z0"/>
    <w:rPr>
      <w:color w:val="auto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8z0">
    <w:name w:val="WW8Num28z0"/>
    <w:rPr>
      <w:color w:val="auto"/>
    </w:rPr>
  </w:style>
  <w:style w:type="character" w:customStyle="1" w:styleId="WW8Num36z0">
    <w:name w:val="WW8Num36z0"/>
    <w:rPr>
      <w:color w:val="auto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2z0">
    <w:name w:val="WW8Num22z0"/>
    <w:rPr>
      <w:color w:val="auto"/>
    </w:rPr>
  </w:style>
  <w:style w:type="character" w:customStyle="1" w:styleId="WW8Num22z1">
    <w:name w:val="WW8Num22z1"/>
    <w:rPr>
      <w:rFonts w:ascii="Times New Roman" w:eastAsia="Times New Roman" w:hAnsi="Times New Roman" w:cs="Times New Roman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WW8Num14z1">
    <w:name w:val="WW8Num14z1"/>
    <w:rPr>
      <w:color w:val="auto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3z0">
    <w:name w:val="WW8Num23z0"/>
    <w:rPr>
      <w:color w:val="auto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color w:val="auto"/>
    </w:rPr>
  </w:style>
  <w:style w:type="character" w:customStyle="1" w:styleId="WW-Absatz-Standardschriftart111">
    <w:name w:val="WW-Absatz-Standardschriftart111"/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5z1">
    <w:name w:val="WW8Num15z1"/>
    <w:rPr>
      <w:color w:val="auto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2">
    <w:name w:val="WW8Num17z2"/>
    <w:rPr>
      <w:color w:val="auto"/>
    </w:rPr>
  </w:style>
  <w:style w:type="character" w:customStyle="1" w:styleId="WW8Num25z0">
    <w:name w:val="WW8Num25z0"/>
    <w:rPr>
      <w:color w:val="auto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color w:val="auto"/>
    </w:rPr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cs="Times New Roman"/>
    </w:rPr>
  </w:style>
  <w:style w:type="character" w:customStyle="1" w:styleId="WW8Num3z0">
    <w:name w:val="WW8Num3z0"/>
    <w:rPr>
      <w:color w:val="auto"/>
    </w:rPr>
  </w:style>
  <w:style w:type="character" w:customStyle="1" w:styleId="WW8Num4z0">
    <w:name w:val="WW8Num4z0"/>
    <w:rPr>
      <w:rFonts w:cs="Times New Roman"/>
    </w:rPr>
  </w:style>
  <w:style w:type="character" w:customStyle="1" w:styleId="WW8Num4z2">
    <w:name w:val="WW8Num4z2"/>
    <w:rPr>
      <w:rFonts w:cs="Times New Roman"/>
      <w:color w:val="auto"/>
    </w:rPr>
  </w:style>
  <w:style w:type="character" w:customStyle="1" w:styleId="WW8Num6z0">
    <w:name w:val="WW8Num6z0"/>
    <w:rPr>
      <w:rFonts w:cs="Times New Roman"/>
    </w:rPr>
  </w:style>
  <w:style w:type="character" w:customStyle="1" w:styleId="WW8Num10z1">
    <w:name w:val="WW8Num10z1"/>
    <w:rPr>
      <w:color w:val="auto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color w:val="auto"/>
    </w:rPr>
  </w:style>
  <w:style w:type="character" w:customStyle="1" w:styleId="WW8Num19z0">
    <w:name w:val="WW8Num19z0"/>
    <w:rPr>
      <w:color w:val="auto"/>
    </w:rPr>
  </w:style>
  <w:style w:type="character" w:customStyle="1" w:styleId="WW8Num20z2">
    <w:name w:val="WW8Num20z2"/>
    <w:rPr>
      <w:color w:val="auto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  <w:rPr>
      <w:rFonts w:cs="Times New Roman"/>
    </w:rPr>
  </w:style>
  <w:style w:type="character" w:customStyle="1" w:styleId="Predvolenpsmoodseku1">
    <w:name w:val="Predvolené písmo odseku1"/>
  </w:style>
  <w:style w:type="character" w:customStyle="1" w:styleId="FootnoteTextChar">
    <w:name w:val="Footnote Text Char"/>
    <w:rPr>
      <w:lang w:val="sk-SK" w:eastAsia="ar-SA" w:bidi="ar-SA"/>
    </w:rPr>
  </w:style>
  <w:style w:type="character" w:styleId="PageNumber">
    <w:name w:val="page number"/>
    <w:basedOn w:val="Predvolenpsmoodseku1"/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customStyle="1" w:styleId="Odkaznavysvetlivku1">
    <w:name w:val="Odkaz na vysvetlivku1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customStyle="1" w:styleId="Symbolypreslovanie">
    <w:name w:val="Symboly pre číslovani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um1">
    <w:name w:val="num1"/>
    <w:rPr>
      <w:b/>
      <w:bCs/>
      <w:color w:val="303030"/>
    </w:rPr>
  </w:style>
  <w:style w:type="character" w:customStyle="1" w:styleId="PtaChar">
    <w:name w:val="Päta Char"/>
    <w:rPr>
      <w:rFonts w:ascii="Arial" w:hAnsi="Arial" w:cs="Arial"/>
      <w:sz w:val="22"/>
      <w:szCs w:val="22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Zkladntext31">
    <w:name w:val="Základný text 31"/>
    <w:basedOn w:val="Normal"/>
    <w:pPr>
      <w:spacing w:line="240" w:lineRule="atLeast"/>
      <w:jc w:val="both"/>
    </w:pPr>
  </w:style>
  <w:style w:type="paragraph" w:styleId="BodyTextIndent">
    <w:name w:val="Body Text Indent"/>
    <w:basedOn w:val="Normal"/>
    <w:pPr>
      <w:spacing w:before="0" w:after="120" w:line="480" w:lineRule="auto"/>
    </w:pPr>
  </w:style>
  <w:style w:type="paragraph" w:customStyle="1" w:styleId="Normlny">
    <w:name w:val="_Normálny"/>
    <w:basedOn w:val="Normal"/>
    <w:rPr>
      <w:sz w:val="20"/>
      <w:szCs w:val="20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pPr>
      <w:autoSpaceDE/>
      <w:spacing w:before="280" w:after="280"/>
    </w:pPr>
    <w:rPr>
      <w:rFonts w:ascii="Arial Unicode MS" w:eastAsia="Arial Unicode MS" w:hAnsi="Arial Unicode MS" w:cs="Arial Unicode MS"/>
      <w:lang w:val="cs-CZ"/>
    </w:rPr>
  </w:style>
  <w:style w:type="paragraph" w:customStyle="1" w:styleId="Default">
    <w:name w:val="Default"/>
    <w:pPr>
      <w:suppressAutoHyphens/>
      <w:autoSpaceDE w:val="0"/>
    </w:pPr>
    <w:rPr>
      <w:rFonts w:ascii="EUAlbertina" w:eastAsia="Arial" w:hAnsi="EUAlbertina" w:cs="EUAlbertina"/>
      <w:color w:val="000000"/>
      <w:sz w:val="24"/>
      <w:szCs w:val="24"/>
      <w:lang w:val="sk-SK" w:eastAsia="ar-SA" w:bidi="ar-SA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titulok">
    <w:name w:val="titulok"/>
    <w:basedOn w:val="Normal"/>
    <w:pPr>
      <w:autoSpaceDE/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ListParagraph">
    <w:name w:val="List Paragraph"/>
    <w:basedOn w:val="Normal"/>
    <w:pPr>
      <w:autoSpaceDE/>
      <w:ind w:left="708" w:right="0" w:firstLine="0"/>
    </w:pPr>
  </w:style>
  <w:style w:type="paragraph" w:customStyle="1" w:styleId="Obsahtabuky">
    <w:name w:val="Obsah tabuľky"/>
    <w:basedOn w:val="Normal"/>
    <w:pPr>
      <w:suppressLineNumbers/>
    </w:pPr>
  </w:style>
  <w:style w:type="paragraph" w:customStyle="1" w:styleId="Nadpistabuky">
    <w:name w:val="Nadpis tabuľky"/>
    <w:basedOn w:val="Obsahtabuky"/>
    <w:pPr>
      <w:suppressLineNumbers/>
      <w:jc w:val="center"/>
    </w:pPr>
    <w:rPr>
      <w:b/>
      <w:bCs/>
    </w:rPr>
  </w:style>
  <w:style w:type="paragraph" w:customStyle="1" w:styleId="Obsahrmca">
    <w:name w:val="Obsah rámca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71">
    <w:name w:val="l71"/>
    <w:basedOn w:val="Normal"/>
    <w:pPr>
      <w:suppressAutoHyphens w:val="0"/>
      <w:autoSpaceDE/>
      <w:jc w:val="both"/>
    </w:pPr>
  </w:style>
  <w:style w:type="paragraph" w:styleId="NoSpacing">
    <w:name w:val="No Spacing"/>
    <w:uiPriority w:val="1"/>
    <w:qFormat/>
    <w:rsid w:val="00010663"/>
    <w:pPr>
      <w:suppressAutoHyphens/>
      <w:autoSpaceDE w:val="0"/>
    </w:pPr>
    <w:rPr>
      <w:sz w:val="24"/>
      <w:szCs w:val="24"/>
      <w:lang w:val="sk-SK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58F20-919F-44FF-B092-8FBB580A8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D889A6-A433-4109-897C-B83095B20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sipkova1269377</dc:creator>
  <cp:lastModifiedBy>Bumberová Veronika</cp:lastModifiedBy>
  <cp:revision>2</cp:revision>
  <cp:lastPrinted>2017-05-11T10:08:00Z</cp:lastPrinted>
  <dcterms:created xsi:type="dcterms:W3CDTF">2019-08-13T05:46:00Z</dcterms:created>
  <dcterms:modified xsi:type="dcterms:W3CDTF">2019-08-13T05:46:00Z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COO.2145.1000.3.1916355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27. 12. 2016</vt:lpwstr>
  </property>
  <property fmtid="{D5CDD505-2E9C-101B-9397-08002B2CF9AE}" pid="6" name="FSC#SKEDITIONSLOVLEX@103.510:AttrDateDocPropZaciatokPKK">
    <vt:lpwstr>15. 12. 2016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žiadne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vnútra Slovenskej republiky
Ministerstvo školstva, vedy, výskumu a športu Slovenskej republiky
Ministerstvo práce, sociálnych vecí a rodiny Slovenskej republiky</vt:lpwstr>
  </property>
  <property fmtid="{D5CDD505-2E9C-101B-9397-08002B2CF9AE}" pid="15" name="FSC#SKEDITIONSLOVLEX@103.510:AttrStrListDocPropInfoUzPreberanePP">
    <vt:lpwstr>- zákon č. 131/2002 Z. z. o  vysokých školách a o zmene a doplnení niektorých zákonov v znení neskorších predpisov – čiastočný,
- zákon č. 596/2003 Z. z. o štátnej správe v školstve a školskej samospráve a o zmene a doplnení niektorých zákonov v znení ne</vt:lpwstr>
  </property>
  <property fmtid="{D5CDD505-2E9C-101B-9397-08002B2CF9AE}" pid="16" name="FSC#SKEDITIONSLOVLEX@103.510:AttrStrListDocPropInfoZaciatokKonania">
    <vt:lpwstr>Nebolo začaté.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Uznesením vlády č. 405 z 21. septembra 2016 bola podpredsedovi vlády a ministrovi vnútra uložená úloha B.6. predložiť v spolupráci s ministrom práce, sociálnych vecí a rodiny a ministrom školstva, vedy, výskumu a športu na rokovanie vlády návrhy právnych </vt:lpwstr>
  </property>
  <property fmtid="{D5CDD505-2E9C-101B-9397-08002B2CF9AE}" pid="20" name="FSC#SKEDITIONSLOVLEX@103.510:AttrStrListDocPropLehotaPrebratieSmernice">
    <vt:lpwstr>Lehota na prebratie smernice  Rady 2004/114/ES  bola do 12. januára 2007.
Lehota na prebratie smernice Európskeho parlamentu a Rady (EÚ) 2016/801  je do 23. mája 2018. 
</vt:lpwstr>
  </property>
  <property fmtid="{D5CDD505-2E9C-101B-9397-08002B2CF9AE}" pid="21" name="FSC#SKEDITIONSLOVLEX@103.510:AttrStrListDocPropNazovPredpisuEU">
    <vt:lpwstr>napr. v rozhodnutí Súdneho dvora vo veci C 491/13 Mohamed Ali Ben Alaya proti Bundesrepublik Deutschland</vt:lpwstr>
  </property>
  <property fmtid="{D5CDD505-2E9C-101B-9397-08002B2CF9AE}" pid="22" name="FSC#SKEDITIONSLOVLEX@103.510:AttrStrListDocPropPoznamkaVplyv">
    <vt:lpwstr>Príspevok na kurz pohybových aktivít v prírode – rozšírenie pre školy s osemročnou dĺžkou štúdia nebude mať vplyv na štátny rozpočet. Úpravou spôsobu rozdeľovania podielových daní obciam sa nemení výška podielových daní pre obce na nasledujúce obdobie. Zv</vt:lpwstr>
  </property>
  <property fmtid="{D5CDD505-2E9C-101B-9397-08002B2CF9AE}" pid="23" name="FSC#SKEDITIONSLOVLEX@103.510:AttrStrListDocPropPrimarnePravoEU">
    <vt:lpwstr>Zmluva o fungovaní Európskej únie (Hlava V Priestor slobody, bezpečnosti a spravodlivosti, Kapitola 1 Všeobecné ustanovenia, Kapitola 2 Politiky vzťahujúce sa na hraničné kontroly, azyl a prisťahovalectvo, najmä čl. 79 ods. 2, Hlava XII Všeobecné a odborn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Rady 2004/114/ES z 13. decembra 2004 o podmienkach prijatia štátnych príslušníkov tretích krajín na účely štúdia, výmen žiakov, neplateného odborného vzdelávania alebo dobrovoľnej služby (Ú. v. EÚ, L 375, 23.12.2004), 
smernica Európskeho parlam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Dňa 9.1.2017 komisia vyjadrila nesúhlasné stanovisko s materiálom predloženým na PPK s odporúčaním na jeho dopracovanie podľa pripomienok v bode II stanoviska. MŠVVaŠ SR pripomienky komisie akceptovalo a zapracovalo okrem pripomienky komisie "V analýze vp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597/2003 Z. z. o financovaní základných škôl, stredných škôl a školských zariadení v znení neskorších predpiso</vt:lpwstr>
  </property>
  <property fmtid="{D5CDD505-2E9C-101B-9397-08002B2CF9AE}" pid="32" name="FSC#SKEDITIONSLOVLEX@103.510:AttrStrListDocPropTextPredklSpravy">
    <vt:lpwstr>&lt;p style="text-align: justify;"&gt;Ministerstvo školstva, vedy, výskumu a&amp;nbsp;športu Slovenskej republiky predkladá&amp;nbsp;návrh zákona, ktorým sa mení a dopĺňa zákon č. 597/2003 Z. z. o financovaní základných škôl, stredných škôl a školských zariadení v znen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LP/2016/954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ministerovi školstva, vedy, výskumu a športu Slovenskej republiky</vt:lpwstr>
  </property>
  <property fmtid="{D5CDD505-2E9C-101B-9397-08002B2CF9AE}" pid="123" name="FSC#SKEDITIONSLOVLEX@103.510:funkciaZodpPredDativ">
    <vt:lpwstr>ministera školstva, vedy, výskumu a športu Slovenskej republiky</vt:lpwstr>
  </property>
  <property fmtid="{D5CDD505-2E9C-101B-9397-08002B2CF9AE}" pid="124" name="FSC#SKEDITIONSLOVLEX@103.510:legoblast">
    <vt:lpwstr>Finančné právo
Rozpočtové právo
Predškolská výchova
Stredné školstvo
Základné školstvo</vt:lpwstr>
  </property>
  <property fmtid="{D5CDD505-2E9C-101B-9397-08002B2CF9AE}" pid="125" name="FSC#SKEDITIONSLOVLEX@103.510:nazovpredpis">
    <vt:lpwstr>, ktorým sa mení a dopĺňa zákon č. 597/2003 Z. z. o financovaní základných škôl, stredných škôl a školských zariadení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597/2003 Z. z. o financovaní základných škôl, stredných škôl a školských zariadení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 a Programové vyhlásenie vlády Slovenskej republiky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Denisa Zušťáková</vt:lpwstr>
  </property>
  <property fmtid="{D5CDD505-2E9C-101B-9397-08002B2CF9AE}" pid="138" name="FSC#SKEDITIONSLOVLEX@103.510:predkladateliaObalSD">
    <vt:lpwstr>Peter Plavčan
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2017-463-56AA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o&amp;nbsp;príprave návrhu zákona, ktorým sa mení a dopĺňa zákon č. 597/2003 Z. z. o financovaní základných škôl, stredných škôl a školských zariadení v znení neskorších predpisov a ktorým sa menia a dopĺňajú nie</vt:lpwstr>
  </property>
  <property fmtid="{D5CDD505-2E9C-101B-9397-08002B2CF9AE}" pid="143" name="FSC#SKEDITIONSLOVLEX@103.510:stavpredpis">
    <vt:lpwstr>Rokovanie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Tabuľka zhody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