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aps/>
          <w:color w:val="000000"/>
          <w:sz w:val="24"/>
          <w:lang w:val="sk-SK" w:eastAsia="hi-IN"/>
        </w:rPr>
        <w:t>Národná rada Slovenskej republiky</w:t>
      </w:r>
      <w:r/>
    </w:p>
    <w:p>
      <w:pPr>
        <w:pStyle w:val="Normal"/>
        <w:widowControl w:val="false"/>
        <w:pBdr>
          <w:bottom w:val="single" w:sz="12" w:space="1" w:color="00000A"/>
        </w:pBdr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aps/>
          <w:color w:val="000000"/>
          <w:sz w:val="24"/>
          <w:lang w:val="sk-SK" w:eastAsia="hi-IN"/>
        </w:rPr>
        <w:t>VII. volebné obdobie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left"/>
        <w:textAlignment w:val="baseline"/>
        <w:rPr>
          <w:sz w:val="24"/>
          <w:i/>
          <w:sz w:val="24"/>
          <w:i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i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Návrh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Zákon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z ......... 2019,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tabs>
          <w:tab w:val="left" w:pos="7215" w:leader="none"/>
          <w:tab w:val="left" w:pos="8902" w:leader="dot"/>
        </w:tabs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 xml:space="preserve">ktorým sa dopĺňa zákon Národnej rady Slovenskej republiky č. 245/2008 Z. z. o </w:t>
      </w: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 xml:space="preserve">výchove a vzdelávaní (školský zákon) 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070707"/>
          <w:spacing w:val="0"/>
          <w:sz w:val="24"/>
          <w:lang w:val="sk-SK" w:eastAsia="ar-SA"/>
        </w:rPr>
        <w:t>a o zmene a doplnení niektorých zákonov</w:t>
      </w:r>
      <w:r>
        <w:rPr>
          <w:rFonts w:eastAsia="Times New Roman" w:ascii="Times New Roman" w:hAnsi="Times New Roman"/>
          <w:b/>
          <w:color w:val="000000"/>
          <w:sz w:val="24"/>
          <w:lang w:val="sk-SK" w:eastAsia="ar-SA"/>
        </w:rPr>
        <w:t>.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lang w:val="sk-SK"/>
        </w:rPr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Národná rada Slovenskej republiky sa uzniesla na tomto zákone: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Zákon Národnej rady Slovenskej republiky č. 245</w:t>
      </w:r>
      <w:r>
        <w:rPr>
          <w:rFonts w:eastAsia="Liberation Serif" w:ascii="Times New Roman" w:hAnsi="Times New Roman"/>
          <w:b w:val="false"/>
          <w:color w:val="000000"/>
          <w:sz w:val="24"/>
          <w:lang w:val="sk-SK" w:eastAsia="hi-IN"/>
        </w:rPr>
        <w:t xml:space="preserve">/2008 Z. z. </w:t>
      </w:r>
      <w:r>
        <w:rPr>
          <w:rFonts w:eastAsia="Times New Roman" w:ascii="Times New Roman" w:hAnsi="Times New Roman"/>
          <w:b w:val="false"/>
          <w:color w:val="000000"/>
          <w:sz w:val="24"/>
          <w:lang w:val="sk-SK" w:eastAsia="ar-SA"/>
        </w:rPr>
        <w:t xml:space="preserve">o výchove a vzdelávaní (školský zákon) </w:t>
      </w:r>
      <w:r>
        <w:rPr>
          <w:rFonts w:eastAsia="Liberation Serif" w:ascii="Times New Roman" w:hAnsi="Times New Roman"/>
          <w:b w:val="false"/>
          <w:color w:val="000000"/>
          <w:sz w:val="24"/>
          <w:lang w:val="sk-SK" w:eastAsia="hi-IN"/>
        </w:rPr>
        <w:t xml:space="preserve">v znení zákona Národnej rady Slovenskej republiky č. 462/2008 Z. z., zákona Národnej rady Slovenskej republiky č. 37/2009 Z. z., zákona Národnej rady Slovenskej republiky č. 184/2009 Z. z., zákona Národnej rady Slovenskej republiky č. 37/2011 Z. z., zákona Národnej rady Slovenskej republiky č. 390/2011 Z. z., zákona Národnej rady Slovenskej republiky č. 390/2011 Z. z., zákona Národnej rady Slovenskej republiky č. 324/2012 Z. z., zákona Národnej rady Slovenskej republiky č. 324/2012 Z. z., zákona Národnej rady Slovenskej republiky č. 324/2012 Z. z., zákona Národnej rady Slovenskej republiky č. 125/2013 Z. z., zákona Národnej rady Slovenskej republiky č. 464/2013 Z. z., zákona Národnej rady Slovenskej republiky č. 464/2013 Z. z., zákona Národnej rady Slovenskej republiky č. 464/2013 Z. z., zákona Národnej rady Slovenskej republiky č. 464/2013 Z. z., zákona Národnej rady Slovenskej republiky č. 307/2014 Z. z., zákona Národnej rady Slovenskej republiky č. 377/2014 Z. z., zákona Národnej rady Slovenskej republiky č. 61/2015 Z. z., zákona Národnej rady Slovenskej republiky č. 61/2015 Z. z., zákona Národnej rady Slovenskej republiky č. 188/2015 Z. z.,  zákona Národnej rady Slovenskej republiky č. 188/2015 Z. z.,  zákona Národnej rady Slovenskej republiky č. 188/2015 Z. z.,  zákona Národnej rady Slovenskej republiky č. 188/2015 Z. z.,  zákona Národnej rady Slovenskej republiky č. 125/2016 Z. z., zákona Národnej rady Slovenskej republiky č. 216/2016 Z. z., zákona Národnej rady Slovenskej republiky č. 56/2017 Z. z., zákona Národnej rady Slovenskej republiky č. 178/2017 Z. z., zákona Národnej rady Slovenskej republiky č. 182/2017 Z. z., zákona Národnej rady Slovenskej republiky č. 182/2017 Z. z., zákona Národnej rady Slovenskej republiky č. 182/2017 Z. z., zákona Národnej rady Slovenskej republiky č. 62/2018 Z. z., zákona Národnej rady Slovenskej republiky č. 62/2018 Z. z., zákona Národnej rady Slovenskej republiky č. 209/2018 Z. z., zákona Národnej rady Slovenskej republiky č. 210/2018 Z. z., zákona Národnej rady Slovenskej republiky č. 365/2018 Z. z., zákona Národnej rady Slovenskej republiky č. 375/2018 Z. z.,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209</w:t>
      </w:r>
      <w:hyperlink r:id="rId2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/2019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221</w:t>
      </w:r>
      <w:hyperlink r:id="rId3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/2019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>.</w:t>
      </w:r>
      <w:r>
        <w:rPr>
          <w:rFonts w:eastAsia="Liberation Serif" w:ascii="Times New Roman" w:hAnsi="Times New Roman"/>
          <w:b w:val="false"/>
          <w:color w:val="000000"/>
          <w:sz w:val="24"/>
          <w:lang w:val="sk-SK" w:eastAsia="hi-IN"/>
        </w:rPr>
        <w:t xml:space="preserve"> sa dopĺňa takto: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b w:val="false"/>
          <w:sz w:val="24"/>
          <w:b w:val="false"/>
          <w:szCs w:val="24"/>
          <w:rFonts w:ascii="Times New Roman" w:hAnsi="Times New Roman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 w:ascii="Times New Roman" w:hAnsi="Times New Roman"/>
          <w:b w:val="false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Times New Roman" w:ascii="Times New Roman" w:hAnsi="Times New Roman"/>
          <w:color w:val="000000"/>
          <w:sz w:val="24"/>
          <w:lang w:val="sk-SK" w:eastAsia="hi-IN"/>
        </w:rPr>
        <w:t>1. § 13 vrátane nadpisu znie:</w:t>
      </w:r>
      <w:r/>
    </w:p>
    <w:p>
      <w:pPr>
        <w:pStyle w:val="ListParagraph"/>
        <w:widowControl/>
        <w:ind w:left="708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§ 13</w:t>
      </w:r>
      <w:r/>
    </w:p>
    <w:p>
      <w:pPr>
        <w:pStyle w:val="ListParagraph"/>
        <w:widowControl/>
        <w:ind w:left="708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Učebnice, učebné texty a pracovné zošity</w:t>
      </w:r>
      <w:r/>
    </w:p>
    <w:p>
      <w:pPr>
        <w:pStyle w:val="ListParagraph"/>
        <w:widowControl/>
        <w:ind w:left="708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>(1) Na vzdelávanie na školách podľa tohto zákona sa používajú:</w:t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0"/>
        <w:ind w:left="737" w:right="0" w:hanging="397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>učebnice, učebné texty a pracovné zošity obsahujúce schvaľovaciu doložku pre naplnenie štátneho vzdelávacieho programu,</w:t>
      </w:r>
      <w:r>
        <w:rPr>
          <w:rFonts w:cs="Times New Roman" w:ascii="Times New Roman" w:hAnsi="Times New Roman"/>
          <w:sz w:val="24"/>
          <w:szCs w:val="24"/>
          <w:vertAlign w:val="superscript"/>
          <w:lang w:val="sk-SK" w:eastAsia="sk-SK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 </w:t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0"/>
        <w:ind w:left="737" w:right="0" w:hanging="397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iné učebnice, učebné texty a pracovné zošity, ktoré sú v súlade s cieľmi a princípmi tohto zákona a svojím obsahom a štruktúrou zodpovedajú pedagogickým a didaktickým zásadám vzdelávania pre naplnenie školského vzdelávacieho programu,  </w:t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0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učebnice, učebné texty a pracovné zošity vydávané v jazyku národnostných menšín a etnických skupín v súlade s § 12 ods. 3 tohto zákona obsahujúce schvaľovaciu doložku pre naplnenie štátneho vzdelávacieho programu, kde geografické názvy,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ktoré sú vžité a zaužívané v jazyku národnostnej menšiny, sa uvádzajú dvojjazyčne, a to najprv v jazyku príslušnej národnostnej menšiny a následne v zátvorke alebo za lomkou v štátnom jazyku, a to spôsobom, ktorý bol používaný v učebniciach schválených v rokoch 2002 až 2006, kartografické diela sa uvádzajú v štátnom jazyku, na konci učebnice sa uvedie súhrnný prehľad geografických názvov vo forme slovníka v jazyku národnostnej menšiny a v štátnom jazyku,</w:t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učebnice, učebné texty, pracovné zošity a špeciálne učebné pomôcky v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sk-SK" w:eastAsia="sk-SK" w:bidi="ar-SA"/>
        </w:rPr>
        <w:t xml:space="preserve"> prepise do Braillovho písma, s implementáciou posunkovej reči nepočujúcich alebo v inej vhodnej forme pre žiakov so zdravotným znevýhodnením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obsahujúce schvaľovaciu doložku,</w:t>
      </w:r>
      <w:r/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0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>učebnice, učebné texty a pracovné zošity svojím obsahom a štruktúrou zodpovedajúce pedagogickým a didaktickým zásadám vzdelávania na vyučovanie predmetu náboženská výchova schválené štátom uznanou cirkvou alebo náboženskou spoločnosťou.</w:t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0"/>
        <w:ind w:left="720" w:right="0" w:hanging="0"/>
        <w:contextualSpacing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(2) Učebnice, učebné texty, pracovné zošity podľa písmena a), c), d) a špeciálne učebné  pomôcky podľa písmena d) musia obsahovať schvaľovaciu doložku, ktorou Ministerstvo školstva, vedy, výskumu a športu SR a pre špeciálne zdravotnícke odbory Ministerstvo zdravotníctva SR (ďalej len „ministerstvo“)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potvrdzuje súlad učebnice, učebného textu alebo pracovného zošita  s princípmi a cieľmi výchovy a vzdelávania podľa tohto zákona a so štátnym vzdelávacím programom. Schvaľovacia doložka dáva oprávnenie vydavateľovi (ďalej len „predkladateľ“) uviesť učebnicu na trh. Predkladateľ je zároveň zodpovedný i za distribúciu učebníc, učebných textov a pracovných zošitov.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(3)</w:t>
        <w:tab/>
        <w:t xml:space="preserve">Predkladateľ k žiadosti o schvaľovaciu doložku doloží učebnicu, učebný text alebo pracovný zošit v elektronickej forme s presnou špecifikáciou printového variantu a dva recenzné posudky recenzentov vedených v registri recenzentov, ako aj výsledky overovania učebnice v podobe záverečnej správy overovateľov. 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 xml:space="preserve">(4) Všetky náklady spojené s konaním o schvaľovaciu doložku nesie predkladateľ, okrem prípadu, kedy by ministerstvo žiadalo ďalší posudok recenzenta, či iné úkony s tým spojené. Pokiaľ sa po udelení schvaľovacej doložky dodatočne zistí, že učebnica obsahuje vecnú alebo formálnu chybu, je predkladateľ povinný na vlastné náklady chybu odstrániť. Rovnako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ak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 xml:space="preserve"> došlo k zmenám geografických názvov, či iným vecným zmenám, je predkladateľ povinný tieto bezodkladne v učebnici opraviť. V prípade, že predkladateľ dostatočne a včas neodstráni vecné, či formálne chyby v učebnici, učebnom texte alebo pracovnom zošite, t. j. do 90 dní, keď sa predkladateľ o zmene, či chybe preukázateľne dozvedel, ministerstvo písomne upozorní predkladateľa na nesplnenie si uvedenej povinnosti. Ak predkladateľ do 90 dní od písomného upozornenia neurobí požadované zmeny, tak ministerstvo schvaľovaciu doložku rozhodnutím zruší.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(5) Schvaľovaciu doložku vydáva ministerstvo do 21 dní od rozhodnutia schvaľovacej komisie na dobu neurčitú; pokiaľ predkladateľ má námietky voči rozhodnutiu ministerstva, môže podať rozklad, kde o ňom rozhodne rozkladová komisia.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(6) Schvaľovacia komisia je menovaná ministrom, je zložená z 11 členov, z toho 4 stálych členov - generálny riaditeľ sekcie regionálneho školstva – predseda komisie, zodpovedný referent pre edičnú činnosť – podpredseda komisie a dvoch tajomníkov, zástupcu  Štátneho pedagogického ústavu (ŠPÚ), zástupcu Štátneho inštitútu odborného vzdelávania (ŠIOV) a piatich zástupcov odbornej verejnosti z radov vedeckých a pedagogických pracovníkov z praxe. Z členstva v schvaľovacej komisii sú vylúčení autori a recenzenti predkladaných učebníc, učebných textov a pracovných zošitov, ako aj  autori a recenzenti učebníc, učebných textov a pracovných zošitov pre daný predmet a  ročník školy. Ministerstvo oznámi na svojom portáli vždy najneskôr 14 dní pred zasadnutím komisie termín zasadnutia, jeho program ako aj zloženie schvaľovacej  komisie. Schvaľovacia komisia sa schádza minimálne raz mesačne.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(7) Ministerstvo je povinné viesť na svojom portáli aktualizovaný register akreditovaných recenzentov, ako aj zoznam učebníc, učebných textov a pracovných zošitov, ktorým udelilo schvaľovaciu doložku s kontaktom na predkladateľa.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 xml:space="preserve">(8) Ministerstvo je povinné vždy na začiatku kalendárneho roka, najneskôr do 31. januára, zverejniť normatív na učebnice, učebné texty a pracovné zošity na žiaka, ktoré poskytne všetkým školám zaradeným do siete škôl a školských zariadení so špecifikáciou pre vzdelávacie stupne, prípadne osobitnou špecifikáciou, a finančné prostriedky poukázať školám  najneskôr do 30. apríla daného kalendárneho roka. </w:t>
      </w:r>
      <w:r/>
    </w:p>
    <w:p>
      <w:pPr>
        <w:pStyle w:val="Normal"/>
        <w:widowControl/>
        <w:bidi w:val="0"/>
        <w:spacing w:lineRule="auto" w:line="276" w:before="0" w:after="200"/>
        <w:ind w:left="397" w:right="0" w:hanging="397"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(9) Školy zaradené do siete škôl a školských zariadení sú povinné zriadiť a viesť osobitný finančný účelovo viazaný fond na učebnice, učebné texty a pracovné zošity, prípadne na špecifické učebné pomôcky (ďalej len „učebnicový fond“). Učebnicový fond okrem finančných príspevkov od štátu môže obsahovať finančné prostriedky od donorov, a to fyzických i právnických osôb, poplatky za zničenie alebo stratu zapožičaných učebníc, finančné prostriedky zo zisku z podnikateľskej činnosti. Finančné prostriedky učebnicového fondu môžu byť poskytnuté na úhradu špecifických vzdelávacích pomôcok, učebníc, učebných textov a pracovných zošitov pre detí a žiakov zo sociálne znevýhodneného prostredia alebo so špecifickými potrebami alebo pre naplnenie školského vzdelávacieho programu. Za zriadenie fondu a jeho riadne vedenie zodpovedá riaditeľ školy.</w:t>
      </w:r>
      <w:r/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left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Times New Roman" w:ascii="Times New Roman" w:hAnsi="Times New Roman"/>
          <w:color w:val="000000"/>
          <w:sz w:val="24"/>
          <w:lang w:val="sk-SK" w:eastAsia="hi-IN"/>
        </w:rPr>
        <w:t>2. § 161gd vrátane nadpisu znie:</w:t>
      </w:r>
      <w:r/>
    </w:p>
    <w:p>
      <w:pPr>
        <w:pStyle w:val="ListParagraph"/>
        <w:widowControl/>
        <w:ind w:left="708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§ 161gd</w:t>
      </w:r>
      <w:r/>
    </w:p>
    <w:p>
      <w:pPr>
        <w:pStyle w:val="ListParagraph"/>
        <w:widowControl/>
        <w:ind w:left="708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Prechodné ustanovenia k úpravám účinným od 1. januára 2021</w:t>
      </w:r>
      <w:r/>
    </w:p>
    <w:p>
      <w:pPr>
        <w:pStyle w:val="ListParagraph"/>
        <w:widowControl/>
        <w:ind w:left="708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(1) Ministerstvo bude učebnice, učebné texty a pracovné zošity distribuovať do konca kalendárneho roku 2020 obvyklým spôsobom v prípade dobiehajúcich učebníc, učebných textov a pracovných zošitov so schvaľovacími i odporúčacími doložkami, od 1. januára 2021 ich budú distribuovať už len samotní predkladatelia. Učebnice, učebné texty a pracovné zošity so schvaľovacími doložkami udelenými od 1. januára 2020 budú  distribuovať samotní predkladatelia, kontakt na ktorých spolu so zoznamom učebníc, učebných textov a pracovných zošitov je povinné ministerstvo na svojom webovom sídle zverejniť.</w:t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 w:bidi="ar-SA"/>
        </w:rPr>
        <w:t>(2)  Nové rozpočtové pravidlá podľa §13 ods. 8 nadobúdajú platnosť dňom 1. januára 2021.“.</w:t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Normal"/>
        <w:widowControl/>
        <w:ind w:left="1134" w:right="0" w:hanging="425"/>
        <w:jc w:val="both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II</w:t>
      </w:r>
      <w:r/>
    </w:p>
    <w:p>
      <w:pPr>
        <w:pStyle w:val="Default"/>
        <w:widowControl w:val="false"/>
        <w:bidi w:val="0"/>
        <w:ind w:left="0" w:right="0" w:hanging="0"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Zákon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597/2003 Z. z. o financovaní základných škôl, stredných škôl a školských zariadení v znení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523/2004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564/2004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689/2006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245/2008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245/2008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462/2008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179/2009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č.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179/2009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184/2009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>Národnej rady Slovenskej republiky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 č. 38/2011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390/2011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325/2012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325/2012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345/2012 Z. z., 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81/2013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464/2013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307/2014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377/2014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61/2015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188/2015 Z. z., zákona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Národnej rady Slovenskej republiky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 xml:space="preserve">č. 188/2015 Z. z., </w:t>
      </w:r>
      <w:r>
        <w:rPr>
          <w:rFonts w:eastAsia="Liberation Serif" w:cs="Times New Roman" w:ascii="Times New Roman" w:hAnsi="Times New Roman"/>
          <w:b w:val="false"/>
          <w:color w:val="000000"/>
          <w:sz w:val="24"/>
          <w:szCs w:val="24"/>
          <w:lang w:val="sk-SK" w:eastAsia="hi-IN" w:bidi="ar-SA"/>
        </w:rPr>
        <w:t xml:space="preserve">zákona Národnej rady Slovenskej republiky č. 125/2016 Z. z., zákona Národnej rady Slovenskej republiky č. 182/2017 Z. z., zákona Národnej rady Slovenskej republiky č. 182/2017 Z. z., zákona Národnej rady Slovenskej republiky č. 182/2017 Z. z., zákona Národnej rady Slovenskej republiky č. 209/2018 Z. z., zákona Národnej rady Slovenskej republiky č. 367/2018 Z. z.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en-US" w:bidi="ar-SA"/>
        </w:rPr>
        <w:t>sa mení a dopĺňa takto:</w:t>
      </w:r>
      <w:r/>
    </w:p>
    <w:p>
      <w:pPr>
        <w:pStyle w:val="Default"/>
        <w:widowControl w:val="false"/>
        <w:bidi w:val="0"/>
        <w:ind w:left="0" w:right="0" w:hanging="0"/>
        <w:jc w:val="both"/>
        <w:textAlignment w:val="auto"/>
        <w:rPr>
          <w:sz w:val="24"/>
          <w:sz w:val="24"/>
          <w:szCs w:val="24"/>
          <w:rFonts w:ascii="Liberation Serif" w:hAnsi="Liberation Serif" w:eastAsia="Calibri Light" w:cs="Liberation Serif"/>
          <w:color w:val="000000"/>
          <w:lang w:val="sk-SK" w:eastAsia="sk-SK" w:bidi="hi-IN"/>
        </w:rPr>
      </w:pPr>
      <w:r>
        <w:rPr>
          <w:rFonts w:eastAsia="Calibri Light" w:cs="Liberation Serif"/>
          <w:color w:val="000000"/>
          <w:sz w:val="24"/>
          <w:szCs w:val="24"/>
          <w:lang w:val="sk-SK" w:eastAsia="sk-SK" w:bidi="hi-IN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1. 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V § 3 ods. 2 písmeno c) znie:</w:t>
      </w:r>
      <w:r/>
    </w:p>
    <w:p>
      <w:pPr>
        <w:pStyle w:val="ListParagraph"/>
        <w:widowControl/>
        <w:bidi w:val="0"/>
        <w:spacing w:lineRule="auto" w:line="276" w:before="0" w:after="200"/>
        <w:ind w:left="397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c) na úhradu učebníc, učebných textov a pracovných zošitov, prípadne špecifických učebných pomôcok so schvaľovacou doložkou,</w:t>
      </w: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  <w:vertAlign w:val="superscript"/>
          <w:lang w:val="sk-SK" w:eastAsia="sk-SK" w:bidi="ar-SA"/>
        </w:rPr>
        <w:t>20a</w:t>
      </w: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  <w:lang w:val="sk-SK" w:eastAsia="sk-SK" w:bidi="ar-SA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 xml:space="preserve"> podľa plánu zabezpečenia učebníc zostaveného Ministerstvom školstva, vedy, výskumu a športu Slovenskej republiky (ďalej len „ministerstvo“) a na tvorbu a vydávanie metodických pomôcok,“.</w:t>
      </w:r>
      <w:r/>
    </w:p>
    <w:p>
      <w:pPr>
        <w:pStyle w:val="ListParagraph"/>
        <w:widowControl/>
        <w:ind w:left="284" w:right="0" w:hanging="0"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ind w:left="0" w:right="0" w:hanging="0"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Poznámka pod čiarou k odkazu </w:t>
      </w:r>
      <w:r>
        <w:rPr>
          <w:rFonts w:cs="Times New Roman" w:ascii="Times New Roman" w:hAnsi="Times New Roman"/>
          <w:bCs/>
          <w:sz w:val="24"/>
          <w:szCs w:val="24"/>
          <w:shd w:fill="FFFFFF" w:val="clear"/>
          <w:lang w:val="sk-SK" w:eastAsia="sk-SK" w:bidi="ar-SA"/>
        </w:rPr>
        <w:t>20a</w:t>
      </w: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 xml:space="preserve"> znie: </w:t>
      </w:r>
      <w:r/>
    </w:p>
    <w:p>
      <w:pPr>
        <w:pStyle w:val="ListParagraph"/>
        <w:widowControl/>
        <w:ind w:left="284" w:right="0" w:hanging="0"/>
        <w:jc w:val="both"/>
        <w:textAlignment w:val="auto"/>
      </w:pP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sz w:val="24"/>
          <w:szCs w:val="24"/>
          <w:vertAlign w:val="superscript"/>
          <w:lang w:val="sk-SK" w:eastAsia="sk-SK" w:bidi="ar-SA"/>
        </w:rPr>
        <w:t>20a</w:t>
      </w:r>
      <w:r>
        <w:rPr>
          <w:rFonts w:cs="Times New Roman" w:ascii="Times New Roman" w:hAnsi="Times New Roman"/>
          <w:sz w:val="24"/>
          <w:szCs w:val="24"/>
          <w:lang w:val="sk-SK" w:eastAsia="sk-SK" w:bidi="ar-SA"/>
        </w:rPr>
        <w:t>) § 13 zákona č. 245/2008 Z. z. v znení zákona č. .../2019 Z. z.“.</w:t>
      </w:r>
      <w:r/>
    </w:p>
    <w:p>
      <w:pPr>
        <w:pStyle w:val="ListParagraph"/>
        <w:widowControl/>
        <w:ind w:left="284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284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Poznámka pod čiarou k odkazu 20b) sa vypúšťa.</w:t>
      </w:r>
      <w:r/>
    </w:p>
    <w:p>
      <w:pPr>
        <w:pStyle w:val="ListParagraph"/>
        <w:widowControl/>
        <w:bidi w:val="0"/>
        <w:spacing w:lineRule="auto" w:line="276" w:before="0" w:after="200"/>
        <w:ind w:left="284" w:right="0" w:hanging="0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284" w:right="0" w:hanging="0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2.  V § 4 ods. 6 sa za poslednou bodkou vkladá nová veta, ktorá znie:</w:t>
      </w:r>
      <w:r/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283" w:right="0" w:hanging="283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 xml:space="preserve">„ 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Osobitnou položkou tohto normatívu je normatív na učebnice, učebné texty a pracovné zošity, ktoré ministerstvo poskytuje školám zaradeným do siete škôl a školských zariadení.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val="sk-SK" w:eastAsia="sk-SK" w:bidi="ar-SA"/>
        </w:rPr>
        <w:t>20a</w:t>
      </w: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  <w:lang w:val="sk-SK" w:eastAsia="sk-SK" w:bidi="ar-SA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“.</w:t>
      </w:r>
      <w:r/>
    </w:p>
    <w:p>
      <w:pPr>
        <w:pStyle w:val="ListParagraph"/>
        <w:widowControl/>
        <w:bidi w:val="0"/>
        <w:spacing w:lineRule="auto" w:line="276" w:before="0" w:after="0"/>
        <w:ind w:left="340" w:right="0" w:hanging="340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bidi w:val="0"/>
        <w:spacing w:lineRule="auto" w:line="276" w:before="0" w:after="0"/>
        <w:ind w:left="340" w:right="0" w:hanging="340"/>
        <w:contextualSpacing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 xml:space="preserve">3.  § 4ad vrátane nadpisu znie: </w:t>
      </w:r>
      <w:r/>
    </w:p>
    <w:p>
      <w:pPr>
        <w:pStyle w:val="ListParagraph"/>
        <w:widowControl/>
        <w:numPr>
          <w:ilvl w:val="0"/>
          <w:numId w:val="0"/>
        </w:numPr>
        <w:ind w:left="720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§ 4ad</w:t>
      </w:r>
      <w:r/>
    </w:p>
    <w:p>
      <w:pPr>
        <w:pStyle w:val="ListParagraph"/>
        <w:widowControl/>
        <w:numPr>
          <w:ilvl w:val="0"/>
          <w:numId w:val="0"/>
        </w:numPr>
        <w:ind w:left="720" w:right="0" w:hanging="0"/>
        <w:jc w:val="center"/>
        <w:textAlignment w:val="auto"/>
      </w:pPr>
      <w:r>
        <w:rPr>
          <w:rFonts w:cs="Times New Roman" w:ascii="Times New Roman" w:hAnsi="Times New Roman"/>
          <w:b/>
          <w:sz w:val="24"/>
          <w:szCs w:val="24"/>
          <w:lang w:val="sk-SK" w:eastAsia="sk-SK" w:bidi="ar-SA"/>
        </w:rPr>
        <w:t>Príspevok na učebnice</w:t>
      </w:r>
      <w:r/>
    </w:p>
    <w:p>
      <w:pPr>
        <w:pStyle w:val="ListParagraph"/>
        <w:widowControl/>
        <w:numPr>
          <w:ilvl w:val="0"/>
          <w:numId w:val="0"/>
        </w:numPr>
        <w:ind w:left="720" w:right="0" w:hanging="0"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20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„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Ministerstvo môže v prípadoch osobitného zreteľa na základe odôvodnenej žiadosti zriaďovateľa poskytnúť osobitný finančný príspevok na učebnice, učebné texty a pracovné zošity, prípadne špecifické učebné pomôcky.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val="sk-SK" w:eastAsia="sk-SK" w:bidi="ar-SA"/>
        </w:rPr>
        <w:t>20a</w:t>
      </w: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  <w:lang w:val="sk-SK" w:eastAsia="sk-SK" w:bidi="ar-SA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“.</w:t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lang w:val="sk-SK" w:eastAsia="sk-SK" w:bidi="ar-SA"/>
        </w:rPr>
        <w:t>Poznámka pod čiarou k odkazu 22da) sa vypúšťa.</w:t>
      </w:r>
      <w:r/>
    </w:p>
    <w:p>
      <w:pPr>
        <w:pStyle w:val="ListParagraph"/>
        <w:widowControl/>
        <w:bidi w:val="0"/>
        <w:spacing w:lineRule="auto" w:line="276" w:before="0" w:after="200"/>
        <w:ind w:left="0" w:right="0" w:hanging="0"/>
        <w:contextualSpacing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ListParagraph"/>
        <w:widowControl/>
        <w:numPr>
          <w:ilvl w:val="0"/>
          <w:numId w:val="0"/>
        </w:numPr>
        <w:bidi w:val="0"/>
        <w:spacing w:lineRule="auto" w:line="276" w:before="0" w:after="0"/>
        <w:ind w:left="737" w:right="0" w:hanging="397"/>
        <w:contextualSpacing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Times New Roman"/>
          <w:color w:val="000000"/>
          <w:lang w:val="sk-SK" w:eastAsia="sk-SK" w:bidi="ar-SA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lang w:val="sk-SK" w:eastAsia="sk-SK" w:bidi="ar-SA"/>
        </w:rPr>
      </w:r>
      <w:r/>
    </w:p>
    <w:p>
      <w:pPr>
        <w:pStyle w:val="Default"/>
        <w:widowControl w:val="false"/>
        <w:bidi w:val="0"/>
        <w:ind w:left="0" w:right="0" w:hanging="0"/>
        <w:jc w:val="both"/>
        <w:textAlignment w:val="auto"/>
        <w:rPr>
          <w:sz w:val="24"/>
          <w:sz w:val="24"/>
          <w:szCs w:val="24"/>
          <w:rFonts w:ascii="Liberation Serif" w:hAnsi="Liberation Serif" w:eastAsia="Calibri Light" w:cs="Liberation Serif"/>
          <w:color w:val="000000"/>
          <w:lang w:val="sk-SK" w:eastAsia="sk-SK" w:bidi="hi-IN"/>
        </w:rPr>
      </w:pPr>
      <w:r>
        <w:rPr>
          <w:rFonts w:eastAsia="Calibri Light" w:cs="Liberation Serif"/>
          <w:color w:val="000000"/>
          <w:sz w:val="24"/>
          <w:szCs w:val="24"/>
          <w:lang w:val="sk-SK" w:eastAsia="sk-SK" w:bidi="hi-IN"/>
        </w:rPr>
      </w:r>
      <w:r/>
    </w:p>
    <w:p>
      <w:pPr>
        <w:pStyle w:val="Default"/>
        <w:widowControl w:val="false"/>
        <w:bidi w:val="0"/>
        <w:ind w:left="0" w:right="0" w:hanging="0"/>
        <w:jc w:val="both"/>
        <w:textAlignment w:val="auto"/>
        <w:rPr>
          <w:smallCaps w:val="false"/>
          <w:caps w:val="false"/>
          <w:sz w:val="20"/>
          <w:spacing w:val="0"/>
          <w:i w:val="false"/>
          <w:b w:val="false"/>
          <w:sz w:val="20"/>
          <w:i w:val="false"/>
          <w:b w:val="false"/>
          <w:szCs w:val="24"/>
          <w:rFonts w:ascii="Arial;Verdana;Tahoma;sans-serif" w:hAnsi="Arial;Verdana;Tahoma;sans-serif" w:eastAsia="Calibri Light" w:cs="Liberation Serif"/>
          <w:color w:val="505050"/>
          <w:lang w:val="sk-SK" w:eastAsia="sk-SK" w:bidi="hi-IN"/>
        </w:rPr>
      </w:pPr>
      <w:r>
        <w:rPr>
          <w:rFonts w:eastAsia="Calibri Light" w:cs="Liberation Serif" w:ascii="Arial;Verdana;Tahoma;sans-serif" w:hAnsi="Arial;Verdana;Tahoma;sans-serif"/>
          <w:b w:val="false"/>
          <w:i w:val="false"/>
          <w:caps w:val="false"/>
          <w:smallCaps w:val="false"/>
          <w:color w:val="505050"/>
          <w:spacing w:val="0"/>
          <w:sz w:val="20"/>
          <w:szCs w:val="24"/>
          <w:lang w:val="sk-SK" w:eastAsia="sk-SK" w:bidi="hi-IN"/>
        </w:rPr>
      </w:r>
      <w:r/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III</w:t>
      </w:r>
      <w:r/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Zákon Národnej rady Slovenskej republiky č. </w:t>
      </w:r>
      <w:r>
        <w:rPr>
          <w:rFonts w:eastAsia="Liberation Serif" w:ascii="Times New Roman" w:hAnsi="Times New Roman"/>
          <w:b w:val="false"/>
          <w:color w:val="000000"/>
          <w:sz w:val="24"/>
          <w:lang w:val="sk-SK" w:eastAsia="hi-IN"/>
        </w:rPr>
        <w:t xml:space="preserve">596/2003 Z. z. o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70707"/>
          <w:spacing w:val="0"/>
          <w:sz w:val="24"/>
          <w:lang w:val="sk-SK" w:eastAsia="hi-IN"/>
        </w:rPr>
        <w:t>štátnej správe v školstve a školskej samospráve</w:t>
      </w:r>
      <w:r>
        <w:rPr>
          <w:rFonts w:eastAsia="Liberation Serif" w:ascii="Times New Roman" w:hAnsi="Times New Roman"/>
          <w:b/>
          <w:i w:val="false"/>
          <w:caps w:val="false"/>
          <w:smallCaps w:val="false"/>
          <w:color w:val="070707"/>
          <w:spacing w:val="0"/>
          <w:sz w:val="24"/>
          <w:lang w:val="sk-SK" w:eastAsia="hi-IN"/>
        </w:rPr>
        <w:t xml:space="preserve">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v znení zákona Národnej rady Slovenskej republiky č. </w:t>
      </w:r>
      <w:hyperlink r:id="rId4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365/2004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5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564/2004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6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5/2005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7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475/2005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8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279/2006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9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689/2006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0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245/2008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1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462/2008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2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179/2009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 republiky č. </w:t>
      </w:r>
      <w:hyperlink r:id="rId13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179/2009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4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184/2009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5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214/2009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6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38/2011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 č. </w:t>
      </w:r>
      <w:hyperlink r:id="rId17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325/2012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8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345/2012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19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312/2013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20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464/2013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21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464/2013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22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61/2015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23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61/2015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24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188/2015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 č. </w:t>
      </w:r>
      <w:hyperlink r:id="rId25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422/2015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zákona Národnej rady Slovenskej republiky č. </w:t>
      </w:r>
      <w:hyperlink r:id="rId26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91/2016 Z. z</w:t>
        </w:r>
      </w:hyperlink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.,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zákona Národnej rady Slovenskej republiky  č. 177</w:t>
      </w:r>
      <w:hyperlink r:id="rId27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/2017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, zákona Národnej rady Slovenskej republiky č. 182</w:t>
      </w:r>
      <w:hyperlink r:id="rId28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/2017 Z. z</w:t>
        </w:r>
      </w:hyperlink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.,        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zákona Národnej rady Slovenskej republiky č. 182</w:t>
      </w:r>
      <w:hyperlink r:id="rId29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/2017 Z. z</w:t>
        </w:r>
      </w:hyperlink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.,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zákona Národnej rady Slovenskej republiky č. 54</w:t>
      </w:r>
      <w:hyperlink r:id="rId30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., </w:t>
      </w: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zákona Národnej rady Slovenskej republiky č. 209</w:t>
      </w:r>
      <w:hyperlink r:id="rId31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365</w:t>
      </w:r>
      <w:hyperlink r:id="rId32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365</w:t>
      </w:r>
      <w:hyperlink r:id="rId33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/2018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138</w:t>
      </w:r>
      <w:hyperlink r:id="rId34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/2019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209</w:t>
      </w:r>
      <w:hyperlink r:id="rId35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/2019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., </w:t>
      </w:r>
      <w:r>
        <w:rPr>
          <w:rFonts w:eastAsia="Liberation Serif"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 w:bidi="hi-IN"/>
        </w:rPr>
        <w:t>zákona Národnej rady Slovenskej republiky č. 221</w:t>
      </w:r>
      <w:hyperlink r:id="rId36">
        <w:r>
          <w:rPr>
            <w:rStyle w:val="Internetovodkaz"/>
            <w:rFonts w:eastAsia="Liberation Serif" w:cs="Liberation Serif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 w:color="000000"/>
            <w:effect w:val="none"/>
            <w:lang w:val="zxx" w:eastAsia="zxx"/>
          </w:rPr>
          <w:t>/2019 Z. z</w:t>
        </w:r>
      </w:hyperlink>
      <w:r>
        <w:rPr>
          <w:rFonts w:eastAsia="Liberation Serif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  <w:t xml:space="preserve">. </w:t>
      </w: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sa dopĺňa takto:</w:t>
      </w:r>
      <w:r/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sk-SK" w:eastAsia="hi-IN" w:bidi="ar-SA"/>
        </w:rPr>
        <w:t xml:space="preserve">1.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V § 5 sa ods. 2 sa za písm. h) ruší bodka a nahrádza čiarkou a dopĺňa písmenami i) a j), ktoré znejú:</w:t>
      </w:r>
      <w:r/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both"/>
        <w:textAlignment w:val="auto"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„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i) zriadenie a riadne vedenie finančného učebnicového fondu,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val="sk-SK" w:eastAsia="sk-SK" w:bidi="ar-SA"/>
        </w:rPr>
        <w:t>15a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)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340" w:right="0" w:hanging="227"/>
        <w:jc w:val="both"/>
        <w:textAlignment w:val="auto"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j) zabezpečenie a riadne hospodárenie s fondom obsahujúcim učebnice, učebné texty a    pracovné zošity.“.</w:t>
      </w:r>
      <w:r/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both"/>
        <w:textAlignment w:val="auto"/>
        <w:rPr>
          <w:sz w:val="24"/>
          <w:shd w:fill="FFFFFF" w:val="clear"/>
          <w:sz w:val="24"/>
          <w:szCs w:val="24"/>
          <w:rFonts w:ascii="Times New Roman" w:hAnsi="Times New Roman" w:eastAsia="Times New Roman" w:cs="Times New Roman"/>
          <w:color w:val="000000"/>
          <w:lang w:val="sk-SK" w:eastAsia="sk-SK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</w:r>
      <w:r/>
    </w:p>
    <w:p>
      <w:pPr>
        <w:pStyle w:val="ListParagraph"/>
        <w:widowControl/>
        <w:ind w:left="708" w:right="0" w:hanging="862"/>
        <w:jc w:val="both"/>
        <w:textAlignment w:val="auto"/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 xml:space="preserve">Poznámka pod čiarou k odkazu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sk-SK" w:eastAsia="sk-SK" w:bidi="ar-SA"/>
        </w:rPr>
        <w:t>15a)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 xml:space="preserve"> znie:</w:t>
      </w:r>
      <w:r/>
    </w:p>
    <w:p>
      <w:pPr>
        <w:pStyle w:val="ListParagraph"/>
        <w:widowControl/>
        <w:bidi w:val="0"/>
        <w:spacing w:lineRule="auto" w:line="276" w:before="0" w:after="200"/>
        <w:ind w:left="708" w:right="0" w:hanging="862"/>
        <w:jc w:val="both"/>
        <w:textAlignment w:val="auto"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„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vertAlign w:val="superscript"/>
          <w:lang w:val="sk-SK" w:eastAsia="sk-SK" w:bidi="ar-SA"/>
        </w:rPr>
        <w:t>15a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sk-SK" w:eastAsia="sk-SK" w:bidi="ar-SA"/>
        </w:rPr>
        <w:t>)  § 13 zákona č. 245/2008 Z. z. v znení zákona č. .../2019 Z. z.“.</w:t>
      </w:r>
      <w:r/>
    </w:p>
    <w:p>
      <w:pPr>
        <w:pStyle w:val="ListParagraph"/>
        <w:widowControl/>
        <w:bidi w:val="0"/>
        <w:spacing w:lineRule="auto" w:line="276" w:before="0" w:after="200"/>
        <w:ind w:left="708" w:right="0" w:hanging="862"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708" w:right="0" w:hanging="862"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ListParagraph"/>
        <w:widowControl/>
        <w:bidi w:val="0"/>
        <w:spacing w:lineRule="auto" w:line="276" w:before="0" w:after="200"/>
        <w:ind w:left="708" w:right="0" w:hanging="862"/>
        <w:jc w:val="both"/>
        <w:textAlignment w:val="auto"/>
        <w:rPr>
          <w:sz w:val="22"/>
          <w:sz w:val="22"/>
          <w:szCs w:val="24"/>
          <w:rFonts w:ascii="Calibri" w:hAnsi="Calibri" w:eastAsia="Liberation Serif" w:cs="Liberation Serif"/>
          <w:color w:val="000000"/>
          <w:lang w:val="sk-SK" w:eastAsia="ar-SA" w:bidi="hi-IN"/>
        </w:rPr>
      </w:pPr>
      <w:r>
        <w:rPr>
          <w:rFonts w:eastAsia="Liberation Serif" w:cs="Liberation Serif"/>
          <w:color w:val="000000"/>
          <w:sz w:val="22"/>
          <w:szCs w:val="24"/>
          <w:lang w:val="sk-SK" w:eastAsia="ar-SA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IV</w:t>
      </w:r>
      <w:r/>
    </w:p>
    <w:p>
      <w:pPr>
        <w:pStyle w:val="Normal"/>
        <w:widowControl w:val="false"/>
        <w:bidi w:val="0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cs="Times New Roman" w:ascii="Times New Roman" w:hAnsi="Times New Roman"/>
          <w:color w:val="000000"/>
          <w:sz w:val="24"/>
          <w:szCs w:val="24"/>
          <w:shd w:fill="FFFFFF" w:val="clear"/>
          <w:lang w:val="sk-SK" w:eastAsia="hi-IN" w:bidi="ar-SA"/>
        </w:rPr>
        <w:t>Tento zákon nadobúda účinnosť 1. januára 2020.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Arial">
    <w:altName w:val="Verdana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 w:cs="Liberation Serif"/>
      <w:color w:val="000000"/>
      <w:sz w:val="24"/>
      <w:szCs w:val="24"/>
      <w:lang w:val="sk-SK" w:eastAsia="hi-IN" w:bidi="hi-IN"/>
    </w:rPr>
  </w:style>
  <w:style w:type="paragraph" w:styleId="Nadpis1">
    <w:name w:val="Nadpis 1"/>
    <w:basedOn w:val="Normal"/>
    <w:pPr>
      <w:widowControl w:val="false"/>
      <w:spacing w:lineRule="auto" w:line="276" w:before="0" w:after="200"/>
      <w:ind w:left="138" w:right="0" w:hanging="0"/>
      <w:jc w:val="left"/>
      <w:textAlignment w:val="baseline"/>
    </w:pPr>
    <w:rPr>
      <w:rFonts w:ascii="Times New Roman" w:hAnsi="Times New Roman" w:eastAsia="Liberation Serif"/>
      <w:color w:val="000000"/>
      <w:sz w:val="24"/>
      <w:u w:val="single" w:color="000000"/>
      <w:lang w:val="sk-SK" w:eastAsia="hi-IN"/>
    </w:rPr>
  </w:style>
  <w:style w:type="paragraph" w:styleId="Nadpis3">
    <w:name w:val="Nadpis 3"/>
    <w:basedOn w:val="Nadpis"/>
    <w:pPr>
      <w:keepNext/>
      <w:widowControl w:val="false"/>
      <w:spacing w:lineRule="auto" w:line="276" w:before="240" w:after="120"/>
      <w:ind w:left="0" w:right="0" w:hanging="0"/>
      <w:jc w:val="left"/>
      <w:textAlignment w:val="baseline"/>
    </w:pPr>
    <w:rPr>
      <w:rFonts w:ascii="Liberation Sans" w:hAnsi="Liberation Sans" w:eastAsia="Mangal"/>
      <w:color w:val="000000"/>
      <w:sz w:val="28"/>
      <w:lang w:val="sk-SK" w:eastAsia="hi-IN"/>
    </w:rPr>
  </w:style>
  <w:style w:type="character" w:styleId="DefaultParagraphFont">
    <w:name w:val="Default Paragraph Font"/>
    <w:rPr/>
  </w:style>
  <w:style w:type="character" w:styleId="Nadpis1Char">
    <w:name w:val="Nadpis 1 Char"/>
    <w:basedOn w:val="DefaultParagraphFont"/>
    <w:rPr>
      <w:rFonts w:ascii="Calibri Light" w:hAnsi="Calibri Light" w:eastAsia="Calibri Light"/>
      <w:b/>
      <w:color w:val="000000"/>
      <w:sz w:val="29"/>
      <w:lang w:eastAsia="hi-IN"/>
    </w:rPr>
  </w:style>
  <w:style w:type="character" w:styleId="Internetovfdodkaz">
    <w:name w:val="Internetovýfd odkaz"/>
    <w:basedOn w:val="DefaultParagraphFont"/>
    <w:rPr>
      <w:rFonts w:eastAsia="Times New Roman"/>
      <w:color w:val="0000FF"/>
      <w:u w:val="single" w:color="000000"/>
      <w:lang w:eastAsia="zxx"/>
    </w:rPr>
  </w:style>
  <w:style w:type="character" w:styleId="Appleconvertedspace">
    <w:name w:val="apple-converted-space"/>
    <w:basedOn w:val="DefaultParagraphFont"/>
    <w:rPr>
      <w:rFonts w:eastAsia="Times New Roman"/>
    </w:rPr>
  </w:style>
  <w:style w:type="character" w:styleId="ListLabel1">
    <w:name w:val="ListLabel 1"/>
    <w:rPr>
      <w:rFonts w:eastAsia="Times New Roman"/>
    </w:rPr>
  </w:style>
  <w:style w:type="character" w:styleId="ListLabel2">
    <w:name w:val="ListLabel 2"/>
    <w:rPr>
      <w:rFonts w:eastAsia="Times New Roman"/>
    </w:rPr>
  </w:style>
  <w:style w:type="character" w:styleId="5yl5">
    <w:name w:val="_5yl5"/>
    <w:basedOn w:val="DefaultParagraphFont"/>
    <w:rPr>
      <w:rFonts w:eastAsia="Times New Roman"/>
    </w:rPr>
  </w:style>
  <w:style w:type="character" w:styleId="Premennfd">
    <w:name w:val="Premennýfd"/>
    <w:rPr>
      <w:i/>
    </w:rPr>
  </w:style>
  <w:style w:type="character" w:styleId="TextbublinyChar">
    <w:name w:val="Text bubliny Char"/>
    <w:basedOn w:val="DefaultParagraphFont"/>
    <w:rPr>
      <w:rFonts w:ascii="Segoe UI" w:hAnsi="Segoe UI" w:eastAsia="Mangal"/>
      <w:color w:val="000000"/>
      <w:sz w:val="16"/>
      <w:lang w:eastAsia="hi-IN"/>
    </w:rPr>
  </w:style>
  <w:style w:type="character" w:styleId="Internetovodkaz">
    <w:name w:val="Internetový odkaz"/>
    <w:rPr>
      <w:color w:val="000080"/>
      <w:u w:val="single" w:color="000000"/>
      <w:lang w:val="zxx" w:eastAsia="zxx" w:bidi="zxx"/>
    </w:rPr>
  </w:style>
  <w:style w:type="character" w:styleId="Premenn">
    <w:name w:val="Premenný"/>
    <w:rPr>
      <w:i/>
      <w:iCs/>
    </w:rPr>
  </w:style>
  <w:style w:type="paragraph" w:styleId="Nadpis">
    <w:name w:val="Nadpis"/>
    <w:basedOn w:val="Normal"/>
    <w:next w:val="Telotextu"/>
    <w:pPr>
      <w:keepNext/>
      <w:widowControl w:val="false"/>
      <w:spacing w:lineRule="auto" w:line="276" w:before="240" w:after="120"/>
      <w:ind w:left="0" w:right="0" w:hanging="0"/>
      <w:jc w:val="left"/>
      <w:textAlignment w:val="baseline"/>
    </w:pPr>
    <w:rPr>
      <w:rFonts w:ascii="Liberation Sans" w:hAnsi="Liberation Sans" w:eastAsia="Mangal" w:cs="Mangal"/>
      <w:color w:val="000000"/>
      <w:sz w:val="28"/>
      <w:szCs w:val="28"/>
      <w:lang w:val="sk-SK" w:eastAsia="hi-IN"/>
    </w:rPr>
  </w:style>
  <w:style w:type="paragraph" w:styleId="Telotextu">
    <w:name w:val="Telo textu"/>
    <w:basedOn w:val="Normal"/>
    <w:pPr>
      <w:widowControl w:val="false"/>
      <w:spacing w:lineRule="auto" w:line="288" w:before="0" w:after="14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Zoznam">
    <w:name w:val="Zoznam"/>
    <w:basedOn w:val="Telotextu"/>
    <w:pPr>
      <w:widowControl w:val="false"/>
      <w:spacing w:lineRule="auto" w:line="288" w:before="0" w:after="140"/>
      <w:ind w:left="0" w:right="0" w:hanging="0"/>
      <w:jc w:val="left"/>
      <w:textAlignment w:val="baseline"/>
    </w:pPr>
    <w:rPr>
      <w:rFonts w:ascii="Liberation Serif" w:hAnsi="Liberation Serif" w:eastAsia="Mangal" w:cs="Mangal"/>
      <w:color w:val="000000"/>
      <w:sz w:val="24"/>
      <w:lang w:val="sk-SK" w:eastAsia="hi-IN"/>
    </w:rPr>
  </w:style>
  <w:style w:type="paragraph" w:styleId="Popis">
    <w:name w:val="Popis"/>
    <w:basedOn w:val="Normal"/>
    <w:pPr>
      <w:widowControl w:val="false"/>
      <w:suppressLineNumbers/>
      <w:spacing w:lineRule="auto" w:line="276" w:before="120" w:after="120"/>
      <w:ind w:left="0" w:right="0" w:hanging="0"/>
      <w:jc w:val="left"/>
      <w:textAlignment w:val="baseline"/>
    </w:pPr>
    <w:rPr>
      <w:rFonts w:ascii="Liberation Serif" w:hAnsi="Liberation Serif" w:eastAsia="Mangal" w:cs="Mangal"/>
      <w:i/>
      <w:iCs/>
      <w:color w:val="000000"/>
      <w:sz w:val="24"/>
      <w:szCs w:val="24"/>
      <w:lang w:val="sk-SK" w:eastAsia="hi-IN"/>
    </w:rPr>
  </w:style>
  <w:style w:type="paragraph" w:styleId="Index">
    <w:name w:val="Index"/>
    <w:basedOn w:val="Normal"/>
    <w:pPr>
      <w:widowControl w:val="false"/>
      <w:suppressLineNumbers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Mangal" w:cs="Mangal"/>
      <w:color w:val="000000"/>
      <w:sz w:val="24"/>
      <w:lang w:val="sk-SK" w:eastAsia="hi-IN"/>
    </w:rPr>
  </w:style>
  <w:style w:type="paragraph" w:styleId="Caption">
    <w:name w:val="caption"/>
    <w:basedOn w:val="Normal"/>
    <w:pPr>
      <w:widowControl w:val="false"/>
      <w:spacing w:lineRule="auto" w:line="276" w:before="120" w:after="120"/>
      <w:ind w:left="0" w:right="0" w:hanging="0"/>
      <w:jc w:val="left"/>
      <w:textAlignment w:val="baseline"/>
    </w:pPr>
    <w:rPr>
      <w:rFonts w:ascii="Liberation Serif" w:hAnsi="Liberation Serif" w:eastAsia="Liberation Serif"/>
      <w:i/>
      <w:color w:val="000000"/>
      <w:sz w:val="24"/>
      <w:lang w:val="sk-SK" w:eastAsia="hi-IN"/>
    </w:rPr>
  </w:style>
  <w:style w:type="paragraph" w:styleId="ListParagraph">
    <w:name w:val="List Paragraph"/>
    <w:basedOn w:val="Normal"/>
    <w:pPr>
      <w:widowControl/>
      <w:spacing w:lineRule="auto" w:line="276" w:before="0" w:after="200"/>
      <w:ind w:left="720" w:right="0" w:hanging="0"/>
      <w:contextualSpacing/>
      <w:jc w:val="left"/>
      <w:textAlignment w:val="auto"/>
    </w:pPr>
    <w:rPr>
      <w:rFonts w:ascii="Calibri" w:hAnsi="Calibri" w:eastAsia="Liberation Serif"/>
      <w:color w:val="000000"/>
      <w:sz w:val="22"/>
      <w:lang w:val="sk-SK" w:eastAsia="ar-SA"/>
    </w:rPr>
  </w:style>
  <w:style w:type="paragraph" w:styleId="Obsahtabubeky">
    <w:name w:val="Obsah tabuľbeky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Nadpistabubeky">
    <w:name w:val="Nadpis tabuľbeky"/>
    <w:basedOn w:val="Obsahtabubeky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BalloonText">
    <w:name w:val="Balloon Text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Segoe UI" w:hAnsi="Segoe UI" w:eastAsia="Liberation Serif"/>
      <w:color w:val="000000"/>
      <w:sz w:val="18"/>
      <w:lang w:val="sk-SK" w:eastAsia="hi-IN"/>
    </w:rPr>
  </w:style>
  <w:style w:type="paragraph" w:styleId="Obsahtabuky">
    <w:name w:val="Obsah tabuľky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Nadpistabuky">
    <w:name w:val="Nadpis tabuľky"/>
    <w:basedOn w:val="Obsahtabuky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Default">
    <w:name w:val="Default"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Liberation Serif" w:hAnsi="Liberation Serif" w:eastAsia="Calibri Light" w:cs="Liberation Serif"/>
      <w:color w:val="000000"/>
      <w:sz w:val="24"/>
      <w:szCs w:val="24"/>
      <w:lang w:val="sk-SK" w:eastAsia="sk-SK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onypreludi.sk/zz/2016-91" TargetMode="External"/><Relationship Id="rId3" Type="http://schemas.openxmlformats.org/officeDocument/2006/relationships/hyperlink" Target="http://www.zakonypreludi.sk/zz/2016-91" TargetMode="External"/><Relationship Id="rId4" Type="http://schemas.openxmlformats.org/officeDocument/2006/relationships/hyperlink" Target="http://www.zakonypreludi.sk/zz/2004-365" TargetMode="External"/><Relationship Id="rId5" Type="http://schemas.openxmlformats.org/officeDocument/2006/relationships/hyperlink" Target="http://www.zakonypreludi.sk/zz/2004-564" TargetMode="External"/><Relationship Id="rId6" Type="http://schemas.openxmlformats.org/officeDocument/2006/relationships/hyperlink" Target="http://www.zakonypreludi.sk/zz/2005-5" TargetMode="External"/><Relationship Id="rId7" Type="http://schemas.openxmlformats.org/officeDocument/2006/relationships/hyperlink" Target="http://www.zakonypreludi.sk/zz/2005-475" TargetMode="External"/><Relationship Id="rId8" Type="http://schemas.openxmlformats.org/officeDocument/2006/relationships/hyperlink" Target="http://www.zakonypreludi.sk/zz/2006-279" TargetMode="External"/><Relationship Id="rId9" Type="http://schemas.openxmlformats.org/officeDocument/2006/relationships/hyperlink" Target="http://www.zakonypreludi.sk/zz/2006-689" TargetMode="External"/><Relationship Id="rId10" Type="http://schemas.openxmlformats.org/officeDocument/2006/relationships/hyperlink" Target="http://www.zakonypreludi.sk/zz/2008-245" TargetMode="External"/><Relationship Id="rId11" Type="http://schemas.openxmlformats.org/officeDocument/2006/relationships/hyperlink" Target="http://www.zakonypreludi.sk/zz/2008-462" TargetMode="External"/><Relationship Id="rId12" Type="http://schemas.openxmlformats.org/officeDocument/2006/relationships/hyperlink" Target="http://www.zakonypreludi.sk/zz/2009-179" TargetMode="External"/><Relationship Id="rId13" Type="http://schemas.openxmlformats.org/officeDocument/2006/relationships/hyperlink" Target="http://www.zakonypreludi.sk/zz/2009-179" TargetMode="External"/><Relationship Id="rId14" Type="http://schemas.openxmlformats.org/officeDocument/2006/relationships/hyperlink" Target="http://www.zakonypreludi.sk/zz/2009-184" TargetMode="External"/><Relationship Id="rId15" Type="http://schemas.openxmlformats.org/officeDocument/2006/relationships/hyperlink" Target="http://www.zakonypreludi.sk/zz/2009-214" TargetMode="External"/><Relationship Id="rId16" Type="http://schemas.openxmlformats.org/officeDocument/2006/relationships/hyperlink" Target="http://www.zakonypreludi.sk/zz/2011-38" TargetMode="External"/><Relationship Id="rId17" Type="http://schemas.openxmlformats.org/officeDocument/2006/relationships/hyperlink" Target="http://www.zakonypreludi.sk/zz/2012-325" TargetMode="External"/><Relationship Id="rId18" Type="http://schemas.openxmlformats.org/officeDocument/2006/relationships/hyperlink" Target="http://www.zakonypreludi.sk/zz/2012-345" TargetMode="External"/><Relationship Id="rId19" Type="http://schemas.openxmlformats.org/officeDocument/2006/relationships/hyperlink" Target="http://www.zakonypreludi.sk/zz/2013-312" TargetMode="External"/><Relationship Id="rId20" Type="http://schemas.openxmlformats.org/officeDocument/2006/relationships/hyperlink" Target="http://www.zakonypreludi.sk/zz/2013-464" TargetMode="External"/><Relationship Id="rId21" Type="http://schemas.openxmlformats.org/officeDocument/2006/relationships/hyperlink" Target="http://www.zakonypreludi.sk/zz/2013-464" TargetMode="External"/><Relationship Id="rId22" Type="http://schemas.openxmlformats.org/officeDocument/2006/relationships/hyperlink" Target="http://www.zakonypreludi.sk/zz/2015-61" TargetMode="External"/><Relationship Id="rId23" Type="http://schemas.openxmlformats.org/officeDocument/2006/relationships/hyperlink" Target="http://www.zakonypreludi.sk/zz/2015-61" TargetMode="External"/><Relationship Id="rId24" Type="http://schemas.openxmlformats.org/officeDocument/2006/relationships/hyperlink" Target="http://www.zakonypreludi.sk/zz/2015-188" TargetMode="External"/><Relationship Id="rId25" Type="http://schemas.openxmlformats.org/officeDocument/2006/relationships/hyperlink" Target="http://www.zakonypreludi.sk/zz/2015-422" TargetMode="External"/><Relationship Id="rId26" Type="http://schemas.openxmlformats.org/officeDocument/2006/relationships/hyperlink" Target="http://www.zakonypreludi.sk/zz/2016-91" TargetMode="External"/><Relationship Id="rId27" Type="http://schemas.openxmlformats.org/officeDocument/2006/relationships/hyperlink" Target="http://www.zakonypreludi.sk/zz/2015-422" TargetMode="External"/><Relationship Id="rId28" Type="http://schemas.openxmlformats.org/officeDocument/2006/relationships/hyperlink" Target="http://www.zakonypreludi.sk/zz/2016-91" TargetMode="External"/><Relationship Id="rId29" Type="http://schemas.openxmlformats.org/officeDocument/2006/relationships/hyperlink" Target="http://www.zakonypreludi.sk/zz/2016-91" TargetMode="External"/><Relationship Id="rId30" Type="http://schemas.openxmlformats.org/officeDocument/2006/relationships/hyperlink" Target="http://www.zakonypreludi.sk/zz/2016-91" TargetMode="External"/><Relationship Id="rId31" Type="http://schemas.openxmlformats.org/officeDocument/2006/relationships/hyperlink" Target="http://www.zakonypreludi.sk/zz/2016-91" TargetMode="External"/><Relationship Id="rId32" Type="http://schemas.openxmlformats.org/officeDocument/2006/relationships/hyperlink" Target="http://www.zakonypreludi.sk/zz/2016-91" TargetMode="External"/><Relationship Id="rId33" Type="http://schemas.openxmlformats.org/officeDocument/2006/relationships/hyperlink" Target="http://www.zakonypreludi.sk/zz/2016-91" TargetMode="External"/><Relationship Id="rId34" Type="http://schemas.openxmlformats.org/officeDocument/2006/relationships/hyperlink" Target="http://www.zakonypreludi.sk/zz/2016-91" TargetMode="External"/><Relationship Id="rId35" Type="http://schemas.openxmlformats.org/officeDocument/2006/relationships/hyperlink" Target="http://www.zakonypreludi.sk/zz/2016-91" TargetMode="External"/><Relationship Id="rId36" Type="http://schemas.openxmlformats.org/officeDocument/2006/relationships/hyperlink" Target="http://www.zakonypreludi.sk/zz/2016-91" TargetMode="External"/><Relationship Id="rId37" Type="http://schemas.openxmlformats.org/officeDocument/2006/relationships/numbering" Target="numbering.xml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12952</TotalTime>
  <Application>LibreOffice/4.3.5.2$Windows_x86 LibreOffice_project/3a87456aaa6a95c63eea1c1b3201acedf0751bd5</Application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2016-10-26T10:10:00Z</dcterms:created>
  <dc:creator>PC</dc:creator>
  <dc:language>sk-SK</dc:language>
  <cp:lastPrinted>2016-10-26T09:24:00Z</cp:lastPrinted>
  <dcterms:modified xsi:type="dcterms:W3CDTF">2019-08-21T09:13:59Z</dcterms:modified>
  <cp:revision>9</cp:revision>
</cp:coreProperties>
</file>