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66" w:rsidRPr="004E1E66" w:rsidRDefault="00216217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RDefault="00216217" w:rsidP="004E1E6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RDefault="00216217" w:rsidP="004E1E66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7" type="#_x0000_t32" style="position:absolute;left:0;text-align:left;margin-left:-.35pt;margin-top:2.75pt;width:455pt;height:0;z-index:1;visibility:visible;mso-wrap-distance-top:0;mso-wrap-distance-bottom:0"/>
        </w:pic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Kotleba – Ľudová strana Naše Slovensko Marian Kotleba,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Rastislav Schlosár, Milan Mazurek, Stanislav Drobný a Ján Kecskés predkladajú do Národnej rady Slovenskej republiky návrh zákona, ktorým sa mení a dopĺňa zákon č. 220/2004 Z. z.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o ochrane a využívaní poľnohospodárskej pôdy a o zmene zákona č. </w:t>
      </w:r>
      <w:hyperlink r:id="rId5" w:tooltip="Odkaz na predpis alebo ustanovenie" w:history="1">
        <w:r w:rsidRPr="00F777A5">
          <w:rPr>
            <w:rStyle w:val="Hypertextovprepojenie"/>
            <w:rFonts w:ascii="Book Antiqua" w:hAnsi="Book Antiqua" w:cs="Arial"/>
            <w:color w:val="000000"/>
            <w:kern w:val="0"/>
            <w:sz w:val="22"/>
            <w:szCs w:val="22"/>
            <w:u w:val="none"/>
            <w:lang w:bidi="ar-SA"/>
          </w:rPr>
          <w:t>245/2003 Z. z.</w:t>
        </w:r>
      </w:hyperlink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integrovanej prevencii a kontrole znečisťovania životného prostredia a o zmene a doplnení niektorých zákonov v znení neskorších predpisov a ktorým sa mení a dopĺňa zákon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č. 171/1993 Z. z. o Policajnom zbo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re v znení neskorších predpisov.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Vlastnícke právo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právo vlastniť majetok je v intenciách moderných dejín proklamované ako základné ľudské právo.  Toto základné a nescudziteľné ľudské právo je obsiahnuté v mnohých medzinárodných dokumentoch, rovnako je zakotvené priamo v Ústave Slovenskej republiky, a t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v druhej hlave, v článku 20, ktorý stanovuje nasledovné:  „Každý má právo vlastniť majetok. Vlastnícke právo všetkých vlastníkov má rovnaký zákonný obsah a ochranu. Majetok nadobudnutý v rozpore s právnym poriadkom ochranu nepožíva.“ 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Odvolávajúc sa na j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udikatúru EĽSP Ústavný súd SR uviedol, že každý zásah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 práva na pokojné užívanie majetku musí byť sprevádzaný procedurálnymi garanciami umožňujúcimi jednotlivcom rozumnú možnosť predložiť ich vec pred orgán verejnej moci pre účely efektívneho domáhania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sa preskúmania zásahu (Hentrich v. France, sťažnosť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č. 13616/88, rozsudok z 22. septembra 1994, bod 40 a nasl.).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Napriek tomu, že právny poriadok Slovenskej republiky priznáva právo svoj majetok držať, užívať a požívať jeho plody a úžitky, právo vecou dis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ponovať a rovnako tak právo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ochranu proti akémukoľvek neoprávnenému zásahu do jeho vlastníckej práva, v mnohých prípadoch tieto ústavné práva nie sú rešpektované. Aj napriek existencii vlastníckych práv občanov Slovenskej republiky k pozemkom pod neleg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álne postavenými čiernymi stavbami, nemajú ich majitelia dodnes možnosť svoj majetok držať, užívať, požívať jeho plody a úžitky a týmto vlastníkom je takisto mnohokrát odopreté právo na ochranu proti neoprávnenému zásahu do ich vlastníckych práv. 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Netreba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zabúdať na to, že majiteľom pozemkov vyplýva z právneho poriadku Slovenskej republiky ďalší rád povinností. Zo zákona č. 582/2004 Z. z. o miestnych daniach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miestnom poplatku za komunálne odpady a drobné stavebné odpady vyplýva vlastníkovi povinnosť plat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iť pravidelne miestnu daň z nehnuteľností. Ďalej zo zákona vyplýva, že ten, kto má v obci trvalý alebo prechodný pobyt, alebo užíva nehnuteľnosť, je povinný platiť miestny poplatok za komunálne odpady a drobné stavebné odpady. Vlastník pozemku je navyše za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svoju nehnuteľnosť zodpovedný, to znamená, že v prípade ohrozenia ľudského života, zdravia, či majetku iných by si poškodená osoba mohla voči vlastníkovi uplatniť nárok na náhradu spôsobenej škody. Do úvahy prichádza aj vyvodenie trestnoprávnej zodpovedno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sti voči vlastníkovi nehnuteľnosti. 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lastRenderedPageBreak/>
        <w:t>Prípadov, kedy je občanom Slovenskej republiky odopretý výkon svojho práva vlastniť majetok, je mnoho. Jedná sa najmä o regióny, v ktorých je zastúpenie asociálnej časti obyvateľov najvyššie. Disproporčne vysoká pôrodno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sť asociálov v porovnaní so slušným obyvateľstvom indikuje predpoklad neustáleho sa rozširovania osád na ďalšie pozemky, a teda vznik podobných problémov s vymožiteľnosťou vlastníckeho práva majiteľov ďalších, takto okupovaných parciel.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Postup štátnych org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ánov jasne v prípade ochrany vlastníkov pozemkov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pod nelegálnymi stavbami poukazuje  na nedostatočnú legislatívnu oporu, ktorú majitelia pozemkov, okupovaných asociálmi v snahe o pokojný a bezpečný výkon svojich vlastníckych práv potrebujú. Súčasná legisl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atíva totiž v praxi neumožňuje majiteľom pozemkov odstrániť zo svojich parciel čierne stavby, ktoré stoja najčastejšie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poľnohospodárskej pôde, a zosúladiť tak tieto pozemky s ich evidenciou na katastri nehnuteľností. Aj napriek tomu, že majitelia za ti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eto pozemky musia platiť dane, nemôžu využívať svoje ústavné práva iba preto, že si asociáli postavili svoje čierne stavby na ich pozemkoch.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mnohých obciach východného a stredného Slovenska už dnes asociáli tvoria väčšinu obyvateľstva, čo z nich v komuná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lnych voľbách robí najdôležitejšiu voličskú skupinu. Starostovia, vedení obavami zo straty potenciálnych voličských hlasov tak častokrát nepovoľujú takéto likvidácie čiernych stavieb a majitelia pozemkov nemajú reálne možnosti ako sa domôcť svojich vlastní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ckych práv. V horšom prípade dokonca starosta pochádza práve z radov asociálnych obyvateľov obce a koná úmyselne proti majiteľom takýchto pozemkov, v prospech ostatných asociálov.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napriek tomu, že vláda v minulom volebnom období prijala novelu stavebnéh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zákona, ktorá mala vyriešiť problém s čiernymi stavbami, v skutočnosti sa situácia opäť iba zhoršila. Od uvedenia novely do platnosti sa počet nelegálnych osád asociálov a protiprávne okupovaných parciel iba zvýšil. 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predkladanom zákone proti čiernym s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tavbám preto zavádzame povinnosť Policajného zboru Slovenskej republiky poskytnúť efektívnu súčinnosť vlastníkovi pozemku pri odstraňovaní nelegálnej stavby v rámci plnenia jeho zákonnej povinnosti „usporiadať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a zosúladiť poľnohospodársky druh pozemku s j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eho evidenciou v katastri“, ak o to Policajný zbor vopred písomne požiada. Odstraňovanie nelegálnych stavieb na pozemkoch nachádzajúcich sa pod osadami asociálnych obyvateľov totiž častokrát súvisí s ohrozením zdravia alebo života majiteľov takýchto parcie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l. Mnohé prípady ukázali, že snaha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o zosúladenie vecného stavu pozemkov s údajmi zapísanými v katastri nehnuteľností vyvoláva u asociálov agresívne správanie, vyhrážanie sa a fyzické útoky. Policajný zbor teda v rámci svojej asistencie zabezpečí pokojný p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riebeh takejto likvidácie a zamedzí možným trestným činom asociálov v snahe o zabránenie odstránenia nelegálnej stavby alebo stavieb.</w:t>
      </w:r>
    </w:p>
    <w:p w:rsid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Sme presvedčení, že aplikácia nami predkladaného zákona proti čiernym stavbám pomôže zabezpečiť lepšiu ochranu ústavných p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ráv občanov Slovenskej republiky, 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ako aj úroveň vymožiteľnosti práva a navrátenie princípov právneho štátu v otázkach nelegálnych stavieb budovaných aj asociálnymi obyvateľmi.</w:t>
      </w:r>
    </w:p>
    <w:p w:rsidR="00F777A5" w:rsidRPr="00F777A5" w:rsidRDefault="00216217" w:rsidP="00F777A5">
      <w:pPr>
        <w:widowControl/>
        <w:autoSpaceDE/>
        <w:autoSpaceDN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lastRenderedPageBreak/>
        <w:t>Zákon rovnako pomôže zmierňovať sociálne napätie medzi majoritným slušným obyva</w:t>
      </w:r>
      <w:r w:rsidRPr="00F777A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teľstvom a asociálmi, vychádzajúce z nerovnakého prístupu štátnych orgánov k zákonným povinnostiam asociálnej časti obyvateľstva. </w:t>
      </w:r>
    </w:p>
    <w:p w:rsidR="00DA4347" w:rsidRDefault="00DA4347" w:rsidP="00F777A5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RDefault="00E50D50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RDefault="00E50D50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RDefault="00E50D50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RDefault="00E50D50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E50D50" w:rsidRDefault="00E50D50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RDefault="0079246A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RDefault="0079246A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79246A" w:rsidRDefault="0079246A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F777A5" w:rsidRDefault="00F777A5" w:rsidP="00DA4347">
      <w:pPr>
        <w:widowControl/>
        <w:autoSpaceDE/>
        <w:autoSpaceDN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:rsidR="009F6924" w:rsidRPr="009F6924" w:rsidRDefault="00216217" w:rsidP="009F692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:rsidR="009F6924" w:rsidRPr="009F6924" w:rsidRDefault="00216217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w:pict>
          <v:shape id="Rovná spojovacia šípka 1" o:spid="_x0000_s1026" type="#_x0000_t32" style="position:absolute;left:0;text-align:left;margin-left:-.35pt;margin-top:2.75pt;width:455pt;height:0;z-index:2;visibility:visible;mso-wrap-distance-top:0;mso-wrap-distance-bottom:0"/>
        </w:pict>
      </w:r>
    </w:p>
    <w:p w:rsidR="009F6924" w:rsidRPr="009F6924" w:rsidRDefault="00216217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AD31D6" w:rsidRPr="009F6924" w:rsidRDefault="00216217" w:rsidP="00AD31D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</w:p>
    <w:p w:rsidR="000B7620" w:rsidRDefault="00216217" w:rsidP="000B762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Vlastník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poľnohospodárskeho pozemku, spoluvlastník alebo spoluvlastníci nadpolovičného podielu 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poľnohospodárskeho pozemku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užívateľ (nájomca alebo správca) 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poľnohospodárskeho pozemku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bud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môcť požiadať Policajný zbor Slovenskej republiky o poskytnutie súčinnosti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pri plnení zákonnej povinnosti 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usporiadať a zosúladiť poľnohospodársky druh pozemku s jeho evidenciou v katastri.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0B7620" w:rsidRDefault="00216217" w:rsidP="000B762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Podmienkou je, že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oprávnená osoba alebo osoby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pod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ajú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žiadosť písomne,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najneskôr 15 dní pred dňom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plnenia tejto povinnosti a neodstránia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aleb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nepoškodia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pritom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inžinierske stav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y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(napr. cesty, plynovody, rozvody elektriny)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okrem reklamných stavieb a skládok odpadu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0B7620" w:rsidRDefault="00216217" w:rsidP="0079246A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Súčinnosť bude Policajný zbor poskytovať povinne, a to predovšetkým vo forme ochr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any osôb, ktoré budú vykonávať plnenie uvedenej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povinnosti na samotnej poľnohospodárskej pôde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 w:rsidR="000044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rámci poskytnutia súčinnosti bude Policajný zbor taktiež povinný pomáhať oprávneným osobám, napríklad vlastníkom poľnohospodárskych pozemkov, pri vysťahovaní osôb zo stavieb, ktoré budú títo vlastníci odstraňovať.</w:t>
      </w:r>
      <w:r w:rsidR="0079246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9246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Súčinnosť Policajného zboru bude musieť byť efektívna, t. j. Policajný zbor bude musieť vyčleniť dostatočný počet síl a prostriedkov s ohľadom </w:t>
      </w:r>
      <w:r w:rsidR="0000446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daný prípad</w:t>
      </w:r>
      <w:r w:rsidRPr="000B762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58516D" w:rsidRPr="0079246A" w:rsidRDefault="0058516D" w:rsidP="000B762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:rsidR="00AD31D6" w:rsidRPr="004D16A0" w:rsidRDefault="00E50D50" w:rsidP="00AD31D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9F6924" w:rsidRDefault="00216217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 a 2</w:t>
      </w:r>
    </w:p>
    <w:p w:rsidR="009F6924" w:rsidRPr="009F6924" w:rsidRDefault="00AC1E33" w:rsidP="000C5A48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nová 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úloha Policajného zboru Slovenskej republiky –</w:t>
      </w:r>
      <w:r w:rsidR="000C5A48" w:rsidRPr="000C5A48">
        <w:rPr>
          <w:rFonts w:ascii="Book Antiqua" w:hAnsi="Book Antiqua"/>
          <w:color w:val="000000"/>
          <w:kern w:val="0"/>
          <w:sz w:val="22"/>
          <w:szCs w:val="22"/>
          <w:lang w:eastAsia="en-US" w:bidi="ar-SA"/>
        </w:rPr>
        <w:t xml:space="preserve"> 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poskytovať </w:t>
      </w:r>
      <w:r w:rsidR="000C5A48" w:rsidRP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38220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efektívnu </w:t>
      </w:r>
      <w:r w:rsidR="000C5A48" w:rsidRP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súčinnosť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pri </w:t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usporiadaní a zosúladení poľnohospodárskeho druhu pozemku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 jeho evidenciou v katastri podľa osobitného predpisu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t. j. </w:t>
      </w:r>
      <w:r w:rsidR="000C5A48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podľa </w:t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zákona č. 220/2004 Z. z.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ochrane a využívaní poľnohospodárskej pôdy a o zmene zákona č. </w:t>
      </w:r>
      <w:hyperlink r:id="rId6" w:tooltip="Odkaz na predpis alebo ustanovenie" w:history="1">
        <w:r w:rsidR="00E50D50" w:rsidRPr="00E50D50">
          <w:rPr>
            <w:rStyle w:val="Hypertextovprepojenie"/>
            <w:rFonts w:ascii="Book Antiqua" w:hAnsi="Book Antiqua" w:cs="Arial"/>
            <w:color w:val="000000"/>
            <w:kern w:val="0"/>
            <w:sz w:val="22"/>
            <w:szCs w:val="22"/>
            <w:u w:val="none"/>
            <w:lang w:bidi="ar-SA"/>
          </w:rPr>
          <w:t>245/2003 Z. z.</w:t>
        </w:r>
      </w:hyperlink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 integrovanej prevencii a kontrole znečisťovania životného prostredia a o zmene a doplnení niektorých zákonov v znení neskorších predpisov</w:t>
      </w:r>
      <w:r w:rsidR="000C5A48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 </w:t>
      </w:r>
    </w:p>
    <w:p w:rsidR="009F6924" w:rsidRPr="009F6924" w:rsidRDefault="00216217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C5A4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:rsidR="000C5A48" w:rsidRDefault="0038220C" w:rsidP="000C5A48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Efektívna s</w:t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účinnosť Policajného zboru </w:t>
      </w:r>
      <w:r w:rsidR="00216217" w:rsidRP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Slovenskej republiky </w:t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pri </w:t>
      </w:r>
      <w:r w:rsidR="00E50D50" w:rsidRP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usporiadaní a zosúladení poľnohospodárskeho druhu pozemku s jeho evidenciou v katastri</w:t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sa navrhuje explicitne upraviť aj v šiestej hlave zákon</w:t>
      </w:r>
      <w:r w:rsidR="00F3108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 o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Policajnom zbore s názvom: </w:t>
      </w:r>
      <w:r w:rsidR="00E50D5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„V</w:t>
      </w:r>
      <w:r w:rsidR="00216217" w:rsidRP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zťahy policajného zboru k štátnym orgánom, obciam, právnickým osobám a fyzickým osobám a k</w:t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="00216217" w:rsidRPr="000C5A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zahraničiu</w:t>
      </w:r>
      <w:r w:rsidR="0021621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.“</w:t>
      </w:r>
    </w:p>
    <w:p w:rsidR="0079246A" w:rsidRPr="0079246A" w:rsidRDefault="0079246A" w:rsidP="000C5A48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:rsidR="009F6924" w:rsidRPr="009F6924" w:rsidRDefault="00AD31D6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Čl. </w:t>
      </w:r>
      <w:r w:rsidR="00E50D5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III</w:t>
      </w:r>
    </w:p>
    <w:p w:rsidR="009F6924" w:rsidRPr="00E84888" w:rsidRDefault="00216217" w:rsidP="00E84888">
      <w:pPr>
        <w:autoSpaceDN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="00013ABE">
        <w:rPr>
          <w:rFonts w:ascii="Book Antiqua" w:hAnsi="Book Antiqua" w:cs="Arial"/>
          <w:color w:val="000000"/>
          <w:kern w:val="1"/>
          <w:sz w:val="22"/>
          <w:szCs w:val="22"/>
        </w:rPr>
        <w:t xml:space="preserve">dňa </w:t>
      </w:r>
      <w:r w:rsidR="00013ABE">
        <w:rPr>
          <w:rFonts w:ascii="Book Antiqua" w:hAnsi="Book Antiqua" w:cs="Liberation Serif"/>
          <w:color w:val="000000"/>
          <w:kern w:val="1"/>
          <w:sz w:val="22"/>
        </w:rPr>
        <w:t xml:space="preserve">1. </w:t>
      </w:r>
      <w:r>
        <w:rPr>
          <w:rFonts w:ascii="Book Antiqua" w:hAnsi="Book Antiqua" w:cs="Liberation Serif"/>
          <w:color w:val="000000"/>
          <w:kern w:val="1"/>
          <w:sz w:val="22"/>
        </w:rPr>
        <w:t>decembra</w:t>
      </w:r>
      <w:r w:rsidR="000C5A48">
        <w:rPr>
          <w:rFonts w:ascii="Book Antiqua" w:hAnsi="Book Antiqua" w:cs="Liberation Serif"/>
          <w:color w:val="000000"/>
          <w:kern w:val="1"/>
          <w:sz w:val="22"/>
        </w:rPr>
        <w:t xml:space="preserve"> </w:t>
      </w:r>
      <w:r w:rsidR="00E84888">
        <w:rPr>
          <w:rFonts w:ascii="Book Antiqua" w:hAnsi="Book Antiqua" w:cs="Liberation Serif"/>
          <w:color w:val="000000"/>
          <w:kern w:val="1"/>
          <w:sz w:val="22"/>
        </w:rPr>
        <w:t>201</w:t>
      </w:r>
      <w:r>
        <w:rPr>
          <w:rFonts w:ascii="Book Antiqua" w:hAnsi="Book Antiqua" w:cs="Liberation Serif"/>
          <w:color w:val="000000"/>
          <w:kern w:val="1"/>
          <w:sz w:val="22"/>
        </w:rPr>
        <w:t>9</w:t>
      </w:r>
      <w:bookmarkStart w:id="0" w:name="_GoBack"/>
      <w:bookmarkEnd w:id="0"/>
      <w:r w:rsidR="00E84888">
        <w:rPr>
          <w:rFonts w:ascii="Book Antiqua" w:hAnsi="Book Antiqua" w:cs="Liberation Serif"/>
          <w:color w:val="000000"/>
          <w:kern w:val="1"/>
          <w:sz w:val="22"/>
        </w:rPr>
        <w:t>.</w:t>
      </w:r>
    </w:p>
    <w:sectPr w:rsidR="009F6924" w:rsidRPr="00E84888" w:rsidSect="0079246A">
      <w:type w:val="continuous"/>
      <w:pgSz w:w="11906" w:h="16838"/>
      <w:pgMar w:top="1276" w:right="1417" w:bottom="1134" w:left="1417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  <w:sig w:usb0="00000000" w:usb1="00000000" w:usb2="00000000" w:usb3="00000000" w:csb0="80000000" w:csb1="00000000"/>
  </w:font>
  <w:font w:name="Symbol, 'Times New Roman'">
    <w:charset w:val="02"/>
    <w:family w:val="roman"/>
    <w:pitch w:val="variable"/>
    <w:sig w:usb0="00000000" w:usb1="0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A8D"/>
    <w:multiLevelType w:val="hybridMultilevel"/>
    <w:tmpl w:val="7F3809D4"/>
    <w:lvl w:ilvl="0" w:tplc="41E09A9A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 w:tplc="95C4FB4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DD8FD0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B4ACF4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163EBBD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02A63A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882B90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51882F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83F0052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473C0834"/>
    <w:multiLevelType w:val="hybridMultilevel"/>
    <w:tmpl w:val="9F1CA23C"/>
    <w:lvl w:ilvl="0" w:tplc="AFF01E18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E6223AA4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F954CF46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4844A542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6F62EE0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8DC0721C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1DF49CEC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85A47F28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AAD2B0E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53D"/>
    <w:rsid w:val="00004465"/>
    <w:rsid w:val="0001147F"/>
    <w:rsid w:val="00013ABE"/>
    <w:rsid w:val="00025F0A"/>
    <w:rsid w:val="000343DA"/>
    <w:rsid w:val="000470E8"/>
    <w:rsid w:val="00054558"/>
    <w:rsid w:val="00075798"/>
    <w:rsid w:val="000B7620"/>
    <w:rsid w:val="000C5A48"/>
    <w:rsid w:val="000E26FA"/>
    <w:rsid w:val="001916A7"/>
    <w:rsid w:val="001C442D"/>
    <w:rsid w:val="001E6479"/>
    <w:rsid w:val="00216217"/>
    <w:rsid w:val="002163D3"/>
    <w:rsid w:val="00261987"/>
    <w:rsid w:val="00297050"/>
    <w:rsid w:val="002E3CB8"/>
    <w:rsid w:val="0032735E"/>
    <w:rsid w:val="003506A2"/>
    <w:rsid w:val="0038220C"/>
    <w:rsid w:val="003C4853"/>
    <w:rsid w:val="003F2C29"/>
    <w:rsid w:val="00401CEF"/>
    <w:rsid w:val="00403429"/>
    <w:rsid w:val="00445805"/>
    <w:rsid w:val="00470E08"/>
    <w:rsid w:val="004C7C57"/>
    <w:rsid w:val="004D16A0"/>
    <w:rsid w:val="004E1E66"/>
    <w:rsid w:val="005469A9"/>
    <w:rsid w:val="0058516D"/>
    <w:rsid w:val="006329D9"/>
    <w:rsid w:val="006C15F7"/>
    <w:rsid w:val="007374A8"/>
    <w:rsid w:val="00755E04"/>
    <w:rsid w:val="00784B25"/>
    <w:rsid w:val="0079246A"/>
    <w:rsid w:val="007B25B8"/>
    <w:rsid w:val="007E1102"/>
    <w:rsid w:val="00854118"/>
    <w:rsid w:val="00880065"/>
    <w:rsid w:val="008D50B9"/>
    <w:rsid w:val="008E3E0E"/>
    <w:rsid w:val="00915C38"/>
    <w:rsid w:val="009532D4"/>
    <w:rsid w:val="009C1FB6"/>
    <w:rsid w:val="009F6924"/>
    <w:rsid w:val="00A3277D"/>
    <w:rsid w:val="00A6220D"/>
    <w:rsid w:val="00AA3D59"/>
    <w:rsid w:val="00AC1E33"/>
    <w:rsid w:val="00AC4D1E"/>
    <w:rsid w:val="00AD31D6"/>
    <w:rsid w:val="00AE6541"/>
    <w:rsid w:val="00B52ABA"/>
    <w:rsid w:val="00B553D2"/>
    <w:rsid w:val="00B809EF"/>
    <w:rsid w:val="00C07276"/>
    <w:rsid w:val="00C176E4"/>
    <w:rsid w:val="00C63173"/>
    <w:rsid w:val="00C63DA0"/>
    <w:rsid w:val="00CA3BF2"/>
    <w:rsid w:val="00CB653D"/>
    <w:rsid w:val="00CF1C12"/>
    <w:rsid w:val="00CF3A95"/>
    <w:rsid w:val="00D2694F"/>
    <w:rsid w:val="00D3056C"/>
    <w:rsid w:val="00D458E1"/>
    <w:rsid w:val="00D46245"/>
    <w:rsid w:val="00D87946"/>
    <w:rsid w:val="00DA4347"/>
    <w:rsid w:val="00DB39CF"/>
    <w:rsid w:val="00DF27CF"/>
    <w:rsid w:val="00E10995"/>
    <w:rsid w:val="00E13DF0"/>
    <w:rsid w:val="00E50D50"/>
    <w:rsid w:val="00E55F5E"/>
    <w:rsid w:val="00E81AD7"/>
    <w:rsid w:val="00E84888"/>
    <w:rsid w:val="00ED6347"/>
    <w:rsid w:val="00EE702A"/>
    <w:rsid w:val="00EE74AB"/>
    <w:rsid w:val="00EF2548"/>
    <w:rsid w:val="00F31084"/>
    <w:rsid w:val="00F55A58"/>
    <w:rsid w:val="00F70A0C"/>
    <w:rsid w:val="00F7206F"/>
    <w:rsid w:val="00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05144F75"/>
  <w15:docId w15:val="{A76C9A18-97F1-4796-A520-BF7FEE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prepojenie">
    <w:name w:val="Hyperlink"/>
    <w:uiPriority w:val="99"/>
    <w:locked/>
    <w:rsid w:val="001E6479"/>
    <w:rPr>
      <w:rFonts w:cs="Times New Roman"/>
      <w:color w:val="0000FF"/>
      <w:u w:val="single"/>
      <w:rtl w:val="0"/>
      <w:cs w:val="0"/>
    </w:rPr>
  </w:style>
  <w:style w:type="paragraph" w:styleId="Textbubliny">
    <w:name w:val="Balloon Text"/>
    <w:basedOn w:val="Normlny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245/" TargetMode="External"/><Relationship Id="rId5" Type="http://schemas.openxmlformats.org/officeDocument/2006/relationships/hyperlink" Target="https://www.slov-lex.sk/pravne-predpisy/SK/ZZ/2003/2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1310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NašeSlovensko</cp:lastModifiedBy>
  <cp:revision>4</cp:revision>
  <cp:lastPrinted>2018-02-23T08:40:00Z</cp:lastPrinted>
  <dcterms:created xsi:type="dcterms:W3CDTF">2018-02-23T08:55:00Z</dcterms:created>
  <dcterms:modified xsi:type="dcterms:W3CDTF">2019-08-12T09:38:00Z</dcterms:modified>
</cp:coreProperties>
</file>