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67B9">
      <w:pPr>
        <w:spacing w:before="0" w:after="1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 Á R O D N Á    R A D A    S L O V E N S K E J    R E P U B L I K Y</w:t>
      </w:r>
    </w:p>
    <w:p w:rsidR="00D567B9">
      <w:pPr>
        <w:pBdr>
          <w:bottom w:val="single" w:sz="6" w:space="1" w:color="000000"/>
        </w:pBdr>
        <w:spacing w:before="0" w:after="120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</w:rPr>
        <w:t>VII. volebné obdobie</w:t>
      </w:r>
    </w:p>
    <w:p w:rsidR="00D567B9">
      <w:pPr>
        <w:spacing w:before="0" w:after="120"/>
        <w:rPr>
          <w:rFonts w:ascii="Times New Roman" w:hAnsi="Times New Roman" w:cs="Times New Roman"/>
          <w:bCs/>
          <w:sz w:val="22"/>
          <w:szCs w:val="22"/>
        </w:rPr>
      </w:pPr>
    </w:p>
    <w:p w:rsidR="00D567B9">
      <w:pPr>
        <w:pStyle w:val="BodyText"/>
        <w:widowControl/>
        <w:spacing w:after="120" w:line="240" w:lineRule="auto"/>
        <w:jc w:val="center"/>
        <w:rPr>
          <w:rFonts w:cs="Times New Roman"/>
          <w:color w:val="auto"/>
          <w:lang w:val="sk-SK"/>
        </w:rPr>
      </w:pPr>
      <w:r>
        <w:rPr>
          <w:rFonts w:cs="Times New Roman"/>
          <w:color w:val="auto"/>
          <w:lang w:val="sk-SK"/>
        </w:rPr>
        <w:t>Návrh</w:t>
      </w:r>
    </w:p>
    <w:p w:rsidR="00D567B9">
      <w:pPr>
        <w:pStyle w:val="BodyText"/>
        <w:widowControl/>
        <w:spacing w:after="120" w:line="240" w:lineRule="auto"/>
        <w:jc w:val="center"/>
        <w:rPr>
          <w:rFonts w:cs="Times New Roman"/>
          <w:color w:val="auto"/>
          <w:lang w:val="sk-SK"/>
        </w:rPr>
      </w:pPr>
    </w:p>
    <w:p w:rsidR="00D567B9">
      <w:pPr>
        <w:spacing w:before="0"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ZÁKON</w:t>
      </w:r>
    </w:p>
    <w:p w:rsidR="00D567B9">
      <w:pPr>
        <w:spacing w:before="0" w:after="120"/>
        <w:jc w:val="center"/>
        <w:rPr>
          <w:rFonts w:ascii="Times New Roman" w:hAnsi="Times New Roman" w:cs="Times New Roman"/>
          <w:b/>
          <w:bCs/>
        </w:rPr>
      </w:pPr>
    </w:p>
    <w:p w:rsidR="00D567B9">
      <w:pPr>
        <w:spacing w:before="0" w:after="120"/>
        <w:jc w:val="center"/>
      </w:pPr>
      <w:r>
        <w:rPr>
          <w:rFonts w:ascii="Times New Roman" w:hAnsi="Times New Roman" w:cs="Times New Roman"/>
        </w:rPr>
        <w:t>z ...............201</w:t>
      </w:r>
      <w:r w:rsidR="00684D2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</w:p>
    <w:p w:rsidR="00D567B9">
      <w:pPr>
        <w:pStyle w:val="p4"/>
        <w:spacing w:after="120"/>
        <w:rPr>
          <w:sz w:val="24"/>
          <w:szCs w:val="24"/>
        </w:rPr>
      </w:pPr>
    </w:p>
    <w:p w:rsidR="00D567B9">
      <w:pPr>
        <w:pStyle w:val="p4"/>
        <w:spacing w:after="120"/>
      </w:pPr>
      <w:r>
        <w:rPr>
          <w:rStyle w:val="PlaceholderText"/>
          <w:rFonts w:cs="Calibri"/>
          <w:b/>
          <w:color w:val="000000"/>
          <w:sz w:val="24"/>
          <w:szCs w:val="24"/>
        </w:rPr>
        <w:t>ktorým sa mení a dopĺňa zákon č. 73/1986 Zb. o umelom prerušení tehotenstva v znení neskorších predpisov</w:t>
      </w:r>
      <w:r w:rsidR="002710B0">
        <w:rPr>
          <w:rStyle w:val="PlaceholderText"/>
          <w:rFonts w:cs="Calibri"/>
          <w:b/>
          <w:color w:val="000000"/>
          <w:sz w:val="24"/>
          <w:szCs w:val="24"/>
        </w:rPr>
        <w:t xml:space="preserve"> a ktorým sa menia a dopĺňajú niektoré zákony</w:t>
      </w:r>
    </w:p>
    <w:p w:rsidR="00D567B9">
      <w:pPr>
        <w:pStyle w:val="p4"/>
        <w:spacing w:after="120"/>
      </w:pPr>
    </w:p>
    <w:p w:rsidR="00D567B9">
      <w:pPr>
        <w:pStyle w:val="p6"/>
        <w:spacing w:after="120"/>
        <w:rPr>
          <w:b/>
          <w:color w:val="000000"/>
          <w:sz w:val="24"/>
          <w:szCs w:val="24"/>
          <w:shd w:val="clear" w:color="auto" w:fill="FFFFFF"/>
        </w:rPr>
      </w:pPr>
    </w:p>
    <w:p w:rsidR="00D567B9">
      <w:pPr>
        <w:pStyle w:val="p4"/>
        <w:spacing w:after="120"/>
        <w:jc w:val="left"/>
        <w:rPr>
          <w:b/>
        </w:rPr>
      </w:pPr>
      <w:r>
        <w:rPr>
          <w:sz w:val="24"/>
          <w:szCs w:val="24"/>
        </w:rPr>
        <w:t>Národná rada Slovenskej republiky sa uzniesla na tomto zákone:</w:t>
      </w:r>
    </w:p>
    <w:p w:rsidR="00D567B9">
      <w:pPr>
        <w:spacing w:before="0" w:after="120"/>
        <w:jc w:val="center"/>
        <w:rPr>
          <w:rFonts w:ascii="Times New Roman" w:hAnsi="Times New Roman" w:cs="Times New Roman"/>
          <w:b/>
        </w:rPr>
      </w:pPr>
    </w:p>
    <w:p w:rsidR="00D567B9">
      <w:pPr>
        <w:spacing w:before="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Čl. I</w:t>
      </w:r>
    </w:p>
    <w:p w:rsidR="00D567B9">
      <w:pPr>
        <w:spacing w:before="0" w:after="120"/>
      </w:pPr>
      <w:r>
        <w:rPr>
          <w:rFonts w:ascii="Times New Roman" w:hAnsi="Times New Roman" w:cs="Times New Roman"/>
        </w:rPr>
        <w:t xml:space="preserve">Zákon č. </w:t>
      </w:r>
      <w:r>
        <w:rPr>
          <w:rStyle w:val="PlaceholderText"/>
          <w:rFonts w:cs="Calibri"/>
          <w:color w:val="000000"/>
        </w:rPr>
        <w:t>73/1986 Zb. o umelom prerušení tehotenstva v znení zákona č. 419/1991 Zb. a zákona č. 363/2011 Z. z. sa mení a dopĺňa takto:</w:t>
      </w:r>
    </w:p>
    <w:p w:rsidR="00D567B9">
      <w:pPr>
        <w:spacing w:before="0" w:after="120"/>
      </w:pPr>
    </w:p>
    <w:p w:rsidR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§ 1 vrátane nadpisu znie:</w:t>
      </w:r>
    </w:p>
    <w:p w:rsidR="00D567B9">
      <w:pPr>
        <w:spacing w:before="0" w:after="120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„</w:t>
      </w:r>
      <w:r>
        <w:rPr>
          <w:rFonts w:ascii="Times New Roman" w:hAnsi="Times New Roman" w:cs="Times New Roman"/>
          <w:b/>
          <w:i/>
        </w:rPr>
        <w:t>§ 1</w:t>
        <w:tab/>
        <w:t>Účel zákona</w:t>
      </w:r>
    </w:p>
    <w:p w:rsidR="00D567B9">
      <w:pPr>
        <w:spacing w:before="0" w:after="12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Zákon upravuje umelé prerušenie tehotenstva a so zreteľom na ochranu života a</w:t>
      </w:r>
      <w:r w:rsidR="006D1D19">
        <w:rPr>
          <w:rFonts w:ascii="Times New Roman" w:hAnsi="Times New Roman" w:cs="Times New Roman"/>
          <w:i/>
        </w:rPr>
        <w:t> </w:t>
      </w:r>
      <w:r>
        <w:rPr>
          <w:rFonts w:ascii="Times New Roman" w:hAnsi="Times New Roman" w:cs="Times New Roman"/>
          <w:i/>
        </w:rPr>
        <w:t>zdravia</w:t>
      </w:r>
      <w:r w:rsidR="006D1D19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tehotnej matky a jej nenarodeného dieťaťa ustanovuje podmienky na jeho vykonávanie.“</w:t>
      </w:r>
      <w:r>
        <w:rPr>
          <w:rFonts w:ascii="Times New Roman" w:hAnsi="Times New Roman" w:cs="Times New Roman"/>
        </w:rPr>
        <w:t>.</w:t>
      </w:r>
    </w:p>
    <w:p w:rsidR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color w:val="00000A"/>
          <w:lang w:eastAsia="sk-SK"/>
        </w:rPr>
      </w:pPr>
      <w:r>
        <w:rPr>
          <w:rFonts w:ascii="Times New Roman" w:hAnsi="Times New Roman" w:cs="Times New Roman"/>
        </w:rPr>
        <w:t>Medzi § 2 a 4 sa vloží § 3, ktorý vrátane nadpisu nad paragrafom zn</w:t>
      </w:r>
      <w:r>
        <w:rPr>
          <w:rFonts w:ascii="Times New Roman" w:hAnsi="Times New Roman" w:cs="Times New Roman"/>
        </w:rPr>
        <w:t>ie:</w:t>
      </w:r>
    </w:p>
    <w:p w:rsidR="00D567B9">
      <w:pPr>
        <w:spacing w:before="0" w:after="0"/>
        <w:ind w:left="720"/>
        <w:rPr>
          <w:rFonts w:ascii="Times New Roman" w:hAnsi="Times New Roman" w:cs="Times New Roman"/>
          <w:b/>
          <w:i/>
          <w:color w:val="00000A"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t>„</w:t>
      </w:r>
      <w:r>
        <w:rPr>
          <w:rFonts w:ascii="Times New Roman" w:hAnsi="Times New Roman" w:cs="Times New Roman"/>
          <w:b/>
          <w:i/>
          <w:color w:val="00000A"/>
          <w:lang w:eastAsia="sk-SK"/>
        </w:rPr>
        <w:t>Predchádzanie umelému prerušeniu tehotenstva z donútenia</w:t>
      </w:r>
    </w:p>
    <w:p w:rsidR="00D567B9">
      <w:pPr>
        <w:spacing w:before="0" w:after="0"/>
        <w:ind w:left="720"/>
        <w:rPr>
          <w:rFonts w:ascii="Times New Roman" w:hAnsi="Times New Roman" w:cs="Times New Roman"/>
          <w:i/>
          <w:lang w:eastAsia="sk-SK"/>
        </w:rPr>
      </w:pPr>
      <w:r>
        <w:rPr>
          <w:rFonts w:ascii="Times New Roman" w:hAnsi="Times New Roman" w:cs="Times New Roman"/>
          <w:b/>
          <w:i/>
          <w:color w:val="00000A"/>
          <w:lang w:eastAsia="sk-SK"/>
        </w:rPr>
        <w:t>§3</w:t>
      </w:r>
    </w:p>
    <w:p w:rsidR="00D567B9">
      <w:pPr>
        <w:spacing w:before="0" w:after="0"/>
        <w:ind w:left="720"/>
        <w:rPr>
          <w:rFonts w:ascii="Times New Roman" w:hAnsi="Times New Roman" w:cs="Times New Roman"/>
          <w:i/>
          <w:lang w:eastAsia="sk-SK"/>
        </w:rPr>
      </w:pPr>
      <w:r>
        <w:rPr>
          <w:rFonts w:ascii="Times New Roman" w:hAnsi="Times New Roman" w:cs="Times New Roman"/>
          <w:i/>
          <w:lang w:eastAsia="sk-SK"/>
        </w:rPr>
        <w:t>(1) Zdravotnícki pracovníci nesmú matku nabádať, aby svoje tehotenstvo umelo prerušila.</w:t>
      </w:r>
    </w:p>
    <w:p w:rsidR="00D567B9">
      <w:pPr>
        <w:spacing w:before="0" w:after="0"/>
        <w:ind w:left="720"/>
        <w:rPr>
          <w:rFonts w:ascii="Times New Roman" w:hAnsi="Times New Roman" w:cs="Times New Roman"/>
          <w:i/>
          <w:lang w:eastAsia="sk-SK"/>
        </w:rPr>
      </w:pPr>
      <w:r>
        <w:rPr>
          <w:rFonts w:ascii="Times New Roman" w:hAnsi="Times New Roman" w:cs="Times New Roman"/>
          <w:i/>
          <w:lang w:eastAsia="sk-SK"/>
        </w:rPr>
        <w:t>(2) Ak zdravotnícky pracovník zistí, alebo má podozrenie, že matku k umelému prerušeniu tehotenstva niekto núti, je povinný ju poučiť o jej práve nepodstúpiť umelé prerušenie tehotenstva.</w:t>
      </w:r>
    </w:p>
    <w:p w:rsidR="00D567B9">
      <w:pPr>
        <w:spacing w:before="0" w:after="12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eastAsia="sk-SK"/>
        </w:rPr>
        <w:t>(3) Ak zdravotnícky pracovník zistí, alebo má podozrenie, že matku k umelému prerušeniu tehotenstva niekto núti násilím, hrozbou násilia alebo hrozbou inej ťažkej ujmy, je povinný to bez zbytočného odkladu oznámiť policajnému orgánu alebo prokurátorovi.“</w:t>
      </w:r>
      <w:r>
        <w:rPr>
          <w:rFonts w:ascii="Times New Roman" w:hAnsi="Times New Roman" w:cs="Times New Roman"/>
          <w:lang w:eastAsia="sk-SK"/>
        </w:rPr>
        <w:t>.</w:t>
      </w:r>
    </w:p>
    <w:p w:rsidR="00D567B9">
      <w:pPr>
        <w:numPr>
          <w:ilvl w:val="0"/>
          <w:numId w:val="2"/>
        </w:numPr>
        <w:spacing w:before="0" w:after="120"/>
        <w:rPr>
          <w:rFonts w:cs="Times New Roman"/>
          <w:i/>
          <w:color w:val="00000A"/>
          <w:lang w:eastAsia="sk-SK"/>
        </w:rPr>
      </w:pPr>
      <w:r>
        <w:rPr>
          <w:rFonts w:ascii="Times New Roman" w:hAnsi="Times New Roman" w:cs="Times New Roman"/>
        </w:rPr>
        <w:t>§ 4 znie:</w:t>
      </w:r>
    </w:p>
    <w:p w:rsidR="00D567B9">
      <w:pPr>
        <w:pStyle w:val="BodyText"/>
        <w:spacing w:line="240" w:lineRule="auto"/>
        <w:ind w:left="720"/>
        <w:rPr>
          <w:rFonts w:cs="Times New Roman"/>
          <w:i/>
          <w:lang w:val="sk-SK"/>
        </w:rPr>
      </w:pPr>
      <w:r>
        <w:rPr>
          <w:rFonts w:cs="Times New Roman"/>
          <w:i/>
          <w:color w:val="00000A"/>
          <w:lang w:val="sk-SK" w:eastAsia="sk-SK"/>
        </w:rPr>
        <w:t>„Na žiadosť matky je tehotenstvo možné umelo prerušiť</w:t>
      </w:r>
    </w:p>
    <w:p w:rsidR="00D567B9">
      <w:pPr>
        <w:pStyle w:val="BodyText"/>
        <w:spacing w:line="240" w:lineRule="auto"/>
        <w:ind w:left="720"/>
        <w:rPr>
          <w:rFonts w:cs="Times New Roman"/>
          <w:i/>
          <w:lang w:val="sk-SK"/>
        </w:rPr>
      </w:pPr>
      <w:r>
        <w:rPr>
          <w:rFonts w:cs="Times New Roman"/>
          <w:i/>
          <w:lang w:val="sk-SK"/>
        </w:rPr>
        <w:t>a) ak je to nevyhnutné pre záchranu života matky,</w:t>
      </w:r>
    </w:p>
    <w:p w:rsidR="00D567B9">
      <w:pPr>
        <w:pStyle w:val="BodyText"/>
        <w:spacing w:line="240" w:lineRule="auto"/>
        <w:ind w:left="720"/>
        <w:rPr>
          <w:rFonts w:cs="Times New Roman"/>
          <w:i/>
          <w:lang w:val="sk-SK"/>
        </w:rPr>
      </w:pPr>
      <w:r>
        <w:rPr>
          <w:rFonts w:cs="Times New Roman"/>
          <w:i/>
          <w:lang w:val="sk-SK"/>
        </w:rPr>
        <w:t xml:space="preserve">b) ak je to nevyhnutné pre zabránenie trvalého a vážneho </w:t>
      </w:r>
      <w:r>
        <w:rPr>
          <w:rFonts w:cs="Times New Roman"/>
          <w:i/>
          <w:lang w:val="sk-SK"/>
        </w:rPr>
        <w:t>poškodenia zdravia matky,</w:t>
      </w:r>
    </w:p>
    <w:p w:rsidR="00D567B9">
      <w:pPr>
        <w:pStyle w:val="BodyText"/>
        <w:spacing w:line="240" w:lineRule="auto"/>
        <w:ind w:left="720"/>
        <w:rPr>
          <w:rFonts w:cs="Times New Roman"/>
          <w:i/>
        </w:rPr>
      </w:pPr>
      <w:r>
        <w:rPr>
          <w:rFonts w:cs="Times New Roman"/>
          <w:i/>
          <w:lang w:val="sk-SK"/>
        </w:rPr>
        <w:t>c) ak vzniklo v dôsledku trestného činu a tehotenstvo nepresahuje 12 týždňov,</w:t>
      </w:r>
    </w:p>
    <w:p w:rsidR="00D567B9">
      <w:pPr>
        <w:spacing w:before="0" w:after="12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d) ak nenarodené dieťa </w:t>
      </w:r>
      <w:r w:rsidRPr="006D1D19">
        <w:rPr>
          <w:rFonts w:ascii="Times New Roman" w:hAnsi="Times New Roman" w:cs="Times New Roman"/>
          <w:i/>
          <w:color w:val="auto"/>
        </w:rPr>
        <w:t>preukázateľne</w:t>
      </w:r>
      <w:r>
        <w:rPr>
          <w:rFonts w:ascii="Times New Roman" w:hAnsi="Times New Roman" w:cs="Times New Roman"/>
          <w:i/>
        </w:rPr>
        <w:t xml:space="preserve"> trpí ťažkým poškodením, alebo poškodením, pre ktoré nebude po narodení schopné života, a tehotenstvo nepresahuje 24 týždňov.</w:t>
      </w:r>
      <w:r>
        <w:rPr>
          <w:rFonts w:cs="Times New Roman"/>
          <w:i/>
        </w:rPr>
        <w:t>“</w:t>
      </w:r>
      <w:r>
        <w:rPr>
          <w:rFonts w:cs="Times New Roman"/>
        </w:rPr>
        <w:t>.</w:t>
      </w:r>
    </w:p>
    <w:p w:rsidR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i/>
          <w:color w:val="00000A"/>
          <w:lang w:eastAsia="sk-SK"/>
        </w:rPr>
      </w:pPr>
      <w:r>
        <w:rPr>
          <w:rFonts w:ascii="Times New Roman" w:hAnsi="Times New Roman" w:cs="Times New Roman"/>
        </w:rPr>
        <w:t>§ 5 znie:</w:t>
      </w:r>
    </w:p>
    <w:p w:rsidR="00D567B9" w:rsidRPr="006D1D19">
      <w:pPr>
        <w:spacing w:before="0" w:after="0"/>
        <w:ind w:left="720"/>
        <w:rPr>
          <w:rFonts w:ascii="Times New Roman" w:hAnsi="Times New Roman" w:cs="Times New Roman"/>
          <w:i/>
          <w:color w:val="auto"/>
          <w:lang w:eastAsia="sk-SK"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 xml:space="preserve">„(1) </w:t>
      </w:r>
      <w:r>
        <w:rPr>
          <w:rFonts w:ascii="Times New Roman" w:hAnsi="Times New Roman" w:cs="Times New Roman"/>
          <w:i/>
        </w:rPr>
        <w:t>Tehotenstvo podľa § 4 písm. a) a b) je možné prerušiť, ak ochranu života alebo zdravia matky nie je možné dosiahnuť postupom chrániacim život nenarodeného dieťaťa</w:t>
      </w:r>
      <w:r w:rsidRPr="006D1D19">
        <w:rPr>
          <w:rFonts w:ascii="Times New Roman" w:hAnsi="Times New Roman" w:cs="Times New Roman"/>
          <w:i/>
          <w:color w:val="auto"/>
        </w:rPr>
        <w:t xml:space="preserve">, a to po predložení dvoch nezávislých lekárskych správ </w:t>
      </w:r>
      <w:r w:rsidRPr="006D1D19" w:rsidR="00A5126B">
        <w:rPr>
          <w:rFonts w:ascii="Times New Roman" w:hAnsi="Times New Roman" w:cs="Times New Roman"/>
          <w:i/>
          <w:color w:val="auto"/>
        </w:rPr>
        <w:t>lekárov z o</w:t>
      </w:r>
      <w:r w:rsidRPr="006D1D19" w:rsidR="00A5126B">
        <w:rPr>
          <w:rFonts w:ascii="Times New Roman" w:hAnsi="Times New Roman" w:cs="Times New Roman"/>
          <w:i/>
          <w:color w:val="auto"/>
        </w:rPr>
        <w:t xml:space="preserve">dboru gynekológia a pôrodníctvo </w:t>
      </w:r>
      <w:r w:rsidRPr="006D1D19">
        <w:rPr>
          <w:rFonts w:ascii="Times New Roman" w:hAnsi="Times New Roman" w:cs="Times New Roman"/>
          <w:i/>
          <w:color w:val="auto"/>
        </w:rPr>
        <w:t>potvrdzujúcich ohrozenie života alebo zdravia matky a tiež nevyhnutnosť umelého prerušenia tehotenstva pre záchranu života alebo zdravia matky.</w:t>
      </w:r>
    </w:p>
    <w:p w:rsidR="00D567B9">
      <w:pPr>
        <w:spacing w:before="0" w:after="0"/>
        <w:ind w:left="720"/>
        <w:rPr>
          <w:rFonts w:cs="Times New Roman"/>
          <w:i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>(2) Tehotenstvo podľa § 4 písm. c) je možné prerušiť po predložení vyjadrenia prokurátora potvrdzujúceho dôvodné podozrenie zo spáchania trestného činu, dôsledkom ktorého vzniklo tehotenstvo, ktoré sa má umelo prerušiť.</w:t>
      </w:r>
    </w:p>
    <w:p w:rsidR="00D567B9">
      <w:pPr>
        <w:pStyle w:val="BodyText"/>
        <w:spacing w:line="240" w:lineRule="auto"/>
        <w:ind w:left="720"/>
        <w:rPr>
          <w:rFonts w:cs="Times New Roman"/>
          <w:i/>
          <w:lang w:val="sk-SK"/>
        </w:rPr>
      </w:pPr>
      <w:r>
        <w:rPr>
          <w:rFonts w:cs="Times New Roman"/>
          <w:i/>
          <w:lang w:val="sk-SK"/>
        </w:rPr>
        <w:t xml:space="preserve">(3) Tehotenstvo podľa § 4 písm. d) je možné prerušiť po predložení dvoch nezávislých lekárskych </w:t>
      </w:r>
      <w:r w:rsidRPr="00A5126B">
        <w:rPr>
          <w:rFonts w:cs="Times New Roman"/>
          <w:i/>
          <w:lang w:val="sk-SK"/>
        </w:rPr>
        <w:t xml:space="preserve">správ </w:t>
      </w:r>
      <w:r w:rsidRPr="00A5126B" w:rsidR="00A5126B">
        <w:rPr>
          <w:rFonts w:cs="Times New Roman"/>
          <w:i/>
          <w:lang w:val="sk-SK"/>
        </w:rPr>
        <w:t>lekárov z odbo</w:t>
      </w:r>
      <w:r w:rsidRPr="00A5126B" w:rsidR="00A5126B">
        <w:rPr>
          <w:rFonts w:cs="Times New Roman"/>
          <w:i/>
          <w:lang w:val="sk-SK"/>
        </w:rPr>
        <w:t>ru gynekológia a pôrodníctvo</w:t>
      </w:r>
      <w:r w:rsidR="006D1D19">
        <w:rPr>
          <w:rFonts w:cs="Times New Roman"/>
          <w:i/>
          <w:lang w:val="sk-SK"/>
        </w:rPr>
        <w:t xml:space="preserve"> </w:t>
      </w:r>
      <w:r>
        <w:rPr>
          <w:rFonts w:cs="Times New Roman"/>
          <w:i/>
          <w:lang w:val="sk-SK"/>
        </w:rPr>
        <w:t>potvrdzujúcich ťažké poškodenie, alebo poškodenie, pre ktoré dieťa nebude po narodení schopné života.</w:t>
      </w:r>
    </w:p>
    <w:p w:rsidR="00D567B9">
      <w:pPr>
        <w:pStyle w:val="BodyText"/>
        <w:spacing w:line="240" w:lineRule="auto"/>
        <w:ind w:left="720"/>
        <w:rPr>
          <w:rFonts w:cs="Times New Roman"/>
          <w:i/>
          <w:color w:val="00000A"/>
          <w:lang w:eastAsia="sk-SK"/>
        </w:rPr>
      </w:pPr>
      <w:r>
        <w:rPr>
          <w:rFonts w:cs="Times New Roman"/>
          <w:i/>
          <w:lang w:val="sk-SK"/>
        </w:rPr>
        <w:t xml:space="preserve">(4) Tehotenstvo podľa § 4 písm. c) a d) je možné prerušiť, ak tomu nebráni zdravotný stav matky, ktorý </w:t>
      </w:r>
      <w:r>
        <w:rPr>
          <w:rFonts w:cs="Times New Roman"/>
          <w:i/>
          <w:color w:val="00000A"/>
          <w:lang w:val="sk-SK" w:eastAsia="sk-SK"/>
        </w:rPr>
        <w:t>podstatne zvyšuje zdra</w:t>
      </w:r>
      <w:r>
        <w:rPr>
          <w:rFonts w:cs="Times New Roman"/>
          <w:i/>
          <w:color w:val="00000A"/>
          <w:lang w:val="sk-SK" w:eastAsia="sk-SK"/>
        </w:rPr>
        <w:t>votné riziko spojené s umelým prerušením tehotenstva.</w:t>
      </w:r>
    </w:p>
    <w:p w:rsidR="00D567B9">
      <w:pPr>
        <w:spacing w:before="0" w:after="120"/>
        <w:ind w:left="720"/>
        <w:rPr>
          <w:rFonts w:ascii="Times New Roman" w:hAnsi="Times New Roman" w:cs="Times New Roman"/>
          <w:color w:val="00000A"/>
          <w:lang w:eastAsia="sk-SK"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>(5) Trvanie tehotenstva sa ráta v dokončených týždňoch počínajúc prvým dňom poslednej menštruácie.“</w:t>
      </w:r>
      <w:r>
        <w:rPr>
          <w:rFonts w:ascii="Times New Roman" w:hAnsi="Times New Roman" w:cs="Times New Roman"/>
          <w:color w:val="00000A"/>
          <w:lang w:eastAsia="sk-SK"/>
        </w:rPr>
        <w:t>.</w:t>
      </w:r>
    </w:p>
    <w:p w:rsidR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i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t>§ 6 znie:</w:t>
      </w:r>
    </w:p>
    <w:p w:rsidR="00D567B9" w:rsidRPr="006D1D19">
      <w:pPr>
        <w:spacing w:before="0" w:after="120"/>
        <w:ind w:left="720"/>
        <w:rPr>
          <w:rFonts w:ascii="Times New Roman" w:hAnsi="Times New Roman" w:cs="Times New Roman"/>
          <w:color w:val="auto"/>
          <w:lang w:eastAsia="sk-SK"/>
        </w:rPr>
      </w:pPr>
      <w:r>
        <w:rPr>
          <w:rFonts w:ascii="Times New Roman" w:hAnsi="Times New Roman" w:cs="Times New Roman"/>
          <w:i/>
          <w:lang w:eastAsia="sk-SK"/>
        </w:rPr>
        <w:t>„Tehotenstvo podľa § 4 je možné prerušiť na základe písomnej žiadosti matky a jej informovaného súhlasu udeleného podľa osobitného predpisu.</w:t>
      </w:r>
      <w:r>
        <w:rPr>
          <w:rFonts w:ascii="Times New Roman" w:hAnsi="Times New Roman" w:cs="Times New Roman"/>
          <w:i/>
          <w:vertAlign w:val="superscript"/>
          <w:lang w:eastAsia="sk-SK"/>
        </w:rPr>
        <w:t>1</w:t>
      </w:r>
      <w:r>
        <w:rPr>
          <w:rFonts w:ascii="Times New Roman" w:hAnsi="Times New Roman" w:cs="Times New Roman"/>
          <w:i/>
          <w:lang w:eastAsia="sk-SK"/>
        </w:rPr>
        <w:t xml:space="preserve">) V prípade, ak ide o neplnoletú matku, je podmienkou vykonania umelého prerušenia tehotenstva okrem písomného 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>informovaného súhlasu matky aj písomný informovaný súhlas jej zákonného zástupcu.</w:t>
      </w:r>
      <w:r w:rsidRPr="006D1D19" w:rsidR="00293FA8">
        <w:rPr>
          <w:rFonts w:ascii="Times New Roman" w:hAnsi="Times New Roman" w:cs="Times New Roman"/>
          <w:i/>
          <w:color w:val="auto"/>
          <w:vertAlign w:val="superscript"/>
          <w:lang w:eastAsia="sk-SK"/>
        </w:rPr>
        <w:t>2</w:t>
      </w:r>
      <w:r w:rsidRPr="006D1D19" w:rsidR="00293FA8">
        <w:rPr>
          <w:rFonts w:ascii="Times New Roman" w:hAnsi="Times New Roman" w:cs="Times New Roman"/>
          <w:i/>
          <w:color w:val="auto"/>
          <w:lang w:eastAsia="sk-SK"/>
        </w:rPr>
        <w:t>)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 xml:space="preserve"> S výnimkou, ak je to nevyhnutné na záchranu života alebo zdravia matky podľa § 4 písm. a) a b), je umelé prerušenie tehotenstva možné vykonať najskôr po uplynutí lehoty 48 hodín od odoslania hlásenia o poskytnutí poučenia, ktoré predchádza informovanému súhlasu.</w:t>
      </w:r>
      <w:r w:rsidRPr="006D1D19" w:rsidR="0070775E">
        <w:rPr>
          <w:rFonts w:ascii="Times New Roman" w:hAnsi="Times New Roman" w:cs="Times New Roman"/>
          <w:i/>
          <w:color w:val="auto"/>
          <w:vertAlign w:val="superscript"/>
          <w:lang w:eastAsia="sk-SK"/>
        </w:rPr>
        <w:t>1</w:t>
      </w:r>
      <w:r w:rsidRPr="006D1D19" w:rsidR="0070775E">
        <w:rPr>
          <w:rFonts w:ascii="Times New Roman" w:hAnsi="Times New Roman" w:cs="Times New Roman"/>
          <w:i/>
          <w:color w:val="auto"/>
          <w:lang w:eastAsia="sk-SK"/>
        </w:rPr>
        <w:t>)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>“</w:t>
      </w:r>
      <w:r w:rsidRPr="006D1D19">
        <w:rPr>
          <w:rFonts w:ascii="Times New Roman" w:hAnsi="Times New Roman" w:cs="Times New Roman"/>
          <w:color w:val="auto"/>
          <w:lang w:eastAsia="sk-SK"/>
        </w:rPr>
        <w:t>.</w:t>
      </w:r>
    </w:p>
    <w:p w:rsidR="00D567B9" w:rsidRPr="006D1D19">
      <w:pPr>
        <w:spacing w:before="0" w:after="120"/>
        <w:ind w:left="720"/>
        <w:rPr>
          <w:rFonts w:ascii="Times New Roman" w:hAnsi="Times New Roman" w:cs="Times New Roman"/>
          <w:color w:val="auto"/>
          <w:vertAlign w:val="superscript"/>
          <w:lang w:eastAsia="sk-SK"/>
        </w:rPr>
      </w:pPr>
      <w:r w:rsidRPr="006D1D19">
        <w:rPr>
          <w:rFonts w:ascii="Times New Roman" w:hAnsi="Times New Roman" w:cs="Times New Roman"/>
          <w:color w:val="auto"/>
          <w:lang w:eastAsia="sk-SK"/>
        </w:rPr>
        <w:t>Poznámk</w:t>
      </w:r>
      <w:r w:rsidRPr="006D1D19" w:rsidR="00825A45">
        <w:rPr>
          <w:rFonts w:ascii="Times New Roman" w:hAnsi="Times New Roman" w:cs="Times New Roman"/>
          <w:color w:val="auto"/>
          <w:lang w:eastAsia="sk-SK"/>
        </w:rPr>
        <w:t>y</w:t>
      </w:r>
      <w:r w:rsidRPr="006D1D19">
        <w:rPr>
          <w:rFonts w:ascii="Times New Roman" w:hAnsi="Times New Roman" w:cs="Times New Roman"/>
          <w:color w:val="auto"/>
          <w:lang w:eastAsia="sk-SK"/>
        </w:rPr>
        <w:t xml:space="preserve"> pod čiarou k odkaz</w:t>
      </w:r>
      <w:r w:rsidRPr="006D1D19" w:rsidR="00825A45">
        <w:rPr>
          <w:rFonts w:ascii="Times New Roman" w:hAnsi="Times New Roman" w:cs="Times New Roman"/>
          <w:color w:val="auto"/>
          <w:lang w:eastAsia="sk-SK"/>
        </w:rPr>
        <w:t>om</w:t>
      </w:r>
      <w:r w:rsidRPr="006D1D19">
        <w:rPr>
          <w:rFonts w:ascii="Times New Roman" w:hAnsi="Times New Roman" w:cs="Times New Roman"/>
          <w:color w:val="auto"/>
          <w:lang w:eastAsia="sk-SK"/>
        </w:rPr>
        <w:t xml:space="preserve"> 1</w:t>
      </w:r>
      <w:r w:rsidRPr="006D1D19" w:rsidR="00825A45">
        <w:rPr>
          <w:rFonts w:ascii="Times New Roman" w:hAnsi="Times New Roman" w:cs="Times New Roman"/>
          <w:color w:val="auto"/>
          <w:lang w:eastAsia="sk-SK"/>
        </w:rPr>
        <w:t xml:space="preserve"> a 2</w:t>
      </w:r>
      <w:r w:rsidRPr="006D1D19">
        <w:rPr>
          <w:rFonts w:ascii="Times New Roman" w:hAnsi="Times New Roman" w:cs="Times New Roman"/>
          <w:color w:val="auto"/>
          <w:lang w:eastAsia="sk-SK"/>
        </w:rPr>
        <w:t xml:space="preserve"> zne</w:t>
      </w:r>
      <w:r w:rsidRPr="006D1D19" w:rsidR="00825A45">
        <w:rPr>
          <w:rFonts w:ascii="Times New Roman" w:hAnsi="Times New Roman" w:cs="Times New Roman"/>
          <w:color w:val="auto"/>
          <w:lang w:eastAsia="sk-SK"/>
        </w:rPr>
        <w:t>jú</w:t>
      </w:r>
      <w:r w:rsidRPr="006D1D19">
        <w:rPr>
          <w:rFonts w:ascii="Times New Roman" w:hAnsi="Times New Roman" w:cs="Times New Roman"/>
          <w:color w:val="auto"/>
          <w:lang w:eastAsia="sk-SK"/>
        </w:rPr>
        <w:t>:</w:t>
      </w:r>
    </w:p>
    <w:p w:rsidR="00D567B9" w:rsidRPr="006D1D19">
      <w:pPr>
        <w:spacing w:before="0" w:after="120"/>
        <w:ind w:left="720"/>
        <w:rPr>
          <w:rFonts w:ascii="Times New Roman" w:hAnsi="Times New Roman" w:cs="Times New Roman"/>
          <w:i/>
          <w:color w:val="auto"/>
          <w:lang w:eastAsia="sk-SK"/>
        </w:rPr>
      </w:pPr>
      <w:r w:rsidRPr="006D1D19">
        <w:rPr>
          <w:rFonts w:ascii="Times New Roman" w:hAnsi="Times New Roman" w:cs="Times New Roman"/>
          <w:i/>
          <w:color w:val="auto"/>
          <w:vertAlign w:val="superscript"/>
          <w:lang w:eastAsia="sk-SK"/>
        </w:rPr>
        <w:t>„1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 xml:space="preserve">) </w:t>
      </w:r>
      <w:r w:rsidRPr="006D1D19">
        <w:rPr>
          <w:rFonts w:ascii="Times New Roman" w:hAnsi="Times New Roman" w:cs="Times New Roman"/>
          <w:i/>
          <w:color w:val="auto"/>
        </w:rPr>
        <w:t>§ 6b zákona č. 576/2004 Z. z. o zdravotnej starostlivosti, službách súvisiacich s poskytovaním zdravotnej starostlivosti a o zmene a doplnení niektorých zákonov v znení neskorších predpisov, Vyhláška Ministerstva zdravotníctva Slovenskej republiky č. 417/2009 Z. z., ktorou sa ustanovujú podrobnosti o informáciách poskytovaných žene a hlásenia o poskytnutí informácií, vzor písomných informácií a určuje sa organizácia zodpovedná za prijímanie a vyhodnocovanie hlásenia.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 xml:space="preserve">“. </w:t>
      </w:r>
    </w:p>
    <w:p w:rsidR="00825A45" w:rsidRPr="006D1D19">
      <w:pPr>
        <w:spacing w:before="0" w:after="120"/>
        <w:ind w:left="720"/>
        <w:rPr>
          <w:rFonts w:ascii="Times New Roman" w:hAnsi="Times New Roman" w:cs="Times New Roman"/>
          <w:i/>
          <w:color w:val="auto"/>
          <w:lang w:eastAsia="sk-SK"/>
        </w:rPr>
      </w:pPr>
      <w:r w:rsidRPr="006D1D19">
        <w:rPr>
          <w:rFonts w:ascii="Times New Roman" w:hAnsi="Times New Roman" w:cs="Times New Roman"/>
          <w:i/>
          <w:color w:val="auto"/>
          <w:vertAlign w:val="superscript"/>
          <w:lang w:eastAsia="sk-SK"/>
        </w:rPr>
        <w:t>2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 xml:space="preserve">) § 6 ods. 1 písm. b) </w:t>
      </w:r>
      <w:r w:rsidRPr="006D1D19">
        <w:rPr>
          <w:rFonts w:ascii="Times New Roman" w:hAnsi="Times New Roman" w:cs="Times New Roman"/>
          <w:i/>
          <w:color w:val="auto"/>
        </w:rPr>
        <w:t>zákona č. 576/2004 Z. z. o zdravotnej starostlivosti, službách súvisiacich s poskytovaním zdravotnej starostlivosti a o zmene a doplnení niektorých zákonov v znení neskorších predpisov.</w:t>
      </w:r>
      <w:r w:rsidRPr="006D1D19">
        <w:rPr>
          <w:rFonts w:ascii="Times New Roman" w:hAnsi="Times New Roman" w:cs="Times New Roman"/>
          <w:i/>
          <w:color w:val="auto"/>
          <w:lang w:eastAsia="sk-SK"/>
        </w:rPr>
        <w:t>“.</w:t>
      </w:r>
    </w:p>
    <w:p w:rsidR="00D567B9" w:rsidRPr="006D1D1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color w:val="auto"/>
          <w:lang w:eastAsia="sk-SK"/>
        </w:rPr>
      </w:pPr>
      <w:r w:rsidRPr="006D1D19">
        <w:rPr>
          <w:rFonts w:ascii="Times New Roman" w:hAnsi="Times New Roman" w:cs="Times New Roman"/>
          <w:color w:val="auto"/>
          <w:lang w:eastAsia="sk-SK"/>
        </w:rPr>
        <w:t>V § 7 sa za slová „zdravotnícke zariadenie“ vkladajú slová „ústavnej starostlivosti“.</w:t>
      </w:r>
    </w:p>
    <w:p w:rsidR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color w:val="00000A"/>
          <w:lang w:eastAsia="sk-SK"/>
        </w:rPr>
      </w:pPr>
      <w:r w:rsidRPr="006D1D19">
        <w:rPr>
          <w:rFonts w:ascii="Times New Roman" w:hAnsi="Times New Roman" w:cs="Times New Roman"/>
          <w:color w:val="auto"/>
          <w:lang w:eastAsia="sk-SK"/>
        </w:rPr>
        <w:t>V § 8 ods. 1 sa za slová „zdravotníckom</w:t>
      </w:r>
      <w:r>
        <w:rPr>
          <w:rFonts w:ascii="Times New Roman" w:hAnsi="Times New Roman" w:cs="Times New Roman"/>
          <w:color w:val="00000A"/>
          <w:lang w:eastAsia="sk-SK"/>
        </w:rPr>
        <w:t xml:space="preserve"> zariadení“ vkladajú slová „ústavnej starostlivosti“.</w:t>
      </w:r>
    </w:p>
    <w:p w:rsidR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i/>
          <w:color w:val="00000A"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t>§ 10 vrátane nadpisu znie:</w:t>
      </w:r>
    </w:p>
    <w:p w:rsidR="00D567B9">
      <w:pPr>
        <w:spacing w:before="0" w:after="0"/>
        <w:ind w:left="360" w:firstLine="348"/>
        <w:rPr>
          <w:rFonts w:ascii="Times New Roman" w:hAnsi="Times New Roman" w:cs="Times New Roman"/>
          <w:i/>
          <w:color w:val="00000A"/>
          <w:lang w:eastAsia="sk-SK"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>„</w:t>
      </w:r>
      <w:r>
        <w:rPr>
          <w:rFonts w:ascii="Times New Roman" w:hAnsi="Times New Roman" w:cs="Times New Roman"/>
          <w:b/>
          <w:i/>
          <w:color w:val="00000A"/>
          <w:lang w:eastAsia="sk-SK"/>
        </w:rPr>
        <w:t>§ 10</w:t>
        <w:tab/>
      </w:r>
      <w:r>
        <w:rPr>
          <w:rFonts w:ascii="Times New Roman" w:hAnsi="Times New Roman" w:cs="Times New Roman"/>
          <w:b/>
          <w:bCs/>
          <w:i/>
          <w:color w:val="00000A"/>
          <w:lang w:eastAsia="sk-SK"/>
        </w:rPr>
        <w:t>Umelé prerušenie tehotenstva cudzinkám</w:t>
      </w:r>
    </w:p>
    <w:p w:rsidR="00D567B9">
      <w:pPr>
        <w:spacing w:before="0" w:after="120"/>
        <w:ind w:left="720"/>
        <w:rPr>
          <w:rFonts w:ascii="Times New Roman" w:hAnsi="Times New Roman" w:cs="Times New Roman"/>
          <w:color w:val="00000A"/>
          <w:lang w:eastAsia="sk-SK"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>Umelé prerušenie tehotenstva podľa § 4 písm. c) a d) sa nevykoná cudzinkám.“</w:t>
      </w:r>
      <w:r>
        <w:rPr>
          <w:rFonts w:ascii="Times New Roman" w:hAnsi="Times New Roman" w:cs="Times New Roman"/>
          <w:color w:val="00000A"/>
          <w:lang w:eastAsia="sk-SK"/>
        </w:rPr>
        <w:t>.</w:t>
      </w:r>
    </w:p>
    <w:p w:rsidR="00D567B9" w:rsidP="00473160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color w:val="00000A"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t>V § 11 sa vypúšťa odsek 2.</w:t>
      </w:r>
      <w:r w:rsidR="00473160">
        <w:rPr>
          <w:rFonts w:ascii="Times New Roman" w:hAnsi="Times New Roman" w:cs="Times New Roman"/>
          <w:color w:val="00000A"/>
          <w:lang w:eastAsia="sk-SK"/>
        </w:rPr>
        <w:t xml:space="preserve"> </w:t>
      </w:r>
      <w:r w:rsidRPr="00473160" w:rsidR="00473160">
        <w:rPr>
          <w:rFonts w:ascii="Times New Roman" w:hAnsi="Times New Roman" w:cs="Times New Roman"/>
          <w:color w:val="00000A"/>
          <w:lang w:eastAsia="sk-SK"/>
        </w:rPr>
        <w:t>Súčasne sa zrušuje označenie odseku 1.</w:t>
      </w:r>
    </w:p>
    <w:p w:rsidR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color w:val="00000A"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t>§ 12 sa vypúšťa.</w:t>
      </w:r>
    </w:p>
    <w:p w:rsidR="00D567B9">
      <w:pPr>
        <w:numPr>
          <w:ilvl w:val="0"/>
          <w:numId w:val="2"/>
        </w:numPr>
        <w:spacing w:before="0" w:after="120"/>
        <w:rPr>
          <w:rFonts w:ascii="Times New Roman" w:hAnsi="Times New Roman" w:cs="Times New Roman"/>
          <w:i/>
          <w:color w:val="00000A"/>
          <w:lang w:eastAsia="sk-SK"/>
        </w:rPr>
      </w:pPr>
      <w:r>
        <w:rPr>
          <w:rFonts w:ascii="Times New Roman" w:hAnsi="Times New Roman" w:cs="Times New Roman"/>
          <w:color w:val="00000A"/>
          <w:lang w:eastAsia="sk-SK"/>
        </w:rPr>
        <w:t>V § 14 sa vkladá nový bod 4., ktorý znie:</w:t>
      </w:r>
    </w:p>
    <w:p w:rsidR="00D567B9">
      <w:pPr>
        <w:spacing w:before="0" w:after="120"/>
        <w:ind w:left="720"/>
        <w:rPr>
          <w:rFonts w:cs="Times New Roman"/>
        </w:rPr>
      </w:pPr>
      <w:r>
        <w:rPr>
          <w:rFonts w:ascii="Times New Roman" w:hAnsi="Times New Roman" w:cs="Times New Roman"/>
          <w:i/>
          <w:color w:val="00000A"/>
          <w:lang w:eastAsia="sk-SK"/>
        </w:rPr>
        <w:t>„4. vyhláška Ministerstva zdravotníctva Slovenskej socialistickej republiky č. 74/1986 Zb. ktorou sa vykonáva zákon Slovenskej národnej rady č. 73/1986 Zb. o umelom prerušení tehotenstva.“</w:t>
      </w:r>
      <w:r>
        <w:rPr>
          <w:rFonts w:ascii="Times New Roman" w:hAnsi="Times New Roman" w:cs="Times New Roman"/>
          <w:color w:val="00000A"/>
          <w:lang w:eastAsia="sk-SK"/>
        </w:rPr>
        <w:t xml:space="preserve">. </w:t>
      </w:r>
    </w:p>
    <w:p w:rsidR="00D567B9">
      <w:pPr>
        <w:pStyle w:val="BodyText"/>
        <w:spacing w:line="240" w:lineRule="auto"/>
        <w:ind w:left="720"/>
        <w:rPr>
          <w:rFonts w:cs="Times New Roman"/>
          <w:lang w:val="sk-SK"/>
        </w:rPr>
      </w:pPr>
      <w:r>
        <w:rPr>
          <w:rFonts w:cs="Times New Roman"/>
          <w:lang w:val="sk-SK"/>
        </w:rPr>
        <w:t>Bodka na konci bodu 3. sa nahrádza bodkočiarkou.</w:t>
      </w:r>
    </w:p>
    <w:p w:rsidR="00D567B9">
      <w:pPr>
        <w:pStyle w:val="BodyText"/>
        <w:spacing w:line="240" w:lineRule="auto"/>
        <w:ind w:left="720"/>
        <w:rPr>
          <w:rFonts w:cs="Times New Roman"/>
          <w:lang w:val="sk-SK"/>
        </w:rPr>
      </w:pPr>
    </w:p>
    <w:p w:rsidR="00D567B9">
      <w:pPr>
        <w:spacing w:before="0" w:after="120"/>
        <w:rPr>
          <w:rFonts w:ascii="Times New Roman" w:hAnsi="Times New Roman" w:cs="Times New Roman"/>
        </w:rPr>
      </w:pPr>
    </w:p>
    <w:p w:rsidR="00D567B9">
      <w:pPr>
        <w:spacing w:before="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Čl. II</w:t>
      </w:r>
    </w:p>
    <w:p w:rsidR="00D567B9" w:rsidP="002710B0">
      <w:pPr>
        <w:shd w:val="clear" w:color="auto" w:fill="FFFFFF"/>
        <w:suppressAutoHyphens w:val="0"/>
        <w:spacing w:before="0" w:after="120"/>
        <w:rPr>
          <w:rFonts w:ascii="Times New Roman" w:hAnsi="Times New Roman" w:cs="Times New Roman"/>
        </w:rPr>
      </w:pPr>
      <w:r w:rsidRPr="00E617B2" w:rsidR="00E617B2">
        <w:rPr>
          <w:rFonts w:ascii="Times New Roman" w:hAnsi="Times New Roman" w:cs="Times New Roman"/>
        </w:rPr>
        <w:t>Zákon č. 153/2001 Z. z. o prokuratúre v znení zákona č. 458/2003 Z. z., zákona č. 36/2005 Z. z., zákona č. 59/2009 Z. z., nálezu Ústavného súdu Slovenskej republiky č. 290/2009 Z. z., zákona č. 291/2009 Z. z., zákona č. 102/2010 Z. z., zákona č. 403/2010 Z. z., zákona č. 192/2011 Z. z., zákona č. 220/2011 Z. z., zákona č. 436/2013 Z. z., nálezu Ústavného súdu Slovenskej republiky č. 217/2014 Z. z., zákona č. 401/2015 Z. z., zákona č. 125/2016 Z. z., zákona č. 18/2018 Z. z., zákona č. 314/2018 Z. z., zákona č. 6/2019 Z. z.</w:t>
      </w:r>
      <w:r w:rsidR="00E617B2">
        <w:rPr>
          <w:rFonts w:ascii="Times New Roman" w:hAnsi="Times New Roman" w:cs="Times New Roman"/>
        </w:rPr>
        <w:t>,</w:t>
      </w:r>
      <w:r w:rsidRPr="00E617B2" w:rsidR="00E617B2">
        <w:rPr>
          <w:rFonts w:ascii="Times New Roman" w:hAnsi="Times New Roman" w:cs="Times New Roman"/>
        </w:rPr>
        <w:t xml:space="preserve"> zákona č. 54/2019 Z. z. </w:t>
      </w:r>
      <w:r w:rsidR="00E617B2">
        <w:rPr>
          <w:rFonts w:ascii="Times New Roman" w:hAnsi="Times New Roman" w:cs="Times New Roman"/>
        </w:rPr>
        <w:t xml:space="preserve">a zákona č. 242/2019 Z. z. </w:t>
      </w:r>
      <w:r w:rsidRPr="00E617B2" w:rsidR="00E617B2">
        <w:rPr>
          <w:rFonts w:ascii="Times New Roman" w:hAnsi="Times New Roman" w:cs="Times New Roman"/>
        </w:rPr>
        <w:t>sa mení a dopĺňa takto</w:t>
      </w:r>
      <w:r>
        <w:rPr>
          <w:rFonts w:ascii="Times New Roman" w:hAnsi="Times New Roman" w:cs="Times New Roman"/>
        </w:rPr>
        <w:t>:</w:t>
      </w:r>
    </w:p>
    <w:p w:rsidR="002710B0" w:rsidP="002710B0">
      <w:pPr>
        <w:shd w:val="clear" w:color="auto" w:fill="FFFFFF"/>
        <w:suppressAutoHyphens w:val="0"/>
        <w:spacing w:before="0" w:after="120"/>
        <w:rPr>
          <w:rFonts w:ascii="Times New Roman" w:hAnsi="Times New Roman" w:cs="Times New Roman"/>
          <w:color w:val="00000A"/>
          <w:lang w:eastAsia="sk-SK"/>
        </w:rPr>
      </w:pPr>
    </w:p>
    <w:p w:rsidR="00D567B9" w:rsidP="00833E16">
      <w:pPr>
        <w:spacing w:before="0" w:after="120"/>
      </w:pPr>
      <w:r>
        <w:rPr>
          <w:rFonts w:ascii="Times New Roman" w:hAnsi="Times New Roman" w:cs="Times New Roman"/>
          <w:color w:val="00000A"/>
          <w:lang w:eastAsia="sk-SK"/>
        </w:rPr>
        <w:t>V § 17 sa dopĺňa nový odsek 4, ktorý znie:</w:t>
      </w:r>
    </w:p>
    <w:p w:rsidR="00D567B9" w:rsidP="00833E16">
      <w:pPr>
        <w:spacing w:before="0" w:after="120"/>
      </w:pPr>
      <w:r>
        <w:rPr>
          <w:rFonts w:ascii="Times New Roman" w:hAnsi="Times New Roman" w:cs="Times New Roman"/>
          <w:i/>
          <w:color w:val="00000A"/>
          <w:lang w:eastAsia="sk-SK"/>
        </w:rPr>
        <w:t>„(4) Ak existuje dôvodné podozrenie zo spáchania trestného činu, dôsledkom ktorého vzniklo tehotenstvo, prokurátor bez zbytočného odkladu po podaní žiadosti poskytne tehotnej matke písomné vyjadrenie potvrdzujúce dôvodné podozrenie.“</w:t>
      </w:r>
      <w:r>
        <w:rPr>
          <w:rFonts w:ascii="Times New Roman" w:hAnsi="Times New Roman" w:cs="Times New Roman"/>
          <w:color w:val="00000A"/>
          <w:lang w:eastAsia="sk-SK"/>
        </w:rPr>
        <w:t>.</w:t>
      </w:r>
    </w:p>
    <w:p w:rsidR="00D567B9">
      <w:pPr>
        <w:spacing w:before="0" w:after="120"/>
      </w:pPr>
    </w:p>
    <w:p w:rsidR="00D567B9">
      <w:pPr>
        <w:spacing w:before="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Čl. III</w:t>
      </w:r>
    </w:p>
    <w:p w:rsidR="00D567B9">
      <w:pPr>
        <w:spacing w:before="0" w:after="120"/>
      </w:pPr>
      <w:r>
        <w:rPr>
          <w:rFonts w:ascii="Times New Roman" w:hAnsi="Times New Roman" w:cs="Times New Roman"/>
        </w:rPr>
        <w:t xml:space="preserve">Tento zákon nadobúda účinnosť </w:t>
      </w:r>
      <w:r w:rsidR="00684D2D">
        <w:rPr>
          <w:rFonts w:ascii="Times New Roman" w:hAnsi="Times New Roman" w:cs="Times New Roman"/>
          <w:color w:val="auto"/>
          <w:lang w:eastAsia="sk-SK"/>
        </w:rPr>
        <w:t>30. decembra 2019</w:t>
      </w:r>
      <w:r>
        <w:rPr>
          <w:rFonts w:ascii="Times New Roman" w:hAnsi="Times New Roman" w:cs="Times New Roman"/>
          <w:color w:val="auto"/>
          <w:lang w:eastAsia="sk-SK"/>
        </w:rPr>
        <w:t>.</w:t>
      </w:r>
    </w:p>
    <w:p w:rsidR="00D567B9">
      <w:pPr>
        <w:spacing w:before="0" w:after="120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9772958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0B0"/>
    <w:rsid w:val="0019490F"/>
    <w:rsid w:val="002710B0"/>
    <w:rsid w:val="00293FA8"/>
    <w:rsid w:val="003D60B4"/>
    <w:rsid w:val="00473160"/>
    <w:rsid w:val="00684D2D"/>
    <w:rsid w:val="006D1D19"/>
    <w:rsid w:val="0070775E"/>
    <w:rsid w:val="00825A45"/>
    <w:rsid w:val="00833E16"/>
    <w:rsid w:val="00A5126B"/>
    <w:rsid w:val="00D567B9"/>
    <w:rsid w:val="00E617B2"/>
    <w:rsid w:val="00EE4367"/>
    <w:rsid w:val="00F167C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before="130" w:after="130"/>
      <w:jc w:val="both"/>
    </w:pPr>
    <w:rPr>
      <w:rFonts w:ascii="Calibri" w:hAnsi="Calibri" w:cs="Calibri"/>
      <w:color w:val="000000"/>
      <w:sz w:val="24"/>
      <w:szCs w:val="24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numPr>
        <w:ilvl w:val="0"/>
        <w:numId w:val="1"/>
      </w:numPr>
      <w:tabs>
        <w:tab w:val="num" w:pos="0"/>
        <w:tab w:val="clear" w:pos="360"/>
      </w:tabs>
      <w:spacing w:before="240" w:line="360" w:lineRule="auto"/>
      <w:ind w:hanging="964"/>
      <w:outlineLvl w:val="0"/>
    </w:pPr>
    <w:rPr>
      <w:b/>
      <w:bCs/>
      <w:color w:val="FF6600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pPr>
      <w:numPr>
        <w:ilvl w:val="1"/>
        <w:numId w:val="1"/>
      </w:numPr>
      <w:tabs>
        <w:tab w:val="num" w:pos="0"/>
        <w:tab w:val="clear" w:pos="360"/>
      </w:tabs>
      <w:spacing w:before="240" w:line="312" w:lineRule="auto"/>
      <w:ind w:hanging="964"/>
      <w:outlineLvl w:val="1"/>
    </w:pPr>
    <w:rPr>
      <w:b/>
      <w:bCs/>
      <w:color w:val="FF6600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pPr>
      <w:numPr>
        <w:ilvl w:val="2"/>
        <w:numId w:val="1"/>
      </w:numPr>
      <w:tabs>
        <w:tab w:val="num" w:pos="0"/>
        <w:tab w:val="clear" w:pos="360"/>
      </w:tabs>
      <w:spacing w:before="240" w:line="276" w:lineRule="auto"/>
      <w:ind w:hanging="964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link w:val="Nadpis4Char"/>
    <w:uiPriority w:val="9"/>
    <w:qFormat/>
    <w:pPr>
      <w:numPr>
        <w:ilvl w:val="3"/>
        <w:numId w:val="1"/>
      </w:numPr>
      <w:tabs>
        <w:tab w:val="num" w:pos="0"/>
        <w:tab w:val="clear" w:pos="360"/>
      </w:tabs>
      <w:spacing w:line="276" w:lineRule="auto"/>
      <w:ind w:hanging="964"/>
      <w:outlineLvl w:val="3"/>
    </w:pPr>
    <w:rPr>
      <w:b/>
      <w:bCs/>
      <w:i/>
      <w:iCs/>
      <w:color w:val="FF6600"/>
    </w:rPr>
  </w:style>
  <w:style w:type="paragraph" w:styleId="Heading5">
    <w:name w:val="heading 5"/>
    <w:basedOn w:val="Normal"/>
    <w:next w:val="Normal"/>
    <w:link w:val="Nadpis5Char"/>
    <w:uiPriority w:val="9"/>
    <w:qFormat/>
    <w:pPr>
      <w:numPr>
        <w:ilvl w:val="4"/>
        <w:numId w:val="1"/>
      </w:numPr>
      <w:tabs>
        <w:tab w:val="num" w:pos="0"/>
        <w:tab w:val="clear" w:pos="360"/>
      </w:tabs>
      <w:spacing w:before="200" w:after="0"/>
      <w:outlineLvl w:val="4"/>
    </w:pPr>
    <w:rPr>
      <w:b/>
      <w:bCs/>
      <w:i/>
      <w:iCs/>
      <w:color w:val="FF6600"/>
    </w:rPr>
  </w:style>
  <w:style w:type="paragraph" w:styleId="Heading6">
    <w:name w:val="heading 6"/>
    <w:basedOn w:val="Normal"/>
    <w:next w:val="Normal"/>
    <w:link w:val="Nadpis6Char"/>
    <w:uiPriority w:val="9"/>
    <w:qFormat/>
    <w:pPr>
      <w:numPr>
        <w:ilvl w:val="5"/>
        <w:numId w:val="1"/>
      </w:numPr>
      <w:tabs>
        <w:tab w:val="num" w:pos="0"/>
        <w:tab w:val="clear" w:pos="360"/>
      </w:tabs>
      <w:outlineLvl w:val="5"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"/>
    <w:locked/>
    <w:rPr>
      <w:rFonts w:ascii="Calibri" w:hAnsi="Calibri" w:cs="Times New Roman"/>
      <w:b/>
      <w:color w:val="FF6600"/>
      <w:sz w:val="32"/>
    </w:rPr>
  </w:style>
  <w:style w:type="character" w:customStyle="1" w:styleId="Nadpis2Char">
    <w:name w:val="Nadpis 2 Char"/>
    <w:link w:val="Heading2"/>
    <w:uiPriority w:val="9"/>
    <w:locked/>
    <w:rPr>
      <w:rFonts w:ascii="Calibri" w:hAnsi="Calibri" w:cs="Times New Roman"/>
      <w:b/>
      <w:color w:val="FF6600"/>
      <w:sz w:val="28"/>
    </w:rPr>
  </w:style>
  <w:style w:type="character" w:customStyle="1" w:styleId="Nadpis3Char">
    <w:name w:val="Nadpis 3 Char"/>
    <w:link w:val="Heading3"/>
    <w:uiPriority w:val="9"/>
    <w:locked/>
    <w:rPr>
      <w:rFonts w:ascii="Calibri" w:hAnsi="Calibri" w:cs="Times New Roman"/>
      <w:b/>
      <w:color w:val="FF6600"/>
      <w:sz w:val="24"/>
    </w:rPr>
  </w:style>
  <w:style w:type="character" w:customStyle="1" w:styleId="Nadpis4Char">
    <w:name w:val="Nadpis 4 Char"/>
    <w:link w:val="Heading4"/>
    <w:uiPriority w:val="9"/>
    <w:locked/>
    <w:rPr>
      <w:rFonts w:ascii="Calibri" w:hAnsi="Calibri" w:cs="Times New Roman"/>
      <w:b/>
      <w:i/>
      <w:color w:val="FF6600"/>
      <w:sz w:val="24"/>
    </w:rPr>
  </w:style>
  <w:style w:type="character" w:customStyle="1" w:styleId="Nadpis5Char">
    <w:name w:val="Nadpis 5 Char"/>
    <w:link w:val="Heading5"/>
    <w:uiPriority w:val="9"/>
    <w:locked/>
    <w:rPr>
      <w:rFonts w:ascii="Calibri" w:hAnsi="Calibri" w:cs="Times New Roman"/>
      <w:b/>
      <w:i/>
      <w:color w:val="FF6600"/>
      <w:sz w:val="24"/>
    </w:rPr>
  </w:style>
  <w:style w:type="character" w:customStyle="1" w:styleId="Nadpis6Char">
    <w:name w:val="Nadpis 6 Char"/>
    <w:link w:val="Heading6"/>
    <w:uiPriority w:val="9"/>
    <w:locked/>
    <w:rPr>
      <w:rFonts w:ascii="Calibri" w:hAnsi="Calibri" w:cs="Times New Roman"/>
      <w:color w:val="000000"/>
      <w:sz w:val="24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Times New Roman" w:hAnsi="Times New Roman"/>
      <w:lang w:val="x-none" w:eastAsia="sk-SK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/>
      <w:lang w:val="x-none" w:eastAsia="sk-SK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Predvolenpsmoodseku3">
    <w:name w:val="Predvolené písmo odseku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edvolenpsmoodseku2">
    <w:name w:val="Predvolené písmo odseku2"/>
  </w:style>
  <w:style w:type="character" w:customStyle="1" w:styleId="WW8Num2z1">
    <w:name w:val="WW8Num2z1"/>
  </w:style>
  <w:style w:type="character" w:customStyle="1" w:styleId="Predvolenpsmoodseku1">
    <w:name w:val="Predvolené písmo odseku1"/>
  </w:style>
  <w:style w:type="character" w:customStyle="1" w:styleId="NzovChar">
    <w:name w:val="Názov Char"/>
    <w:rPr>
      <w:rFonts w:ascii="Cambria" w:hAnsi="Cambria"/>
      <w:color w:val="17365D"/>
      <w:sz w:val="52"/>
    </w:rPr>
  </w:style>
  <w:style w:type="character" w:customStyle="1" w:styleId="PodtitulChar">
    <w:name w:val="Podtitul Char"/>
    <w:rPr>
      <w:rFonts w:ascii="Cambria" w:hAnsi="Cambria"/>
      <w:i/>
      <w:color w:val="4F81BD"/>
      <w:sz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PlaceholderText">
    <w:name w:val="Placeholder Text"/>
    <w:uiPriority w:val="99"/>
    <w:rPr>
      <w:rFonts w:ascii="Times New Roman" w:hAnsi="Times New Roman" w:cs="Times New Roman"/>
      <w:color w:val="808080"/>
    </w:rPr>
  </w:style>
  <w:style w:type="character" w:customStyle="1" w:styleId="s1">
    <w:name w:val="s1"/>
    <w:rPr>
      <w:rFonts w:ascii="Times New Roman" w:hAnsi="Times New Roman"/>
      <w:spacing w:val="23"/>
    </w:rPr>
  </w:style>
  <w:style w:type="character" w:customStyle="1" w:styleId="TextpoznmkypodiarouChar">
    <w:name w:val="Text poznámky pod čiarou Char"/>
    <w:rPr>
      <w:rFonts w:eastAsia="Times New Roman"/>
    </w:rPr>
  </w:style>
  <w:style w:type="character" w:customStyle="1" w:styleId="Znakyprepoznmkupodiarou">
    <w:name w:val="Znaky pre poznámku pod čiarou"/>
    <w:rPr>
      <w:rFonts w:ascii="Times New Roman" w:hAnsi="Times New Roman"/>
      <w:vertAlign w:val="superscript"/>
    </w:rPr>
  </w:style>
  <w:style w:type="character" w:customStyle="1" w:styleId="TextbublinyChar">
    <w:name w:val="Text bubliny Char"/>
    <w:rPr>
      <w:rFonts w:ascii="Tahoma" w:hAnsi="Tahoma"/>
      <w:color w:val="000000"/>
      <w:sz w:val="16"/>
    </w:rPr>
  </w:style>
  <w:style w:type="character" w:customStyle="1" w:styleId="Odkaznapoznmkupodiarou1">
    <w:name w:val="Odkaz na poznámku pod čiarou1"/>
    <w:rPr>
      <w:vertAlign w:val="superscript"/>
    </w:rPr>
  </w:style>
  <w:style w:type="character" w:customStyle="1" w:styleId="Znakyprekoncovpoznmku">
    <w:name w:val="Znaky pre koncovú poznámku"/>
    <w:rPr>
      <w:vertAlign w:val="superscript"/>
    </w:rPr>
  </w:style>
  <w:style w:type="character" w:customStyle="1" w:styleId="WW-Znakyprekoncovpoznmku">
    <w:name w:val="WW-Znaky pre koncovú poznámku"/>
  </w:style>
  <w:style w:type="character" w:customStyle="1" w:styleId="Odkaznapoznmkupodiarou2">
    <w:name w:val="Odkaz na poznámku pod čiarou2"/>
    <w:rPr>
      <w:vertAlign w:val="superscript"/>
    </w:rPr>
  </w:style>
  <w:style w:type="character" w:customStyle="1" w:styleId="Symbolypreslovanie">
    <w:name w:val="Symboly pre číslovanie"/>
  </w:style>
  <w:style w:type="character" w:customStyle="1" w:styleId="Odkaznavysvetlivku1">
    <w:name w:val="Odkaz na vysvetlivku1"/>
    <w:rPr>
      <w:vertAlign w:val="superscript"/>
    </w:rPr>
  </w:style>
  <w:style w:type="character" w:customStyle="1" w:styleId="ListLabel1">
    <w:name w:val="ListLabel 1"/>
    <w:rPr>
      <w:rFonts w:ascii="Times New Roman" w:hAnsi="Times New Roman"/>
      <w:color w:val="494949"/>
      <w:lang w:val="x-none" w:eastAsia="sk-SK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ZkladntextChar"/>
    <w:uiPriority w:val="99"/>
    <w:pPr>
      <w:widowControl w:val="0"/>
      <w:spacing w:before="0" w:after="0" w:line="288" w:lineRule="auto"/>
    </w:pPr>
    <w:rPr>
      <w:rFonts w:ascii="Times New Roman" w:hAnsi="Times New Roman" w:cs="Arial Unicode MS"/>
      <w:lang w:val="en-US"/>
    </w:rPr>
  </w:style>
  <w:style w:type="character" w:customStyle="1" w:styleId="ZkladntextChar">
    <w:name w:val="Základný text Char"/>
    <w:link w:val="BodyText"/>
    <w:uiPriority w:val="99"/>
    <w:semiHidden/>
    <w:locked/>
    <w:rPr>
      <w:rFonts w:ascii="Calibri" w:hAnsi="Calibri" w:cs="Calibri"/>
      <w:color w:val="000000"/>
      <w:sz w:val="24"/>
      <w:szCs w:val="24"/>
      <w:lang w:val="x-none" w:eastAsia="zh-CN"/>
    </w:rPr>
  </w:style>
  <w:style w:type="paragraph" w:styleId="List">
    <w:name w:val="List"/>
    <w:basedOn w:val="BodyText"/>
    <w:uiPriority w:val="99"/>
    <w:rPr>
      <w:rFonts w:ascii="Arial" w:hAnsi="Arial" w:cs="Ari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Arial"/>
    </w:rPr>
  </w:style>
  <w:style w:type="paragraph" w:customStyle="1" w:styleId="Nadpis">
    <w:name w:val="Nadpis"/>
    <w:basedOn w:val="Normal"/>
    <w:next w:val="BodyText"/>
    <w:pPr>
      <w:spacing w:after="300"/>
    </w:pPr>
    <w:rPr>
      <w:rFonts w:ascii="Cambria" w:hAnsi="Cambria" w:cs="Cambria"/>
      <w:color w:val="17365D"/>
      <w:sz w:val="52"/>
      <w:szCs w:val="52"/>
    </w:rPr>
  </w:style>
  <w:style w:type="paragraph" w:customStyle="1" w:styleId="Popis1">
    <w:name w:val="Popis1"/>
    <w:basedOn w:val="Normal"/>
    <w:pPr>
      <w:suppressLineNumbers/>
      <w:spacing w:before="120" w:after="120"/>
    </w:pPr>
    <w:rPr>
      <w:rFonts w:ascii="Arial" w:hAnsi="Arial" w:cs="Arial"/>
      <w:i/>
      <w:iCs/>
      <w:sz w:val="18"/>
    </w:rPr>
  </w:style>
  <w:style w:type="paragraph" w:styleId="Subtitle">
    <w:name w:val="Subtitle"/>
    <w:basedOn w:val="Normal"/>
    <w:next w:val="BodyText"/>
    <w:link w:val="PodtitulChar1"/>
    <w:uiPriority w:val="11"/>
    <w:qFormat/>
    <w:rPr>
      <w:rFonts w:ascii="Cambria" w:hAnsi="Cambria" w:cs="Cambria"/>
      <w:i/>
      <w:iCs/>
      <w:color w:val="4F81BD"/>
    </w:rPr>
  </w:style>
  <w:style w:type="character" w:customStyle="1" w:styleId="PodtitulChar1">
    <w:name w:val="Podtitul Char1"/>
    <w:link w:val="Subtitle"/>
    <w:uiPriority w:val="11"/>
    <w:locked/>
    <w:rPr>
      <w:rFonts w:ascii="Cambria" w:eastAsia="Times New Roman" w:hAnsi="Cambria" w:cs="Times New Roman"/>
      <w:color w:val="000000"/>
      <w:sz w:val="24"/>
      <w:szCs w:val="24"/>
      <w:lang w:val="x-none" w:eastAsia="zh-CN"/>
    </w:rPr>
  </w:style>
  <w:style w:type="paragraph" w:customStyle="1" w:styleId="p4">
    <w:name w:val="p4"/>
    <w:basedOn w:val="Normal"/>
    <w:pPr>
      <w:spacing w:before="0" w:after="0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p5">
    <w:name w:val="p5"/>
    <w:basedOn w:val="Normal"/>
    <w:pPr>
      <w:spacing w:before="0" w:after="0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p6">
    <w:name w:val="p6"/>
    <w:basedOn w:val="Normal"/>
    <w:pPr>
      <w:spacing w:before="0" w:after="0"/>
      <w:ind w:firstLine="531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Normlny1">
    <w:name w:val="Normálny1"/>
    <w:pPr>
      <w:widowControl w:val="0"/>
      <w:suppressAutoHyphens/>
      <w:spacing w:line="276" w:lineRule="auto"/>
    </w:pPr>
    <w:rPr>
      <w:rFonts w:ascii="Arial" w:hAnsi="Arial" w:cs="Arial"/>
      <w:color w:val="000000"/>
      <w:sz w:val="22"/>
      <w:szCs w:val="22"/>
      <w:lang w:val="sk-SK" w:eastAsia="zh-CN" w:bidi="ar-SA"/>
    </w:rPr>
  </w:style>
  <w:style w:type="paragraph" w:styleId="FootnoteText">
    <w:name w:val="footnote text"/>
    <w:basedOn w:val="Normal"/>
    <w:link w:val="TextpoznmkypodiarouChar1"/>
    <w:uiPriority w:val="99"/>
    <w:pPr>
      <w:spacing w:before="0" w:after="160" w:line="252" w:lineRule="auto"/>
      <w:jc w:val="lef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xtpoznmkypodiarouChar1">
    <w:name w:val="Text poznámky pod čiarou Char1"/>
    <w:link w:val="FootnoteText"/>
    <w:uiPriority w:val="99"/>
    <w:semiHidden/>
    <w:locked/>
    <w:rPr>
      <w:rFonts w:ascii="Calibri" w:hAnsi="Calibri" w:cs="Calibri"/>
      <w:color w:val="000000"/>
      <w:lang w:val="x-none" w:eastAsia="zh-CN"/>
    </w:rPr>
  </w:style>
  <w:style w:type="paragraph" w:styleId="BalloonText">
    <w:name w:val="Balloon Text"/>
    <w:basedOn w:val="Normal"/>
    <w:link w:val="TextbublinyChar1"/>
    <w:uiPriority w:val="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BalloonText"/>
    <w:uiPriority w:val="99"/>
    <w:semiHidden/>
    <w:locked/>
    <w:rPr>
      <w:rFonts w:ascii="Tahoma" w:hAnsi="Tahoma" w:cs="Tahoma"/>
      <w:color w:val="000000"/>
      <w:sz w:val="16"/>
      <w:szCs w:val="16"/>
      <w:lang w:val="x-none" w:eastAsia="zh-C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pPr>
      <w:suppressAutoHyphens w:val="0"/>
      <w:spacing w:before="280" w:after="142" w:line="288" w:lineRule="auto"/>
      <w:jc w:val="left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navrh zakona</vt:lpstr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 zakona</dc:title>
  <dc:creator>pto</dc:creator>
  <cp:lastModifiedBy>pto</cp:lastModifiedBy>
  <cp:revision>4</cp:revision>
  <cp:lastPrinted>2018-06-11T09:04:00Z</cp:lastPrinted>
  <dcterms:created xsi:type="dcterms:W3CDTF">2019-08-19T15:33:00Z</dcterms:created>
  <dcterms:modified xsi:type="dcterms:W3CDTF">2019-08-19T15:42:00Z</dcterms:modified>
</cp:coreProperties>
</file>