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57" w:rsidRPr="00026EB2" w:rsidRDefault="00E86271" w:rsidP="005D0657">
      <w:pPr>
        <w:jc w:val="center"/>
        <w:rPr>
          <w:b/>
        </w:rPr>
      </w:pPr>
      <w:r>
        <w:rPr>
          <w:b/>
        </w:rPr>
        <w:t>Návrh na voľbu kandidáta</w:t>
      </w:r>
      <w:r w:rsidR="005D0657" w:rsidRPr="00026EB2">
        <w:rPr>
          <w:b/>
        </w:rPr>
        <w:t xml:space="preserve"> na sudcu Ústavného súdu Slovenskej republiky</w:t>
      </w:r>
    </w:p>
    <w:p w:rsidR="005D0657" w:rsidRPr="00026EB2" w:rsidRDefault="005D0657" w:rsidP="005D0657">
      <w:pPr>
        <w:jc w:val="center"/>
        <w:rPr>
          <w:b/>
        </w:rPr>
      </w:pPr>
    </w:p>
    <w:p w:rsidR="005D0657" w:rsidRPr="00026EB2" w:rsidRDefault="005D0657" w:rsidP="005D0657">
      <w:pPr>
        <w:spacing w:line="276" w:lineRule="auto"/>
        <w:ind w:firstLine="708"/>
        <w:jc w:val="both"/>
      </w:pPr>
      <w:r w:rsidRPr="00026EB2">
        <w:t>Náležitosti návrh</w:t>
      </w:r>
      <w:r w:rsidR="00B1015D">
        <w:t>ov</w:t>
      </w:r>
      <w:r w:rsidRPr="00026EB2">
        <w:t xml:space="preserve"> na voľbu </w:t>
      </w:r>
      <w:r w:rsidR="00E9142A">
        <w:t xml:space="preserve">kandidátov na </w:t>
      </w:r>
      <w:r w:rsidRPr="00026EB2">
        <w:t xml:space="preserve">sudcov Ústavného súdu Slovenskej republiky, spôsob voľby kandidátov na sudcu Ústavného súdu Slovenskej republiky a podmienky vymenovania za sudcu Ústavného súdu Slovenskej republiky upravuje Ústava Slovenskej republiky č. 460/1992 Zb., zákon č. </w:t>
      </w:r>
      <w:r>
        <w:t>314</w:t>
      </w:r>
      <w:r w:rsidRPr="00026EB2">
        <w:t>/2018 Z. z. o Ústavnom súde Slovenskej republiky a o zmene a doplnení niektorých zákonov a zákon Národnej rady Slovenskej republiky č. 350/1996 Z. z. o rokovacom poriadku Národnej rady Slovenskej republiky v znení neskorších predpisov.</w:t>
      </w:r>
    </w:p>
    <w:p w:rsidR="005D0657" w:rsidRPr="00026EB2" w:rsidRDefault="005D0657" w:rsidP="005D0657">
      <w:pPr>
        <w:spacing w:line="276" w:lineRule="auto"/>
        <w:ind w:firstLine="709"/>
        <w:contextualSpacing/>
        <w:jc w:val="both"/>
      </w:pPr>
      <w:r w:rsidRPr="00026EB2">
        <w:t>Podľa čl. 134 ods. 2 Ústavy Slovenskej republiky Národná rada Slovenskej republiky navrhuje prezidentovi Slovenskej republiky dvojnásobný počet kandidátov na sudcov Ústavného súdu Slovenskej republiky, ktorých má prezident Slovenskej republiky vymenovať.</w:t>
      </w:r>
    </w:p>
    <w:p w:rsidR="005D0657" w:rsidRDefault="005D0657" w:rsidP="005D0657">
      <w:pPr>
        <w:spacing w:line="276" w:lineRule="auto"/>
        <w:ind w:firstLine="708"/>
        <w:jc w:val="both"/>
      </w:pPr>
      <w:r w:rsidRPr="00026EB2">
        <w:t>Podľa čl. 134 ods. 3 Ústavy Slovenskej republiky môže byť za sudcu Ústavného súdu Slovenskej republiky vymenovaný občan Slovenskej republiky, ktorý je voliteľný do Národnej rady Slovenskej republiky, dosiahol vek 40 rokov, má vysokoškolské právnické vzdelanie a je najmenej 15 rokov činný v právnickom povolaní. Navrhnutý kandidát musí mať trvalý pobyt na území Slovenskej republiky podľa čl. 74 ods. 2 Ústavy Slovenskej republiky.</w:t>
      </w:r>
    </w:p>
    <w:p w:rsidR="00E9142A" w:rsidRPr="00026EB2" w:rsidRDefault="00E9142A" w:rsidP="005D0657">
      <w:pPr>
        <w:spacing w:line="276" w:lineRule="auto"/>
        <w:ind w:firstLine="708"/>
        <w:jc w:val="both"/>
      </w:pPr>
    </w:p>
    <w:p w:rsidR="005D0657" w:rsidRPr="00026EB2" w:rsidRDefault="005D0657" w:rsidP="005D0657">
      <w:pPr>
        <w:spacing w:line="276" w:lineRule="auto"/>
        <w:ind w:firstLine="708"/>
        <w:contextualSpacing/>
        <w:jc w:val="both"/>
      </w:pPr>
      <w:r w:rsidRPr="00026EB2">
        <w:t xml:space="preserve">Návrhy na voľbu kandidátov na sudcov Ústavného súdu Slovenskej republiky môžu podať na základe § 15 ods. 1 zákona č. </w:t>
      </w:r>
      <w:r>
        <w:t>314</w:t>
      </w:r>
      <w:r w:rsidRPr="00026EB2">
        <w:t>/2018 Z. z. o Ústavnom súde Slovenskej republiky a o zmene a doplnení niektorých zákonov Národnej rade Slovenskej republiky:</w:t>
      </w:r>
    </w:p>
    <w:p w:rsidR="005D0657" w:rsidRPr="00026EB2" w:rsidRDefault="005D0657" w:rsidP="005D0657">
      <w:pPr>
        <w:spacing w:line="276" w:lineRule="auto"/>
        <w:ind w:firstLine="709"/>
        <w:contextualSpacing/>
        <w:jc w:val="both"/>
      </w:pPr>
      <w:r w:rsidRPr="00026EB2">
        <w:t>a)</w:t>
      </w:r>
      <w:r w:rsidRPr="00026EB2">
        <w:tab/>
        <w:t>poslanci Národnej rady Slovenskej republiky,</w:t>
      </w:r>
    </w:p>
    <w:p w:rsidR="005D0657" w:rsidRPr="00026EB2" w:rsidRDefault="005D0657" w:rsidP="005D0657">
      <w:pPr>
        <w:spacing w:line="276" w:lineRule="auto"/>
        <w:ind w:firstLine="709"/>
        <w:contextualSpacing/>
        <w:jc w:val="both"/>
      </w:pPr>
      <w:r w:rsidRPr="00026EB2">
        <w:t>b)</w:t>
      </w:r>
      <w:r w:rsidRPr="00026EB2">
        <w:tab/>
        <w:t>vláda Slovenskej republiky,</w:t>
      </w:r>
    </w:p>
    <w:p w:rsidR="005D0657" w:rsidRPr="00026EB2" w:rsidRDefault="005D0657" w:rsidP="005D0657">
      <w:pPr>
        <w:spacing w:line="276" w:lineRule="auto"/>
        <w:ind w:firstLine="709"/>
        <w:contextualSpacing/>
        <w:jc w:val="both"/>
      </w:pPr>
      <w:r w:rsidRPr="00026EB2">
        <w:t>c)</w:t>
      </w:r>
      <w:r w:rsidRPr="00026EB2">
        <w:tab/>
        <w:t xml:space="preserve">predseda Ústavného súdu Slovenskej republiky, </w:t>
      </w:r>
    </w:p>
    <w:p w:rsidR="005D0657" w:rsidRPr="00026EB2" w:rsidRDefault="005D0657" w:rsidP="005D0657">
      <w:pPr>
        <w:spacing w:line="276" w:lineRule="auto"/>
        <w:ind w:firstLine="709"/>
        <w:contextualSpacing/>
        <w:jc w:val="both"/>
      </w:pPr>
      <w:r w:rsidRPr="00026EB2">
        <w:t>d)</w:t>
      </w:r>
      <w:r w:rsidRPr="00026EB2">
        <w:tab/>
        <w:t>predseda Súdnej rady Slovenskej republiky,</w:t>
      </w:r>
    </w:p>
    <w:p w:rsidR="005D0657" w:rsidRPr="00026EB2" w:rsidRDefault="005D0657" w:rsidP="005D0657">
      <w:pPr>
        <w:spacing w:line="276" w:lineRule="auto"/>
        <w:ind w:firstLine="709"/>
        <w:contextualSpacing/>
        <w:jc w:val="both"/>
      </w:pPr>
      <w:r w:rsidRPr="00026EB2">
        <w:t>e)</w:t>
      </w:r>
      <w:r w:rsidRPr="00026EB2">
        <w:tab/>
        <w:t>najmenej päť členov Súdnej rady Slovenskej republiky,</w:t>
      </w:r>
    </w:p>
    <w:p w:rsidR="005D0657" w:rsidRPr="00026EB2" w:rsidRDefault="005D0657" w:rsidP="005D0657">
      <w:pPr>
        <w:spacing w:line="276" w:lineRule="auto"/>
        <w:ind w:firstLine="709"/>
        <w:contextualSpacing/>
        <w:jc w:val="both"/>
      </w:pPr>
      <w:r w:rsidRPr="00026EB2">
        <w:t>f)</w:t>
      </w:r>
      <w:r w:rsidRPr="00026EB2">
        <w:tab/>
        <w:t>predseda Najvyššieho súdu Slovenskej republiky,</w:t>
      </w:r>
    </w:p>
    <w:p w:rsidR="005D0657" w:rsidRPr="00026EB2" w:rsidRDefault="005D0657" w:rsidP="005D0657">
      <w:pPr>
        <w:spacing w:line="276" w:lineRule="auto"/>
        <w:ind w:firstLine="709"/>
        <w:contextualSpacing/>
        <w:jc w:val="both"/>
      </w:pPr>
      <w:r w:rsidRPr="00026EB2">
        <w:t>g)</w:t>
      </w:r>
      <w:r w:rsidRPr="00026EB2">
        <w:tab/>
        <w:t>generálny prokurátor Slovenskej republiky,</w:t>
      </w:r>
    </w:p>
    <w:p w:rsidR="005D0657" w:rsidRPr="00026EB2" w:rsidRDefault="005D0657" w:rsidP="005D0657">
      <w:pPr>
        <w:spacing w:line="276" w:lineRule="auto"/>
        <w:ind w:firstLine="709"/>
        <w:contextualSpacing/>
        <w:jc w:val="both"/>
      </w:pPr>
      <w:r w:rsidRPr="00026EB2">
        <w:t>h)</w:t>
      </w:r>
      <w:r w:rsidRPr="00026EB2">
        <w:tab/>
        <w:t>verejný ochranca práv,</w:t>
      </w:r>
    </w:p>
    <w:p w:rsidR="005D0657" w:rsidRPr="00026EB2" w:rsidRDefault="005D0657" w:rsidP="005D0657">
      <w:pPr>
        <w:spacing w:line="276" w:lineRule="auto"/>
        <w:ind w:firstLine="709"/>
        <w:contextualSpacing/>
        <w:jc w:val="both"/>
      </w:pPr>
      <w:r w:rsidRPr="00026EB2">
        <w:t>i)</w:t>
      </w:r>
      <w:r w:rsidRPr="00026EB2">
        <w:tab/>
        <w:t xml:space="preserve">profesijné organizácie právnikov, </w:t>
      </w:r>
    </w:p>
    <w:p w:rsidR="005D0657" w:rsidRPr="00026EB2" w:rsidRDefault="005D0657" w:rsidP="005D0657">
      <w:pPr>
        <w:spacing w:line="276" w:lineRule="auto"/>
        <w:ind w:firstLine="709"/>
        <w:contextualSpacing/>
        <w:jc w:val="both"/>
      </w:pPr>
      <w:r w:rsidRPr="00026EB2">
        <w:t>j)</w:t>
      </w:r>
      <w:r w:rsidRPr="00026EB2">
        <w:tab/>
        <w:t>vedecké inštitúcie pôsobiace v oblasti práva.</w:t>
      </w:r>
    </w:p>
    <w:p w:rsidR="005D0657" w:rsidRPr="00026EB2" w:rsidRDefault="005D0657" w:rsidP="005D0657">
      <w:pPr>
        <w:spacing w:line="276" w:lineRule="auto"/>
        <w:ind w:firstLine="360"/>
        <w:contextualSpacing/>
        <w:jc w:val="both"/>
      </w:pPr>
    </w:p>
    <w:p w:rsidR="005D0657" w:rsidRPr="00026EB2" w:rsidRDefault="005D0657" w:rsidP="005D0657">
      <w:pPr>
        <w:keepNext/>
        <w:keepLines/>
        <w:spacing w:line="276" w:lineRule="auto"/>
        <w:ind w:firstLine="709"/>
        <w:contextualSpacing/>
        <w:jc w:val="both"/>
      </w:pPr>
      <w:r w:rsidRPr="00026EB2">
        <w:t xml:space="preserve">V zmysle § 15 ods. 2 zákona č. </w:t>
      </w:r>
      <w:r>
        <w:t>314</w:t>
      </w:r>
      <w:r w:rsidRPr="00026EB2">
        <w:t>/2018 Z. z. o Ústavnom súde Slovenskej republiky a o zmene a doplnení niektorých zá</w:t>
      </w:r>
      <w:r w:rsidR="00D339DB">
        <w:t>konov, návrh na voľbu kandidáta</w:t>
      </w:r>
      <w:r w:rsidRPr="00026EB2">
        <w:t xml:space="preserve"> na sudcu Ústavného súdu Slovenskej republiky obsahuje:</w:t>
      </w:r>
    </w:p>
    <w:p w:rsidR="005D0657" w:rsidRPr="00026EB2" w:rsidRDefault="005D0657" w:rsidP="005D0657">
      <w:pPr>
        <w:pStyle w:val="Odsekzoznamu"/>
        <w:numPr>
          <w:ilvl w:val="0"/>
          <w:numId w:val="5"/>
        </w:numPr>
        <w:spacing w:line="276" w:lineRule="auto"/>
        <w:jc w:val="both"/>
      </w:pPr>
      <w:r w:rsidRPr="00026EB2">
        <w:t>označenie navrhovateľa,</w:t>
      </w:r>
    </w:p>
    <w:p w:rsidR="005D0657" w:rsidRPr="00026EB2" w:rsidRDefault="005D0657" w:rsidP="005D0657">
      <w:pPr>
        <w:pStyle w:val="Odsekzoznamu"/>
        <w:numPr>
          <w:ilvl w:val="0"/>
          <w:numId w:val="5"/>
        </w:numPr>
        <w:spacing w:after="160" w:line="276" w:lineRule="auto"/>
        <w:jc w:val="both"/>
      </w:pPr>
      <w:r w:rsidRPr="00026EB2">
        <w:t>predmet návrhu,</w:t>
      </w:r>
    </w:p>
    <w:p w:rsidR="005D0657" w:rsidRPr="00026EB2" w:rsidRDefault="005D0657" w:rsidP="005D0657">
      <w:pPr>
        <w:pStyle w:val="Odsekzoznamu"/>
        <w:numPr>
          <w:ilvl w:val="0"/>
          <w:numId w:val="5"/>
        </w:numPr>
        <w:spacing w:after="160" w:line="276" w:lineRule="auto"/>
        <w:jc w:val="both"/>
      </w:pPr>
      <w:r w:rsidRPr="00026EB2">
        <w:t xml:space="preserve">listiny preukazujúce, že uchádzač o funkciu sudcu ústavného súdu spĺňa podmienky na vymenovanie za sudcu ústavného súdu, </w:t>
      </w:r>
    </w:p>
    <w:p w:rsidR="005D0657" w:rsidRPr="00026EB2" w:rsidRDefault="005D0657" w:rsidP="005D0657">
      <w:pPr>
        <w:pStyle w:val="Odsekzoznamu"/>
        <w:spacing w:line="276" w:lineRule="auto"/>
        <w:ind w:left="1416"/>
        <w:jc w:val="both"/>
      </w:pPr>
      <w:r w:rsidRPr="00026EB2">
        <w:t>1. originál alebo úradne overenú kópiu listiny osvedčujúcej meno, priezvisko, vek, štátne občianstvo Slovenskej republiky a trvalý pobyt na území Slovenskej republiky,</w:t>
      </w:r>
    </w:p>
    <w:p w:rsidR="005D0657" w:rsidRPr="00026EB2" w:rsidRDefault="005D0657" w:rsidP="005D0657">
      <w:pPr>
        <w:pStyle w:val="Odsekzoznamu"/>
        <w:spacing w:line="276" w:lineRule="auto"/>
        <w:ind w:left="1416"/>
        <w:jc w:val="both"/>
      </w:pPr>
      <w:r w:rsidRPr="00026EB2">
        <w:lastRenderedPageBreak/>
        <w:t>2. originál alebo úradne overenú kópiu listiny preukazujúcej dosiahnuté vysokoškolské právnické vzdelanie druhého stupňa,</w:t>
      </w:r>
    </w:p>
    <w:p w:rsidR="005D0657" w:rsidRPr="00026EB2" w:rsidRDefault="005D0657" w:rsidP="005D0657">
      <w:pPr>
        <w:pStyle w:val="Odsekzoznamu"/>
        <w:spacing w:line="276" w:lineRule="auto"/>
        <w:ind w:left="1416"/>
        <w:jc w:val="both"/>
      </w:pPr>
      <w:r w:rsidRPr="00026EB2">
        <w:t>3. doklady, z ktorých vyplýva, že uchádzač o funkciu sudcu ústavného súdu je najmenej 15 rokov činný v právnickom povolaní,</w:t>
      </w:r>
    </w:p>
    <w:p w:rsidR="005D0657" w:rsidRPr="00026EB2" w:rsidRDefault="005D0657" w:rsidP="005D0657">
      <w:pPr>
        <w:pStyle w:val="Odsekzoznamu"/>
        <w:spacing w:line="276" w:lineRule="auto"/>
        <w:ind w:left="1416"/>
        <w:jc w:val="both"/>
      </w:pPr>
      <w:r w:rsidRPr="00026EB2">
        <w:t>4. vyhlásenie uchádzača o funkciu sudcu ústavného súdu, že nie je členom politickej strany alebo politického hnutia a ak je, vyhlásenie, že pred zložením sľubu sa vzdá členstva v politickej strane alebo politickom hnutí,</w:t>
      </w:r>
    </w:p>
    <w:p w:rsidR="005D0657" w:rsidRPr="00026EB2" w:rsidRDefault="005D0657" w:rsidP="005D0657">
      <w:pPr>
        <w:pStyle w:val="Odsekzoznamu"/>
        <w:spacing w:line="276" w:lineRule="auto"/>
        <w:ind w:left="1416"/>
        <w:jc w:val="both"/>
      </w:pPr>
      <w:r w:rsidRPr="00026EB2">
        <w:t>5. vyhlásenie uchádzača o funkciu sudcu ústavného súdu, že nevykonáva funkciu alebo činnosť, výkon ktorej je nezlučiteľný s výkonom funkcie sudcu ústavného súdu a ak vykonáva, vyhlásenie, že ešte pred zložením sľubu sa vzdá takejto funkcie alebo činnosti,</w:t>
      </w:r>
    </w:p>
    <w:p w:rsidR="005D0657" w:rsidRPr="00026EB2" w:rsidRDefault="005D0657" w:rsidP="005D0657">
      <w:pPr>
        <w:pStyle w:val="Odsekzoznamu"/>
        <w:numPr>
          <w:ilvl w:val="0"/>
          <w:numId w:val="5"/>
        </w:numPr>
        <w:spacing w:after="160" w:line="276" w:lineRule="auto"/>
        <w:jc w:val="both"/>
      </w:pPr>
      <w:r w:rsidRPr="00026EB2">
        <w:t>dátum vyhotovenia návrhu a podpis navrhovateľa.</w:t>
      </w:r>
    </w:p>
    <w:p w:rsidR="005D0657" w:rsidRPr="00026EB2" w:rsidRDefault="005D0657" w:rsidP="005D0657">
      <w:pPr>
        <w:spacing w:before="240" w:line="276" w:lineRule="auto"/>
        <w:ind w:firstLine="708"/>
        <w:jc w:val="both"/>
      </w:pPr>
      <w:r w:rsidRPr="00026EB2">
        <w:t xml:space="preserve">V súlade s § 15 ods. 3 zákona č. </w:t>
      </w:r>
      <w:r>
        <w:t>314</w:t>
      </w:r>
      <w:r w:rsidRPr="00026EB2">
        <w:t xml:space="preserve">/2018 Z. z. o Ústavnom súde Slovenskej republiky a o zmene a doplnení niektorých zákonov, návrhy na voľbu kandidátov na sudcov Ústavného súdu Slovenskej republiky musia byť odôvodnené a ich prílohou musí byť motivačný list osoby navrhovanej na kandidáta na sudcu Ústavného súdu Slovenskej republiky. </w:t>
      </w:r>
    </w:p>
    <w:p w:rsidR="003E2032" w:rsidRDefault="003E2032" w:rsidP="005D0657">
      <w:pPr>
        <w:spacing w:line="276" w:lineRule="auto"/>
        <w:ind w:firstLine="709"/>
        <w:contextualSpacing/>
        <w:jc w:val="both"/>
      </w:pPr>
    </w:p>
    <w:p w:rsidR="005D0657" w:rsidRPr="00026EB2" w:rsidRDefault="005D0657" w:rsidP="005D0657">
      <w:pPr>
        <w:spacing w:line="276" w:lineRule="auto"/>
        <w:ind w:firstLine="709"/>
        <w:contextualSpacing/>
        <w:jc w:val="both"/>
      </w:pPr>
      <w:r w:rsidRPr="00026EB2">
        <w:t>Podľa § 116a zákona Národnej rady Slovenskej republiky č. 350/1996 Z. z. o rokovacom poriadku Národnej rady Slovenskej republiky v znení neskorších predpisov vyhlasuje voľbu kandidátov na sudcov Ústavného súdu Slovenskej republiky predseda Národnej rady Slovenskej republiky a zároveň uvedie náležitosti vyžadované pre kandidáta na sudcu Ústavného súdu Slovenskej republiky.</w:t>
      </w:r>
    </w:p>
    <w:p w:rsidR="005D0657" w:rsidRPr="00026EB2" w:rsidRDefault="002D75BC" w:rsidP="005D0657">
      <w:pPr>
        <w:spacing w:line="276" w:lineRule="auto"/>
        <w:ind w:firstLine="709"/>
        <w:contextualSpacing/>
        <w:jc w:val="both"/>
      </w:pPr>
      <w:r>
        <w:t xml:space="preserve">Návrhy na voľbu kandidátov na </w:t>
      </w:r>
      <w:r w:rsidRPr="00026EB2">
        <w:t>sudcov Ústavného súdu Slovenskej republiky</w:t>
      </w:r>
      <w:r>
        <w:t xml:space="preserve"> sa podávajú Ústavnoprávnemu výboru Národnej rady Slovenskej republiky. </w:t>
      </w:r>
      <w:r w:rsidR="005D0657" w:rsidRPr="00026EB2">
        <w:t>Súčasťou návrhu na voľbu kandidát</w:t>
      </w:r>
      <w:r w:rsidR="00B1015D">
        <w:t>a</w:t>
      </w:r>
      <w:r w:rsidR="00166AB7">
        <w:t xml:space="preserve"> na sudcu</w:t>
      </w:r>
      <w:r w:rsidR="005D0657" w:rsidRPr="00026EB2">
        <w:t xml:space="preserve"> Ústavného súdu Slovenskej republiky je navrhnutým kandidátom podpísaný životopis, ktorý obsahuje prehľad doterajšej právnej praxe, výsledky vedeckej, publikačne</w:t>
      </w:r>
      <w:r w:rsidR="00B1015D">
        <w:t>j</w:t>
      </w:r>
      <w:r w:rsidR="005D0657" w:rsidRPr="00026EB2">
        <w:t>, pedagogickej, justičnej alebo inej právnej odbornej činnosti. K návrhu sa pripojí súhlas navrhnutého kandidáta s návrhom na voľbu, čestné vyhlásenie o pravdivosti ním uvedených údajov a súhlas so zverejnením osobných údajov.</w:t>
      </w:r>
    </w:p>
    <w:p w:rsidR="005D0657" w:rsidRPr="00026EB2" w:rsidRDefault="005D0657" w:rsidP="005D0657">
      <w:pPr>
        <w:spacing w:line="276" w:lineRule="auto"/>
        <w:contextualSpacing/>
        <w:jc w:val="both"/>
      </w:pPr>
      <w:r w:rsidRPr="00026EB2">
        <w:tab/>
        <w:t>Ústavnoprávny výbor Národnej rady Slovenskej republiky prerokuje návrh</w:t>
      </w:r>
      <w:r w:rsidR="00B1015D">
        <w:t>y</w:t>
      </w:r>
      <w:r w:rsidRPr="00026EB2">
        <w:t xml:space="preserve"> na voľbu kandidátov na sudcu Ústavného súdu Slovenskej republiky na verejnej schôdzi, na ktorej umožní každému navrhnutému kandidátovi vystúpiť bez účasti ostatných navrhnutých kandidátov.</w:t>
      </w:r>
    </w:p>
    <w:p w:rsidR="005D0657" w:rsidRPr="00026EB2" w:rsidRDefault="005D0657" w:rsidP="005D0657">
      <w:pPr>
        <w:spacing w:line="276" w:lineRule="auto"/>
        <w:contextualSpacing/>
        <w:jc w:val="both"/>
      </w:pPr>
      <w:r w:rsidRPr="00026EB2">
        <w:tab/>
        <w:t>Po skončení rozpravy Ústavnoprávny výbor Národnej rady rozhodne o tom, či navrhnutí kandidáti spĺňajú podmienky uvedené v Ústave Slovenskej republiky vyžadované pre výkon funkcie sudcu Ústavného súdu Slovenskej republiky.</w:t>
      </w:r>
    </w:p>
    <w:p w:rsidR="005D0657" w:rsidRDefault="005D0657" w:rsidP="002D75BC">
      <w:pPr>
        <w:spacing w:line="276" w:lineRule="auto"/>
        <w:ind w:firstLine="708"/>
        <w:jc w:val="both"/>
      </w:pPr>
      <w:r w:rsidRPr="00026EB2">
        <w:t>Materiály, ktoré sú súčasťou návrhu na voľbu kandidáta na sudcu Ústavného súdu Slovenskej republiky, zverejňuje Národná rada Slovenskej republiky na svojom webovom sídle najmenej 15 dní pred schôdzou Ústavnoprávneho výboru Národnej rady Slovenskej republiky, na ktorej sa prerokujú návrhy na voľbu kandidátov na sudc</w:t>
      </w:r>
      <w:r w:rsidR="00166AB7">
        <w:t>ov</w:t>
      </w:r>
      <w:r w:rsidRPr="00026EB2">
        <w:t xml:space="preserve"> Ústavného súdu Slovenskej republiky. Niektoré osobné údaje možno pred zverejnením anonymizovať.</w:t>
      </w:r>
    </w:p>
    <w:p w:rsidR="002D75BC" w:rsidRDefault="002D75BC" w:rsidP="002D75BC">
      <w:pPr>
        <w:spacing w:line="276" w:lineRule="auto"/>
        <w:ind w:firstLine="708"/>
        <w:jc w:val="both"/>
        <w:rPr>
          <w:b/>
          <w:color w:val="9BBB59" w:themeColor="accent3"/>
          <w:sz w:val="28"/>
          <w:szCs w:val="28"/>
        </w:rPr>
      </w:pPr>
    </w:p>
    <w:p w:rsidR="005D0657" w:rsidRDefault="005D0657" w:rsidP="005D0657">
      <w:pPr>
        <w:pStyle w:val="ZkladntextIMP"/>
        <w:jc w:val="both"/>
        <w:rPr>
          <w:rFonts w:ascii="Times New Roman" w:hAnsi="Times New Roman"/>
          <w:b/>
          <w:color w:val="9BBB59" w:themeColor="accent3"/>
          <w:sz w:val="28"/>
          <w:szCs w:val="28"/>
        </w:rPr>
      </w:pPr>
    </w:p>
    <w:p w:rsidR="00605E47" w:rsidRPr="00605E47" w:rsidRDefault="00605E47" w:rsidP="00605E47">
      <w:pPr>
        <w:pStyle w:val="ZkladntextIMP"/>
        <w:jc w:val="center"/>
        <w:rPr>
          <w:rFonts w:ascii="Times New Roman" w:hAnsi="Times New Roman"/>
          <w:b/>
          <w:color w:val="9BBB59" w:themeColor="accent3"/>
          <w:sz w:val="28"/>
          <w:szCs w:val="28"/>
        </w:rPr>
      </w:pPr>
      <w:r w:rsidRPr="00605E47">
        <w:rPr>
          <w:rFonts w:ascii="Times New Roman" w:hAnsi="Times New Roman"/>
          <w:b/>
          <w:color w:val="9BBB59" w:themeColor="accent3"/>
          <w:sz w:val="28"/>
          <w:szCs w:val="28"/>
        </w:rPr>
        <w:lastRenderedPageBreak/>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Pr="00161B83" w:rsidRDefault="0096248F"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689"/>
        <w:gridCol w:w="5958"/>
      </w:tblGrid>
      <w:tr w:rsidR="00605E47" w:rsidRPr="00530237" w:rsidTr="0025594E">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958" w:type="dxa"/>
            <w:tcBorders>
              <w:top w:val="none" w:sz="0" w:space="0" w:color="auto"/>
            </w:tcBorders>
          </w:tcPr>
          <w:p w:rsidR="00655A75" w:rsidRPr="00042D94" w:rsidRDefault="0096248F" w:rsidP="00C86323">
            <w:pPr>
              <w:ind w:right="278"/>
              <w:rPr>
                <w:rFonts w:ascii="Times New Roman" w:hAnsi="Times New Roman"/>
                <w:i/>
                <w:color w:val="auto"/>
                <w:sz w:val="24"/>
                <w:lang w:val="sk-SK"/>
              </w:rPr>
            </w:pPr>
            <w:r>
              <w:rPr>
                <w:rFonts w:ascii="Times New Roman" w:hAnsi="Times New Roman"/>
                <w:b w:val="0"/>
                <w:i/>
                <w:color w:val="auto"/>
                <w:sz w:val="24"/>
                <w:lang w:val="sk-SK"/>
              </w:rPr>
              <w:t xml:space="preserve">  </w:t>
            </w:r>
            <w:r w:rsidR="00605E47" w:rsidRPr="00042D94">
              <w:rPr>
                <w:rFonts w:ascii="Times New Roman" w:hAnsi="Times New Roman"/>
                <w:b w:val="0"/>
                <w:i/>
                <w:color w:val="auto"/>
                <w:sz w:val="24"/>
                <w:lang w:val="sk-SK"/>
              </w:rPr>
              <w:t xml:space="preserve">Voľba </w:t>
            </w:r>
            <w:r w:rsidR="00C86323">
              <w:rPr>
                <w:rFonts w:ascii="Times New Roman" w:hAnsi="Times New Roman"/>
                <w:b w:val="0"/>
                <w:i/>
                <w:color w:val="auto"/>
                <w:sz w:val="24"/>
                <w:lang w:val="sk-SK"/>
              </w:rPr>
              <w:t xml:space="preserve">kandidátov na </w:t>
            </w:r>
            <w:r w:rsidR="00911171">
              <w:rPr>
                <w:rFonts w:ascii="Times New Roman" w:hAnsi="Times New Roman"/>
                <w:b w:val="0"/>
                <w:i/>
                <w:color w:val="auto"/>
                <w:sz w:val="24"/>
                <w:lang w:val="sk-SK"/>
              </w:rPr>
              <w:t>sudcov Ústavného súdu SR</w:t>
            </w:r>
            <w:r w:rsidR="00655A75">
              <w:rPr>
                <w:rFonts w:ascii="Times New Roman" w:hAnsi="Times New Roman"/>
                <w:b w:val="0"/>
                <w:i/>
                <w:color w:val="auto"/>
                <w:sz w:val="24"/>
                <w:lang w:val="sk-SK"/>
              </w:rPr>
              <w:t xml:space="preserve">  </w:t>
            </w:r>
            <w:bookmarkStart w:id="0" w:name="_GoBack"/>
            <w:bookmarkEnd w:id="0"/>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958" w:type="dxa"/>
          </w:tcPr>
          <w:p w:rsidR="00605E47" w:rsidRPr="00042D94" w:rsidRDefault="00605E47" w:rsidP="00911171">
            <w:pPr>
              <w:pStyle w:val="Odsekzoznamu"/>
              <w:numPr>
                <w:ilvl w:val="0"/>
                <w:numId w:val="2"/>
              </w:numPr>
              <w:ind w:left="293" w:hanging="285"/>
              <w:rPr>
                <w:rFonts w:ascii="Times New Roman" w:hAnsi="Times New Roman"/>
                <w:i/>
                <w:sz w:val="24"/>
                <w:lang w:val="sk-SK"/>
              </w:rPr>
            </w:pPr>
            <w:r w:rsidRPr="00042D94">
              <w:rPr>
                <w:rFonts w:ascii="Times New Roman" w:hAnsi="Times New Roman"/>
                <w:i/>
                <w:sz w:val="24"/>
                <w:lang w:val="sk-SK"/>
              </w:rPr>
              <w:t xml:space="preserve">ustanovenia </w:t>
            </w:r>
            <w:r w:rsidR="00911171">
              <w:rPr>
                <w:rFonts w:ascii="Times New Roman" w:hAnsi="Times New Roman"/>
                <w:i/>
                <w:sz w:val="24"/>
                <w:lang w:val="sk-SK"/>
              </w:rPr>
              <w:t xml:space="preserve">Ústavy Slovenskej republiky č. 460/1992 Zb. </w:t>
            </w:r>
            <w:r w:rsidRPr="00042D94">
              <w:rPr>
                <w:rFonts w:ascii="Times New Roman" w:hAnsi="Times New Roman"/>
                <w:i/>
                <w:sz w:val="24"/>
                <w:lang w:val="sk-SK"/>
              </w:rPr>
              <w:t xml:space="preserve"> </w:t>
            </w:r>
          </w:p>
          <w:p w:rsidR="00605E47" w:rsidRPr="00911171" w:rsidRDefault="00605E47" w:rsidP="00911171">
            <w:pPr>
              <w:pStyle w:val="Odsekzoznamu"/>
              <w:numPr>
                <w:ilvl w:val="0"/>
                <w:numId w:val="2"/>
              </w:numPr>
              <w:ind w:left="293" w:hanging="283"/>
              <w:rPr>
                <w:rFonts w:ascii="Times New Roman" w:hAnsi="Times New Roman"/>
                <w:sz w:val="24"/>
                <w:lang w:val="sk-SK"/>
              </w:rPr>
            </w:pPr>
            <w:r w:rsidRPr="00042D94">
              <w:rPr>
                <w:rFonts w:ascii="Times New Roman" w:hAnsi="Times New Roman"/>
                <w:i/>
                <w:sz w:val="24"/>
                <w:lang w:val="sk-SK"/>
              </w:rPr>
              <w:t xml:space="preserve">ustanovenia zákona č. </w:t>
            </w:r>
            <w:r w:rsidR="00B13B3A">
              <w:rPr>
                <w:rFonts w:ascii="Times New Roman" w:hAnsi="Times New Roman"/>
                <w:i/>
                <w:sz w:val="24"/>
                <w:lang w:val="sk-SK"/>
              </w:rPr>
              <w:t>314</w:t>
            </w:r>
            <w:r w:rsidRPr="00B13B3A">
              <w:rPr>
                <w:rFonts w:ascii="Times New Roman" w:hAnsi="Times New Roman"/>
                <w:i/>
                <w:sz w:val="24"/>
                <w:lang w:val="sk-SK"/>
              </w:rPr>
              <w:t>/</w:t>
            </w:r>
            <w:r w:rsidRPr="00042D94">
              <w:rPr>
                <w:rFonts w:ascii="Times New Roman" w:hAnsi="Times New Roman"/>
                <w:i/>
                <w:sz w:val="24"/>
                <w:lang w:val="sk-SK"/>
              </w:rPr>
              <w:t>20</w:t>
            </w:r>
            <w:r w:rsidR="00911171">
              <w:rPr>
                <w:rFonts w:ascii="Times New Roman" w:hAnsi="Times New Roman"/>
                <w:i/>
                <w:sz w:val="24"/>
                <w:lang w:val="sk-SK"/>
              </w:rPr>
              <w:t>18</w:t>
            </w:r>
            <w:r w:rsidRPr="00042D94">
              <w:rPr>
                <w:rFonts w:ascii="Times New Roman" w:hAnsi="Times New Roman"/>
                <w:i/>
                <w:sz w:val="24"/>
                <w:lang w:val="sk-SK"/>
              </w:rPr>
              <w:t xml:space="preserve"> Z. z. o </w:t>
            </w:r>
            <w:r w:rsidR="00911171">
              <w:rPr>
                <w:rFonts w:ascii="Times New Roman" w:hAnsi="Times New Roman"/>
                <w:i/>
                <w:sz w:val="24"/>
                <w:lang w:val="sk-SK"/>
              </w:rPr>
              <w:t>Ústavnom súde Slovenskej republiky a o zmene a doplnení niektorých zákonov</w:t>
            </w:r>
            <w:r w:rsidR="00655A75">
              <w:rPr>
                <w:rFonts w:ascii="Times New Roman" w:hAnsi="Times New Roman"/>
                <w:i/>
                <w:sz w:val="24"/>
                <w:lang w:val="sk-SK"/>
              </w:rPr>
              <w:t xml:space="preserve"> </w:t>
            </w:r>
          </w:p>
          <w:p w:rsidR="00911171" w:rsidRPr="00042D94" w:rsidRDefault="00911171" w:rsidP="00911171">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 xml:space="preserve">ustanovenia zákona č. 350/1996 Z. z. o rokovacom poriadku Národnej rady Slovenskej republiky v znení neskorších predpisov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OPRÁVNENÝ ZÁUJEM PRE SPRACÚVANIE</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KATEGÓRIE SPRACÚVANÝCH OSOBNÝCH ÚDAJOV</w:t>
            </w:r>
          </w:p>
        </w:tc>
        <w:tc>
          <w:tcPr>
            <w:tcW w:w="5958" w:type="dxa"/>
          </w:tcPr>
          <w:p w:rsidR="00911171" w:rsidRDefault="00605E47" w:rsidP="00911171">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bežné osobné údaje v rozsahu: meno a priezvisko, titul, dátum narodenia, adres</w:t>
            </w:r>
            <w:r w:rsidR="00911171">
              <w:rPr>
                <w:rFonts w:ascii="Times New Roman" w:hAnsi="Times New Roman"/>
                <w:i/>
                <w:sz w:val="24"/>
                <w:lang w:val="sk-SK"/>
              </w:rPr>
              <w:t>a</w:t>
            </w:r>
            <w:r w:rsidRPr="00042D94">
              <w:rPr>
                <w:rFonts w:ascii="Times New Roman" w:hAnsi="Times New Roman"/>
                <w:i/>
                <w:sz w:val="24"/>
                <w:lang w:val="sk-SK"/>
              </w:rPr>
              <w:t xml:space="preserve"> trvalého pobytu, </w:t>
            </w:r>
            <w:r w:rsidR="00911171">
              <w:rPr>
                <w:rFonts w:ascii="Times New Roman" w:hAnsi="Times New Roman"/>
                <w:i/>
                <w:sz w:val="24"/>
                <w:lang w:val="sk-SK"/>
              </w:rPr>
              <w:t xml:space="preserve">telefónne číslo, emailová adresa, štátne občianstvo, údaje o dosiahnutom  </w:t>
            </w:r>
            <w:r w:rsidRPr="00042D94">
              <w:rPr>
                <w:rFonts w:ascii="Times New Roman" w:hAnsi="Times New Roman"/>
                <w:i/>
                <w:sz w:val="24"/>
                <w:lang w:val="sk-SK"/>
              </w:rPr>
              <w:t>vzdelan</w:t>
            </w:r>
            <w:r w:rsidR="00911171">
              <w:rPr>
                <w:rFonts w:ascii="Times New Roman" w:hAnsi="Times New Roman"/>
                <w:i/>
                <w:sz w:val="24"/>
                <w:lang w:val="sk-SK"/>
              </w:rPr>
              <w:t>í, údaje a  prehľad pracovných skúseností, údaje o právnickom povolaní, údaje o právnej praxi, údaje o vedeckej, publikačnej, pedagogickej, justičnej a inej právnej odbornej činnosti, údaje o funkciách nezlučiteľných s výkonom funkcie sudcu ÚS SR</w:t>
            </w:r>
          </w:p>
          <w:p w:rsidR="00655A75" w:rsidRPr="00B13B3A" w:rsidRDefault="00605E47" w:rsidP="00B13B3A">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osob</w:t>
            </w:r>
            <w:r w:rsidR="00911171">
              <w:rPr>
                <w:rFonts w:ascii="Times New Roman" w:hAnsi="Times New Roman"/>
                <w:i/>
                <w:sz w:val="24"/>
                <w:lang w:val="sk-SK"/>
              </w:rPr>
              <w:t>itná kategória osobných údajov v rozsahu: členstvo v politickej strane, politickom hnutí</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958" w:type="dxa"/>
          </w:tcPr>
          <w:p w:rsidR="00605E47"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poslanci Národnej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vláda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Ústavného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členovia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Najvyššieho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generálny prokurátor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verejný ochranca práv</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profesijné organizácie právnikov</w:t>
            </w:r>
          </w:p>
          <w:p w:rsidR="0096248F" w:rsidRP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vedecké inštitúcie pôsobiace v oblasti práva</w:t>
            </w:r>
          </w:p>
        </w:tc>
      </w:tr>
      <w:tr w:rsidR="00605E47" w:rsidRPr="00530237" w:rsidTr="0025594E">
        <w:tc>
          <w:tcPr>
            <w:tcW w:w="2689"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958" w:type="dxa"/>
          </w:tcPr>
          <w:p w:rsidR="00605E47" w:rsidRPr="00042D94"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p>
          <w:p w:rsidR="00605E47" w:rsidRDefault="00605E47" w:rsidP="0096248F">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subjekty – podľa prístupu k webovému sídlu N</w:t>
            </w:r>
            <w:r w:rsidR="0096248F">
              <w:rPr>
                <w:rFonts w:ascii="Times New Roman" w:hAnsi="Times New Roman"/>
                <w:i/>
                <w:sz w:val="24"/>
                <w:lang w:val="sk-SK"/>
              </w:rPr>
              <w:t>árodnej rady Slovenskej republiky</w:t>
            </w:r>
            <w:r w:rsidRPr="00042D94">
              <w:rPr>
                <w:rFonts w:ascii="Times New Roman" w:hAnsi="Times New Roman"/>
                <w:i/>
                <w:sz w:val="24"/>
                <w:lang w:val="sk-SK"/>
              </w:rPr>
              <w:t xml:space="preserve"> </w:t>
            </w:r>
          </w:p>
          <w:p w:rsidR="0096248F"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prezidenta Slovenskej republiky</w:t>
            </w:r>
          </w:p>
          <w:p w:rsidR="00605E47" w:rsidRPr="00BB2862" w:rsidRDefault="00BB2862" w:rsidP="00042D94">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orgány verejnej moci</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958" w:type="dxa"/>
          </w:tcPr>
          <w:p w:rsidR="00605E47" w:rsidRPr="00042D94" w:rsidRDefault="00605E47" w:rsidP="00E979A3">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E979A3">
              <w:rPr>
                <w:rFonts w:ascii="Times New Roman" w:hAnsi="Times New Roman"/>
                <w:i/>
                <w:sz w:val="24"/>
                <w:lang w:val="sk-SK"/>
              </w:rPr>
              <w:t>Ide</w:t>
            </w:r>
            <w:r w:rsidR="00BB2862">
              <w:rPr>
                <w:rFonts w:ascii="Times New Roman" w:hAnsi="Times New Roman"/>
                <w:i/>
                <w:sz w:val="24"/>
                <w:lang w:val="sk-SK"/>
              </w:rPr>
              <w:t xml:space="preserve"> o trvalú dokumentárnu archívnu hodnotu</w:t>
            </w:r>
            <w:r w:rsidRPr="00042D94">
              <w:rPr>
                <w:rFonts w:ascii="Times New Roman" w:hAnsi="Times New Roman"/>
                <w:i/>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B13B3A" w:rsidRDefault="00B13B3A" w:rsidP="00605E47">
      <w:pPr>
        <w:ind w:right="566"/>
        <w:jc w:val="both"/>
        <w:rPr>
          <w:b/>
          <w:color w:val="9BBB59" w:themeColor="accent3"/>
          <w:u w:val="single"/>
        </w:rPr>
      </w:pPr>
    </w:p>
    <w:p w:rsidR="00B13B3A" w:rsidRDefault="00B13B3A" w:rsidP="00605E47">
      <w:pPr>
        <w:ind w:right="566"/>
        <w:jc w:val="both"/>
        <w:rPr>
          <w:b/>
          <w:color w:val="9BBB59" w:themeColor="accent3"/>
          <w:u w:val="single"/>
        </w:rPr>
      </w:pPr>
    </w:p>
    <w:p w:rsidR="00B13B3A" w:rsidRDefault="00B13B3A" w:rsidP="00605E47">
      <w:pPr>
        <w:ind w:right="566"/>
        <w:jc w:val="both"/>
        <w:rPr>
          <w:b/>
          <w:color w:val="9BBB59" w:themeColor="accent3"/>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lastRenderedPageBreak/>
        <w:t>PRÁVA DOTKNUTEJ OSOBY</w:t>
      </w:r>
    </w:p>
    <w:p w:rsidR="00605E47" w:rsidRPr="00AB748D" w:rsidRDefault="00605E47" w:rsidP="00605E47">
      <w:pPr>
        <w:ind w:right="567"/>
        <w:jc w:val="both"/>
      </w:pPr>
    </w:p>
    <w:p w:rsidR="00605E47" w:rsidRPr="00AB748D" w:rsidRDefault="00605E47" w:rsidP="00605E47">
      <w:pPr>
        <w:ind w:right="567"/>
        <w:jc w:val="both"/>
      </w:pPr>
      <w:r w:rsidRPr="00AB748D">
        <w:t>Dotknutá osoba, ktorej osobné údaje sú spracúvané Kanceláriou NR SR, má právo od Kancelárie NR SR požadovať:</w:t>
      </w: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t xml:space="preserve">obmedzenie spracúvania týchto údajov. </w:t>
      </w:r>
    </w:p>
    <w:p w:rsidR="00605E47" w:rsidRPr="00AB748D" w:rsidRDefault="00605E47" w:rsidP="00605E47">
      <w:pPr>
        <w:ind w:right="567"/>
        <w:jc w:val="both"/>
      </w:pPr>
    </w:p>
    <w:p w:rsidR="00605E47" w:rsidRPr="00AB748D" w:rsidRDefault="00605E47" w:rsidP="00605E47">
      <w:pPr>
        <w:ind w:right="567"/>
        <w:jc w:val="both"/>
      </w:pPr>
      <w:r w:rsidRPr="00AB748D">
        <w:t xml:space="preserve">Dotknutá osoba, ktorej osobné údaje sú spracúvané Kanceláriou NR SR, má súčasne právo: </w:t>
      </w:r>
    </w:p>
    <w:p w:rsidR="00605E47" w:rsidRPr="00AB748D" w:rsidRDefault="00605E47" w:rsidP="00605E47">
      <w:pPr>
        <w:pStyle w:val="Odsekzoznamu"/>
        <w:numPr>
          <w:ilvl w:val="0"/>
          <w:numId w:val="1"/>
        </w:numPr>
        <w:ind w:right="567"/>
        <w:jc w:val="both"/>
      </w:pPr>
      <w:r w:rsidRPr="00AB748D">
        <w:rPr>
          <w:color w:val="000000"/>
        </w:rPr>
        <w:t>namietať proti spracúvaniu osobných údajov, ktoré sa jej týkajú a </w:t>
      </w:r>
    </w:p>
    <w:p w:rsidR="00605E47" w:rsidRPr="00AB748D" w:rsidRDefault="00605E47" w:rsidP="00605E47">
      <w:pPr>
        <w:pStyle w:val="Odsekzoznamu"/>
        <w:numPr>
          <w:ilvl w:val="0"/>
          <w:numId w:val="1"/>
        </w:numPr>
        <w:ind w:right="567"/>
        <w:jc w:val="both"/>
      </w:pPr>
      <w:r w:rsidRPr="00AB748D">
        <w:rPr>
          <w:color w:val="000000"/>
        </w:rPr>
        <w:t>právo na prenosnosť týchto údajov.</w:t>
      </w:r>
      <w:r w:rsidRPr="00AB748D" w:rsidDel="004B679E">
        <w:t xml:space="preserve"> </w:t>
      </w:r>
    </w:p>
    <w:p w:rsidR="00605E47" w:rsidRPr="00AB748D" w:rsidRDefault="00605E47" w:rsidP="00605E47">
      <w:pPr>
        <w:pStyle w:val="Odsekzoznamu"/>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povinné. </w:t>
      </w:r>
      <w:r w:rsid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96248F">
        <w:t xml:space="preserve">zákonnou povinnosťou.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osobné údaje a povinná bezodkladne  informovať prevádzkovateľa o zmene svojich údajov.</w:t>
      </w:r>
    </w:p>
    <w:p w:rsidR="0025594E" w:rsidRPr="00BB2862" w:rsidRDefault="0025594E" w:rsidP="00605E47">
      <w:pPr>
        <w:ind w:right="566"/>
        <w:jc w:val="both"/>
        <w:rPr>
          <w:i/>
        </w:rPr>
      </w:pPr>
    </w:p>
    <w:p w:rsidR="0096248F" w:rsidRPr="0096248F" w:rsidRDefault="0096248F" w:rsidP="00605E47">
      <w:pPr>
        <w:ind w:right="566"/>
        <w:jc w:val="both"/>
        <w:rPr>
          <w:u w:val="single"/>
        </w:rPr>
      </w:pPr>
    </w:p>
    <w:p w:rsidR="0025594E" w:rsidRDefault="0025594E" w:rsidP="00605E47">
      <w:pPr>
        <w:ind w:right="566"/>
        <w:jc w:val="both"/>
        <w:rPr>
          <w:b/>
          <w:u w:val="single"/>
        </w:rPr>
      </w:pPr>
    </w:p>
    <w:p w:rsidR="0025594E" w:rsidRPr="0096248F" w:rsidRDefault="0025594E" w:rsidP="00605E47">
      <w:pPr>
        <w:ind w:right="566"/>
        <w:jc w:val="both"/>
      </w:pPr>
      <w:r w:rsidRPr="0096248F">
        <w:t>Bratislava dňa 16.11.2018</w:t>
      </w:r>
      <w:r w:rsidR="00605E47"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C4" w:rsidRDefault="00077CC4" w:rsidP="00605E47">
      <w:r>
        <w:separator/>
      </w:r>
    </w:p>
  </w:endnote>
  <w:endnote w:type="continuationSeparator" w:id="0">
    <w:p w:rsidR="00077CC4" w:rsidRDefault="00077CC4"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96248F">
        <w:pPr>
          <w:pStyle w:val="Pta"/>
          <w:jc w:val="right"/>
          <w:rPr>
            <w:b/>
            <w:sz w:val="22"/>
            <w:szCs w:val="22"/>
          </w:rPr>
        </w:pPr>
        <w:r w:rsidRPr="00605E47">
          <w:rPr>
            <w:b/>
            <w:sz w:val="22"/>
            <w:szCs w:val="22"/>
          </w:rPr>
          <w:fldChar w:fldCharType="begin"/>
        </w:r>
        <w:r w:rsidRPr="00605E47">
          <w:rPr>
            <w:b/>
            <w:sz w:val="22"/>
            <w:szCs w:val="22"/>
          </w:rPr>
          <w:instrText xml:space="preserve"> PAGE   \* MERGEFORMAT </w:instrText>
        </w:r>
        <w:r w:rsidRPr="00605E47">
          <w:rPr>
            <w:b/>
            <w:sz w:val="22"/>
            <w:szCs w:val="22"/>
          </w:rPr>
          <w:fldChar w:fldCharType="separate"/>
        </w:r>
        <w:r w:rsidR="00C86323">
          <w:rPr>
            <w:b/>
            <w:noProof/>
            <w:sz w:val="22"/>
            <w:szCs w:val="22"/>
          </w:rPr>
          <w:t>5</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C4" w:rsidRDefault="00077CC4" w:rsidP="00605E47">
      <w:r>
        <w:separator/>
      </w:r>
    </w:p>
  </w:footnote>
  <w:footnote w:type="continuationSeparator" w:id="0">
    <w:p w:rsidR="00077CC4" w:rsidRDefault="00077CC4"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77CFD"/>
    <w:multiLevelType w:val="hybridMultilevel"/>
    <w:tmpl w:val="41FA8A16"/>
    <w:lvl w:ilvl="0" w:tplc="041B0017">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2"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3"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E47"/>
    <w:rsid w:val="00042D94"/>
    <w:rsid w:val="00077CC4"/>
    <w:rsid w:val="00100ACF"/>
    <w:rsid w:val="00100FAE"/>
    <w:rsid w:val="00166AB7"/>
    <w:rsid w:val="0021695A"/>
    <w:rsid w:val="0025594E"/>
    <w:rsid w:val="0029219F"/>
    <w:rsid w:val="002D75BC"/>
    <w:rsid w:val="003E2032"/>
    <w:rsid w:val="00522369"/>
    <w:rsid w:val="005D0657"/>
    <w:rsid w:val="00605E47"/>
    <w:rsid w:val="00641024"/>
    <w:rsid w:val="00655A75"/>
    <w:rsid w:val="00702D56"/>
    <w:rsid w:val="00815970"/>
    <w:rsid w:val="00911171"/>
    <w:rsid w:val="0096248F"/>
    <w:rsid w:val="009A3244"/>
    <w:rsid w:val="00AB654E"/>
    <w:rsid w:val="00AC6900"/>
    <w:rsid w:val="00B1015D"/>
    <w:rsid w:val="00B13B3A"/>
    <w:rsid w:val="00BB2862"/>
    <w:rsid w:val="00C01425"/>
    <w:rsid w:val="00C86323"/>
    <w:rsid w:val="00C87A62"/>
    <w:rsid w:val="00D339DB"/>
    <w:rsid w:val="00D943A2"/>
    <w:rsid w:val="00E14CB5"/>
    <w:rsid w:val="00E86271"/>
    <w:rsid w:val="00E9142A"/>
    <w:rsid w:val="00E979A3"/>
    <w:rsid w:val="00F8295E"/>
    <w:rsid w:val="00FC0320"/>
    <w:rsid w:val="00FC4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22E2"/>
  <w15:docId w15:val="{AC54537A-2D82-4953-8560-839D537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 w:type="paragraph" w:styleId="Textbubliny">
    <w:name w:val="Balloon Text"/>
    <w:basedOn w:val="Normlny"/>
    <w:link w:val="TextbublinyChar"/>
    <w:uiPriority w:val="99"/>
    <w:semiHidden/>
    <w:unhideWhenUsed/>
    <w:rsid w:val="003E20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203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5289-CA5C-4BA6-8D40-68E2C5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1751</Words>
  <Characters>9982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Vodráška, Peter</cp:lastModifiedBy>
  <cp:revision>14</cp:revision>
  <cp:lastPrinted>2018-11-15T12:27:00Z</cp:lastPrinted>
  <dcterms:created xsi:type="dcterms:W3CDTF">2018-11-15T09:27:00Z</dcterms:created>
  <dcterms:modified xsi:type="dcterms:W3CDTF">2019-02-15T13:19:00Z</dcterms:modified>
</cp:coreProperties>
</file>