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3451" w:rsidRPr="00B0317F" w:rsidP="00AC3084">
      <w:pPr>
        <w:pStyle w:val="Title"/>
        <w:bidi w:val="0"/>
        <w:spacing w:before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sk-SK"/>
        </w:rPr>
      </w:pPr>
      <w:bookmarkStart w:id="0" w:name="_9dqzh4rzb1tr" w:colFirst="0" w:colLast="0"/>
      <w:bookmarkEnd w:id="0"/>
      <w:r w:rsidRPr="00B0317F" w:rsidR="0000762F">
        <w:rPr>
          <w:rFonts w:ascii="Times New Roman" w:hAnsi="Times New Roman"/>
          <w:b/>
          <w:color w:val="000000"/>
          <w:sz w:val="28"/>
          <w:szCs w:val="28"/>
          <w:lang w:val="sk-SK"/>
        </w:rPr>
        <w:t>D ô v o d o v á   s p r á v</w:t>
      </w:r>
      <w:r w:rsidRPr="00B0317F" w:rsidR="00B663F1">
        <w:rPr>
          <w:rFonts w:ascii="Times New Roman" w:hAnsi="Times New Roman"/>
          <w:b/>
          <w:color w:val="000000"/>
          <w:sz w:val="28"/>
          <w:szCs w:val="28"/>
          <w:lang w:val="sk-SK"/>
        </w:rPr>
        <w:t> </w:t>
      </w:r>
      <w:r w:rsidRPr="00B0317F" w:rsidR="0000762F">
        <w:rPr>
          <w:rFonts w:ascii="Times New Roman" w:hAnsi="Times New Roman"/>
          <w:b/>
          <w:color w:val="000000"/>
          <w:sz w:val="28"/>
          <w:szCs w:val="28"/>
          <w:lang w:val="sk-SK"/>
        </w:rPr>
        <w:t>a</w:t>
      </w:r>
    </w:p>
    <w:p w:rsidR="00B663F1" w:rsidRPr="00B0317F" w:rsidP="00AC3084">
      <w:pPr>
        <w:bidi w:val="0"/>
        <w:spacing w:before="120" w:line="360" w:lineRule="auto"/>
        <w:rPr>
          <w:rFonts w:ascii="Times New Roman" w:hAnsi="Times New Roman"/>
          <w:lang w:val="sk-SK"/>
        </w:rPr>
      </w:pPr>
    </w:p>
    <w:p w:rsidR="00D53451" w:rsidRPr="00B0317F" w:rsidP="00AC3084">
      <w:pPr>
        <w:pStyle w:val="Title"/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bookmarkStart w:id="1" w:name="_dm8d1ph1r33t" w:colFirst="0" w:colLast="0"/>
      <w:bookmarkEnd w:id="1"/>
      <w:r w:rsidRPr="00B0317F" w:rsidR="0000762F">
        <w:rPr>
          <w:rFonts w:ascii="Times New Roman" w:hAnsi="Times New Roman"/>
          <w:b/>
          <w:color w:val="000000"/>
          <w:sz w:val="24"/>
          <w:szCs w:val="24"/>
          <w:lang w:val="sk-SK"/>
        </w:rPr>
        <w:t>A. Všeobecná časť</w:t>
      </w:r>
    </w:p>
    <w:p w:rsidR="00D53451" w:rsidRPr="00B0317F" w:rsidP="00AC3084">
      <w:pPr>
        <w:bidi w:val="0"/>
        <w:spacing w:before="120" w:line="36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D53451" w:rsidRPr="00B0317F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 xml:space="preserve">Na rokovanie Národnej rady Slovenskej republiky </w:t>
      </w:r>
      <w:r w:rsidR="00E0194E">
        <w:rPr>
          <w:rFonts w:ascii="Times New Roman" w:hAnsi="Times New Roman"/>
          <w:color w:val="000000"/>
          <w:sz w:val="24"/>
          <w:szCs w:val="24"/>
          <w:lang w:val="sk-SK"/>
        </w:rPr>
        <w:t xml:space="preserve">predkladá skupina </w:t>
      </w:r>
      <w:r w:rsidRPr="00B0317F" w:rsidR="00D9237A">
        <w:rPr>
          <w:rFonts w:ascii="Times New Roman" w:hAnsi="Times New Roman"/>
          <w:color w:val="000000"/>
          <w:sz w:val="24"/>
          <w:szCs w:val="24"/>
          <w:lang w:val="sk-SK"/>
        </w:rPr>
        <w:t>p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>oslanc</w:t>
      </w:r>
      <w:r w:rsidR="00E0194E">
        <w:rPr>
          <w:rFonts w:ascii="Times New Roman" w:hAnsi="Times New Roman"/>
          <w:color w:val="000000"/>
          <w:sz w:val="24"/>
          <w:szCs w:val="24"/>
          <w:lang w:val="sk-SK"/>
        </w:rPr>
        <w:t>ov</w:t>
      </w: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 xml:space="preserve"> Národnej rady Slovenskej republiky 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</w:t>
      </w: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 xml:space="preserve">na vydanie zákona, ktorým sa 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>mení</w:t>
      </w: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 xml:space="preserve"> zákon č. 311/2001 Z. z. Zákonník práce v znení neskorších predpisov.</w:t>
      </w:r>
    </w:p>
    <w:p w:rsidR="00D53451" w:rsidRPr="00B0317F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 xml:space="preserve">Cieľom predloženého návrhu zákona je 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 xml:space="preserve">rozšírenie </w:t>
      </w:r>
      <w:r w:rsidR="00CB6991">
        <w:rPr>
          <w:rFonts w:ascii="Times New Roman" w:hAnsi="Times New Roman"/>
          <w:color w:val="000000"/>
          <w:sz w:val="24"/>
          <w:szCs w:val="24"/>
          <w:lang w:val="sk-SK"/>
        </w:rPr>
        <w:t>povinnosti poskytovať príspevok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 xml:space="preserve"> na rekreáciu 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zamestnancov podľa § 152a Zákonníka práce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v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>šet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kými zamestnávateľmi, nie len tými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>, ktorí zamestnáva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jú</w:t>
      </w:r>
      <w:r w:rsidR="001C40BF">
        <w:rPr>
          <w:rFonts w:ascii="Times New Roman" w:hAnsi="Times New Roman"/>
          <w:color w:val="000000"/>
          <w:sz w:val="24"/>
          <w:szCs w:val="24"/>
          <w:lang w:val="sk-SK"/>
        </w:rPr>
        <w:t xml:space="preserve"> viac ako 49 zamestnancov</w:t>
      </w: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>.</w:t>
      </w:r>
    </w:p>
    <w:p w:rsidR="002B7BFF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 xml:space="preserve">S účinnosťou od 01.01.2019 bol do slovenského právneho poriadku zavedený inštitút „príspevok na rekreáciu zamestnancov“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v 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tak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om rozsahu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, že tento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sú zamestnancom, ktorých pracovný pomer u zamestnávateľa</w:t>
      </w:r>
      <w:r w:rsidRPr="00474C8F">
        <w:rPr>
          <w:rFonts w:ascii="Times New Roman" w:hAnsi="Times New Roman"/>
          <w:color w:val="000000"/>
          <w:sz w:val="24"/>
          <w:szCs w:val="24"/>
          <w:lang w:val="sk-SK"/>
        </w:rPr>
        <w:t xml:space="preserve"> trvá nepretržite najmenej 24 mesiacov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, na ich žiadosť povinní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 xml:space="preserve"> poskytnúť len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takí zamestnávatelia, ktorí </w:t>
      </w:r>
      <w:r w:rsidRPr="002B7BFF">
        <w:rPr>
          <w:rFonts w:ascii="Times New Roman" w:hAnsi="Times New Roman"/>
          <w:color w:val="000000"/>
          <w:sz w:val="24"/>
          <w:szCs w:val="24"/>
          <w:lang w:val="sk-SK"/>
        </w:rPr>
        <w:t>zamestnáva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jú</w:t>
      </w:r>
      <w:r w:rsidRPr="002B7BFF">
        <w:rPr>
          <w:rFonts w:ascii="Times New Roman" w:hAnsi="Times New Roman"/>
          <w:color w:val="000000"/>
          <w:sz w:val="24"/>
          <w:szCs w:val="24"/>
          <w:lang w:val="sk-SK"/>
        </w:rPr>
        <w:t xml:space="preserve"> viac ako 49 zamestnancov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. Ostatní zamestnávatelia môžu, ale nemusia, svojím zamestnancom príspevok na rekreáciu poskytnúť.</w:t>
      </w:r>
    </w:p>
    <w:p w:rsidR="00580269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7C1879">
        <w:rPr>
          <w:rFonts w:ascii="Times New Roman" w:hAnsi="Times New Roman"/>
          <w:color w:val="000000"/>
          <w:sz w:val="24"/>
          <w:szCs w:val="24"/>
          <w:lang w:val="sk-SK"/>
        </w:rPr>
        <w:t xml:space="preserve">Zavedenie tohto príspevku okamžite prinieslo </w:t>
      </w:r>
      <w:r w:rsidR="000132EE">
        <w:rPr>
          <w:rFonts w:ascii="Times New Roman" w:hAnsi="Times New Roman"/>
          <w:color w:val="000000"/>
          <w:sz w:val="24"/>
          <w:szCs w:val="24"/>
          <w:lang w:val="sk-SK"/>
        </w:rPr>
        <w:t xml:space="preserve">očakávaný </w:t>
      </w:r>
      <w:r w:rsidR="007C1879">
        <w:rPr>
          <w:rFonts w:ascii="Times New Roman" w:hAnsi="Times New Roman"/>
          <w:color w:val="000000"/>
          <w:sz w:val="24"/>
          <w:szCs w:val="24"/>
          <w:lang w:val="sk-SK"/>
        </w:rPr>
        <w:t xml:space="preserve">pozitívny dopad na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domáci</w:t>
      </w:r>
      <w:r w:rsidR="007C1879">
        <w:rPr>
          <w:rFonts w:ascii="Times New Roman" w:hAnsi="Times New Roman"/>
          <w:color w:val="000000"/>
          <w:sz w:val="24"/>
          <w:szCs w:val="24"/>
          <w:lang w:val="sk-SK"/>
        </w:rPr>
        <w:t xml:space="preserve"> cestovný ruch napríklad v podobe zvýšenia počtu prenocovaní v ubytovacích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zariadeniach,</w:t>
      </w:r>
      <w:r w:rsidR="007C187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zlepšení </w:t>
      </w:r>
      <w:r w:rsidR="007C1879">
        <w:rPr>
          <w:rFonts w:ascii="Times New Roman" w:hAnsi="Times New Roman"/>
          <w:color w:val="000000"/>
          <w:sz w:val="24"/>
          <w:szCs w:val="24"/>
          <w:lang w:val="sk-SK"/>
        </w:rPr>
        <w:t xml:space="preserve">ich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ekonomických výsledkov </w:t>
      </w:r>
      <w:r w:rsidRPr="00580269">
        <w:rPr>
          <w:rFonts w:ascii="Times New Roman" w:hAnsi="Times New Roman"/>
          <w:color w:val="000000"/>
          <w:sz w:val="24"/>
          <w:szCs w:val="24"/>
          <w:lang w:val="sk-SK"/>
        </w:rPr>
        <w:t>a rozvoj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i</w:t>
      </w:r>
      <w:r w:rsidRPr="00580269">
        <w:rPr>
          <w:rFonts w:ascii="Times New Roman" w:hAnsi="Times New Roman"/>
          <w:color w:val="000000"/>
          <w:sz w:val="24"/>
          <w:szCs w:val="24"/>
          <w:lang w:val="sk-SK"/>
        </w:rPr>
        <w:t xml:space="preserve"> nadväzujúcich služieb</w:t>
      </w:r>
      <w:r w:rsidR="007C1879">
        <w:rPr>
          <w:rFonts w:ascii="Times New Roman" w:hAnsi="Times New Roman"/>
          <w:color w:val="000000"/>
          <w:sz w:val="24"/>
          <w:szCs w:val="24"/>
          <w:lang w:val="sk-SK"/>
        </w:rPr>
        <w:t>. Rovnako prevažne pozitívne sú ohlasy tých zamestnancov, ktorí majú u svojho zamestnávateľa nárok na jeho využitie</w:t>
      </w:r>
      <w:r w:rsidR="00706174">
        <w:rPr>
          <w:rFonts w:ascii="Times New Roman" w:hAnsi="Times New Roman"/>
          <w:color w:val="000000"/>
          <w:sz w:val="24"/>
          <w:szCs w:val="24"/>
          <w:lang w:val="sk-SK"/>
        </w:rPr>
        <w:t xml:space="preserve"> a môžu tak stráviť dovolenku </w:t>
      </w:r>
      <w:r w:rsidRPr="00706174" w:rsidR="00706174">
        <w:rPr>
          <w:rFonts w:ascii="Times New Roman" w:hAnsi="Times New Roman"/>
          <w:color w:val="000000"/>
          <w:sz w:val="24"/>
          <w:szCs w:val="24"/>
          <w:lang w:val="sk-SK"/>
        </w:rPr>
        <w:t>v Slovenskej republike za finančne zvýhodnených podmienok</w:t>
      </w:r>
      <w:r w:rsidR="00706174">
        <w:rPr>
          <w:rFonts w:ascii="Times New Roman" w:hAnsi="Times New Roman"/>
          <w:color w:val="000000"/>
          <w:sz w:val="24"/>
          <w:szCs w:val="24"/>
          <w:lang w:val="sk-SK"/>
        </w:rPr>
        <w:t>, a to aj v spoločnosti so svojimi najbližšími rodinnými príslušníkmi</w:t>
      </w:r>
      <w:r w:rsidR="007C1879">
        <w:rPr>
          <w:rFonts w:ascii="Times New Roman" w:hAnsi="Times New Roman"/>
          <w:color w:val="000000"/>
          <w:sz w:val="24"/>
          <w:szCs w:val="24"/>
          <w:lang w:val="sk-SK"/>
        </w:rPr>
        <w:t>.</w:t>
      </w:r>
      <w:r w:rsidR="000132EE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Zároveň navrhovatelia zaznamenali záujem o využitie príspevku na rekreáciu aj u tých zamestnancov, ktorým ho ich zamestnávateľ nie je povinný poskytnúť a vnímajú vzniknutú nerovnosť medzi jednotlivými zamestnancami na základe počtu zamestnávaných zamestnancov ich</w:t>
      </w:r>
      <w:r w:rsidR="0004097D">
        <w:rPr>
          <w:rFonts w:ascii="Times New Roman" w:hAnsi="Times New Roman"/>
          <w:color w:val="000000"/>
          <w:sz w:val="24"/>
          <w:szCs w:val="24"/>
          <w:lang w:val="sk-SK"/>
        </w:rPr>
        <w:t xml:space="preserve"> zamestnávateľom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.</w:t>
      </w:r>
    </w:p>
    <w:p w:rsidR="00D96419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Vzhľadom na </w:t>
      </w:r>
      <w:r w:rsidR="007C37CD">
        <w:rPr>
          <w:rFonts w:ascii="Times New Roman" w:hAnsi="Times New Roman"/>
          <w:color w:val="000000"/>
          <w:sz w:val="24"/>
          <w:szCs w:val="24"/>
          <w:lang w:val="sk-SK"/>
        </w:rPr>
        <w:t>vyššie uvedené skutočnosti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0132EE">
        <w:rPr>
          <w:rFonts w:ascii="Times New Roman" w:hAnsi="Times New Roman"/>
          <w:color w:val="000000"/>
          <w:sz w:val="24"/>
          <w:szCs w:val="24"/>
          <w:lang w:val="sk-SK"/>
        </w:rPr>
        <w:t xml:space="preserve">navrhovatelia 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navrhujú</w:t>
      </w:r>
      <w:r w:rsidR="0004097D">
        <w:rPr>
          <w:rFonts w:ascii="Times New Roman" w:hAnsi="Times New Roman"/>
          <w:color w:val="000000"/>
          <w:sz w:val="24"/>
          <w:szCs w:val="24"/>
          <w:lang w:val="sk-SK"/>
        </w:rPr>
        <w:t xml:space="preserve"> rozšírenie tohto inštitútu tak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 xml:space="preserve">, aby </w:t>
      </w:r>
      <w:r w:rsidR="00703E2E">
        <w:rPr>
          <w:rFonts w:ascii="Times New Roman" w:hAnsi="Times New Roman"/>
          <w:color w:val="000000"/>
          <w:sz w:val="24"/>
          <w:szCs w:val="24"/>
          <w:lang w:val="sk-SK"/>
        </w:rPr>
        <w:t xml:space="preserve">mal na príspevok </w:t>
      </w:r>
      <w:r w:rsidR="0004097D">
        <w:rPr>
          <w:rFonts w:ascii="Times New Roman" w:hAnsi="Times New Roman"/>
          <w:color w:val="000000"/>
          <w:sz w:val="24"/>
          <w:szCs w:val="24"/>
          <w:lang w:val="sk-SK"/>
        </w:rPr>
        <w:t xml:space="preserve">na rekreáciu </w:t>
      </w:r>
      <w:r w:rsidR="007C37CD">
        <w:rPr>
          <w:rFonts w:ascii="Times New Roman" w:hAnsi="Times New Roman"/>
          <w:color w:val="000000"/>
          <w:sz w:val="24"/>
          <w:szCs w:val="24"/>
          <w:lang w:val="sk-SK"/>
        </w:rPr>
        <w:t xml:space="preserve">nárok </w:t>
      </w:r>
      <w:r w:rsidR="00703E2E">
        <w:rPr>
          <w:rFonts w:ascii="Times New Roman" w:hAnsi="Times New Roman"/>
          <w:color w:val="000000"/>
          <w:sz w:val="24"/>
          <w:szCs w:val="24"/>
          <w:lang w:val="sk-SK"/>
        </w:rPr>
        <w:t>každý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703E2E">
        <w:rPr>
          <w:rFonts w:ascii="Times New Roman" w:hAnsi="Times New Roman"/>
          <w:color w:val="000000"/>
          <w:sz w:val="24"/>
          <w:szCs w:val="24"/>
          <w:lang w:val="sk-SK"/>
        </w:rPr>
        <w:t>zamestnanec</w:t>
      </w:r>
      <w:r w:rsidR="00474C8F">
        <w:rPr>
          <w:rFonts w:ascii="Times New Roman" w:hAnsi="Times New Roman"/>
          <w:color w:val="000000"/>
          <w:sz w:val="24"/>
          <w:szCs w:val="24"/>
          <w:lang w:val="sk-SK"/>
        </w:rPr>
        <w:t>, k</w:t>
      </w:r>
      <w:r w:rsidRPr="00474C8F" w:rsidR="00474C8F">
        <w:rPr>
          <w:rFonts w:ascii="Times New Roman" w:hAnsi="Times New Roman"/>
          <w:color w:val="000000"/>
          <w:sz w:val="24"/>
          <w:szCs w:val="24"/>
          <w:lang w:val="sk-SK"/>
        </w:rPr>
        <w:t>torého pracovný pomer u zamestnávateľa trvá nepretržite najmenej 24 mesiacov</w:t>
      </w:r>
      <w:r w:rsidR="007C37CD">
        <w:rPr>
          <w:rFonts w:ascii="Times New Roman" w:hAnsi="Times New Roman"/>
          <w:color w:val="000000"/>
          <w:sz w:val="24"/>
          <w:szCs w:val="24"/>
          <w:lang w:val="sk-SK"/>
        </w:rPr>
        <w:t>, a to bez ohľadu na počet zamestnávateľom zamestnávaných zamestnancov.</w:t>
      </w:r>
    </w:p>
    <w:p w:rsidR="00A37FE2" w:rsidP="00A37FE2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Podmienka, že zamestnanec, ktorý má nárok na príspevok na rekreáciu musí u zamestnávateľa pracovať </w:t>
      </w:r>
      <w:r w:rsidRPr="00474C8F">
        <w:rPr>
          <w:rFonts w:ascii="Times New Roman" w:hAnsi="Times New Roman"/>
          <w:color w:val="000000"/>
          <w:sz w:val="24"/>
          <w:szCs w:val="24"/>
          <w:lang w:val="sk-SK"/>
        </w:rPr>
        <w:t>nepretržite najmenej 24 mesiacov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zostáva v nezmennej podobe zachovaná. To znamená, že povinnosť poskytnúť príspevok na rekreáciu všetkými zamestnávateľmi sa u niektorých zamestnávateľov nemusí týkať aj prevažnej časti jeho zamestnancov.</w:t>
      </w:r>
    </w:p>
    <w:p w:rsidR="00422E4C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F7740D">
        <w:rPr>
          <w:rFonts w:ascii="Times New Roman" w:hAnsi="Times New Roman"/>
          <w:color w:val="000000"/>
          <w:sz w:val="24"/>
          <w:szCs w:val="24"/>
          <w:lang w:val="sk-SK"/>
        </w:rPr>
        <w:t xml:space="preserve">Navrhované rozšírenie príspevku na rekreáciu bolo </w:t>
      </w:r>
      <w:r w:rsidR="006F7A63">
        <w:rPr>
          <w:rFonts w:ascii="Times New Roman" w:hAnsi="Times New Roman"/>
          <w:color w:val="000000"/>
          <w:sz w:val="24"/>
          <w:szCs w:val="24"/>
          <w:lang w:val="sk-SK"/>
        </w:rPr>
        <w:t xml:space="preserve">už </w:t>
      </w:r>
      <w:r w:rsidR="00F7740D">
        <w:rPr>
          <w:rFonts w:ascii="Times New Roman" w:hAnsi="Times New Roman"/>
          <w:color w:val="000000"/>
          <w:sz w:val="24"/>
          <w:szCs w:val="24"/>
          <w:lang w:val="sk-SK"/>
        </w:rPr>
        <w:t xml:space="preserve">pri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zavádzaní</w:t>
      </w:r>
      <w:r w:rsidR="00F7740D">
        <w:rPr>
          <w:rFonts w:ascii="Times New Roman" w:hAnsi="Times New Roman"/>
          <w:color w:val="000000"/>
          <w:sz w:val="24"/>
          <w:szCs w:val="24"/>
          <w:lang w:val="sk-SK"/>
        </w:rPr>
        <w:t xml:space="preserve"> príspevku na rekreáciu prerokované so zástupcami zamestnancov a zamestnávateľov tak, že v prípade praktického osvedčenia sa tohto nového inštitútu u zamestnávateľov zamestnávajúcich 50 a viac zamestnancov môže dôjsť k jeho povinnému zavedeniu aj u ďalších zamestnávateľov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. </w:t>
      </w:r>
    </w:p>
    <w:p w:rsidR="00962428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422E4C">
        <w:rPr>
          <w:rFonts w:ascii="Times New Roman" w:hAnsi="Times New Roman"/>
          <w:color w:val="000000"/>
          <w:sz w:val="24"/>
          <w:szCs w:val="24"/>
          <w:lang w:val="sk-SK"/>
        </w:rPr>
        <w:t xml:space="preserve">Navrhovatelia zároveň s ohľadom na </w:t>
      </w: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 xml:space="preserve">finančné dopady tohto rozšírenia a poskytnutie dostatočnej časovej prípravy </w:t>
      </w:r>
      <w:r w:rsidR="00422E4C">
        <w:rPr>
          <w:rFonts w:ascii="Times New Roman" w:hAnsi="Times New Roman"/>
          <w:color w:val="000000"/>
          <w:sz w:val="24"/>
          <w:szCs w:val="24"/>
          <w:lang w:val="sk-SK"/>
        </w:rPr>
        <w:t>zamestnávateľo</w:t>
      </w: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>m, ktorí</w:t>
      </w:r>
      <w:r w:rsidR="00422E4C">
        <w:rPr>
          <w:rFonts w:ascii="Times New Roman" w:hAnsi="Times New Roman"/>
          <w:color w:val="000000"/>
          <w:sz w:val="24"/>
          <w:szCs w:val="24"/>
          <w:lang w:val="sk-SK"/>
        </w:rPr>
        <w:t xml:space="preserve"> zamestnáv</w:t>
      </w:r>
      <w:r w:rsidR="006F7A63">
        <w:rPr>
          <w:rFonts w:ascii="Times New Roman" w:hAnsi="Times New Roman"/>
          <w:color w:val="000000"/>
          <w:sz w:val="24"/>
          <w:szCs w:val="24"/>
          <w:lang w:val="sk-SK"/>
        </w:rPr>
        <w:t>ajú menej ako 50 zamestnancov, či štátny rozpočet, navrhujú účinnosť tohto návrhu zákona od 01.01.2021</w:t>
      </w: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 xml:space="preserve">. </w:t>
      </w:r>
    </w:p>
    <w:p w:rsidR="00422E4C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 xml:space="preserve">Zároveň je možné zdôrazniť, že príspevok na rekreáciu predstavuje vďaka </w:t>
      </w:r>
      <w:r w:rsidR="00962428">
        <w:rPr>
          <w:rFonts w:ascii="Times New Roman" w:hAnsi="Times New Roman"/>
          <w:color w:val="000000"/>
          <w:sz w:val="24"/>
          <w:szCs w:val="24"/>
          <w:lang w:val="sk-SK"/>
        </w:rPr>
        <w:t xml:space="preserve">jeho </w:t>
      </w: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>oslobodeniu od daní a odvodov štátom finančne zvýhodnený nástroj na pos</w:t>
      </w:r>
      <w:r w:rsidR="00E0194E">
        <w:rPr>
          <w:rFonts w:ascii="Times New Roman" w:hAnsi="Times New Roman"/>
          <w:color w:val="000000"/>
          <w:sz w:val="24"/>
          <w:szCs w:val="24"/>
          <w:lang w:val="sk-SK"/>
        </w:rPr>
        <w:t>kytnutie odmeny pre zamestnanca</w:t>
      </w: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 xml:space="preserve"> vo forme domácej </w:t>
      </w:r>
      <w:r w:rsidR="00962428">
        <w:rPr>
          <w:rFonts w:ascii="Times New Roman" w:hAnsi="Times New Roman"/>
          <w:color w:val="000000"/>
          <w:sz w:val="24"/>
          <w:szCs w:val="24"/>
          <w:lang w:val="sk-SK"/>
        </w:rPr>
        <w:t>rekreácie</w:t>
      </w: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 xml:space="preserve">, ktorá na jednej strane zabezpečí </w:t>
      </w:r>
      <w:r w:rsidR="00312529">
        <w:rPr>
          <w:rFonts w:ascii="Times New Roman" w:hAnsi="Times New Roman"/>
          <w:color w:val="000000"/>
          <w:sz w:val="24"/>
          <w:szCs w:val="24"/>
          <w:lang w:val="sk-SK"/>
        </w:rPr>
        <w:t>r</w:t>
      </w:r>
      <w:r w:rsidR="00A37FE2">
        <w:rPr>
          <w:rFonts w:ascii="Times New Roman" w:hAnsi="Times New Roman"/>
          <w:color w:val="000000"/>
          <w:sz w:val="24"/>
          <w:szCs w:val="24"/>
          <w:lang w:val="sk-SK"/>
        </w:rPr>
        <w:t xml:space="preserve">egeneráciu </w:t>
      </w:r>
      <w:r w:rsidR="00312529">
        <w:rPr>
          <w:rFonts w:ascii="Times New Roman" w:hAnsi="Times New Roman"/>
          <w:color w:val="000000"/>
          <w:sz w:val="24"/>
          <w:szCs w:val="24"/>
          <w:lang w:val="sk-SK"/>
        </w:rPr>
        <w:t>fyzických a psychických síl a zvýšenie kvality života zamestnanca a na druhej strane</w:t>
      </w:r>
      <w:r w:rsidR="00962428">
        <w:rPr>
          <w:rFonts w:ascii="Times New Roman" w:hAnsi="Times New Roman"/>
          <w:color w:val="000000"/>
          <w:sz w:val="24"/>
          <w:szCs w:val="24"/>
          <w:lang w:val="sk-SK"/>
        </w:rPr>
        <w:t xml:space="preserve"> podporí rozvoj domáceho cestovného ruchu a s tým spojenej domácej ekonomiky.</w:t>
      </w:r>
      <w:r w:rsidR="00312529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604476" w:rsidP="00E0194E">
      <w:pPr>
        <w:pStyle w:val="ListParagraph"/>
        <w:bidi w:val="0"/>
        <w:spacing w:before="120"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="00CA5F07">
        <w:rPr>
          <w:rFonts w:ascii="Times New Roman" w:hAnsi="Times New Roman"/>
          <w:sz w:val="24"/>
          <w:szCs w:val="24"/>
        </w:rPr>
        <w:t xml:space="preserve">Navrhovanou zmenou sa očakáva ďalší rozvoj domáceho cestovného ruchu a </w:t>
      </w:r>
      <w:r w:rsidRPr="00CA5F07" w:rsidR="00CA5F07">
        <w:rPr>
          <w:rFonts w:ascii="Times New Roman" w:hAnsi="Times New Roman"/>
          <w:sz w:val="24"/>
          <w:szCs w:val="24"/>
        </w:rPr>
        <w:t xml:space="preserve">nadväzujúcich služieb </w:t>
      </w:r>
      <w:r w:rsidR="00CA5F07">
        <w:rPr>
          <w:rFonts w:ascii="Times New Roman" w:hAnsi="Times New Roman"/>
          <w:sz w:val="24"/>
          <w:szCs w:val="24"/>
        </w:rPr>
        <w:t>a zrovnoprávnenie všetkých zamestnancov</w:t>
      </w:r>
      <w:r w:rsidR="00706174">
        <w:rPr>
          <w:rFonts w:ascii="Times New Roman" w:hAnsi="Times New Roman"/>
          <w:sz w:val="24"/>
          <w:szCs w:val="24"/>
        </w:rPr>
        <w:t xml:space="preserve">, </w:t>
      </w:r>
      <w:r w:rsidRPr="00706174" w:rsidR="00706174">
        <w:rPr>
          <w:rFonts w:ascii="Times New Roman" w:hAnsi="Times New Roman"/>
          <w:sz w:val="24"/>
          <w:szCs w:val="24"/>
        </w:rPr>
        <w:t>ktorých pracovný pomer u zamestnávateľa trvá nepretržite najmenej 24 mesiacov</w:t>
      </w:r>
      <w:r w:rsidR="00CA5F07">
        <w:rPr>
          <w:rFonts w:ascii="Times New Roman" w:hAnsi="Times New Roman"/>
          <w:sz w:val="24"/>
          <w:szCs w:val="24"/>
        </w:rPr>
        <w:t>.</w:t>
      </w:r>
    </w:p>
    <w:p w:rsidR="00B077F9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 xml:space="preserve">Predkladaný návrh zákona má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>pozitívne a negatívne vplyvy na rozpočet verejnej správy, keďže sa očakáva zvýšenie príjmov do štátneho rozpočtu a rozpočtov samospráv zo zvýšenej spotreby služieb domáceho cestovného ruchu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ďalšími oprávnenými zamestnancami na príspevok na rekreáciu a ich najbližšími rodinnými príslušníkmi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>;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očakáva sa mierne zníženie príjmov na dani z príjmov z dôvodu, že príjem zamestnanca z príspevku na rekreáciu je oslobodený od dane z príjmov a tiež s týmto príspevkom spojené výdavky (náklady) si zamestnávateľ mô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>že zahrnúť do daňových výdavkov;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očakáva sa zvýšenie výdavkov zo štátneho rozpočtu z dôvodu, že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ďalší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zam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estnanci štátu budú môcť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požiadať o príspevok na rekreáciu. Návrh zákona má pozitívne a negatívne vplyvy na podnikateľské prostredie – očakáva sa pozitívny vplyv na podnikateľské subjekty v oblasti cestovného ruchu; očakáva sa negatívny vplyv na podnikateľské subjekty zamestnávajúce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menej ako 50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zamestnancov. Návrh zákona má pozitívne sociálne vplyvy – 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 xml:space="preserve">ďalšia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časť ekonomicky aktívneho obyvateľstva bude môcť využiť príspevok na rekreáciu; 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 xml:space="preserve">ďalšia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ekonomicky aktívna časť obyvateľstva s nízkym disponibilným príjmom bude mať väčšiu možnosť zúčastniť sa na aspoň jednej rekreácii počas roka; očakáva sa 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 xml:space="preserve">ďalšie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>zvýšenie počtu zamestnancov v oblasti domáceho cestovného ruchu. Návrh zákona nemá žiadne vplyvy na životné prostredie, a ani vplyvy na informatizáciu spoločnosti a služby verejnej správy pre občana.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 xml:space="preserve"> Návrh zákona má </w:t>
      </w:r>
      <w:r w:rsidRPr="00B0317F" w:rsidR="00657461">
        <w:rPr>
          <w:rFonts w:ascii="Times New Roman" w:hAnsi="Times New Roman"/>
          <w:color w:val="000000"/>
          <w:sz w:val="24"/>
          <w:szCs w:val="24"/>
          <w:lang w:val="sk-SK"/>
        </w:rPr>
        <w:t>pozitívne vplyvy na manželstvo, rodičovstvo a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B0317F" w:rsidR="00657461">
        <w:rPr>
          <w:rFonts w:ascii="Times New Roman" w:hAnsi="Times New Roman"/>
          <w:color w:val="000000"/>
          <w:sz w:val="24"/>
          <w:szCs w:val="24"/>
          <w:lang w:val="sk-SK"/>
        </w:rPr>
        <w:t>rodinu</w:t>
      </w:r>
      <w:r w:rsidR="00657461">
        <w:rPr>
          <w:rFonts w:ascii="Times New Roman" w:hAnsi="Times New Roman"/>
          <w:color w:val="000000"/>
          <w:sz w:val="24"/>
          <w:szCs w:val="24"/>
          <w:lang w:val="sk-SK"/>
        </w:rPr>
        <w:t>, keďže spolu so zamestnancom sa majú možnosť zúčastniť rekreácie aj jeh</w:t>
      </w:r>
      <w:r w:rsidR="002A431C">
        <w:rPr>
          <w:rFonts w:ascii="Times New Roman" w:hAnsi="Times New Roman"/>
          <w:color w:val="000000"/>
          <w:sz w:val="24"/>
          <w:szCs w:val="24"/>
          <w:lang w:val="sk-SK"/>
        </w:rPr>
        <w:t>o najbližší rodinn</w:t>
      </w:r>
      <w:r w:rsidR="00800CEB">
        <w:rPr>
          <w:rFonts w:ascii="Times New Roman" w:hAnsi="Times New Roman"/>
          <w:color w:val="000000"/>
          <w:sz w:val="24"/>
          <w:szCs w:val="24"/>
          <w:lang w:val="sk-SK"/>
        </w:rPr>
        <w:t>í</w:t>
      </w:r>
      <w:r w:rsidR="002A431C">
        <w:rPr>
          <w:rFonts w:ascii="Times New Roman" w:hAnsi="Times New Roman"/>
          <w:color w:val="000000"/>
          <w:sz w:val="24"/>
          <w:szCs w:val="24"/>
          <w:lang w:val="sk-SK"/>
        </w:rPr>
        <w:t xml:space="preserve"> príslušníci</w:t>
      </w:r>
      <w:r w:rsidR="00B1767C">
        <w:rPr>
          <w:rFonts w:ascii="Times New Roman" w:hAnsi="Times New Roman"/>
          <w:color w:val="000000"/>
          <w:sz w:val="24"/>
          <w:szCs w:val="24"/>
          <w:lang w:val="sk-SK"/>
        </w:rPr>
        <w:t xml:space="preserve">, čím sa zvýši </w:t>
      </w:r>
      <w:r w:rsidRPr="00B1767C" w:rsidR="00B1767C">
        <w:rPr>
          <w:rFonts w:ascii="Times New Roman" w:hAnsi="Times New Roman"/>
          <w:color w:val="000000"/>
          <w:sz w:val="24"/>
          <w:szCs w:val="24"/>
          <w:lang w:val="sk-SK"/>
        </w:rPr>
        <w:t>množstvo času alebo príležitostí pre rodičov alebo pre deti na realizáciu rodinného života</w:t>
      </w:r>
      <w:r w:rsidR="002A431C">
        <w:rPr>
          <w:rFonts w:ascii="Times New Roman" w:hAnsi="Times New Roman"/>
          <w:color w:val="000000"/>
          <w:sz w:val="24"/>
          <w:szCs w:val="24"/>
          <w:lang w:val="sk-SK"/>
        </w:rPr>
        <w:t xml:space="preserve">; príspevok na rekreáciu zároveň predstavuje </w:t>
      </w:r>
      <w:r w:rsidR="00B1767C">
        <w:rPr>
          <w:rFonts w:ascii="Times New Roman" w:hAnsi="Times New Roman"/>
          <w:color w:val="000000"/>
          <w:sz w:val="24"/>
          <w:szCs w:val="24"/>
          <w:lang w:val="sk-SK"/>
        </w:rPr>
        <w:t>finančné zvýhodnenie, ktoré</w:t>
      </w:r>
      <w:r w:rsidR="002A431C">
        <w:rPr>
          <w:rFonts w:ascii="Times New Roman" w:hAnsi="Times New Roman"/>
          <w:color w:val="000000"/>
          <w:sz w:val="24"/>
          <w:szCs w:val="24"/>
          <w:lang w:val="sk-SK"/>
        </w:rPr>
        <w:t xml:space="preserve"> môže umožniť </w:t>
      </w:r>
      <w:r w:rsidR="0068463A">
        <w:rPr>
          <w:rFonts w:ascii="Times New Roman" w:hAnsi="Times New Roman"/>
          <w:color w:val="000000"/>
          <w:sz w:val="24"/>
          <w:szCs w:val="24"/>
          <w:lang w:val="sk-SK"/>
        </w:rPr>
        <w:t xml:space="preserve">rekreáciu aj </w:t>
      </w:r>
      <w:r w:rsidR="00B1767C">
        <w:rPr>
          <w:rFonts w:ascii="Times New Roman" w:hAnsi="Times New Roman"/>
          <w:color w:val="000000"/>
          <w:sz w:val="24"/>
          <w:szCs w:val="24"/>
          <w:lang w:val="sk-SK"/>
        </w:rPr>
        <w:t>viacdetným rodinám s nižším disponibilným príjmom domácnosti.</w:t>
      </w:r>
    </w:p>
    <w:p w:rsidR="00D53451" w:rsidRPr="00B0317F" w:rsidP="00AC3084">
      <w:pPr>
        <w:bidi w:val="0"/>
        <w:spacing w:before="12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0317F" w:rsidR="0000762F">
        <w:rPr>
          <w:rFonts w:ascii="Times New Roman" w:hAnsi="Times New Roman"/>
          <w:color w:val="000000"/>
          <w:sz w:val="24"/>
          <w:szCs w:val="24"/>
          <w:lang w:val="sk-SK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viazaná. Predkladaný návrh  zákona je v súlade s právom Európskej únie.</w:t>
      </w: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bookmarkStart w:id="2" w:name="_7qsveup94soe" w:colFirst="0" w:colLast="0"/>
      <w:bookmarkEnd w:id="2"/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E0194E" w:rsidRPr="00E0194E" w:rsidP="00E0194E">
      <w:pPr>
        <w:bidi w:val="0"/>
        <w:rPr>
          <w:rFonts w:ascii="Times New Roman" w:hAnsi="Times New Roman"/>
          <w:lang w:val="sk-SK"/>
        </w:rPr>
      </w:pP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962428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D53451" w:rsidRPr="00B0317F" w:rsidP="00AC3084">
      <w:pPr>
        <w:pStyle w:val="Title"/>
        <w:tabs>
          <w:tab w:val="left" w:pos="3120"/>
        </w:tabs>
        <w:bidi w:val="0"/>
        <w:spacing w:before="120" w:line="360" w:lineRule="auto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B0317F" w:rsidR="0000762F">
        <w:rPr>
          <w:rFonts w:ascii="Times New Roman" w:hAnsi="Times New Roman"/>
          <w:b/>
          <w:color w:val="000000"/>
          <w:sz w:val="24"/>
          <w:szCs w:val="24"/>
          <w:lang w:val="sk-SK"/>
        </w:rPr>
        <w:t>B. Osobitná časť</w:t>
        <w:tab/>
      </w:r>
    </w:p>
    <w:p w:rsidR="00D53451" w:rsidRPr="00B0317F" w:rsidP="00AC3084">
      <w:pPr>
        <w:bidi w:val="0"/>
        <w:spacing w:before="120" w:line="36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D53451" w:rsidRPr="00B0317F" w:rsidP="00AC3084">
      <w:pPr>
        <w:bidi w:val="0"/>
        <w:spacing w:before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B0317F" w:rsidR="0000762F">
        <w:rPr>
          <w:rFonts w:ascii="Times New Roman" w:hAnsi="Times New Roman"/>
          <w:b/>
          <w:color w:val="000000"/>
          <w:sz w:val="24"/>
          <w:szCs w:val="24"/>
          <w:lang w:val="sk-SK"/>
        </w:rPr>
        <w:t>K Čl. I</w:t>
      </w:r>
    </w:p>
    <w:p w:rsidR="008D2DFE" w:rsidRPr="00C000A9" w:rsidP="00AD330D">
      <w:pPr>
        <w:pStyle w:val="ListParagraph"/>
        <w:bidi w:val="0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000A9" w:rsidR="00F547B5">
        <w:rPr>
          <w:rFonts w:ascii="Times New Roman" w:hAnsi="Times New Roman"/>
          <w:sz w:val="24"/>
          <w:szCs w:val="24"/>
          <w:lang w:eastAsia="cs-CZ"/>
        </w:rPr>
        <w:tab/>
      </w:r>
      <w:r w:rsidR="00C000A9">
        <w:rPr>
          <w:rFonts w:ascii="Times New Roman" w:hAnsi="Times New Roman"/>
          <w:sz w:val="24"/>
          <w:szCs w:val="24"/>
          <w:lang w:eastAsia="cs-CZ"/>
        </w:rPr>
        <w:t xml:space="preserve">V § 152a ods. 1 Zákonníka práce sa vypúšťajú všetky časti týkajúce sa </w:t>
      </w:r>
      <w:r w:rsidR="00AD330D">
        <w:rPr>
          <w:rFonts w:ascii="Times New Roman" w:hAnsi="Times New Roman"/>
          <w:sz w:val="24"/>
          <w:szCs w:val="24"/>
          <w:lang w:eastAsia="cs-CZ"/>
        </w:rPr>
        <w:t xml:space="preserve">osobitnej definície zamestnávateľov, ktorí zamestnávajú viac ako 49 zamestnancov, čím sa v povinnosti poskytnúť príspevok na rekreáciu odstraňuje rozdiel medzi zamestnávateľmi, ktorí zamestnávajú viac ako 49 zamestnancov a ostatnými zamestnávateľmi. Zároveň sa vypúšťa tretia veta, na základe ktorej mohol na dobrovoľnej báze poskytnúť príspevok na rekreáciu aj zamestnávateľ, ktorý </w:t>
      </w:r>
      <w:r w:rsidRPr="00AD330D" w:rsidR="00AD330D">
        <w:rPr>
          <w:rFonts w:ascii="Times New Roman" w:hAnsi="Times New Roman"/>
          <w:sz w:val="24"/>
          <w:szCs w:val="24"/>
          <w:lang w:eastAsia="cs-CZ"/>
        </w:rPr>
        <w:t>zamestnáva menej ako 50 zamestnanco</w:t>
      </w:r>
      <w:r w:rsidR="00AD330D">
        <w:rPr>
          <w:rFonts w:ascii="Times New Roman" w:hAnsi="Times New Roman"/>
          <w:sz w:val="24"/>
          <w:szCs w:val="24"/>
          <w:lang w:eastAsia="cs-CZ"/>
        </w:rPr>
        <w:t>v, keďže sa toto stáva jeho povinnosťou.</w:t>
      </w:r>
    </w:p>
    <w:p w:rsidR="00F547B5" w:rsidRPr="00B0317F" w:rsidP="00AC3084">
      <w:pPr>
        <w:pStyle w:val="ListParagraph"/>
        <w:bidi w:val="0"/>
        <w:spacing w:before="12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AF057F" w:rsidRPr="00B0317F" w:rsidP="00AC3084">
      <w:pPr>
        <w:pStyle w:val="ListParagraph"/>
        <w:bidi w:val="0"/>
        <w:spacing w:before="120"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0317F">
        <w:rPr>
          <w:rFonts w:ascii="Times New Roman" w:hAnsi="Times New Roman"/>
          <w:b/>
          <w:sz w:val="24"/>
          <w:szCs w:val="24"/>
          <w:lang w:eastAsia="cs-CZ"/>
        </w:rPr>
        <w:t>K Čl. II</w:t>
      </w:r>
    </w:p>
    <w:p w:rsidR="00AF057F" w:rsidRPr="00B0317F" w:rsidP="00AC3084">
      <w:pPr>
        <w:pStyle w:val="ListParagraph"/>
        <w:bidi w:val="0"/>
        <w:spacing w:before="120" w:after="0" w:line="360" w:lineRule="auto"/>
        <w:ind w:left="0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B0317F">
        <w:rPr>
          <w:rFonts w:ascii="Times New Roman" w:hAnsi="Times New Roman"/>
          <w:sz w:val="24"/>
          <w:szCs w:val="24"/>
          <w:lang w:eastAsia="cs-CZ"/>
        </w:rPr>
        <w:t xml:space="preserve">S ohľadom na predpokladanú dĺžku legislatívneho procesu </w:t>
      </w:r>
      <w:r w:rsidR="00AC3084">
        <w:rPr>
          <w:rFonts w:ascii="Times New Roman" w:hAnsi="Times New Roman"/>
          <w:sz w:val="24"/>
          <w:szCs w:val="24"/>
          <w:lang w:eastAsia="cs-CZ"/>
        </w:rPr>
        <w:t xml:space="preserve">a dostatočnú prípravu dotknutých zamestnávateľov </w:t>
      </w:r>
      <w:r w:rsidRPr="00B0317F">
        <w:rPr>
          <w:rFonts w:ascii="Times New Roman" w:hAnsi="Times New Roman"/>
          <w:sz w:val="24"/>
          <w:szCs w:val="24"/>
          <w:lang w:eastAsia="cs-CZ"/>
        </w:rPr>
        <w:t xml:space="preserve">sa navrhuje účinnosť zákona </w:t>
      </w:r>
      <w:r w:rsidR="000841DB">
        <w:rPr>
          <w:rFonts w:ascii="Times New Roman" w:hAnsi="Times New Roman"/>
          <w:sz w:val="24"/>
          <w:szCs w:val="24"/>
          <w:lang w:eastAsia="cs-CZ"/>
        </w:rPr>
        <w:t xml:space="preserve">od </w:t>
      </w:r>
      <w:r w:rsidRPr="00B0317F" w:rsidR="00B663F1">
        <w:rPr>
          <w:rFonts w:ascii="Times New Roman" w:hAnsi="Times New Roman"/>
          <w:sz w:val="24"/>
          <w:szCs w:val="24"/>
          <w:lang w:eastAsia="cs-CZ"/>
        </w:rPr>
        <w:t>1. január</w:t>
      </w:r>
      <w:r w:rsidR="000841DB">
        <w:rPr>
          <w:rFonts w:ascii="Times New Roman" w:hAnsi="Times New Roman"/>
          <w:sz w:val="24"/>
          <w:szCs w:val="24"/>
          <w:lang w:eastAsia="cs-CZ"/>
        </w:rPr>
        <w:t>a</w:t>
      </w:r>
      <w:r w:rsidRPr="00B0317F" w:rsidR="00B663F1">
        <w:rPr>
          <w:rFonts w:ascii="Times New Roman" w:hAnsi="Times New Roman"/>
          <w:sz w:val="24"/>
          <w:szCs w:val="24"/>
          <w:lang w:eastAsia="cs-CZ"/>
        </w:rPr>
        <w:t xml:space="preserve"> 202</w:t>
      </w:r>
      <w:r w:rsidR="00AC3084">
        <w:rPr>
          <w:rFonts w:ascii="Times New Roman" w:hAnsi="Times New Roman"/>
          <w:sz w:val="24"/>
          <w:szCs w:val="24"/>
          <w:lang w:eastAsia="cs-CZ"/>
        </w:rPr>
        <w:t>1</w:t>
      </w:r>
      <w:r w:rsidRPr="00B0317F">
        <w:rPr>
          <w:rFonts w:ascii="Times New Roman" w:hAnsi="Times New Roman"/>
          <w:sz w:val="24"/>
          <w:szCs w:val="24"/>
          <w:lang w:eastAsia="cs-CZ"/>
        </w:rPr>
        <w:t>.</w:t>
      </w:r>
    </w:p>
    <w:p w:rsidR="00AF057F" w:rsidRPr="00B0317F" w:rsidP="00AC3084">
      <w:pPr>
        <w:bidi w:val="0"/>
        <w:spacing w:before="120" w:after="60" w:line="360" w:lineRule="auto"/>
        <w:ind w:firstLine="72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27B5D" w:rsidRPr="00B0317F" w:rsidP="00AC3084">
      <w:pPr>
        <w:bidi w:val="0"/>
        <w:spacing w:before="120" w:after="60" w:line="360" w:lineRule="auto"/>
        <w:ind w:firstLine="72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27B5D" w:rsidRPr="00B0317F" w:rsidP="00AC3084">
      <w:pPr>
        <w:bidi w:val="0"/>
        <w:spacing w:line="36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B0317F">
        <w:rPr>
          <w:rFonts w:ascii="Times New Roman" w:hAnsi="Times New Roman"/>
          <w:color w:val="auto"/>
          <w:sz w:val="24"/>
          <w:szCs w:val="24"/>
          <w:lang w:val="sk-SK"/>
        </w:rPr>
        <w:br w:type="page"/>
      </w:r>
    </w:p>
    <w:p w:rsidR="000F0965" w:rsidRPr="00B0317F" w:rsidP="00AC3084">
      <w:pPr>
        <w:pageBreakBefore/>
        <w:widowControl w:val="0"/>
        <w:suppressAutoHyphens/>
        <w:bidi w:val="0"/>
        <w:spacing w:line="360" w:lineRule="auto"/>
        <w:ind w:right="-427"/>
        <w:jc w:val="center"/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 w:hint="default"/>
          <w:b/>
          <w:bCs/>
          <w:color w:val="auto"/>
          <w:spacing w:val="30"/>
          <w:kern w:val="2"/>
          <w:sz w:val="24"/>
          <w:szCs w:val="24"/>
          <w:lang w:val="sk-SK" w:eastAsia="ar-SA"/>
        </w:rPr>
        <w:t>DOLOŽ</w:t>
      </w:r>
      <w:r w:rsidRPr="00B0317F">
        <w:rPr>
          <w:rFonts w:ascii="Times New Roman" w:eastAsia="SimSun" w:hAnsi="Times New Roman" w:hint="default"/>
          <w:b/>
          <w:bCs/>
          <w:color w:val="auto"/>
          <w:spacing w:val="30"/>
          <w:kern w:val="2"/>
          <w:sz w:val="24"/>
          <w:szCs w:val="24"/>
          <w:lang w:val="sk-SK" w:eastAsia="ar-SA"/>
        </w:rPr>
        <w:t>KA</w:t>
      </w:r>
    </w:p>
    <w:p w:rsidR="000F0965" w:rsidRPr="00B0317F" w:rsidP="00AC3084">
      <w:pPr>
        <w:widowControl w:val="0"/>
        <w:pBdr>
          <w:bottom w:val="single" w:sz="4" w:space="1" w:color="auto"/>
        </w:pBdr>
        <w:suppressAutoHyphens/>
        <w:bidi w:val="0"/>
        <w:spacing w:line="360" w:lineRule="auto"/>
        <w:ind w:right="-427"/>
        <w:jc w:val="center"/>
        <w:rPr>
          <w:rFonts w:ascii="Times New Roman" w:eastAsia="SimSun" w:hAnsi="Times New Roma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>vybraný</w:t>
      </w: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>ch vplyvov</w:t>
      </w: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color w:val="auto"/>
          <w:kern w:val="2"/>
          <w:sz w:val="24"/>
          <w:szCs w:val="24"/>
          <w:lang w:val="sk-SK" w:eastAsia="ar-SA"/>
        </w:rPr>
      </w:pPr>
    </w:p>
    <w:p w:rsidR="000F0965" w:rsidRPr="00B0317F" w:rsidP="00AC3084">
      <w:pPr>
        <w:pStyle w:val="ListParagraph"/>
        <w:bidi w:val="0"/>
        <w:spacing w:after="0" w:line="360" w:lineRule="auto"/>
        <w:ind w:left="0"/>
        <w:contextualSpacing w:val="0"/>
        <w:jc w:val="both"/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</w:pPr>
      <w:r w:rsidRPr="00B0317F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A.1. Ná</w:t>
      </w:r>
      <w:r w:rsidRPr="00B0317F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zov materiá</w:t>
      </w:r>
      <w:r w:rsidRPr="00B0317F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 xml:space="preserve">lu: </w:t>
      </w:r>
    </w:p>
    <w:p w:rsidR="000F0965" w:rsidRPr="00B0317F" w:rsidP="00AC3084">
      <w:pPr>
        <w:pStyle w:val="ListParagraph"/>
        <w:bidi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17F">
        <w:rPr>
          <w:rFonts w:ascii="Times New Roman" w:hAnsi="Times New Roman"/>
          <w:sz w:val="24"/>
          <w:szCs w:val="24"/>
        </w:rPr>
        <w:t xml:space="preserve">Návrh zákona, </w:t>
      </w:r>
      <w:r w:rsidRPr="00B0317F" w:rsidR="00B0317F">
        <w:rPr>
          <w:rFonts w:ascii="Times New Roman" w:hAnsi="Times New Roman"/>
          <w:color w:val="000000"/>
          <w:sz w:val="24"/>
          <w:szCs w:val="24"/>
        </w:rPr>
        <w:t xml:space="preserve">ktorým sa </w:t>
      </w:r>
      <w:r w:rsidR="00765031">
        <w:rPr>
          <w:rFonts w:ascii="Times New Roman" w:hAnsi="Times New Roman"/>
          <w:color w:val="000000"/>
          <w:sz w:val="24"/>
          <w:szCs w:val="24"/>
        </w:rPr>
        <w:t>mení</w:t>
      </w:r>
      <w:r w:rsidRPr="00B0317F" w:rsidR="00B0317F">
        <w:rPr>
          <w:rFonts w:ascii="Times New Roman" w:hAnsi="Times New Roman"/>
          <w:color w:val="000000"/>
          <w:sz w:val="24"/>
          <w:szCs w:val="24"/>
        </w:rPr>
        <w:t xml:space="preserve"> zákon č. 311/2001 Z. z. Zákonník práce v znení neskorších predpisov</w:t>
      </w:r>
      <w:r w:rsidRPr="00B0317F">
        <w:rPr>
          <w:rFonts w:ascii="Times New Roman" w:hAnsi="Times New Roman"/>
          <w:sz w:val="24"/>
          <w:szCs w:val="24"/>
        </w:rPr>
        <w:t>.</w:t>
      </w: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</w:pP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color w:val="auto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  <w:t>A.2. Vplyvy:</w:t>
      </w:r>
    </w:p>
    <w:tbl>
      <w:tblPr>
        <w:tblW w:w="9339" w:type="dxa"/>
        <w:tblInd w:w="-17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6362"/>
        <w:gridCol w:w="1063"/>
        <w:gridCol w:w="1064"/>
        <w:gridCol w:w="850"/>
      </w:tblGrid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nil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szCs w:val="24"/>
                <w:lang w:val="sk-SK" w:eastAsia="ar-SA"/>
              </w:rPr>
            </w:pP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Pozití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vne 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Negatí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Ž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iadne </w:t>
            </w: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1. Vplyvy na rozpoč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et verejnej sprá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none" w:sz="0" w:space="0" w:color="auto"/>
              <w:left w:val="single" w:sz="4" w:space="0" w:color="DDD9C3"/>
              <w:bottom w:val="none" w:sz="0" w:space="0" w:color="auto"/>
              <w:right w:val="single" w:sz="4" w:space="0" w:color="DDD9C3"/>
            </w:tcBorders>
            <w:textDirection w:val="lrTb"/>
            <w:vAlign w:val="top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2. Vplyvy na podnikateľ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ské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prostredie 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–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dochá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dza k zvýš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eniu </w:t>
            </w:r>
          </w:p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regulač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né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ho zať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až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enia?</w:t>
            </w:r>
          </w:p>
        </w:tc>
        <w:tc>
          <w:tcPr>
            <w:tcW w:w="1063" w:type="dxa"/>
            <w:tcBorders>
              <w:top w:val="none" w:sz="0" w:space="0" w:color="auto"/>
              <w:left w:val="single" w:sz="4" w:space="0" w:color="DDD9C3"/>
              <w:bottom w:val="none" w:sz="0" w:space="0" w:color="auto"/>
              <w:right w:val="single" w:sz="4" w:space="0" w:color="DDD9C3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none" w:sz="0" w:space="0" w:color="auto"/>
              <w:left w:val="single" w:sz="4" w:space="0" w:color="DDD9C3"/>
              <w:bottom w:val="none" w:sz="0" w:space="0" w:color="auto"/>
              <w:right w:val="single" w:sz="4" w:space="0" w:color="DDD9C3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="00765031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850" w:type="dxa"/>
            <w:tcBorders>
              <w:top w:val="none" w:sz="0" w:space="0" w:color="auto"/>
              <w:left w:val="single" w:sz="4" w:space="0" w:color="DDD9C3"/>
              <w:bottom w:val="none" w:sz="0" w:space="0" w:color="auto"/>
              <w:right w:val="single" w:sz="4" w:space="0" w:color="DDD9C3"/>
            </w:tcBorders>
            <w:textDirection w:val="lrTb"/>
            <w:vAlign w:val="top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 xml:space="preserve">3. 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Sociá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lne vplyvy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x 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–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vplyvy na hospodá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renie obyvateľ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stva,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x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–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sociá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lnu exklú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ziu,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x 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–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rovnosť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prí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lež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itostí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a rodovú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rovnosť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a vplyvy na zamestnanosť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4. Vplyvy na ž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ivotné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 xml:space="preserve"> prostredie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 xml:space="preserve">5. Vplyvy na 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informatizá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ciu spoloč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nosti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6. Vplyvy na služ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by verejnej sprá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vy pre obč</w:t>
            </w:r>
            <w:r w:rsidRPr="00B0317F"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ana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</w:tcPr>
          <w:p w:rsidR="000F0965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 w:rsidR="00B0317F"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>
        <w:tblPrEx>
          <w:tblW w:w="9339" w:type="dxa"/>
          <w:tblInd w:w="-17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B0317F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7. Vplyvy na manž</w:t>
            </w:r>
            <w:r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elstvo, rodič</w:t>
            </w:r>
            <w:r>
              <w:rPr>
                <w:rFonts w:ascii="Times New Roman" w:eastAsia="SimSun" w:hAnsi="Times New Roman" w:hint="default"/>
                <w:color w:val="auto"/>
                <w:kern w:val="2"/>
                <w:szCs w:val="24"/>
                <w:lang w:val="sk-SK" w:eastAsia="ar-SA"/>
              </w:rPr>
              <w:t>ovstvo a  rodinu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B0317F" w:rsidRPr="00B0317F" w:rsidP="00AC3084">
            <w:pPr>
              <w:widowControl w:val="0"/>
              <w:suppressAutoHyphens/>
              <w:bidi w:val="0"/>
              <w:snapToGrid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B0317F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27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</w:tcPr>
          <w:p w:rsidR="00B0317F" w:rsidRPr="00B0317F" w:rsidP="00AC3084">
            <w:pPr>
              <w:widowControl w:val="0"/>
              <w:suppressAutoHyphens/>
              <w:bidi w:val="0"/>
              <w:spacing w:before="0" w:line="360" w:lineRule="auto"/>
              <w:ind w:left="-17" w:right="-44"/>
              <w:jc w:val="both"/>
              <w:rPr>
                <w:rFonts w:ascii="Times New Roman" w:eastAsia="SimSun" w:hAnsi="Times New Roman"/>
                <w:color w:val="auto"/>
                <w:kern w:val="2"/>
                <w:szCs w:val="24"/>
                <w:lang w:val="sk-SK" w:eastAsia="ar-SA"/>
              </w:rPr>
            </w:pPr>
          </w:p>
        </w:tc>
      </w:tr>
    </w:tbl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b/>
          <w:bCs/>
          <w:color w:val="auto"/>
          <w:kern w:val="2"/>
          <w:sz w:val="20"/>
          <w:szCs w:val="24"/>
          <w:lang w:val="sk-SK" w:eastAsia="ar-SA"/>
        </w:rPr>
      </w:pPr>
      <w:r w:rsidRPr="00B0317F">
        <w:rPr>
          <w:rFonts w:ascii="Times New Roman" w:eastAsia="SimSun" w:hAnsi="Times New Roman"/>
          <w:color w:val="auto"/>
          <w:kern w:val="2"/>
          <w:sz w:val="24"/>
          <w:szCs w:val="24"/>
          <w:lang w:val="sk-SK" w:eastAsia="ar-SA"/>
        </w:rPr>
        <w:t> </w:t>
      </w: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color w:val="auto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>A.3. Pozná</w:t>
      </w: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>mky</w:t>
      </w:r>
      <w:r w:rsidR="001A4A04"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  <w:t>:</w:t>
      </w:r>
    </w:p>
    <w:p w:rsidR="00F75EB1" w:rsidP="00F75EB1">
      <w:pPr>
        <w:bidi w:val="0"/>
        <w:spacing w:before="120" w:line="36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N</w:t>
      </w:r>
      <w:r w:rsidRPr="00B0317F">
        <w:rPr>
          <w:rFonts w:ascii="Times New Roman" w:hAnsi="Times New Roman"/>
          <w:color w:val="000000"/>
          <w:sz w:val="24"/>
          <w:szCs w:val="24"/>
          <w:lang w:val="sk-SK"/>
        </w:rPr>
        <w:t xml:space="preserve">ávrh zákona má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>pozitívne a negatívne vplyvy na rozpočet verejnej správy, keďže sa očakáva zvýšenie príjmov do štátneho rozpočtu a rozpočtov samospráv zo zvýšenej spotreby služieb domáceho cestovného ruchu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ďalšími oprávnenými zamestnancami na príspevok na rekreáciu a ich najbližšími rodinnými príslušníkmi;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očakáva sa mierne zníženie príjmov na dani z príjmov z dôvodu, že príjem zamestnanca z príspevku na rekreáciu je oslobodený od dane z príjmov a tiež s týmto príspevkom spojené výdavky (náklady) si zamestnávateľ mô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že zahrnúť do daňových výdavkov;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očakáva sa zvýšenie výdavkov zo štátneho rozpočtu z dôvodu, že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ďalší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zam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estnanci štátu budú môcť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 požiadať o príspevok na rekreáciu. Návrh zákona má pozitívne a negatívne vplyvy na podnikateľské prostredie – očakáva sa pozitívny vplyv na podnikateľské subjekty v oblasti cestovného ruchu; očakáva sa negatívny vplyv na podnikateľské subjekty zamestnávajúce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menej ako 50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zamestnancov. Návrh zákona má pozitívne sociálne vplyvy –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ďalšia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časť ekonomicky aktívneho obyvateľstva bude môcť využiť príspevok na rekreáciu;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ďalšia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 xml:space="preserve">ekonomicky aktívna časť obyvateľstva s nízkym disponibilným príjmom bude mať väčšiu možnosť zúčastniť sa na aspoň jednej rekreácii počas roka; očakáva sa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ďalšie </w:t>
      </w:r>
      <w:r w:rsidRPr="00B077F9">
        <w:rPr>
          <w:rFonts w:ascii="Times New Roman" w:hAnsi="Times New Roman"/>
          <w:color w:val="000000"/>
          <w:sz w:val="24"/>
          <w:szCs w:val="24"/>
          <w:lang w:val="sk-SK"/>
        </w:rPr>
        <w:t>zvýšenie počtu zamestnancov v oblasti domáceho cestovného ruchu. Návrh zákona nemá žiadne vplyvy na životné prostredie, a ani vplyvy na informatizáciu spoločnosti a služby verejnej správy pre občana.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Návrh zákona má </w:t>
      </w:r>
      <w:r w:rsidRPr="00B0317F">
        <w:rPr>
          <w:rFonts w:ascii="Times New Roman" w:hAnsi="Times New Roman"/>
          <w:color w:val="000000"/>
          <w:sz w:val="24"/>
          <w:szCs w:val="24"/>
          <w:lang w:val="sk-SK"/>
        </w:rPr>
        <w:t>pozitívne vplyvy na manželstvo, rodičovstvo 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B0317F">
        <w:rPr>
          <w:rFonts w:ascii="Times New Roman" w:hAnsi="Times New Roman"/>
          <w:color w:val="000000"/>
          <w:sz w:val="24"/>
          <w:szCs w:val="24"/>
          <w:lang w:val="sk-SK"/>
        </w:rPr>
        <w:t>rodinu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, keďže spolu so zamestnancom sa majú možnosť zúčastniť rekreácie aj jeho najbližší rodinn</w:t>
      </w:r>
      <w:r w:rsidR="006A569D">
        <w:rPr>
          <w:rFonts w:ascii="Times New Roman" w:hAnsi="Times New Roman"/>
          <w:color w:val="000000"/>
          <w:sz w:val="24"/>
          <w:szCs w:val="24"/>
          <w:lang w:val="sk-SK"/>
        </w:rPr>
        <w:t>í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príslušníci, čím sa zvýši </w:t>
      </w:r>
      <w:r w:rsidRPr="00B1767C">
        <w:rPr>
          <w:rFonts w:ascii="Times New Roman" w:hAnsi="Times New Roman"/>
          <w:color w:val="000000"/>
          <w:sz w:val="24"/>
          <w:szCs w:val="24"/>
          <w:lang w:val="sk-SK"/>
        </w:rPr>
        <w:t>množstvo času alebo príležitostí pre rodičov alebo pre deti na realizáciu rodinného života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; príspevok na rekreáciu zároveň predstavuje finančné zvýhodnenie, ktoré môže umožniť rekreáciu aj viacdetným rodinám s nižším disponibilným príjmom domácnosti.</w:t>
      </w: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</w:pP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>A.4. Alternatí</w:t>
      </w: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 xml:space="preserve">vne </w:t>
      </w: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>rieš</w:t>
      </w:r>
      <w:r w:rsidRPr="00B0317F">
        <w:rPr>
          <w:rFonts w:ascii="Times New Roman" w:eastAsia="SimSun" w:hAnsi="Times New Roman" w:hint="default"/>
          <w:b/>
          <w:bCs/>
          <w:color w:val="auto"/>
          <w:kern w:val="2"/>
          <w:sz w:val="24"/>
          <w:szCs w:val="24"/>
          <w:lang w:val="sk-SK" w:eastAsia="ar-SA"/>
        </w:rPr>
        <w:t>enia</w:t>
      </w: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 w:hint="default"/>
          <w:color w:val="auto"/>
          <w:kern w:val="2"/>
          <w:sz w:val="24"/>
          <w:szCs w:val="24"/>
          <w:lang w:val="sk-SK" w:eastAsia="ar-SA"/>
        </w:rPr>
        <w:t>Bezpredmetné </w:t>
      </w: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</w:pPr>
    </w:p>
    <w:p w:rsidR="000F0965" w:rsidRPr="00B0317F" w:rsidP="00AC3084">
      <w:pPr>
        <w:widowControl w:val="0"/>
        <w:suppressAutoHyphens/>
        <w:bidi w:val="0"/>
        <w:spacing w:line="360" w:lineRule="auto"/>
        <w:ind w:left="567" w:right="-427" w:hanging="567"/>
        <w:jc w:val="both"/>
        <w:rPr>
          <w:rFonts w:ascii="Times New Roman" w:eastAsia="SimSun" w:hAnsi="Times New Roma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/>
          <w:b/>
          <w:bCs/>
          <w:color w:val="auto"/>
          <w:kern w:val="2"/>
          <w:sz w:val="24"/>
          <w:szCs w:val="24"/>
          <w:lang w:val="sk-SK" w:eastAsia="ar-SA"/>
        </w:rPr>
        <w:t xml:space="preserve">A.5. </w:t>
        <w:tab/>
        <w:t>Stanovisko gestorov</w:t>
      </w:r>
    </w:p>
    <w:p w:rsidR="000F0965" w:rsidRPr="00B0317F" w:rsidP="00AC3084">
      <w:pPr>
        <w:widowControl w:val="0"/>
        <w:suppressAutoHyphens/>
        <w:bidi w:val="0"/>
        <w:spacing w:line="360" w:lineRule="auto"/>
        <w:ind w:right="-427"/>
        <w:jc w:val="both"/>
        <w:rPr>
          <w:rFonts w:ascii="Times New Roman" w:eastAsia="SimSun" w:hAnsi="Times New Roman" w:hint="default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ascii="Times New Roman" w:eastAsia="SimSun" w:hAnsi="Times New Roman" w:hint="default"/>
          <w:color w:val="auto"/>
          <w:kern w:val="2"/>
          <w:sz w:val="24"/>
          <w:szCs w:val="24"/>
          <w:lang w:val="sk-SK" w:eastAsia="ar-SA"/>
        </w:rPr>
        <w:t>Bezpredmetné </w:t>
      </w:r>
    </w:p>
    <w:p w:rsidR="000F0965" w:rsidRPr="00B0317F" w:rsidP="00AC3084">
      <w:pPr>
        <w:bidi w:val="0"/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0F0965" w:rsidP="00AC3084">
      <w:pPr>
        <w:bidi w:val="0"/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F75EB1" w:rsidP="00AC3084">
      <w:pPr>
        <w:bidi w:val="0"/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F75EB1" w:rsidRPr="00B0317F" w:rsidP="00AC3084">
      <w:pPr>
        <w:bidi w:val="0"/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0F0965" w:rsidRPr="00B0317F" w:rsidP="00AC3084">
      <w:pPr>
        <w:bidi w:val="0"/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0F0965" w:rsidRPr="00B0317F" w:rsidP="00AC3084">
      <w:pPr>
        <w:bidi w:val="0"/>
        <w:spacing w:line="360" w:lineRule="auto"/>
        <w:jc w:val="center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B0317F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DOLOŽKA  ZLUČITEĽNOSTI</w:t>
      </w:r>
    </w:p>
    <w:p w:rsidR="000F0965" w:rsidRPr="00B0317F" w:rsidP="00AC3084">
      <w:pPr>
        <w:pBdr>
          <w:bottom w:val="single" w:sz="4" w:space="1" w:color="auto"/>
        </w:pBdr>
        <w:bidi w:val="0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0"/>
          <w:lang w:val="sk-SK"/>
        </w:rPr>
      </w:pPr>
      <w:r w:rsidRPr="00B0317F">
        <w:rPr>
          <w:rFonts w:ascii="Times New Roman" w:hAnsi="Times New Roman"/>
          <w:b/>
          <w:bCs/>
          <w:color w:val="auto"/>
          <w:sz w:val="24"/>
          <w:szCs w:val="28"/>
          <w:lang w:val="sk-SK"/>
        </w:rPr>
        <w:t xml:space="preserve">návrhu zákona s </w:t>
      </w:r>
      <w:r w:rsidRPr="00B0317F">
        <w:rPr>
          <w:rFonts w:ascii="Times New Roman" w:hAnsi="Times New Roman"/>
          <w:b/>
          <w:color w:val="auto"/>
          <w:sz w:val="24"/>
          <w:szCs w:val="28"/>
          <w:lang w:val="sk-SK"/>
        </w:rPr>
        <w:t>právom Európskej únie</w:t>
      </w:r>
    </w:p>
    <w:p w:rsidR="000F0965" w:rsidRPr="00B0317F" w:rsidP="00AC3084">
      <w:pPr>
        <w:bidi w:val="0"/>
        <w:spacing w:after="120"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F0965" w:rsidRPr="00B0317F" w:rsidP="00AC3084">
      <w:pPr>
        <w:numPr>
          <w:numId w:val="1"/>
        </w:numPr>
        <w:tabs>
          <w:tab w:val="clear" w:pos="720"/>
        </w:tabs>
        <w:bidi w:val="0"/>
        <w:spacing w:before="0" w:line="360" w:lineRule="auto"/>
        <w:ind w:left="426" w:hanging="426"/>
        <w:jc w:val="both"/>
        <w:rPr>
          <w:rFonts w:ascii="Times New Roman" w:hAnsi="Times New Roman"/>
          <w:color w:val="auto"/>
          <w:sz w:val="24"/>
          <w:szCs w:val="20"/>
          <w:lang w:val="sk-SK"/>
        </w:rPr>
      </w:pPr>
      <w:r w:rsidR="00800CEB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Navrhovateľ </w:t>
      </w:r>
      <w:r w:rsidRPr="00B0317F" w:rsidR="00800CEB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 </w:t>
      </w:r>
      <w:r w:rsidRPr="00B0317F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návrhu </w:t>
      </w:r>
      <w:r w:rsidR="00800CEB">
        <w:rPr>
          <w:rFonts w:ascii="Times New Roman" w:hAnsi="Times New Roman"/>
          <w:b/>
          <w:color w:val="auto"/>
          <w:sz w:val="24"/>
          <w:szCs w:val="24"/>
          <w:lang w:val="sk-SK"/>
        </w:rPr>
        <w:t>zákona</w:t>
      </w:r>
      <w:r w:rsidRPr="00B0317F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: </w:t>
      </w:r>
      <w:r w:rsidRPr="00E0194E" w:rsidR="00E0194E">
        <w:rPr>
          <w:rFonts w:ascii="Times New Roman" w:hAnsi="Times New Roman"/>
          <w:color w:val="auto"/>
          <w:sz w:val="24"/>
          <w:szCs w:val="24"/>
          <w:lang w:val="sk-SK"/>
        </w:rPr>
        <w:t xml:space="preserve">skupina </w:t>
      </w:r>
      <w:r w:rsidR="00430CBB">
        <w:rPr>
          <w:rFonts w:ascii="Times New Roman" w:hAnsi="Times New Roman"/>
          <w:color w:val="auto"/>
          <w:sz w:val="24"/>
          <w:szCs w:val="24"/>
          <w:lang w:val="sk-SK"/>
        </w:rPr>
        <w:t>poslanc</w:t>
      </w:r>
      <w:r w:rsidR="00E0194E">
        <w:rPr>
          <w:rFonts w:ascii="Times New Roman" w:hAnsi="Times New Roman"/>
          <w:color w:val="auto"/>
          <w:sz w:val="24"/>
          <w:szCs w:val="24"/>
          <w:lang w:val="sk-SK"/>
        </w:rPr>
        <w:t>ov</w:t>
      </w:r>
      <w:r w:rsidRPr="00B0317F">
        <w:rPr>
          <w:rFonts w:ascii="Times New Roman" w:hAnsi="Times New Roman"/>
          <w:color w:val="auto"/>
          <w:sz w:val="24"/>
          <w:szCs w:val="24"/>
          <w:lang w:val="sk-SK"/>
        </w:rPr>
        <w:t xml:space="preserve"> Národnej rady Slovenskej republiky</w:t>
      </w:r>
      <w:r w:rsidR="00E0194E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0F0965" w:rsidRPr="00B0317F" w:rsidP="00AC3084">
      <w:pPr>
        <w:bidi w:val="0"/>
        <w:spacing w:line="360" w:lineRule="auto"/>
        <w:ind w:left="426" w:hanging="426"/>
        <w:jc w:val="both"/>
        <w:rPr>
          <w:rFonts w:ascii="Times New Roman" w:hAnsi="Times New Roman"/>
          <w:color w:val="auto"/>
          <w:sz w:val="24"/>
          <w:szCs w:val="20"/>
          <w:lang w:val="sk-SK"/>
        </w:rPr>
      </w:pPr>
    </w:p>
    <w:p w:rsidR="000F0965" w:rsidRPr="00430CBB" w:rsidP="00AC3084">
      <w:pPr>
        <w:numPr>
          <w:numId w:val="1"/>
        </w:numPr>
        <w:tabs>
          <w:tab w:val="clear" w:pos="720"/>
        </w:tabs>
        <w:autoSpaceDE w:val="0"/>
        <w:autoSpaceDN w:val="0"/>
        <w:bidi w:val="0"/>
        <w:spacing w:before="0" w:line="360" w:lineRule="auto"/>
        <w:ind w:left="426" w:hanging="426"/>
        <w:jc w:val="both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B0317F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Názov návrhu </w:t>
      </w:r>
      <w:r w:rsidR="00800CEB">
        <w:rPr>
          <w:rFonts w:ascii="Times New Roman" w:hAnsi="Times New Roman"/>
          <w:b/>
          <w:color w:val="auto"/>
          <w:sz w:val="24"/>
          <w:szCs w:val="24"/>
          <w:lang w:val="sk-SK"/>
        </w:rPr>
        <w:t>zákona</w:t>
      </w:r>
      <w:r w:rsidRPr="00430CBB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: </w:t>
      </w:r>
      <w:r w:rsidR="00B4723A">
        <w:rPr>
          <w:rFonts w:ascii="Times New Roman" w:hAnsi="Times New Roman"/>
          <w:color w:val="auto"/>
          <w:sz w:val="24"/>
          <w:szCs w:val="24"/>
          <w:lang w:val="sk-SK"/>
        </w:rPr>
        <w:t>Návrh zákona, ktorým sa mení</w:t>
      </w:r>
      <w:r w:rsidRPr="00430CBB" w:rsidR="00430CBB">
        <w:rPr>
          <w:rFonts w:ascii="Times New Roman" w:hAnsi="Times New Roman"/>
          <w:color w:val="auto"/>
          <w:sz w:val="24"/>
          <w:szCs w:val="24"/>
          <w:lang w:val="sk-SK"/>
        </w:rPr>
        <w:t xml:space="preserve"> zákon č. 311/2001 Z. z. Zákonník práce v znení neskorších predpisov</w:t>
      </w:r>
      <w:r w:rsidRPr="00430CBB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0F0965" w:rsidRPr="00B0317F" w:rsidP="00AC3084">
      <w:pPr>
        <w:autoSpaceDE w:val="0"/>
        <w:autoSpaceDN w:val="0"/>
        <w:bidi w:val="0"/>
        <w:spacing w:line="360" w:lineRule="auto"/>
        <w:ind w:left="426"/>
        <w:jc w:val="both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0F0965" w:rsidRPr="00B0317F" w:rsidP="00AC3084">
      <w:pPr>
        <w:bidi w:val="0"/>
        <w:spacing w:line="36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 w:rsidRPr="00B0317F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3.   Predmet návrhu </w:t>
      </w:r>
      <w:r w:rsidR="00800CEB">
        <w:rPr>
          <w:rFonts w:ascii="Times New Roman" w:hAnsi="Times New Roman"/>
          <w:b/>
          <w:color w:val="auto"/>
          <w:sz w:val="24"/>
          <w:szCs w:val="24"/>
          <w:lang w:val="sk-SK"/>
        </w:rPr>
        <w:t>zákona</w:t>
      </w:r>
      <w:r w:rsidRPr="00B0317F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: </w:t>
      </w:r>
      <w:r w:rsidRPr="00B0317F">
        <w:rPr>
          <w:rFonts w:ascii="Times New Roman" w:hAnsi="Times New Roman"/>
          <w:color w:val="auto"/>
          <w:sz w:val="24"/>
          <w:szCs w:val="24"/>
          <w:lang w:val="sk-SK"/>
        </w:rPr>
        <w:t xml:space="preserve">Je v súlade s právnou úpravou Európskej únie; </w:t>
      </w:r>
    </w:p>
    <w:p w:rsidR="000F0965" w:rsidRPr="00B0317F" w:rsidP="00AC3084">
      <w:pPr>
        <w:pStyle w:val="ListParagraph"/>
        <w:numPr>
          <w:ilvl w:val="3"/>
          <w:numId w:val="2"/>
        </w:numPr>
        <w:bidi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0"/>
        </w:rPr>
      </w:pPr>
      <w:r w:rsidR="00430CBB">
        <w:rPr>
          <w:rFonts w:ascii="Times New Roman" w:hAnsi="Times New Roman"/>
          <w:sz w:val="24"/>
          <w:szCs w:val="20"/>
        </w:rPr>
        <w:t xml:space="preserve">nie </w:t>
      </w:r>
      <w:r w:rsidRPr="00B0317F">
        <w:rPr>
          <w:rFonts w:ascii="Times New Roman" w:hAnsi="Times New Roman"/>
          <w:sz w:val="24"/>
          <w:szCs w:val="20"/>
        </w:rPr>
        <w:t>je upravený v primárnom práve Európskej únie,</w:t>
      </w:r>
    </w:p>
    <w:p w:rsidR="000F0965" w:rsidRPr="00B0317F" w:rsidP="00AC3084">
      <w:pPr>
        <w:pStyle w:val="ListParagraph"/>
        <w:numPr>
          <w:ilvl w:val="3"/>
          <w:numId w:val="2"/>
        </w:numPr>
        <w:bidi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0"/>
        </w:rPr>
      </w:pPr>
      <w:r w:rsidRPr="00B0317F">
        <w:rPr>
          <w:rFonts w:ascii="Times New Roman" w:hAnsi="Times New Roman"/>
          <w:sz w:val="24"/>
          <w:szCs w:val="20"/>
        </w:rPr>
        <w:t>nie je upravený v sekundárnom práve Európskej únie</w:t>
      </w:r>
      <w:r w:rsidRPr="00B0317F">
        <w:rPr>
          <w:rFonts w:ascii="Times New Roman" w:hAnsi="Times New Roman"/>
          <w:sz w:val="24"/>
          <w:szCs w:val="24"/>
        </w:rPr>
        <w:t>,</w:t>
      </w:r>
    </w:p>
    <w:p w:rsidR="000F0965" w:rsidRPr="00B0317F" w:rsidP="00AC3084">
      <w:pPr>
        <w:pStyle w:val="ListParagraph"/>
        <w:numPr>
          <w:ilvl w:val="3"/>
          <w:numId w:val="2"/>
        </w:numPr>
        <w:bidi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17F"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:rsidR="00800CEB" w:rsidRPr="006A569D" w:rsidP="00800CEB">
      <w:pPr>
        <w:bidi w:val="0"/>
        <w:spacing w:line="360" w:lineRule="auto"/>
        <w:jc w:val="both"/>
        <w:rPr>
          <w:rFonts w:ascii="Times New Roman" w:hAnsi="Times New Roman"/>
          <w:color w:val="FF0000"/>
          <w:lang w:val="sk-SK"/>
        </w:rPr>
      </w:pPr>
    </w:p>
    <w:p w:rsidR="00800CEB" w:rsidRPr="006A569D" w:rsidP="00800CEB">
      <w:pPr>
        <w:bidi w:val="0"/>
        <w:spacing w:line="360" w:lineRule="auto"/>
        <w:jc w:val="both"/>
        <w:rPr>
          <w:rFonts w:ascii="Times New Roman" w:hAnsi="Times New Roman"/>
          <w:color w:val="auto"/>
          <w:lang w:val="sk-SK"/>
        </w:rPr>
      </w:pPr>
      <w:r w:rsidRPr="006A569D">
        <w:rPr>
          <w:rFonts w:ascii="Times New Roman" w:hAnsi="Times New Roman"/>
          <w:color w:val="auto"/>
          <w:lang w:val="sk-SK"/>
        </w:rPr>
        <w:t>Keďže predmet návrhu zákona nie je upravený v práve Európskej únie, body 4. a 5. sa nevypĺňajú.</w:t>
      </w:r>
    </w:p>
    <w:p w:rsidR="00B663F1" w:rsidRPr="00B0317F" w:rsidP="00AC3084">
      <w:pPr>
        <w:bidi w:val="0"/>
        <w:spacing w:before="120" w:after="60" w:line="360" w:lineRule="auto"/>
        <w:ind w:firstLine="72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sectPr>
      <w:footerReference w:type="default" r:id="rId5"/>
      <w:pgSz w:w="12240" w:h="15840"/>
      <w:pgMar w:top="1440" w:right="1440" w:bottom="1440" w:left="1440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A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E03728" w:rsidR="00E03728">
      <w:rPr>
        <w:rFonts w:ascii="Times New Roman" w:hAnsi="Times New Roman"/>
        <w:noProof/>
        <w:lang w:val="sk-SK"/>
      </w:rPr>
      <w:t>7</w:t>
    </w:r>
    <w:r>
      <w:rPr>
        <w:rFonts w:ascii="Times New Roman" w:hAnsi="Times New Roman"/>
      </w:rPr>
      <w:fldChar w:fldCharType="end"/>
    </w:r>
  </w:p>
  <w:p w:rsidR="00670BA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6030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792213C"/>
    <w:multiLevelType w:val="hybridMultilevel"/>
    <w:tmpl w:val="7AC65F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trackRevisions/>
  <w:doNotTrackMoves/>
  <w:defaultTabStop w:val="720"/>
  <w:hyphenationZone w:val="425"/>
  <w:characterSpacingControl w:val="doNotCompress"/>
  <w:compat/>
  <w:rsids>
    <w:rsidRoot w:val="00D53451"/>
    <w:rsid w:val="0000762F"/>
    <w:rsid w:val="000132EE"/>
    <w:rsid w:val="00013346"/>
    <w:rsid w:val="00025F73"/>
    <w:rsid w:val="0004097D"/>
    <w:rsid w:val="00061891"/>
    <w:rsid w:val="000841DB"/>
    <w:rsid w:val="000A30D7"/>
    <w:rsid w:val="000F0965"/>
    <w:rsid w:val="00160727"/>
    <w:rsid w:val="00192FAA"/>
    <w:rsid w:val="001A4A04"/>
    <w:rsid w:val="001C40BF"/>
    <w:rsid w:val="002A431C"/>
    <w:rsid w:val="002B7BFF"/>
    <w:rsid w:val="002F4B0C"/>
    <w:rsid w:val="002F5684"/>
    <w:rsid w:val="00312529"/>
    <w:rsid w:val="00323220"/>
    <w:rsid w:val="00327E2D"/>
    <w:rsid w:val="004102B8"/>
    <w:rsid w:val="00422E4C"/>
    <w:rsid w:val="00430CBB"/>
    <w:rsid w:val="00455CA0"/>
    <w:rsid w:val="00474C8F"/>
    <w:rsid w:val="00485273"/>
    <w:rsid w:val="00504492"/>
    <w:rsid w:val="00527B5D"/>
    <w:rsid w:val="0054221D"/>
    <w:rsid w:val="005470AD"/>
    <w:rsid w:val="00580269"/>
    <w:rsid w:val="005F7322"/>
    <w:rsid w:val="00604476"/>
    <w:rsid w:val="00610EDB"/>
    <w:rsid w:val="00657461"/>
    <w:rsid w:val="00670BA0"/>
    <w:rsid w:val="0068463A"/>
    <w:rsid w:val="006A569D"/>
    <w:rsid w:val="006B0785"/>
    <w:rsid w:val="006F7A63"/>
    <w:rsid w:val="00703E2E"/>
    <w:rsid w:val="00706174"/>
    <w:rsid w:val="00720EB4"/>
    <w:rsid w:val="00765031"/>
    <w:rsid w:val="00783BFB"/>
    <w:rsid w:val="00796EA5"/>
    <w:rsid w:val="007B1B08"/>
    <w:rsid w:val="007C1879"/>
    <w:rsid w:val="007C37CD"/>
    <w:rsid w:val="007F6D51"/>
    <w:rsid w:val="00800CEB"/>
    <w:rsid w:val="008041E6"/>
    <w:rsid w:val="00853D30"/>
    <w:rsid w:val="008B5D94"/>
    <w:rsid w:val="008D2DFE"/>
    <w:rsid w:val="00957254"/>
    <w:rsid w:val="00962428"/>
    <w:rsid w:val="009E56AF"/>
    <w:rsid w:val="00A37FE2"/>
    <w:rsid w:val="00AB4C6C"/>
    <w:rsid w:val="00AC3084"/>
    <w:rsid w:val="00AD330D"/>
    <w:rsid w:val="00AD425C"/>
    <w:rsid w:val="00AF057F"/>
    <w:rsid w:val="00B0317F"/>
    <w:rsid w:val="00B077F9"/>
    <w:rsid w:val="00B1767C"/>
    <w:rsid w:val="00B26822"/>
    <w:rsid w:val="00B4723A"/>
    <w:rsid w:val="00B663F1"/>
    <w:rsid w:val="00BD2581"/>
    <w:rsid w:val="00C000A9"/>
    <w:rsid w:val="00C45D1C"/>
    <w:rsid w:val="00CA5E78"/>
    <w:rsid w:val="00CA5F07"/>
    <w:rsid w:val="00CB6991"/>
    <w:rsid w:val="00D31031"/>
    <w:rsid w:val="00D513D7"/>
    <w:rsid w:val="00D53451"/>
    <w:rsid w:val="00D9237A"/>
    <w:rsid w:val="00D96419"/>
    <w:rsid w:val="00DF0B4D"/>
    <w:rsid w:val="00E0194E"/>
    <w:rsid w:val="00E03728"/>
    <w:rsid w:val="00E05D36"/>
    <w:rsid w:val="00EA3CB1"/>
    <w:rsid w:val="00F547B5"/>
    <w:rsid w:val="00F75EB1"/>
    <w:rsid w:val="00F7740D"/>
    <w:rsid w:val="00FE40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666666"/>
        <w:sz w:val="22"/>
        <w:lang w:val="en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before="200" w:line="335" w:lineRule="auto"/>
      <w:ind w:left="-15" w:right="0"/>
      <w:jc w:val="left"/>
      <w:textAlignment w:val="auto"/>
    </w:pPr>
    <w:rPr>
      <w:rFonts w:cs="Times New Roman"/>
      <w:color w:val="666666"/>
      <w:sz w:val="22"/>
      <w:szCs w:val="22"/>
      <w:rtl w:val="0"/>
      <w:cs w:val="0"/>
      <w:lang w:val="en" w:eastAsia="sk-SK" w:bidi="ar-SA"/>
    </w:rPr>
  </w:style>
  <w:style w:type="paragraph" w:styleId="Heading1">
    <w:name w:val="heading 1"/>
    <w:basedOn w:val="Normal"/>
    <w:next w:val="Normal"/>
    <w:pPr>
      <w:spacing w:before="480" w:line="240" w:lineRule="auto"/>
      <w:jc w:val="left"/>
      <w:outlineLvl w:val="0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320" w:line="240" w:lineRule="auto"/>
      <w:ind w:left="720" w:hanging="360"/>
      <w:jc w:val="left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pPr>
      <w:spacing w:line="240" w:lineRule="auto"/>
      <w:jc w:val="left"/>
      <w:outlineLvl w:val="2"/>
    </w:pPr>
    <w:rPr>
      <w:b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0"/>
      <w:jc w:val="left"/>
      <w:outlineLvl w:val="3"/>
    </w:pPr>
    <w:rPr>
      <w:b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/>
      <w:keepLines/>
      <w:spacing w:before="160"/>
      <w:jc w:val="left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jc w:val="left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before="200" w:line="335" w:lineRule="auto"/>
      <w:ind w:left="-15" w:right="0"/>
      <w:jc w:val="left"/>
      <w:textAlignment w:val="auto"/>
    </w:pPr>
    <w:rPr>
      <w:rFonts w:cs="Times New Roman"/>
      <w:color w:val="666666"/>
      <w:sz w:val="22"/>
      <w:szCs w:val="22"/>
      <w:rtl w:val="0"/>
      <w:cs w:val="0"/>
      <w:lang w:val="en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400" w:line="240" w:lineRule="auto"/>
      <w:jc w:val="left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jc w:val="left"/>
    </w:pPr>
    <w:rPr>
      <w:b/>
      <w:color w:val="E01B84"/>
    </w:rPr>
  </w:style>
  <w:style w:type="paragraph" w:styleId="CommentText">
    <w:name w:val="annotation text"/>
    <w:basedOn w:val="Normal"/>
    <w:link w:val="TextkomentraChar"/>
    <w:uiPriority w:val="99"/>
    <w:semiHidden/>
    <w:unhideWhenUsed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02B8"/>
    <w:pPr>
      <w:spacing w:before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02B8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EA3CB1"/>
    <w:pPr>
      <w:spacing w:before="0" w:after="160" w:line="259" w:lineRule="auto"/>
      <w:ind w:left="720"/>
      <w:contextualSpacing/>
      <w:jc w:val="left"/>
    </w:pPr>
    <w:rPr>
      <w:rFonts w:ascii="Calibri" w:hAnsi="Calibri"/>
      <w:color w:val="auto"/>
      <w:lang w:val="sk-SK" w:eastAsia="en-US"/>
    </w:rPr>
  </w:style>
  <w:style w:type="character" w:customStyle="1" w:styleId="OdsekzoznamuChar">
    <w:name w:val="Odsek zoznamu Char"/>
    <w:link w:val="ListParagraph"/>
    <w:uiPriority w:val="34"/>
    <w:locked/>
    <w:rsid w:val="00EA3CB1"/>
    <w:rPr>
      <w:rFonts w:ascii="Calibri" w:hAnsi="Calibri" w:cs="Calibri"/>
      <w:color w:val="auto"/>
      <w:lang w:val="sk-SK" w:eastAsia="en-US"/>
    </w:rPr>
  </w:style>
  <w:style w:type="paragraph" w:styleId="Header">
    <w:name w:val="header"/>
    <w:basedOn w:val="Normal"/>
    <w:link w:val="Hlavik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70BA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70BA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032A-9259-4031-AAD9-24A3A5DC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1465</Words>
  <Characters>8352</Characters>
  <Application>Microsoft Office Word</Application>
  <DocSecurity>0</DocSecurity>
  <Lines>0</Lines>
  <Paragraphs>0</Paragraphs>
  <ScaleCrop>false</ScaleCrop>
  <Company>Hewlett-Packard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Gašparíková, Jarmila</cp:lastModifiedBy>
  <cp:revision>2</cp:revision>
  <dcterms:created xsi:type="dcterms:W3CDTF">2019-07-31T09:38:00Z</dcterms:created>
  <dcterms:modified xsi:type="dcterms:W3CDTF">2019-07-31T09:38:00Z</dcterms:modified>
</cp:coreProperties>
</file>