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0E" w:rsidRPr="00CB130E" w:rsidRDefault="00CB130E" w:rsidP="002337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B130E">
        <w:rPr>
          <w:rFonts w:ascii="Times New Roman" w:eastAsia="Calibri" w:hAnsi="Times New Roman" w:cs="Times New Roman"/>
          <w:b/>
          <w:sz w:val="24"/>
        </w:rPr>
        <w:t>D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B130E">
        <w:rPr>
          <w:rFonts w:ascii="Times New Roman" w:eastAsia="Calibri" w:hAnsi="Times New Roman" w:cs="Times New Roman"/>
          <w:b/>
          <w:sz w:val="24"/>
        </w:rPr>
        <w:t>ô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B130E">
        <w:rPr>
          <w:rFonts w:ascii="Times New Roman" w:eastAsia="Calibri" w:hAnsi="Times New Roman" w:cs="Times New Roman"/>
          <w:b/>
          <w:sz w:val="24"/>
        </w:rPr>
        <w:t>v</w:t>
      </w:r>
      <w:r w:rsidR="00B577D0">
        <w:rPr>
          <w:rFonts w:ascii="Times New Roman" w:eastAsia="Calibri" w:hAnsi="Times New Roman" w:cs="Times New Roman"/>
          <w:b/>
          <w:sz w:val="24"/>
        </w:rPr>
        <w:t> </w:t>
      </w:r>
      <w:r w:rsidRPr="00CB130E">
        <w:rPr>
          <w:rFonts w:ascii="Times New Roman" w:eastAsia="Calibri" w:hAnsi="Times New Roman" w:cs="Times New Roman"/>
          <w:b/>
          <w:sz w:val="24"/>
        </w:rPr>
        <w:t>o</w:t>
      </w:r>
      <w:r w:rsidR="00B577D0">
        <w:rPr>
          <w:rFonts w:ascii="Times New Roman" w:eastAsia="Calibri" w:hAnsi="Times New Roman" w:cs="Times New Roman"/>
          <w:b/>
          <w:sz w:val="24"/>
        </w:rPr>
        <w:t> </w:t>
      </w:r>
      <w:r w:rsidRPr="00CB130E">
        <w:rPr>
          <w:rFonts w:ascii="Times New Roman" w:eastAsia="Calibri" w:hAnsi="Times New Roman" w:cs="Times New Roman"/>
          <w:b/>
          <w:sz w:val="24"/>
        </w:rPr>
        <w:t>d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B130E">
        <w:rPr>
          <w:rFonts w:ascii="Times New Roman" w:eastAsia="Calibri" w:hAnsi="Times New Roman" w:cs="Times New Roman"/>
          <w:b/>
          <w:sz w:val="24"/>
        </w:rPr>
        <w:t>o</w:t>
      </w:r>
      <w:r w:rsidR="00B577D0">
        <w:rPr>
          <w:rFonts w:ascii="Times New Roman" w:eastAsia="Calibri" w:hAnsi="Times New Roman" w:cs="Times New Roman"/>
          <w:b/>
          <w:sz w:val="24"/>
        </w:rPr>
        <w:t> </w:t>
      </w:r>
      <w:r w:rsidRPr="00CB130E">
        <w:rPr>
          <w:rFonts w:ascii="Times New Roman" w:eastAsia="Calibri" w:hAnsi="Times New Roman" w:cs="Times New Roman"/>
          <w:b/>
          <w:sz w:val="24"/>
        </w:rPr>
        <w:t>v</w:t>
      </w:r>
      <w:r w:rsidR="00B577D0">
        <w:rPr>
          <w:rFonts w:ascii="Times New Roman" w:eastAsia="Calibri" w:hAnsi="Times New Roman" w:cs="Times New Roman"/>
          <w:b/>
          <w:sz w:val="24"/>
        </w:rPr>
        <w:t> </w:t>
      </w:r>
      <w:r w:rsidRPr="00CB130E">
        <w:rPr>
          <w:rFonts w:ascii="Times New Roman" w:eastAsia="Calibri" w:hAnsi="Times New Roman" w:cs="Times New Roman"/>
          <w:b/>
          <w:sz w:val="24"/>
        </w:rPr>
        <w:t>á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 </w:t>
      </w:r>
      <w:r w:rsidRPr="00CB130E">
        <w:rPr>
          <w:rFonts w:ascii="Times New Roman" w:eastAsia="Calibri" w:hAnsi="Times New Roman" w:cs="Times New Roman"/>
          <w:b/>
          <w:sz w:val="24"/>
        </w:rPr>
        <w:t xml:space="preserve"> s</w:t>
      </w:r>
      <w:r w:rsidR="00B577D0">
        <w:rPr>
          <w:rFonts w:ascii="Times New Roman" w:eastAsia="Calibri" w:hAnsi="Times New Roman" w:cs="Times New Roman"/>
          <w:b/>
          <w:sz w:val="24"/>
        </w:rPr>
        <w:t> </w:t>
      </w:r>
      <w:r w:rsidRPr="00CB130E">
        <w:rPr>
          <w:rFonts w:ascii="Times New Roman" w:eastAsia="Calibri" w:hAnsi="Times New Roman" w:cs="Times New Roman"/>
          <w:b/>
          <w:sz w:val="24"/>
        </w:rPr>
        <w:t>p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B130E">
        <w:rPr>
          <w:rFonts w:ascii="Times New Roman" w:eastAsia="Calibri" w:hAnsi="Times New Roman" w:cs="Times New Roman"/>
          <w:b/>
          <w:sz w:val="24"/>
        </w:rPr>
        <w:t>r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B130E">
        <w:rPr>
          <w:rFonts w:ascii="Times New Roman" w:eastAsia="Calibri" w:hAnsi="Times New Roman" w:cs="Times New Roman"/>
          <w:b/>
          <w:sz w:val="24"/>
        </w:rPr>
        <w:t>á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B130E">
        <w:rPr>
          <w:rFonts w:ascii="Times New Roman" w:eastAsia="Calibri" w:hAnsi="Times New Roman" w:cs="Times New Roman"/>
          <w:b/>
          <w:sz w:val="24"/>
        </w:rPr>
        <w:t>v</w:t>
      </w:r>
      <w:r w:rsidR="00B577D0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B130E">
        <w:rPr>
          <w:rFonts w:ascii="Times New Roman" w:eastAsia="Calibri" w:hAnsi="Times New Roman" w:cs="Times New Roman"/>
          <w:b/>
          <w:sz w:val="24"/>
        </w:rPr>
        <w:t>a</w:t>
      </w:r>
    </w:p>
    <w:p w:rsidR="00CB130E" w:rsidRPr="00FA1576" w:rsidRDefault="00CB130E" w:rsidP="00233768">
      <w:pPr>
        <w:spacing w:after="0" w:line="276" w:lineRule="auto"/>
        <w:rPr>
          <w:rFonts w:ascii="Times New Roman" w:eastAsia="Calibri" w:hAnsi="Times New Roman" w:cs="Times New Roman"/>
          <w:b/>
          <w:sz w:val="18"/>
        </w:rPr>
      </w:pPr>
    </w:p>
    <w:p w:rsidR="00CB130E" w:rsidRDefault="00CB130E" w:rsidP="00333AA9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  <w:b/>
          <w:sz w:val="24"/>
        </w:rPr>
      </w:pPr>
      <w:r w:rsidRPr="00CB130E">
        <w:rPr>
          <w:rFonts w:ascii="Times New Roman" w:eastAsia="Calibri" w:hAnsi="Times New Roman" w:cs="Times New Roman"/>
          <w:b/>
          <w:sz w:val="24"/>
        </w:rPr>
        <w:t>Všeobecná časť</w:t>
      </w:r>
    </w:p>
    <w:p w:rsidR="002319F2" w:rsidRDefault="002319F2" w:rsidP="00FA1576">
      <w:pPr>
        <w:spacing w:after="24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</w:rPr>
      </w:pPr>
    </w:p>
    <w:p w:rsidR="00B577D0" w:rsidRDefault="00915C7E" w:rsidP="00FA1576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77D0" w:rsidRPr="00B577D0">
        <w:rPr>
          <w:rFonts w:ascii="Times New Roman" w:hAnsi="Times New Roman" w:cs="Times New Roman"/>
          <w:sz w:val="24"/>
          <w:szCs w:val="24"/>
        </w:rPr>
        <w:t xml:space="preserve">Na rokovanie Národnej rady Slovenskej republiky sa predkladá návrh </w:t>
      </w:r>
      <w:r w:rsidR="00621906">
        <w:rPr>
          <w:rFonts w:ascii="Times New Roman" w:hAnsi="Times New Roman" w:cs="Times New Roman"/>
          <w:sz w:val="24"/>
          <w:szCs w:val="24"/>
        </w:rPr>
        <w:t>skupiny</w:t>
      </w:r>
      <w:r w:rsidR="00B577D0">
        <w:rPr>
          <w:rFonts w:ascii="Times New Roman" w:hAnsi="Times New Roman" w:cs="Times New Roman"/>
          <w:sz w:val="24"/>
          <w:szCs w:val="24"/>
        </w:rPr>
        <w:t xml:space="preserve"> </w:t>
      </w:r>
      <w:r w:rsidR="00B577D0" w:rsidRPr="00B577D0">
        <w:rPr>
          <w:rFonts w:ascii="Times New Roman" w:hAnsi="Times New Roman" w:cs="Times New Roman"/>
          <w:sz w:val="24"/>
          <w:szCs w:val="24"/>
        </w:rPr>
        <w:t>poslancov Národnej rady Slovenskej republiky na vydanie zákona, ktorým sa mení a dopĺňa zákon č. 181/2014 Z. z. o volebnej kampani a o zmene a doplnení zákona č. 85/2005 Z. z. o politických stranách a politických hnutiach v znení neskorších predpisov v znení neskorších predpisov a ktorým sa dopĺňa zákon č. 85/2005 Z. z. o politických stranách a politických hnutiach v znení neskorších predpisov.</w:t>
      </w:r>
    </w:p>
    <w:p w:rsidR="003B0E76" w:rsidRPr="00FE44E8" w:rsidRDefault="003B0E76" w:rsidP="00FA1576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4E8">
        <w:rPr>
          <w:rFonts w:ascii="Times New Roman" w:hAnsi="Times New Roman" w:cs="Times New Roman"/>
          <w:sz w:val="24"/>
          <w:szCs w:val="24"/>
        </w:rPr>
        <w:t xml:space="preserve">Návrh zákona reaguje na poznatky z aplikácie pravidiel vedenia volebnej kampane vo voľbách </w:t>
      </w:r>
      <w:r w:rsidR="00FE44E8" w:rsidRPr="00FE44E8">
        <w:rPr>
          <w:rFonts w:ascii="Times New Roman" w:hAnsi="Times New Roman" w:cs="Times New Roman"/>
          <w:sz w:val="24"/>
          <w:szCs w:val="24"/>
        </w:rPr>
        <w:t>vykonaných po nadobudnutí účinnosti zákona č. 181/2014 Z. z. o volebnej kampani a o zmene a doplnení zákona č. 85/2005 Z. z. o politických stranách a politických hnutiach v znení neskorších predpisov.</w:t>
      </w:r>
    </w:p>
    <w:p w:rsidR="00FE44E8" w:rsidRPr="00FE44E8" w:rsidRDefault="001E1A28" w:rsidP="00FA1576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Cieľom </w:t>
      </w:r>
      <w:r w:rsidR="00A1205C">
        <w:rPr>
          <w:rFonts w:ascii="Times New Roman" w:hAnsi="Times New Roman" w:cs="Times New Roman"/>
          <w:sz w:val="24"/>
          <w:szCs w:val="24"/>
        </w:rPr>
        <w:t xml:space="preserve">tejto </w:t>
      </w:r>
      <w:r w:rsidR="00915C7E">
        <w:rPr>
          <w:rFonts w:ascii="Times New Roman" w:hAnsi="Times New Roman" w:cs="Times New Roman"/>
          <w:sz w:val="24"/>
          <w:szCs w:val="24"/>
        </w:rPr>
        <w:t xml:space="preserve">právnej 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úpravy je vytvoriť rovnaké súťažné podmienky pre politické strany </w:t>
      </w:r>
      <w:r w:rsidR="00915C7E">
        <w:rPr>
          <w:rFonts w:ascii="Times New Roman" w:hAnsi="Times New Roman" w:cs="Times New Roman"/>
          <w:sz w:val="24"/>
          <w:szCs w:val="24"/>
        </w:rPr>
        <w:t xml:space="preserve">a politické hnutia </w:t>
      </w:r>
      <w:r w:rsidR="00D06080">
        <w:rPr>
          <w:rFonts w:ascii="Times New Roman" w:hAnsi="Times New Roman" w:cs="Times New Roman"/>
          <w:sz w:val="24"/>
          <w:szCs w:val="24"/>
        </w:rPr>
        <w:t xml:space="preserve">(ďalej len „politické strany“) 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súperiace vo voľbách o hlasy voličov. Vo voľbách by sa mali </w:t>
      </w:r>
      <w:r>
        <w:rPr>
          <w:rFonts w:ascii="Times New Roman" w:hAnsi="Times New Roman" w:cs="Times New Roman"/>
          <w:sz w:val="24"/>
          <w:szCs w:val="24"/>
        </w:rPr>
        <w:t xml:space="preserve">politické 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strany uchádzať o dôveru voličov </w:t>
      </w:r>
      <w:r>
        <w:rPr>
          <w:rFonts w:ascii="Times New Roman" w:hAnsi="Times New Roman" w:cs="Times New Roman"/>
          <w:sz w:val="24"/>
          <w:szCs w:val="24"/>
        </w:rPr>
        <w:t xml:space="preserve">predovšetkým </w:t>
      </w:r>
      <w:r w:rsidRPr="00FE44E8">
        <w:rPr>
          <w:rFonts w:ascii="Times New Roman" w:hAnsi="Times New Roman" w:cs="Times New Roman"/>
          <w:sz w:val="24"/>
          <w:szCs w:val="24"/>
        </w:rPr>
        <w:t xml:space="preserve">svojim programom, </w:t>
      </w:r>
      <w:r w:rsidR="00CC1355">
        <w:rPr>
          <w:rFonts w:ascii="Times New Roman" w:hAnsi="Times New Roman" w:cs="Times New Roman"/>
          <w:sz w:val="24"/>
          <w:szCs w:val="24"/>
        </w:rPr>
        <w:t xml:space="preserve">politickou </w:t>
      </w:r>
      <w:r>
        <w:rPr>
          <w:rFonts w:ascii="Times New Roman" w:hAnsi="Times New Roman" w:cs="Times New Roman"/>
          <w:sz w:val="24"/>
          <w:szCs w:val="24"/>
        </w:rPr>
        <w:t xml:space="preserve">činnosťou a </w:t>
      </w:r>
      <w:r w:rsidRPr="00FE44E8">
        <w:rPr>
          <w:rFonts w:ascii="Times New Roman" w:hAnsi="Times New Roman" w:cs="Times New Roman"/>
          <w:sz w:val="24"/>
          <w:szCs w:val="24"/>
        </w:rPr>
        <w:t>cieľmi</w:t>
      </w:r>
      <w:r>
        <w:rPr>
          <w:rFonts w:ascii="Times New Roman" w:hAnsi="Times New Roman" w:cs="Times New Roman"/>
          <w:sz w:val="24"/>
          <w:szCs w:val="24"/>
        </w:rPr>
        <w:t xml:space="preserve"> tejto činnosti; nie len </w:t>
      </w:r>
      <w:r w:rsidR="00FE44E8" w:rsidRPr="00FE44E8">
        <w:rPr>
          <w:rFonts w:ascii="Times New Roman" w:hAnsi="Times New Roman" w:cs="Times New Roman"/>
          <w:sz w:val="24"/>
          <w:szCs w:val="24"/>
        </w:rPr>
        <w:t>vynakladaním finančných prostriedkov na volebnú kampaň</w:t>
      </w:r>
      <w:r>
        <w:rPr>
          <w:rFonts w:ascii="Times New Roman" w:hAnsi="Times New Roman" w:cs="Times New Roman"/>
          <w:sz w:val="24"/>
          <w:szCs w:val="24"/>
        </w:rPr>
        <w:t xml:space="preserve"> využívaním moderných marketingových nástrojov</w:t>
      </w:r>
      <w:r w:rsidR="00CC1355">
        <w:rPr>
          <w:rFonts w:ascii="Times New Roman" w:hAnsi="Times New Roman" w:cs="Times New Roman"/>
          <w:sz w:val="24"/>
          <w:szCs w:val="24"/>
        </w:rPr>
        <w:t xml:space="preserve"> a obchádzaním ustanoveného limitu na volebnú kampaň prostredníctvom tzv. tretích strán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4E8" w:rsidRDefault="001E1A28" w:rsidP="00FA1576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1355">
        <w:rPr>
          <w:rFonts w:ascii="Times New Roman" w:hAnsi="Times New Roman" w:cs="Times New Roman"/>
          <w:sz w:val="24"/>
          <w:szCs w:val="24"/>
        </w:rPr>
        <w:t>I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nštitút tretích strán ustanovený v zákone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volebnej kampani </w:t>
      </w:r>
      <w:r w:rsidR="00CC1355">
        <w:rPr>
          <w:rFonts w:ascii="Times New Roman" w:hAnsi="Times New Roman" w:cs="Times New Roman"/>
          <w:sz w:val="24"/>
          <w:szCs w:val="24"/>
        </w:rPr>
        <w:t xml:space="preserve">sa </w:t>
      </w:r>
      <w:r w:rsidR="00FE44E8" w:rsidRPr="00FE44E8">
        <w:rPr>
          <w:rFonts w:ascii="Times New Roman" w:hAnsi="Times New Roman" w:cs="Times New Roman"/>
          <w:sz w:val="24"/>
          <w:szCs w:val="24"/>
        </w:rPr>
        <w:t>minul svoj</w:t>
      </w:r>
      <w:r w:rsidR="00FA530E">
        <w:rPr>
          <w:rFonts w:ascii="Times New Roman" w:hAnsi="Times New Roman" w:cs="Times New Roman"/>
          <w:sz w:val="24"/>
          <w:szCs w:val="24"/>
        </w:rPr>
        <w:t>ho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 účinku a neplní tie ciele a úlohy, pre ktoré bol </w:t>
      </w:r>
      <w:r>
        <w:rPr>
          <w:rFonts w:ascii="Times New Roman" w:hAnsi="Times New Roman" w:cs="Times New Roman"/>
          <w:sz w:val="24"/>
          <w:szCs w:val="24"/>
        </w:rPr>
        <w:t xml:space="preserve">do slovenského právneho poriadku 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zriadený. </w:t>
      </w:r>
      <w:r w:rsidR="00D06080">
        <w:rPr>
          <w:rFonts w:ascii="Times New Roman" w:hAnsi="Times New Roman" w:cs="Times New Roman"/>
          <w:sz w:val="24"/>
          <w:szCs w:val="24"/>
        </w:rPr>
        <w:t>P</w:t>
      </w:r>
      <w:r w:rsidR="00D46E5C">
        <w:rPr>
          <w:rFonts w:ascii="Times New Roman" w:hAnsi="Times New Roman" w:cs="Times New Roman"/>
          <w:sz w:val="24"/>
          <w:szCs w:val="24"/>
        </w:rPr>
        <w:t xml:space="preserve">o vykonaní viacerých volieb sa </w:t>
      </w:r>
      <w:r w:rsidR="00D06080">
        <w:rPr>
          <w:rFonts w:ascii="Times New Roman" w:hAnsi="Times New Roman" w:cs="Times New Roman"/>
          <w:sz w:val="24"/>
          <w:szCs w:val="24"/>
        </w:rPr>
        <w:t xml:space="preserve">dokonca </w:t>
      </w:r>
      <w:r w:rsidR="00D46E5C">
        <w:rPr>
          <w:rFonts w:ascii="Times New Roman" w:hAnsi="Times New Roman" w:cs="Times New Roman"/>
          <w:sz w:val="24"/>
          <w:szCs w:val="24"/>
        </w:rPr>
        <w:t xml:space="preserve">javí, že </w:t>
      </w:r>
      <w:r w:rsidR="00D06080">
        <w:rPr>
          <w:rFonts w:ascii="Times New Roman" w:hAnsi="Times New Roman" w:cs="Times New Roman"/>
          <w:sz w:val="24"/>
          <w:szCs w:val="24"/>
        </w:rPr>
        <w:t xml:space="preserve">tento inštitút </w:t>
      </w:r>
      <w:r w:rsidR="00D46E5C">
        <w:rPr>
          <w:rFonts w:ascii="Times New Roman" w:hAnsi="Times New Roman" w:cs="Times New Roman"/>
          <w:sz w:val="24"/>
          <w:szCs w:val="24"/>
        </w:rPr>
        <w:t>môže narúšať 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080">
        <w:rPr>
          <w:rFonts w:ascii="Times New Roman" w:hAnsi="Times New Roman" w:cs="Times New Roman"/>
          <w:sz w:val="24"/>
          <w:szCs w:val="24"/>
        </w:rPr>
        <w:t xml:space="preserve">rovnaké súťažné podmienky politických strán, keďže (1) jedny politické strany môžu byť podporené neobmedzeným počtom tretích strán a teda aj ich v súčte ničím neobmedzeným limitom finančných prostriedkov, (2) iné politické strany nie sú podporené žiadnymi tretími stranami a musia dodržať limit ustanovený pre politické strany v sume 3 000 000 eur a (3) niektoré politické strany dokonca môžu byť činnosťou tretích strán vedúcich voči nim negatívnu </w:t>
      </w:r>
      <w:r w:rsidR="00E7182D">
        <w:rPr>
          <w:rFonts w:ascii="Times New Roman" w:hAnsi="Times New Roman" w:cs="Times New Roman"/>
          <w:sz w:val="24"/>
          <w:szCs w:val="24"/>
        </w:rPr>
        <w:t xml:space="preserve">„volebnú“ </w:t>
      </w:r>
      <w:r w:rsidR="00D06080">
        <w:rPr>
          <w:rFonts w:ascii="Times New Roman" w:hAnsi="Times New Roman" w:cs="Times New Roman"/>
          <w:sz w:val="24"/>
          <w:szCs w:val="24"/>
        </w:rPr>
        <w:t xml:space="preserve">kampaň </w:t>
      </w:r>
      <w:r w:rsidR="004F2535">
        <w:rPr>
          <w:rFonts w:ascii="Times New Roman" w:hAnsi="Times New Roman" w:cs="Times New Roman"/>
          <w:sz w:val="24"/>
          <w:szCs w:val="24"/>
        </w:rPr>
        <w:t xml:space="preserve">výrazne </w:t>
      </w:r>
      <w:r w:rsidR="00D06080">
        <w:rPr>
          <w:rFonts w:ascii="Times New Roman" w:hAnsi="Times New Roman" w:cs="Times New Roman"/>
          <w:sz w:val="24"/>
          <w:szCs w:val="24"/>
        </w:rPr>
        <w:t>poškodené.</w:t>
      </w:r>
      <w:r w:rsidR="004F2535">
        <w:rPr>
          <w:rFonts w:ascii="Times New Roman" w:hAnsi="Times New Roman" w:cs="Times New Roman"/>
          <w:sz w:val="24"/>
          <w:szCs w:val="24"/>
        </w:rPr>
        <w:t xml:space="preserve"> Zároveň je inštitút tret</w:t>
      </w:r>
      <w:r w:rsidR="00227302">
        <w:rPr>
          <w:rFonts w:ascii="Times New Roman" w:hAnsi="Times New Roman" w:cs="Times New Roman"/>
          <w:sz w:val="24"/>
          <w:szCs w:val="24"/>
        </w:rPr>
        <w:t>e</w:t>
      </w:r>
      <w:r w:rsidR="004F2535">
        <w:rPr>
          <w:rFonts w:ascii="Times New Roman" w:hAnsi="Times New Roman" w:cs="Times New Roman"/>
          <w:sz w:val="24"/>
          <w:szCs w:val="24"/>
        </w:rPr>
        <w:t>j</w:t>
      </w:r>
      <w:r w:rsidR="00227302">
        <w:rPr>
          <w:rFonts w:ascii="Times New Roman" w:hAnsi="Times New Roman" w:cs="Times New Roman"/>
          <w:sz w:val="24"/>
          <w:szCs w:val="24"/>
        </w:rPr>
        <w:t xml:space="preserve"> strany </w:t>
      </w:r>
      <w:r w:rsidR="00374E26" w:rsidRPr="00FE44E8">
        <w:rPr>
          <w:rFonts w:ascii="Times New Roman" w:hAnsi="Times New Roman" w:cs="Times New Roman"/>
          <w:sz w:val="24"/>
          <w:szCs w:val="24"/>
        </w:rPr>
        <w:t xml:space="preserve">vo </w:t>
      </w:r>
      <w:r w:rsidR="00FA530E">
        <w:rPr>
          <w:rFonts w:ascii="Times New Roman" w:hAnsi="Times New Roman" w:cs="Times New Roman"/>
          <w:sz w:val="24"/>
          <w:szCs w:val="24"/>
        </w:rPr>
        <w:t xml:space="preserve">volebnej kampani </w:t>
      </w:r>
      <w:r w:rsidR="00227302">
        <w:rPr>
          <w:rFonts w:ascii="Times New Roman" w:hAnsi="Times New Roman" w:cs="Times New Roman"/>
          <w:sz w:val="24"/>
          <w:szCs w:val="24"/>
        </w:rPr>
        <w:t>často v</w:t>
      </w:r>
      <w:r w:rsidR="00FE44E8" w:rsidRPr="00FE44E8">
        <w:rPr>
          <w:rFonts w:ascii="Times New Roman" w:hAnsi="Times New Roman" w:cs="Times New Roman"/>
          <w:sz w:val="24"/>
          <w:szCs w:val="24"/>
        </w:rPr>
        <w:t>yužívan</w:t>
      </w:r>
      <w:r w:rsidR="00CC1355">
        <w:rPr>
          <w:rFonts w:ascii="Times New Roman" w:hAnsi="Times New Roman" w:cs="Times New Roman"/>
          <w:sz w:val="24"/>
          <w:szCs w:val="24"/>
        </w:rPr>
        <w:t>ý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 </w:t>
      </w:r>
      <w:r w:rsidR="00CC1355">
        <w:rPr>
          <w:rFonts w:ascii="Times New Roman" w:hAnsi="Times New Roman" w:cs="Times New Roman"/>
          <w:sz w:val="24"/>
          <w:szCs w:val="24"/>
        </w:rPr>
        <w:t xml:space="preserve">najmä </w:t>
      </w:r>
      <w:r w:rsidR="00227302">
        <w:rPr>
          <w:rFonts w:ascii="Times New Roman" w:hAnsi="Times New Roman" w:cs="Times New Roman"/>
          <w:sz w:val="24"/>
          <w:szCs w:val="24"/>
        </w:rPr>
        <w:t>s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amotnými kandidátmi, pričom úlohu tretích strán plnia </w:t>
      </w:r>
      <w:r w:rsidR="00CC1355">
        <w:rPr>
          <w:rFonts w:ascii="Times New Roman" w:hAnsi="Times New Roman" w:cs="Times New Roman"/>
          <w:sz w:val="24"/>
          <w:szCs w:val="24"/>
        </w:rPr>
        <w:t>predovšetkým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 </w:t>
      </w:r>
      <w:r w:rsidR="00227302">
        <w:rPr>
          <w:rFonts w:ascii="Times New Roman" w:hAnsi="Times New Roman" w:cs="Times New Roman"/>
          <w:sz w:val="24"/>
          <w:szCs w:val="24"/>
        </w:rPr>
        <w:t xml:space="preserve">ich </w:t>
      </w:r>
      <w:r w:rsidR="00CC1355">
        <w:rPr>
          <w:rFonts w:ascii="Times New Roman" w:hAnsi="Times New Roman" w:cs="Times New Roman"/>
          <w:sz w:val="24"/>
          <w:szCs w:val="24"/>
        </w:rPr>
        <w:t xml:space="preserve">priamy </w:t>
      </w:r>
      <w:r w:rsidR="00FE44E8" w:rsidRPr="00FE44E8">
        <w:rPr>
          <w:rFonts w:ascii="Times New Roman" w:hAnsi="Times New Roman" w:cs="Times New Roman"/>
          <w:sz w:val="24"/>
          <w:szCs w:val="24"/>
        </w:rPr>
        <w:t xml:space="preserve">príbuzní. </w:t>
      </w:r>
      <w:r w:rsidR="00AC3A8F">
        <w:rPr>
          <w:rFonts w:ascii="Times New Roman" w:hAnsi="Times New Roman" w:cs="Times New Roman"/>
          <w:sz w:val="24"/>
          <w:szCs w:val="24"/>
        </w:rPr>
        <w:t>Finančne zabezpečený kandidát</w:t>
      </w:r>
      <w:r w:rsidR="00AC3A8F" w:rsidRPr="00DF1A32">
        <w:rPr>
          <w:rFonts w:ascii="Times New Roman" w:hAnsi="Times New Roman" w:cs="Times New Roman"/>
          <w:sz w:val="24"/>
          <w:szCs w:val="24"/>
        </w:rPr>
        <w:t xml:space="preserve"> </w:t>
      </w:r>
      <w:r w:rsidR="00AC3A8F">
        <w:rPr>
          <w:rFonts w:ascii="Times New Roman" w:hAnsi="Times New Roman" w:cs="Times New Roman"/>
          <w:sz w:val="24"/>
          <w:szCs w:val="24"/>
        </w:rPr>
        <w:t>môže „disponovať</w:t>
      </w:r>
      <w:r w:rsidR="00AC3A8F" w:rsidRPr="00FE44E8">
        <w:rPr>
          <w:rFonts w:ascii="Times New Roman" w:hAnsi="Times New Roman" w:cs="Times New Roman"/>
          <w:sz w:val="24"/>
          <w:szCs w:val="24"/>
        </w:rPr>
        <w:t xml:space="preserve">“ </w:t>
      </w:r>
      <w:r w:rsidR="00AC3A8F">
        <w:rPr>
          <w:rFonts w:ascii="Times New Roman" w:hAnsi="Times New Roman" w:cs="Times New Roman"/>
          <w:sz w:val="24"/>
          <w:szCs w:val="24"/>
        </w:rPr>
        <w:t xml:space="preserve">aj </w:t>
      </w:r>
      <w:r w:rsidR="00AC3A8F" w:rsidRPr="00FE44E8">
        <w:rPr>
          <w:rFonts w:ascii="Times New Roman" w:hAnsi="Times New Roman" w:cs="Times New Roman"/>
          <w:sz w:val="24"/>
          <w:szCs w:val="24"/>
        </w:rPr>
        <w:t>niekoľkými tretími stranami</w:t>
      </w:r>
      <w:r w:rsidR="00AC3A8F">
        <w:rPr>
          <w:rFonts w:ascii="Times New Roman" w:hAnsi="Times New Roman" w:cs="Times New Roman"/>
          <w:sz w:val="24"/>
          <w:szCs w:val="24"/>
        </w:rPr>
        <w:t xml:space="preserve"> a svojou vlastnou masívnou mediálnou volebnou kampaňou tak presiahnuť </w:t>
      </w:r>
      <w:r w:rsidR="00AC3A8F" w:rsidRPr="00FE44E8">
        <w:rPr>
          <w:rFonts w:ascii="Times New Roman" w:hAnsi="Times New Roman" w:cs="Times New Roman"/>
          <w:sz w:val="24"/>
          <w:szCs w:val="24"/>
        </w:rPr>
        <w:t>protikandidátov</w:t>
      </w:r>
      <w:r w:rsidR="00AC3A8F" w:rsidDel="00AC3A8F">
        <w:rPr>
          <w:rFonts w:ascii="Times New Roman" w:hAnsi="Times New Roman" w:cs="Times New Roman"/>
          <w:sz w:val="24"/>
          <w:szCs w:val="24"/>
        </w:rPr>
        <w:t xml:space="preserve"> </w:t>
      </w:r>
      <w:r w:rsidR="00CC1355">
        <w:rPr>
          <w:rFonts w:ascii="Times New Roman" w:hAnsi="Times New Roman" w:cs="Times New Roman"/>
          <w:sz w:val="24"/>
          <w:szCs w:val="24"/>
        </w:rPr>
        <w:t>(,</w:t>
      </w:r>
      <w:r w:rsidR="004F2535">
        <w:rPr>
          <w:rFonts w:ascii="Times New Roman" w:hAnsi="Times New Roman" w:cs="Times New Roman"/>
          <w:sz w:val="24"/>
          <w:szCs w:val="24"/>
        </w:rPr>
        <w:t>a to aj v rámci jednej politickej strany za účelom zisku vyššieho počtu prednostných hlasov</w:t>
      </w:r>
      <w:r w:rsidR="00CC1355">
        <w:rPr>
          <w:rFonts w:ascii="Times New Roman" w:hAnsi="Times New Roman" w:cs="Times New Roman"/>
          <w:sz w:val="24"/>
          <w:szCs w:val="24"/>
        </w:rPr>
        <w:t>)</w:t>
      </w:r>
      <w:r w:rsidR="00AC3A8F">
        <w:rPr>
          <w:rFonts w:ascii="Times New Roman" w:hAnsi="Times New Roman" w:cs="Times New Roman"/>
          <w:sz w:val="24"/>
          <w:szCs w:val="24"/>
        </w:rPr>
        <w:t xml:space="preserve"> </w:t>
      </w:r>
      <w:r w:rsidR="00AC3A8F" w:rsidRPr="00FE44E8">
        <w:rPr>
          <w:rFonts w:ascii="Times New Roman" w:hAnsi="Times New Roman" w:cs="Times New Roman"/>
          <w:sz w:val="24"/>
          <w:szCs w:val="24"/>
        </w:rPr>
        <w:t>vo voľbách</w:t>
      </w:r>
      <w:r w:rsidR="00AC3A8F">
        <w:rPr>
          <w:rFonts w:ascii="Times New Roman" w:hAnsi="Times New Roman" w:cs="Times New Roman"/>
          <w:sz w:val="24"/>
          <w:szCs w:val="24"/>
        </w:rPr>
        <w:t>,</w:t>
      </w:r>
      <w:r w:rsidR="00AC3A8F" w:rsidRPr="00FE44E8">
        <w:rPr>
          <w:rFonts w:ascii="Times New Roman" w:hAnsi="Times New Roman" w:cs="Times New Roman"/>
          <w:sz w:val="24"/>
          <w:szCs w:val="24"/>
        </w:rPr>
        <w:t xml:space="preserve"> čím sa stáva úsilie o získanie voliča </w:t>
      </w:r>
      <w:r w:rsidR="00AC3A8F">
        <w:rPr>
          <w:rFonts w:ascii="Times New Roman" w:hAnsi="Times New Roman" w:cs="Times New Roman"/>
          <w:sz w:val="24"/>
          <w:szCs w:val="24"/>
        </w:rPr>
        <w:t xml:space="preserve">aj medzi samotnými kandidátmi jednej politickej strany </w:t>
      </w:r>
      <w:r w:rsidR="00AC3A8F" w:rsidRPr="00FE44E8">
        <w:rPr>
          <w:rFonts w:ascii="Times New Roman" w:hAnsi="Times New Roman" w:cs="Times New Roman"/>
          <w:sz w:val="24"/>
          <w:szCs w:val="24"/>
        </w:rPr>
        <w:t>nerovnoprávnym</w:t>
      </w:r>
      <w:r w:rsidR="00AC3A8F">
        <w:rPr>
          <w:rFonts w:ascii="Times New Roman" w:hAnsi="Times New Roman" w:cs="Times New Roman"/>
          <w:sz w:val="24"/>
          <w:szCs w:val="24"/>
        </w:rPr>
        <w:t xml:space="preserve"> a neprimerane závislým od finančných prostriedkov</w:t>
      </w:r>
      <w:r w:rsidR="00AC3A8F" w:rsidRPr="00FE44E8">
        <w:rPr>
          <w:rFonts w:ascii="Times New Roman" w:hAnsi="Times New Roman" w:cs="Times New Roman"/>
          <w:sz w:val="24"/>
          <w:szCs w:val="24"/>
        </w:rPr>
        <w:t>.</w:t>
      </w:r>
      <w:r w:rsidR="00AC3A8F">
        <w:rPr>
          <w:rFonts w:ascii="Times New Roman" w:hAnsi="Times New Roman" w:cs="Times New Roman"/>
          <w:sz w:val="24"/>
          <w:szCs w:val="24"/>
        </w:rPr>
        <w:t xml:space="preserve"> D</w:t>
      </w:r>
      <w:r w:rsidR="004F2535">
        <w:rPr>
          <w:rFonts w:ascii="Times New Roman" w:hAnsi="Times New Roman" w:cs="Times New Roman"/>
          <w:sz w:val="24"/>
          <w:szCs w:val="24"/>
        </w:rPr>
        <w:t xml:space="preserve">ôsledkom </w:t>
      </w:r>
      <w:r w:rsidR="00AC3A8F">
        <w:rPr>
          <w:rFonts w:ascii="Times New Roman" w:hAnsi="Times New Roman" w:cs="Times New Roman"/>
          <w:sz w:val="24"/>
          <w:szCs w:val="24"/>
        </w:rPr>
        <w:t xml:space="preserve">tejto skutočnosti </w:t>
      </w:r>
      <w:r w:rsidR="004F2535">
        <w:rPr>
          <w:rFonts w:ascii="Times New Roman" w:hAnsi="Times New Roman" w:cs="Times New Roman"/>
          <w:sz w:val="24"/>
          <w:szCs w:val="24"/>
        </w:rPr>
        <w:t xml:space="preserve">môže byť aj zásah do práva byť volený </w:t>
      </w:r>
      <w:r w:rsidR="004F2535" w:rsidRPr="004F2535">
        <w:rPr>
          <w:rFonts w:ascii="Times New Roman" w:hAnsi="Times New Roman" w:cs="Times New Roman"/>
          <w:sz w:val="24"/>
          <w:szCs w:val="24"/>
        </w:rPr>
        <w:t xml:space="preserve">(pasívneho volebného práva) v </w:t>
      </w:r>
      <w:r w:rsidR="004F2535">
        <w:rPr>
          <w:rFonts w:ascii="Times New Roman" w:hAnsi="Times New Roman" w:cs="Times New Roman"/>
          <w:sz w:val="24"/>
          <w:szCs w:val="24"/>
        </w:rPr>
        <w:t xml:space="preserve">zmysle čl. 12 ods. 1 Ústavy SR a </w:t>
      </w:r>
      <w:r w:rsidR="004F2535" w:rsidRPr="004F2535">
        <w:rPr>
          <w:rFonts w:ascii="Times New Roman" w:hAnsi="Times New Roman" w:cs="Times New Roman"/>
          <w:sz w:val="24"/>
          <w:szCs w:val="24"/>
        </w:rPr>
        <w:t xml:space="preserve">práva zúčastňovať sa na správe </w:t>
      </w:r>
      <w:r w:rsidR="004F2535">
        <w:rPr>
          <w:rFonts w:ascii="Times New Roman" w:hAnsi="Times New Roman" w:cs="Times New Roman"/>
          <w:sz w:val="24"/>
          <w:szCs w:val="24"/>
        </w:rPr>
        <w:t>vecí verejných v zmysle čl. 30 Ú</w:t>
      </w:r>
      <w:r w:rsidR="004F2535" w:rsidRPr="004F2535">
        <w:rPr>
          <w:rFonts w:ascii="Times New Roman" w:hAnsi="Times New Roman" w:cs="Times New Roman"/>
          <w:sz w:val="24"/>
          <w:szCs w:val="24"/>
        </w:rPr>
        <w:t>stavy SR</w:t>
      </w:r>
      <w:r w:rsidR="00517B94">
        <w:rPr>
          <w:rFonts w:ascii="Times New Roman" w:hAnsi="Times New Roman" w:cs="Times New Roman"/>
          <w:sz w:val="24"/>
          <w:szCs w:val="24"/>
        </w:rPr>
        <w:t>.</w:t>
      </w:r>
    </w:p>
    <w:p w:rsidR="00FA1576" w:rsidRDefault="00FA1576" w:rsidP="00FA1576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576">
        <w:rPr>
          <w:rFonts w:ascii="Times New Roman" w:hAnsi="Times New Roman" w:cs="Times New Roman"/>
          <w:sz w:val="24"/>
          <w:szCs w:val="24"/>
        </w:rPr>
        <w:t xml:space="preserve">Taktiež dávame do pozornosti, že tretie strany nemusia spĺňať prísne podmienky na ich financovanie ako politické strany alebo politické hnutia. Tretie strany môžu byť dokonca financované netransparentne - čo v prípade politických strán a politických hnutí nie je možné. </w:t>
      </w:r>
      <w:r w:rsidRPr="00FA1576">
        <w:rPr>
          <w:rFonts w:ascii="Times New Roman" w:hAnsi="Times New Roman" w:cs="Times New Roman"/>
          <w:sz w:val="24"/>
          <w:szCs w:val="24"/>
        </w:rPr>
        <w:lastRenderedPageBreak/>
        <w:t>Politické strany a politické hnutia majú okrem iného aj iné obmedzenia možnosti financovania, limit na volebnú kampaň, zavádzajú sa maximálne členské príspevky a pod. – teda ich financovanie je právne regulované, tak aby zodpovedalo ich osobitému spoločenskému postaveniu a osobitnej účasti vo volebnom procese.</w:t>
      </w:r>
    </w:p>
    <w:p w:rsidR="00FE44E8" w:rsidRDefault="00B32F91" w:rsidP="008A1BF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AF0">
        <w:rPr>
          <w:rFonts w:ascii="Times New Roman" w:hAnsi="Times New Roman" w:cs="Times New Roman"/>
          <w:sz w:val="24"/>
          <w:szCs w:val="24"/>
        </w:rPr>
        <w:t xml:space="preserve"> Ďalej sa vzhľadom na poznatky z aplikačnej praxe upravujú niektoré sankčné ustanovenia zákona o </w:t>
      </w:r>
      <w:r w:rsidR="00222AF0" w:rsidRPr="00FE44E8">
        <w:rPr>
          <w:rFonts w:ascii="Times New Roman" w:hAnsi="Times New Roman" w:cs="Times New Roman"/>
          <w:sz w:val="24"/>
          <w:szCs w:val="24"/>
        </w:rPr>
        <w:t>volebnej kampani</w:t>
      </w:r>
      <w:r w:rsidR="00222AF0">
        <w:rPr>
          <w:rFonts w:ascii="Times New Roman" w:hAnsi="Times New Roman" w:cs="Times New Roman"/>
          <w:sz w:val="24"/>
          <w:szCs w:val="24"/>
        </w:rPr>
        <w:t>. U</w:t>
      </w:r>
      <w:r w:rsidR="00FE44E8">
        <w:rPr>
          <w:rFonts w:ascii="Times New Roman" w:hAnsi="Times New Roman" w:cs="Times New Roman"/>
          <w:sz w:val="24"/>
          <w:szCs w:val="24"/>
        </w:rPr>
        <w:t xml:space="preserve">pravuje </w:t>
      </w:r>
      <w:r w:rsidR="00222AF0">
        <w:rPr>
          <w:rFonts w:ascii="Times New Roman" w:hAnsi="Times New Roman" w:cs="Times New Roman"/>
          <w:sz w:val="24"/>
          <w:szCs w:val="24"/>
        </w:rPr>
        <w:t xml:space="preserve">sa </w:t>
      </w:r>
      <w:r w:rsidR="00FE44E8">
        <w:rPr>
          <w:rFonts w:ascii="Times New Roman" w:hAnsi="Times New Roman" w:cs="Times New Roman"/>
          <w:sz w:val="24"/>
          <w:szCs w:val="24"/>
        </w:rPr>
        <w:t>spôsob ukladania sankcií, resp. zosúlaďuje sa spôsob ukladania sankcií so zákon</w:t>
      </w:r>
      <w:r w:rsidR="00222AF0">
        <w:rPr>
          <w:rFonts w:ascii="Times New Roman" w:hAnsi="Times New Roman" w:cs="Times New Roman"/>
          <w:sz w:val="24"/>
          <w:szCs w:val="24"/>
        </w:rPr>
        <w:t>om</w:t>
      </w:r>
      <w:r w:rsidR="00FE44E8">
        <w:rPr>
          <w:rFonts w:ascii="Times New Roman" w:hAnsi="Times New Roman" w:cs="Times New Roman"/>
          <w:sz w:val="24"/>
          <w:szCs w:val="24"/>
        </w:rPr>
        <w:t xml:space="preserve"> č. 85/2005 Z. z. o politických stranách a </w:t>
      </w:r>
      <w:r w:rsidR="00F9770E">
        <w:rPr>
          <w:rFonts w:ascii="Times New Roman" w:hAnsi="Times New Roman" w:cs="Times New Roman"/>
          <w:sz w:val="24"/>
          <w:szCs w:val="24"/>
        </w:rPr>
        <w:t>politick</w:t>
      </w:r>
      <w:r w:rsidR="00FE44E8">
        <w:rPr>
          <w:rFonts w:ascii="Times New Roman" w:hAnsi="Times New Roman" w:cs="Times New Roman"/>
          <w:sz w:val="24"/>
          <w:szCs w:val="24"/>
        </w:rPr>
        <w:t xml:space="preserve">ých hnutiach tak, že </w:t>
      </w:r>
      <w:r w:rsidR="00F9770E">
        <w:rPr>
          <w:rFonts w:ascii="Times New Roman" w:hAnsi="Times New Roman" w:cs="Times New Roman"/>
          <w:sz w:val="24"/>
          <w:szCs w:val="24"/>
        </w:rPr>
        <w:t xml:space="preserve">namiesto </w:t>
      </w:r>
      <w:r w:rsidR="0083089F">
        <w:rPr>
          <w:rFonts w:ascii="Times New Roman" w:hAnsi="Times New Roman" w:cs="Times New Roman"/>
          <w:sz w:val="24"/>
          <w:szCs w:val="24"/>
        </w:rPr>
        <w:t xml:space="preserve">finančného </w:t>
      </w:r>
      <w:r w:rsidR="00F9770E">
        <w:rPr>
          <w:rFonts w:ascii="Times New Roman" w:hAnsi="Times New Roman" w:cs="Times New Roman"/>
          <w:sz w:val="24"/>
          <w:szCs w:val="24"/>
        </w:rPr>
        <w:t xml:space="preserve">rozpätia </w:t>
      </w:r>
      <w:r w:rsidR="00222AF0">
        <w:rPr>
          <w:rFonts w:ascii="Times New Roman" w:hAnsi="Times New Roman" w:cs="Times New Roman"/>
          <w:sz w:val="24"/>
          <w:szCs w:val="24"/>
        </w:rPr>
        <w:t xml:space="preserve">pokuty </w:t>
      </w:r>
      <w:r w:rsidR="00F9770E">
        <w:rPr>
          <w:rFonts w:ascii="Times New Roman" w:hAnsi="Times New Roman" w:cs="Times New Roman"/>
          <w:sz w:val="24"/>
          <w:szCs w:val="24"/>
        </w:rPr>
        <w:t xml:space="preserve">sa ustanovuje </w:t>
      </w:r>
      <w:r w:rsidR="0083089F">
        <w:rPr>
          <w:rFonts w:ascii="Times New Roman" w:hAnsi="Times New Roman" w:cs="Times New Roman"/>
          <w:sz w:val="24"/>
          <w:szCs w:val="24"/>
        </w:rPr>
        <w:t xml:space="preserve">konkrétna </w:t>
      </w:r>
      <w:r w:rsidR="00206CF2">
        <w:rPr>
          <w:rFonts w:ascii="Times New Roman" w:hAnsi="Times New Roman" w:cs="Times New Roman"/>
          <w:sz w:val="24"/>
          <w:szCs w:val="24"/>
        </w:rPr>
        <w:t xml:space="preserve">pokuta </w:t>
      </w:r>
      <w:r w:rsidR="00F9770E">
        <w:rPr>
          <w:rFonts w:ascii="Times New Roman" w:hAnsi="Times New Roman" w:cs="Times New Roman"/>
          <w:sz w:val="24"/>
          <w:szCs w:val="24"/>
        </w:rPr>
        <w:t xml:space="preserve">vo výške dvojnásobku sumy, o ktorú politická strana, alebo kandidát prekročili prípustnú sumu nákladov na </w:t>
      </w:r>
      <w:r w:rsidR="00206CF2">
        <w:rPr>
          <w:rFonts w:ascii="Times New Roman" w:hAnsi="Times New Roman" w:cs="Times New Roman"/>
          <w:sz w:val="24"/>
          <w:szCs w:val="24"/>
        </w:rPr>
        <w:t xml:space="preserve">volebnú </w:t>
      </w:r>
      <w:r w:rsidR="00F9770E">
        <w:rPr>
          <w:rFonts w:ascii="Times New Roman" w:hAnsi="Times New Roman" w:cs="Times New Roman"/>
          <w:sz w:val="24"/>
          <w:szCs w:val="24"/>
        </w:rPr>
        <w:t>kampaň.</w:t>
      </w:r>
      <w:r w:rsidR="00222AF0">
        <w:rPr>
          <w:rFonts w:ascii="Times New Roman" w:hAnsi="Times New Roman" w:cs="Times New Roman"/>
          <w:sz w:val="24"/>
          <w:szCs w:val="24"/>
        </w:rPr>
        <w:t xml:space="preserve"> Táto výška pokuty sa javí ako spravodlivejšia pri vážnejších aj menej závažných porušeniach </w:t>
      </w:r>
      <w:r w:rsidR="00206CF2">
        <w:rPr>
          <w:rFonts w:ascii="Times New Roman" w:hAnsi="Times New Roman" w:cs="Times New Roman"/>
          <w:sz w:val="24"/>
          <w:szCs w:val="24"/>
        </w:rPr>
        <w:t xml:space="preserve">týmto zákonom </w:t>
      </w:r>
      <w:r w:rsidR="00222AF0">
        <w:rPr>
          <w:rFonts w:ascii="Times New Roman" w:hAnsi="Times New Roman" w:cs="Times New Roman"/>
          <w:sz w:val="24"/>
          <w:szCs w:val="24"/>
        </w:rPr>
        <w:t>ustanoveného limitu</w:t>
      </w:r>
      <w:r w:rsidR="00206CF2">
        <w:rPr>
          <w:rFonts w:ascii="Times New Roman" w:hAnsi="Times New Roman" w:cs="Times New Roman"/>
          <w:sz w:val="24"/>
          <w:szCs w:val="24"/>
        </w:rPr>
        <w:t xml:space="preserve"> pre volebnú kampaň</w:t>
      </w:r>
      <w:r w:rsidR="00222AF0">
        <w:rPr>
          <w:rFonts w:ascii="Times New Roman" w:hAnsi="Times New Roman" w:cs="Times New Roman"/>
          <w:sz w:val="24"/>
          <w:szCs w:val="24"/>
        </w:rPr>
        <w:t>.</w:t>
      </w:r>
      <w:r w:rsidR="00206CF2">
        <w:rPr>
          <w:rFonts w:ascii="Times New Roman" w:hAnsi="Times New Roman" w:cs="Times New Roman"/>
          <w:sz w:val="24"/>
          <w:szCs w:val="24"/>
        </w:rPr>
        <w:t xml:space="preserve"> Ďalej sa ustanovujú </w:t>
      </w:r>
      <w:r w:rsidR="0083089F">
        <w:rPr>
          <w:rFonts w:ascii="Times New Roman" w:hAnsi="Times New Roman" w:cs="Times New Roman"/>
          <w:sz w:val="24"/>
          <w:szCs w:val="24"/>
        </w:rPr>
        <w:t>na vyššiu sumu</w:t>
      </w:r>
      <w:r w:rsidR="00206CF2">
        <w:rPr>
          <w:rFonts w:ascii="Times New Roman" w:hAnsi="Times New Roman" w:cs="Times New Roman"/>
          <w:sz w:val="24"/>
          <w:szCs w:val="24"/>
        </w:rPr>
        <w:t xml:space="preserve"> niektoré horne hranice pokút, tak aby bolo zo strany štátu možné efektívnejšie sankcionovať </w:t>
      </w:r>
      <w:r w:rsidR="00FF6759">
        <w:rPr>
          <w:rFonts w:ascii="Times New Roman" w:hAnsi="Times New Roman" w:cs="Times New Roman"/>
          <w:sz w:val="24"/>
          <w:szCs w:val="24"/>
        </w:rPr>
        <w:t xml:space="preserve">niektoré vážne alebo opakované delikty spôsobené </w:t>
      </w:r>
      <w:r w:rsidR="00206CF2">
        <w:rPr>
          <w:rFonts w:ascii="Times New Roman" w:hAnsi="Times New Roman" w:cs="Times New Roman"/>
          <w:sz w:val="24"/>
          <w:szCs w:val="24"/>
        </w:rPr>
        <w:t>na tomto úseku</w:t>
      </w:r>
      <w:r w:rsidR="00FF6759">
        <w:rPr>
          <w:rFonts w:ascii="Times New Roman" w:hAnsi="Times New Roman" w:cs="Times New Roman"/>
          <w:sz w:val="24"/>
          <w:szCs w:val="24"/>
        </w:rPr>
        <w:t>, ktoré vo svojom dôsledku môžu pre politické strany súťažiace v rámci pravidiel ustanovených týmto zákonom znamenať aj závažný zásah do volebnej kampane a následných výsledkov volieb.</w:t>
      </w:r>
    </w:p>
    <w:p w:rsidR="0029042B" w:rsidRDefault="0083089F" w:rsidP="00FA1576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nadväznosti </w:t>
      </w:r>
      <w:r w:rsidR="00B959F9">
        <w:rPr>
          <w:rFonts w:ascii="Times New Roman" w:hAnsi="Times New Roman" w:cs="Times New Roman"/>
          <w:sz w:val="24"/>
          <w:szCs w:val="24"/>
        </w:rPr>
        <w:t>na vyššie</w:t>
      </w:r>
      <w:r>
        <w:rPr>
          <w:rFonts w:ascii="Times New Roman" w:hAnsi="Times New Roman" w:cs="Times New Roman"/>
          <w:sz w:val="24"/>
          <w:szCs w:val="24"/>
        </w:rPr>
        <w:t xml:space="preserve"> uvedené úpravy v zákone o volebnej kampani sa navrhuje v úzko súvisiacom zákone č. 85/2005 Z. z. o politických stranách a politických hnutiach ustanoviť maximálnu sumu </w:t>
      </w:r>
      <w:r w:rsidR="00B959F9">
        <w:rPr>
          <w:rFonts w:ascii="Times New Roman" w:hAnsi="Times New Roman" w:cs="Times New Roman"/>
          <w:sz w:val="24"/>
          <w:szCs w:val="24"/>
        </w:rPr>
        <w:t xml:space="preserve">ročného členského príspevku, ktorú môže politická strana prijať od jedného člena na sumu 10 000 eur. Tak ako z § 23 </w:t>
      </w:r>
      <w:r w:rsidR="00E9354B">
        <w:rPr>
          <w:rFonts w:ascii="Times New Roman" w:hAnsi="Times New Roman" w:cs="Times New Roman"/>
          <w:sz w:val="24"/>
          <w:szCs w:val="24"/>
        </w:rPr>
        <w:t xml:space="preserve">ods. 1 </w:t>
      </w:r>
      <w:r w:rsidR="00B959F9">
        <w:rPr>
          <w:rFonts w:ascii="Times New Roman" w:hAnsi="Times New Roman" w:cs="Times New Roman"/>
          <w:sz w:val="24"/>
          <w:szCs w:val="24"/>
        </w:rPr>
        <w:t>druhej vety tohto zákona vyplýva</w:t>
      </w:r>
      <w:r w:rsidR="00E9354B">
        <w:rPr>
          <w:rFonts w:ascii="Times New Roman" w:hAnsi="Times New Roman" w:cs="Times New Roman"/>
          <w:sz w:val="24"/>
          <w:szCs w:val="24"/>
        </w:rPr>
        <w:t xml:space="preserve"> </w:t>
      </w:r>
      <w:r w:rsidR="004127AC">
        <w:rPr>
          <w:rFonts w:ascii="Times New Roman" w:hAnsi="Times New Roman" w:cs="Times New Roman"/>
          <w:sz w:val="24"/>
          <w:szCs w:val="24"/>
        </w:rPr>
        <w:t>cieľ</w:t>
      </w:r>
      <w:r w:rsidR="00B959F9">
        <w:rPr>
          <w:rFonts w:ascii="Times New Roman" w:hAnsi="Times New Roman" w:cs="Times New Roman"/>
          <w:sz w:val="24"/>
          <w:szCs w:val="24"/>
        </w:rPr>
        <w:t>, že politická strana nesmie byť financovaná</w:t>
      </w:r>
      <w:r w:rsidR="00E9354B">
        <w:rPr>
          <w:rFonts w:ascii="Times New Roman" w:hAnsi="Times New Roman" w:cs="Times New Roman"/>
          <w:sz w:val="24"/>
          <w:szCs w:val="24"/>
        </w:rPr>
        <w:t xml:space="preserve"> </w:t>
      </w:r>
      <w:r w:rsidR="00B959F9">
        <w:rPr>
          <w:rFonts w:ascii="Times New Roman" w:hAnsi="Times New Roman" w:cs="Times New Roman"/>
          <w:sz w:val="24"/>
          <w:szCs w:val="24"/>
        </w:rPr>
        <w:t>jedným, resp. zopár d</w:t>
      </w:r>
      <w:r w:rsidR="00E9354B">
        <w:rPr>
          <w:rFonts w:ascii="Times New Roman" w:hAnsi="Times New Roman" w:cs="Times New Roman"/>
          <w:sz w:val="24"/>
          <w:szCs w:val="24"/>
        </w:rPr>
        <w:t xml:space="preserve">arcami, aj v prípade členských príspevkov je potrebné ustanoviť </w:t>
      </w:r>
      <w:r w:rsidR="005F53AD">
        <w:rPr>
          <w:rFonts w:ascii="Times New Roman" w:hAnsi="Times New Roman" w:cs="Times New Roman"/>
          <w:sz w:val="24"/>
          <w:szCs w:val="24"/>
        </w:rPr>
        <w:t>obdobné</w:t>
      </w:r>
      <w:r w:rsidR="00E9354B">
        <w:rPr>
          <w:rFonts w:ascii="Times New Roman" w:hAnsi="Times New Roman" w:cs="Times New Roman"/>
          <w:sz w:val="24"/>
          <w:szCs w:val="24"/>
        </w:rPr>
        <w:t xml:space="preserve"> obmedzenie, ktoré zabezpečí nezávislosť politickej strany od jedného alebo zopár finančne zabezpečených členov</w:t>
      </w:r>
      <w:r w:rsidR="0040591B">
        <w:rPr>
          <w:rFonts w:ascii="Times New Roman" w:hAnsi="Times New Roman" w:cs="Times New Roman"/>
          <w:sz w:val="24"/>
          <w:szCs w:val="24"/>
        </w:rPr>
        <w:t xml:space="preserve"> a bude podporovať reprezentatívnosť politickej strany </w:t>
      </w:r>
      <w:r w:rsidR="00517B94">
        <w:rPr>
          <w:rFonts w:ascii="Times New Roman" w:hAnsi="Times New Roman" w:cs="Times New Roman"/>
          <w:sz w:val="24"/>
          <w:szCs w:val="24"/>
        </w:rPr>
        <w:t xml:space="preserve">mnohopočetnou </w:t>
      </w:r>
      <w:r w:rsidR="0040591B">
        <w:rPr>
          <w:rFonts w:ascii="Times New Roman" w:hAnsi="Times New Roman" w:cs="Times New Roman"/>
          <w:sz w:val="24"/>
          <w:szCs w:val="24"/>
        </w:rPr>
        <w:t>člensk</w:t>
      </w:r>
      <w:r w:rsidR="00517B94">
        <w:rPr>
          <w:rFonts w:ascii="Times New Roman" w:hAnsi="Times New Roman" w:cs="Times New Roman"/>
          <w:sz w:val="24"/>
          <w:szCs w:val="24"/>
        </w:rPr>
        <w:t>ou</w:t>
      </w:r>
      <w:r w:rsidR="0040591B">
        <w:rPr>
          <w:rFonts w:ascii="Times New Roman" w:hAnsi="Times New Roman" w:cs="Times New Roman"/>
          <w:sz w:val="24"/>
          <w:szCs w:val="24"/>
        </w:rPr>
        <w:t xml:space="preserve"> základ</w:t>
      </w:r>
      <w:r w:rsidR="00517B94">
        <w:rPr>
          <w:rFonts w:ascii="Times New Roman" w:hAnsi="Times New Roman" w:cs="Times New Roman"/>
          <w:sz w:val="24"/>
          <w:szCs w:val="24"/>
        </w:rPr>
        <w:t>ňou</w:t>
      </w:r>
      <w:r w:rsidR="00E93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54B" w:rsidRDefault="00E9354B" w:rsidP="00FA1576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Tiež sa navrhuje, aby politická strana </w:t>
      </w:r>
      <w:r w:rsidR="00DC1B86">
        <w:rPr>
          <w:rFonts w:ascii="Times New Roman" w:hAnsi="Times New Roman" w:cs="Times New Roman"/>
          <w:sz w:val="24"/>
          <w:szCs w:val="24"/>
        </w:rPr>
        <w:t xml:space="preserve">počas jedného volebného obdobia do Národnej rady Slovenskej republiky </w:t>
      </w:r>
      <w:r>
        <w:rPr>
          <w:rFonts w:ascii="Times New Roman" w:hAnsi="Times New Roman" w:cs="Times New Roman"/>
          <w:sz w:val="24"/>
          <w:szCs w:val="24"/>
        </w:rPr>
        <w:t xml:space="preserve">mohla prijať </w:t>
      </w:r>
      <w:r w:rsidR="0040591B">
        <w:rPr>
          <w:rFonts w:ascii="Times New Roman" w:hAnsi="Times New Roman" w:cs="Times New Roman"/>
          <w:sz w:val="24"/>
          <w:szCs w:val="24"/>
        </w:rPr>
        <w:t xml:space="preserve">v súhrne </w:t>
      </w:r>
      <w:r>
        <w:rPr>
          <w:rFonts w:ascii="Times New Roman" w:hAnsi="Times New Roman" w:cs="Times New Roman"/>
          <w:sz w:val="24"/>
          <w:szCs w:val="24"/>
        </w:rPr>
        <w:t xml:space="preserve">najviac </w:t>
      </w:r>
      <w:r w:rsidR="00DC1B86">
        <w:rPr>
          <w:rFonts w:ascii="Times New Roman" w:hAnsi="Times New Roman" w:cs="Times New Roman"/>
          <w:sz w:val="24"/>
          <w:szCs w:val="24"/>
        </w:rPr>
        <w:t>3 5</w:t>
      </w:r>
      <w:r>
        <w:rPr>
          <w:rFonts w:ascii="Times New Roman" w:hAnsi="Times New Roman" w:cs="Times New Roman"/>
          <w:sz w:val="24"/>
          <w:szCs w:val="24"/>
        </w:rPr>
        <w:t>00 000 eur z  darov, iných bezodplatných plnení, pôžičiek a</w:t>
      </w:r>
      <w:r w:rsidR="0040591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úverov</w:t>
      </w:r>
      <w:r w:rsidR="0040591B">
        <w:rPr>
          <w:rFonts w:ascii="Times New Roman" w:hAnsi="Times New Roman" w:cs="Times New Roman"/>
          <w:sz w:val="24"/>
          <w:szCs w:val="24"/>
        </w:rPr>
        <w:t>.</w:t>
      </w:r>
      <w:r w:rsidR="00207212">
        <w:rPr>
          <w:rFonts w:ascii="Times New Roman" w:hAnsi="Times New Roman" w:cs="Times New Roman"/>
          <w:sz w:val="24"/>
          <w:szCs w:val="24"/>
        </w:rPr>
        <w:t xml:space="preserve"> Navrhovaná suma sa rovná približne sume, ktorú </w:t>
      </w:r>
      <w:r w:rsidR="00F66AF8">
        <w:rPr>
          <w:rFonts w:ascii="Times New Roman" w:hAnsi="Times New Roman" w:cs="Times New Roman"/>
          <w:sz w:val="24"/>
          <w:szCs w:val="24"/>
        </w:rPr>
        <w:t>počas jedného volebného obdobia príjme</w:t>
      </w:r>
      <w:r w:rsidR="00207212">
        <w:rPr>
          <w:rFonts w:ascii="Times New Roman" w:hAnsi="Times New Roman" w:cs="Times New Roman"/>
          <w:sz w:val="24"/>
          <w:szCs w:val="24"/>
        </w:rPr>
        <w:t xml:space="preserve"> politick</w:t>
      </w:r>
      <w:r w:rsidR="00146FA2">
        <w:rPr>
          <w:rFonts w:ascii="Times New Roman" w:hAnsi="Times New Roman" w:cs="Times New Roman"/>
          <w:sz w:val="24"/>
          <w:szCs w:val="24"/>
        </w:rPr>
        <w:t>á</w:t>
      </w:r>
      <w:r w:rsidR="00207212">
        <w:rPr>
          <w:rFonts w:ascii="Times New Roman" w:hAnsi="Times New Roman" w:cs="Times New Roman"/>
          <w:sz w:val="24"/>
          <w:szCs w:val="24"/>
        </w:rPr>
        <w:t xml:space="preserve"> strana z príspevkov zo štátneho rozpočtu v prípade ak vo voľbách do Národnej rady Slovenskej republiky </w:t>
      </w:r>
      <w:r w:rsidR="00F66AF8">
        <w:rPr>
          <w:rFonts w:ascii="Times New Roman" w:hAnsi="Times New Roman" w:cs="Times New Roman"/>
          <w:sz w:val="24"/>
          <w:szCs w:val="24"/>
        </w:rPr>
        <w:t xml:space="preserve">získa </w:t>
      </w:r>
      <w:r w:rsidR="00207212">
        <w:rPr>
          <w:rFonts w:ascii="Times New Roman" w:hAnsi="Times New Roman" w:cs="Times New Roman"/>
          <w:sz w:val="24"/>
          <w:szCs w:val="24"/>
        </w:rPr>
        <w:t xml:space="preserve">viac ako 5 % </w:t>
      </w:r>
      <w:r w:rsidR="00207212" w:rsidRPr="00207212">
        <w:rPr>
          <w:rFonts w:ascii="Times New Roman" w:hAnsi="Times New Roman" w:cs="Times New Roman"/>
          <w:sz w:val="24"/>
          <w:szCs w:val="24"/>
        </w:rPr>
        <w:t>z celkového počtu odovzdaných platných hlasov</w:t>
      </w:r>
      <w:r w:rsidR="00207212">
        <w:rPr>
          <w:rFonts w:ascii="Times New Roman" w:hAnsi="Times New Roman" w:cs="Times New Roman"/>
          <w:sz w:val="24"/>
          <w:szCs w:val="24"/>
        </w:rPr>
        <w:t>.</w:t>
      </w:r>
      <w:r w:rsidR="0040591B">
        <w:rPr>
          <w:rFonts w:ascii="Times New Roman" w:hAnsi="Times New Roman" w:cs="Times New Roman"/>
          <w:sz w:val="24"/>
          <w:szCs w:val="24"/>
        </w:rPr>
        <w:t xml:space="preserve"> </w:t>
      </w:r>
      <w:r w:rsidR="0029042B">
        <w:rPr>
          <w:rFonts w:ascii="Times New Roman" w:hAnsi="Times New Roman" w:cs="Times New Roman"/>
          <w:sz w:val="24"/>
          <w:szCs w:val="24"/>
        </w:rPr>
        <w:t>Zavedením tohto</w:t>
      </w:r>
      <w:r w:rsidR="000E5266">
        <w:rPr>
          <w:rFonts w:ascii="Times New Roman" w:hAnsi="Times New Roman" w:cs="Times New Roman"/>
          <w:sz w:val="24"/>
          <w:szCs w:val="24"/>
        </w:rPr>
        <w:t xml:space="preserve"> </w:t>
      </w:r>
      <w:r w:rsidR="0029042B">
        <w:rPr>
          <w:rFonts w:ascii="Times New Roman" w:hAnsi="Times New Roman" w:cs="Times New Roman"/>
          <w:sz w:val="24"/>
          <w:szCs w:val="24"/>
        </w:rPr>
        <w:t>limitu</w:t>
      </w:r>
      <w:r w:rsidR="000E5266">
        <w:rPr>
          <w:rFonts w:ascii="Times New Roman" w:hAnsi="Times New Roman" w:cs="Times New Roman"/>
          <w:sz w:val="24"/>
          <w:szCs w:val="24"/>
        </w:rPr>
        <w:t xml:space="preserve"> sa zabezpečí</w:t>
      </w:r>
      <w:r w:rsidR="0029042B">
        <w:rPr>
          <w:rFonts w:ascii="Times New Roman" w:hAnsi="Times New Roman" w:cs="Times New Roman"/>
          <w:sz w:val="24"/>
          <w:szCs w:val="24"/>
        </w:rPr>
        <w:t xml:space="preserve"> </w:t>
      </w:r>
      <w:r w:rsidR="000E5266">
        <w:rPr>
          <w:rFonts w:ascii="Times New Roman" w:hAnsi="Times New Roman" w:cs="Times New Roman"/>
          <w:sz w:val="24"/>
          <w:szCs w:val="24"/>
        </w:rPr>
        <w:t>väčšia transparentnosť vo financovaní politických strán</w:t>
      </w:r>
      <w:r w:rsidR="0029042B">
        <w:rPr>
          <w:rFonts w:ascii="Times New Roman" w:hAnsi="Times New Roman" w:cs="Times New Roman"/>
          <w:sz w:val="24"/>
          <w:szCs w:val="24"/>
        </w:rPr>
        <w:t xml:space="preserve">, </w:t>
      </w:r>
      <w:r w:rsidR="00DC1B86">
        <w:rPr>
          <w:rFonts w:ascii="Times New Roman" w:hAnsi="Times New Roman" w:cs="Times New Roman"/>
          <w:sz w:val="24"/>
          <w:szCs w:val="24"/>
        </w:rPr>
        <w:t>a</w:t>
      </w:r>
      <w:r w:rsidR="0029042B">
        <w:rPr>
          <w:rFonts w:ascii="Times New Roman" w:hAnsi="Times New Roman" w:cs="Times New Roman"/>
          <w:sz w:val="24"/>
          <w:szCs w:val="24"/>
        </w:rPr>
        <w:t xml:space="preserve"> </w:t>
      </w:r>
      <w:r w:rsidR="00734116">
        <w:rPr>
          <w:rFonts w:ascii="Times New Roman" w:hAnsi="Times New Roman" w:cs="Times New Roman"/>
          <w:sz w:val="24"/>
          <w:szCs w:val="24"/>
        </w:rPr>
        <w:t xml:space="preserve">zabráni </w:t>
      </w:r>
      <w:r w:rsidR="0029042B">
        <w:rPr>
          <w:rFonts w:ascii="Times New Roman" w:hAnsi="Times New Roman" w:cs="Times New Roman"/>
          <w:sz w:val="24"/>
          <w:szCs w:val="24"/>
        </w:rPr>
        <w:t xml:space="preserve">sa </w:t>
      </w:r>
      <w:r w:rsidR="00DC1B86">
        <w:rPr>
          <w:rFonts w:ascii="Times New Roman" w:hAnsi="Times New Roman" w:cs="Times New Roman"/>
          <w:sz w:val="24"/>
          <w:szCs w:val="24"/>
        </w:rPr>
        <w:t xml:space="preserve">neúmernému </w:t>
      </w:r>
      <w:r w:rsidR="00734116">
        <w:rPr>
          <w:rFonts w:ascii="Times New Roman" w:hAnsi="Times New Roman" w:cs="Times New Roman"/>
          <w:sz w:val="24"/>
          <w:szCs w:val="24"/>
        </w:rPr>
        <w:t>„predvolebnému“ predlžovaniu politických strán, ktoré sa spoliehajú na svoj volebný úspech a následné príjmy zo štátneho rozpočtu</w:t>
      </w:r>
      <w:r w:rsidR="00DC1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18D" w:rsidRDefault="001A218D" w:rsidP="00FA1576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18D">
        <w:rPr>
          <w:rFonts w:ascii="Times New Roman" w:hAnsi="Times New Roman" w:cs="Times New Roman"/>
          <w:sz w:val="24"/>
          <w:szCs w:val="24"/>
        </w:rPr>
        <w:t>Predkladaný návrh zákona nemá žiadne vplyvy na rozpočet verejnej správy, vplyvy na podnikateľské prostredie, sociálne vplyvy, vplyvy na životné prostredie, vplyvy na informatizáciu spoločnosti a sl</w:t>
      </w:r>
      <w:r w:rsidR="006B15A9">
        <w:rPr>
          <w:rFonts w:ascii="Times New Roman" w:hAnsi="Times New Roman" w:cs="Times New Roman"/>
          <w:sz w:val="24"/>
          <w:szCs w:val="24"/>
        </w:rPr>
        <w:t xml:space="preserve">užby verejnej správy pre občana </w:t>
      </w:r>
      <w:r w:rsidR="006B15A9" w:rsidRPr="001A218D">
        <w:rPr>
          <w:rFonts w:ascii="Times New Roman" w:hAnsi="Times New Roman" w:cs="Times New Roman"/>
          <w:sz w:val="24"/>
          <w:szCs w:val="24"/>
        </w:rPr>
        <w:t>a</w:t>
      </w:r>
      <w:r w:rsidR="006B15A9">
        <w:rPr>
          <w:rFonts w:ascii="Times New Roman" w:hAnsi="Times New Roman" w:cs="Times New Roman"/>
          <w:sz w:val="24"/>
          <w:szCs w:val="24"/>
        </w:rPr>
        <w:t> </w:t>
      </w:r>
      <w:r w:rsidR="006B15A9" w:rsidRPr="001A218D">
        <w:rPr>
          <w:rFonts w:ascii="Times New Roman" w:hAnsi="Times New Roman" w:cs="Times New Roman"/>
          <w:sz w:val="24"/>
          <w:szCs w:val="24"/>
        </w:rPr>
        <w:t>ani</w:t>
      </w:r>
      <w:r w:rsidR="006B15A9">
        <w:rPr>
          <w:rFonts w:ascii="Times New Roman" w:hAnsi="Times New Roman" w:cs="Times New Roman"/>
          <w:sz w:val="24"/>
          <w:szCs w:val="24"/>
        </w:rPr>
        <w:t xml:space="preserve"> vplyvy na </w:t>
      </w:r>
      <w:r w:rsidR="00333AA9" w:rsidRPr="00333AA9">
        <w:rPr>
          <w:rFonts w:ascii="Times New Roman" w:hAnsi="Times New Roman" w:cs="Times New Roman"/>
          <w:sz w:val="24"/>
          <w:szCs w:val="24"/>
        </w:rPr>
        <w:t>manželstvo, rodičovstvo a</w:t>
      </w:r>
      <w:r w:rsidR="00333AA9">
        <w:rPr>
          <w:rFonts w:ascii="Times New Roman" w:hAnsi="Times New Roman" w:cs="Times New Roman"/>
          <w:sz w:val="24"/>
          <w:szCs w:val="24"/>
        </w:rPr>
        <w:t> </w:t>
      </w:r>
      <w:r w:rsidR="00333AA9" w:rsidRPr="00333AA9">
        <w:rPr>
          <w:rFonts w:ascii="Times New Roman" w:hAnsi="Times New Roman" w:cs="Times New Roman"/>
          <w:sz w:val="24"/>
          <w:szCs w:val="24"/>
        </w:rPr>
        <w:t>rodinu</w:t>
      </w:r>
      <w:r w:rsidR="00333AA9">
        <w:rPr>
          <w:rFonts w:ascii="Times New Roman" w:hAnsi="Times New Roman" w:cs="Times New Roman"/>
          <w:sz w:val="24"/>
          <w:szCs w:val="24"/>
        </w:rPr>
        <w:t>.</w:t>
      </w:r>
    </w:p>
    <w:p w:rsidR="00B577D0" w:rsidRDefault="003414E5" w:rsidP="00FA1576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4E5">
        <w:rPr>
          <w:rFonts w:ascii="Times New Roman" w:hAnsi="Times New Roman" w:cs="Times New Roman"/>
          <w:sz w:val="24"/>
          <w:szCs w:val="24"/>
        </w:rPr>
        <w:t xml:space="preserve">Predkladaný návrh zákona je v súlade s Ústavou Slovenskej republiky, ústavnými zákonmi a ostatnými všeobecne záväznými právnymi predpismi Slovenskej republiky, </w:t>
      </w:r>
      <w:r w:rsidRPr="003414E5">
        <w:rPr>
          <w:rFonts w:ascii="Times New Roman" w:hAnsi="Times New Roman" w:cs="Times New Roman"/>
          <w:sz w:val="24"/>
          <w:szCs w:val="24"/>
        </w:rPr>
        <w:lastRenderedPageBreak/>
        <w:t>medzinárodnými zmluvami a inými medzinárodnými dokumentmi, ktorými je Slovenská republika viazaná. Predkladaný návrh  zákona je v súlade s právom Európskej únie.</w:t>
      </w:r>
    </w:p>
    <w:p w:rsidR="00FA1576" w:rsidRDefault="00FA1576" w:rsidP="00FA1576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1576" w:rsidRDefault="00FA1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770E" w:rsidRDefault="00F9770E" w:rsidP="00233768">
      <w:pPr>
        <w:pStyle w:val="Odsekzoznamu"/>
        <w:numPr>
          <w:ilvl w:val="0"/>
          <w:numId w:val="1"/>
        </w:numPr>
        <w:spacing w:after="0" w:line="276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 w:rsidRPr="00F9770E">
        <w:rPr>
          <w:rFonts w:ascii="Times New Roman" w:eastAsia="Calibri" w:hAnsi="Times New Roman" w:cs="Times New Roman"/>
          <w:b/>
          <w:sz w:val="24"/>
        </w:rPr>
        <w:lastRenderedPageBreak/>
        <w:t>Osobitná časť</w:t>
      </w:r>
    </w:p>
    <w:p w:rsidR="00D90E55" w:rsidRDefault="00D90E55" w:rsidP="00915C7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F9770E" w:rsidRDefault="00F9770E" w:rsidP="00915C7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sz w:val="24"/>
          <w:lang w:eastAsia="sk-SK"/>
        </w:rPr>
        <w:t>K čl. I</w:t>
      </w:r>
    </w:p>
    <w:p w:rsidR="00F9770E" w:rsidRPr="00F9770E" w:rsidRDefault="00F9770E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F9770E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K bodom </w:t>
      </w:r>
      <w:r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1, </w:t>
      </w:r>
      <w:r w:rsidR="00741FCE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2, </w:t>
      </w:r>
      <w:r>
        <w:rPr>
          <w:rFonts w:ascii="Times New Roman" w:eastAsia="Times New Roman" w:hAnsi="Times New Roman" w:cs="Times New Roman"/>
          <w:sz w:val="24"/>
          <w:u w:val="single"/>
          <w:lang w:eastAsia="sk-SK"/>
        </w:rPr>
        <w:t>3</w:t>
      </w:r>
      <w:r w:rsidR="00741FCE">
        <w:rPr>
          <w:rFonts w:ascii="Times New Roman" w:eastAsia="Times New Roman" w:hAnsi="Times New Roman" w:cs="Times New Roman"/>
          <w:sz w:val="24"/>
          <w:u w:val="single"/>
          <w:lang w:eastAsia="sk-SK"/>
        </w:rPr>
        <w:t>,a 5</w:t>
      </w:r>
    </w:p>
    <w:p w:rsidR="00F9770E" w:rsidRDefault="00F9770E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F9770E">
        <w:rPr>
          <w:rFonts w:ascii="Times New Roman" w:eastAsia="Times New Roman" w:hAnsi="Times New Roman" w:cs="Times New Roman"/>
          <w:sz w:val="24"/>
          <w:lang w:eastAsia="sk-SK"/>
        </w:rPr>
        <w:t>Zrušujú sa v zákone tretie strany, ako oprávnené subjekty viesť volebnú kampaň.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Tretie strany, ako osoby podporujúce </w:t>
      </w:r>
      <w:r w:rsidR="00F9757F">
        <w:rPr>
          <w:rFonts w:ascii="Times New Roman" w:hAnsi="Times New Roman" w:cs="Times New Roman"/>
          <w:sz w:val="24"/>
          <w:szCs w:val="24"/>
        </w:rPr>
        <w:t>program</w:t>
      </w:r>
      <w:r w:rsidR="00F9757F" w:rsidRPr="00FE44E8">
        <w:rPr>
          <w:rFonts w:ascii="Times New Roman" w:hAnsi="Times New Roman" w:cs="Times New Roman"/>
          <w:sz w:val="24"/>
          <w:szCs w:val="24"/>
        </w:rPr>
        <w:t xml:space="preserve">, </w:t>
      </w:r>
      <w:r w:rsidR="00F9757F">
        <w:rPr>
          <w:rFonts w:ascii="Times New Roman" w:hAnsi="Times New Roman" w:cs="Times New Roman"/>
          <w:sz w:val="24"/>
          <w:szCs w:val="24"/>
        </w:rPr>
        <w:t xml:space="preserve">činnosť a ciele </w:t>
      </w:r>
      <w:r>
        <w:rPr>
          <w:rFonts w:ascii="Times New Roman" w:eastAsia="Times New Roman" w:hAnsi="Times New Roman" w:cs="Times New Roman"/>
          <w:sz w:val="24"/>
          <w:lang w:eastAsia="sk-SK"/>
        </w:rPr>
        <w:t>politických strán neplnili cieľ, pre ktoré boli v</w:t>
      </w:r>
      <w:r w:rsidR="00F9757F">
        <w:rPr>
          <w:rFonts w:ascii="Times New Roman" w:eastAsia="Times New Roman" w:hAnsi="Times New Roman" w:cs="Times New Roman"/>
          <w:sz w:val="24"/>
          <w:lang w:eastAsia="sk-SK"/>
        </w:rPr>
        <w:t xml:space="preserve"> tomto </w:t>
      </w:r>
      <w:r>
        <w:rPr>
          <w:rFonts w:ascii="Times New Roman" w:eastAsia="Times New Roman" w:hAnsi="Times New Roman" w:cs="Times New Roman"/>
          <w:sz w:val="24"/>
          <w:lang w:eastAsia="sk-SK"/>
        </w:rPr>
        <w:t>zákone zriadené. Vo volebnej súťaži slúžili ako prvok doplňujúci nedostatočné zdroje kandidujúceho subjektu, resp. napomáhajúci obchádzaním zákona prekračovať limity ustanovené pre kandidátov a politické strany.</w:t>
      </w:r>
    </w:p>
    <w:p w:rsidR="00F9770E" w:rsidRDefault="00F9770E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F9770E" w:rsidRPr="00C35E32" w:rsidRDefault="00F9770E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C35E32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K bodu </w:t>
      </w:r>
      <w:r w:rsidR="00741FCE">
        <w:rPr>
          <w:rFonts w:ascii="Times New Roman" w:eastAsia="Times New Roman" w:hAnsi="Times New Roman" w:cs="Times New Roman"/>
          <w:sz w:val="24"/>
          <w:u w:val="single"/>
          <w:lang w:eastAsia="sk-SK"/>
        </w:rPr>
        <w:t>4</w:t>
      </w:r>
    </w:p>
    <w:p w:rsidR="00FB6009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Zavedenie skratky pre Štátnu komisiu pre voľby a kontrolu financovania </w:t>
      </w:r>
      <w:r w:rsidR="00C81AF6">
        <w:rPr>
          <w:rFonts w:ascii="Times New Roman" w:eastAsia="Times New Roman" w:hAnsi="Times New Roman" w:cs="Times New Roman"/>
          <w:sz w:val="24"/>
          <w:lang w:eastAsia="sk-SK"/>
        </w:rPr>
        <w:t>politických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strán, ktorá bola vypustená zrušením §</w:t>
      </w:r>
      <w:r w:rsidR="00D90E55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>8.</w:t>
      </w:r>
    </w:p>
    <w:p w:rsidR="00FB6009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FB6009" w:rsidRPr="00C35E32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C35E32">
        <w:rPr>
          <w:rFonts w:ascii="Times New Roman" w:eastAsia="Times New Roman" w:hAnsi="Times New Roman" w:cs="Times New Roman"/>
          <w:sz w:val="24"/>
          <w:u w:val="single"/>
          <w:lang w:eastAsia="sk-SK"/>
        </w:rPr>
        <w:t>K bodom 6 až 9</w:t>
      </w:r>
    </w:p>
    <w:p w:rsidR="00FB6009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Zjednocuje sa spôsob ukladania sankcií pri prekročení prípustnej sumy na vedenie volebnej kampane. Namiesto rozpätia, ktoré dávalo priestor na správnu úvahu pri ukladaní pokuty, zavádza sa sankcia v pevnej sume a to vo výške dvojnásobky sumy, o ktorú bol prípustný limit prekročený. Takto uložená sankcia je objektívna a vylučuje pri správnom konaní nespravodlivý postup správneho orgánu.</w:t>
      </w:r>
    </w:p>
    <w:p w:rsidR="00D90E55" w:rsidRDefault="00D90E55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</w:p>
    <w:p w:rsidR="00FB6009" w:rsidRPr="00C35E32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C35E32">
        <w:rPr>
          <w:rFonts w:ascii="Times New Roman" w:eastAsia="Times New Roman" w:hAnsi="Times New Roman" w:cs="Times New Roman"/>
          <w:sz w:val="24"/>
          <w:u w:val="single"/>
          <w:lang w:eastAsia="sk-SK"/>
        </w:rPr>
        <w:t>K bodu 10</w:t>
      </w:r>
    </w:p>
    <w:p w:rsidR="00FB6009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Zrušuje sa sankčné  ustanovenie v súvislosti so zrušením §</w:t>
      </w:r>
      <w:r w:rsidR="00D90E55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>8 tretie strany.</w:t>
      </w:r>
    </w:p>
    <w:p w:rsidR="00D90E55" w:rsidRDefault="00D90E55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</w:p>
    <w:p w:rsidR="00FB6009" w:rsidRPr="00C35E32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C35E32">
        <w:rPr>
          <w:rFonts w:ascii="Times New Roman" w:eastAsia="Times New Roman" w:hAnsi="Times New Roman" w:cs="Times New Roman"/>
          <w:sz w:val="24"/>
          <w:u w:val="single"/>
          <w:lang w:eastAsia="sk-SK"/>
        </w:rPr>
        <w:t>K bodu 11 a 14</w:t>
      </w:r>
    </w:p>
    <w:p w:rsidR="00FB6009" w:rsidRDefault="00FB6009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Zvyšujú sa sankcie za neoprávnené vedenie volebnej kampane a za vedenie volebnej kampane v čase volebného moratória</w:t>
      </w:r>
      <w:r w:rsidR="00D90E55">
        <w:rPr>
          <w:rFonts w:ascii="Times New Roman" w:eastAsia="Times New Roman" w:hAnsi="Times New Roman" w:cs="Times New Roman"/>
          <w:sz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="00D90E55">
        <w:rPr>
          <w:rFonts w:ascii="Times New Roman" w:eastAsia="Times New Roman" w:hAnsi="Times New Roman" w:cs="Times New Roman"/>
          <w:sz w:val="24"/>
          <w:lang w:eastAsia="sk-SK"/>
        </w:rPr>
        <w:t>Z</w:t>
      </w:r>
      <w:r>
        <w:rPr>
          <w:rFonts w:ascii="Times New Roman" w:eastAsia="Times New Roman" w:hAnsi="Times New Roman" w:cs="Times New Roman"/>
          <w:sz w:val="24"/>
          <w:lang w:eastAsia="sk-SK"/>
        </w:rPr>
        <w:t>ároveň sa dopĺňa sankcia pre právnické osoby za porušenie volebného moratória, ktorá v zákone absentovala.</w:t>
      </w:r>
    </w:p>
    <w:p w:rsidR="00CC1355" w:rsidRPr="00F9770E" w:rsidRDefault="00CC1355" w:rsidP="0023376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3B0E76" w:rsidRPr="00C35E32" w:rsidRDefault="00C35E32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5E32">
        <w:rPr>
          <w:rFonts w:ascii="Times New Roman" w:hAnsi="Times New Roman" w:cs="Times New Roman"/>
          <w:sz w:val="24"/>
          <w:szCs w:val="24"/>
          <w:u w:val="single"/>
        </w:rPr>
        <w:t>K bodom 12 a 13</w:t>
      </w:r>
    </w:p>
    <w:p w:rsidR="00C35E32" w:rsidRDefault="00C35E32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Legislatívno-technické úpravy</w:t>
      </w:r>
      <w:r w:rsidR="00D90E55">
        <w:rPr>
          <w:rFonts w:ascii="Times New Roman" w:hAnsi="Times New Roman" w:cs="Times New Roman"/>
          <w:sz w:val="24"/>
          <w:szCs w:val="24"/>
        </w:rPr>
        <w:t>.</w:t>
      </w:r>
    </w:p>
    <w:p w:rsidR="003B0E76" w:rsidRDefault="003B0E76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76" w:rsidRPr="00C35E32" w:rsidRDefault="00C35E32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5E32">
        <w:rPr>
          <w:rFonts w:ascii="Times New Roman" w:hAnsi="Times New Roman" w:cs="Times New Roman"/>
          <w:sz w:val="24"/>
          <w:szCs w:val="24"/>
          <w:u w:val="single"/>
        </w:rPr>
        <w:t>K bodu 15</w:t>
      </w:r>
    </w:p>
    <w:p w:rsidR="00C35E32" w:rsidRDefault="00C35E32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prechodných ustanoveniach sa upravuje, že  zmenou zákona sa nemenia práva a povinnosti kandidujúcich subjektov vo voľbách, ktoré boli vykonané do nadobudnutia účinnosti tohto </w:t>
      </w:r>
      <w:r>
        <w:rPr>
          <w:rFonts w:ascii="Times New Roman" w:hAnsi="Times New Roman" w:cs="Times New Roman"/>
          <w:sz w:val="24"/>
          <w:szCs w:val="24"/>
        </w:rPr>
        <w:lastRenderedPageBreak/>
        <w:t>zákona a poslednými takýmito voľbami boli voľby do Európskeho parlamentu vykonané dňa 25.5.2019.</w:t>
      </w:r>
    </w:p>
    <w:p w:rsidR="00C35E32" w:rsidRDefault="00C35E32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na účely kontroly volebnej kampane pre voľby vykonané do nadobudnutia účinnosti tohto zákona budú platiť pravidlá, ktoré platili v čase vyhlásenia a vykonania týchto volieb.</w:t>
      </w:r>
    </w:p>
    <w:p w:rsidR="003B0E76" w:rsidRDefault="003B0E76" w:rsidP="00233768">
      <w:pPr>
        <w:tabs>
          <w:tab w:val="center" w:pos="4536"/>
          <w:tab w:val="right" w:pos="9072"/>
        </w:tabs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900" w:rsidRDefault="0009590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sz w:val="24"/>
          <w:lang w:eastAsia="sk-SK"/>
        </w:rPr>
        <w:t>K čl. I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I</w:t>
      </w:r>
    </w:p>
    <w:p w:rsidR="00095900" w:rsidRDefault="00095900" w:rsidP="00233768">
      <w:pPr>
        <w:tabs>
          <w:tab w:val="center" w:pos="4536"/>
          <w:tab w:val="right" w:pos="9072"/>
        </w:tabs>
        <w:spacing w:after="12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3768">
        <w:rPr>
          <w:rFonts w:ascii="Times New Roman" w:hAnsi="Times New Roman" w:cs="Times New Roman"/>
          <w:sz w:val="24"/>
          <w:szCs w:val="24"/>
          <w:u w:val="single"/>
        </w:rPr>
        <w:t>K bodu 1</w:t>
      </w:r>
    </w:p>
    <w:p w:rsidR="00EE3B6F" w:rsidRPr="008A1BFA" w:rsidRDefault="00EE3B6F" w:rsidP="00233768">
      <w:pPr>
        <w:tabs>
          <w:tab w:val="center" w:pos="4536"/>
          <w:tab w:val="right" w:pos="9072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A1BFA">
        <w:rPr>
          <w:rFonts w:ascii="Times New Roman" w:hAnsi="Times New Roman" w:cs="Times New Roman"/>
          <w:sz w:val="24"/>
          <w:szCs w:val="24"/>
        </w:rPr>
        <w:t>Legislatívno-technická úprava.</w:t>
      </w:r>
    </w:p>
    <w:p w:rsidR="00EE3B6F" w:rsidRDefault="00EE3B6F" w:rsidP="00233768">
      <w:pPr>
        <w:tabs>
          <w:tab w:val="center" w:pos="4536"/>
          <w:tab w:val="right" w:pos="9072"/>
        </w:tabs>
        <w:spacing w:after="12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E3B6F" w:rsidRPr="008A1BFA" w:rsidRDefault="00EE3B6F" w:rsidP="00233768">
      <w:pPr>
        <w:tabs>
          <w:tab w:val="center" w:pos="4536"/>
          <w:tab w:val="right" w:pos="9072"/>
        </w:tabs>
        <w:spacing w:after="12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1BFA">
        <w:rPr>
          <w:rFonts w:ascii="Times New Roman" w:hAnsi="Times New Roman" w:cs="Times New Roman"/>
          <w:sz w:val="24"/>
          <w:szCs w:val="24"/>
          <w:u w:val="single"/>
        </w:rPr>
        <w:t>K bodu 2</w:t>
      </w:r>
    </w:p>
    <w:p w:rsidR="00766C2A" w:rsidRDefault="00766C2A" w:rsidP="0023376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ustanoviť maximálnu sumu ročného členského príspevku, ktorú môže politická strana prijať od jedného člena na sumu 10 000 eur. Tak ako z § 23 ods. 1 druhej vety tohto zákona vyplýva </w:t>
      </w:r>
      <w:r w:rsidR="004127AC">
        <w:rPr>
          <w:rFonts w:ascii="Times New Roman" w:hAnsi="Times New Roman" w:cs="Times New Roman"/>
          <w:sz w:val="24"/>
          <w:szCs w:val="24"/>
        </w:rPr>
        <w:t>cieľ</w:t>
      </w:r>
      <w:r>
        <w:rPr>
          <w:rFonts w:ascii="Times New Roman" w:hAnsi="Times New Roman" w:cs="Times New Roman"/>
          <w:sz w:val="24"/>
          <w:szCs w:val="24"/>
        </w:rPr>
        <w:t xml:space="preserve">, že politická strana nesmie byť financovaná jedným, resp. zopár darcami, aj v prípade členských príspevkov je potrebné ustanoviť obdobné obmedzenie, ktoré zabezpečí nezávislosť politickej strany od jedného alebo zopár finančne zabezpečených členov a bude podporovať reprezentatívnosť politickej strany mnohopočetnou členskou základňou. </w:t>
      </w:r>
    </w:p>
    <w:p w:rsidR="00095900" w:rsidRDefault="00095900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900" w:rsidRPr="00233768" w:rsidRDefault="00095900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3768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 w:rsidR="00EE3B6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4127AC" w:rsidRDefault="004127AC" w:rsidP="0023376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aby politická strana mohla </w:t>
      </w:r>
      <w:r w:rsidR="00741FCE">
        <w:rPr>
          <w:rFonts w:ascii="Times New Roman" w:hAnsi="Times New Roman" w:cs="Times New Roman"/>
          <w:sz w:val="24"/>
          <w:szCs w:val="24"/>
        </w:rPr>
        <w:t xml:space="preserve">počas jedného volebného obdobia Národnej rady Slovenskej republiky </w:t>
      </w:r>
      <w:r>
        <w:rPr>
          <w:rFonts w:ascii="Times New Roman" w:hAnsi="Times New Roman" w:cs="Times New Roman"/>
          <w:sz w:val="24"/>
          <w:szCs w:val="24"/>
        </w:rPr>
        <w:t xml:space="preserve">prijať v súhrne najviac </w:t>
      </w:r>
      <w:r w:rsidR="00741FCE">
        <w:rPr>
          <w:rFonts w:ascii="Times New Roman" w:hAnsi="Times New Roman" w:cs="Times New Roman"/>
          <w:sz w:val="24"/>
          <w:szCs w:val="24"/>
        </w:rPr>
        <w:t>3 5</w:t>
      </w:r>
      <w:r>
        <w:rPr>
          <w:rFonts w:ascii="Times New Roman" w:hAnsi="Times New Roman" w:cs="Times New Roman"/>
          <w:sz w:val="24"/>
          <w:szCs w:val="24"/>
        </w:rPr>
        <w:t xml:space="preserve">00 000 eur z  darov, iných bezodplatných plnení, pôžičiek a úverov (príjmy podľa § 22 ods. 1 písm. b) a h) tohto zákona). </w:t>
      </w:r>
      <w:r w:rsidR="00146FA2">
        <w:rPr>
          <w:rFonts w:ascii="Times New Roman" w:hAnsi="Times New Roman" w:cs="Times New Roman"/>
          <w:sz w:val="24"/>
          <w:szCs w:val="24"/>
        </w:rPr>
        <w:t xml:space="preserve">Navrhovaná suma sa rovná približne sume, ktorú počas jedného volebného obdobia príjme politická strana z príspevkov zo štátneho rozpočtu v prípade ak vo voľbách do Národnej rady Slovenskej republiky získa viac ako 5 % </w:t>
      </w:r>
      <w:r w:rsidR="00146FA2" w:rsidRPr="00207212">
        <w:rPr>
          <w:rFonts w:ascii="Times New Roman" w:hAnsi="Times New Roman" w:cs="Times New Roman"/>
          <w:sz w:val="24"/>
          <w:szCs w:val="24"/>
        </w:rPr>
        <w:t>z celkového počtu odovzdaných platných hlasov</w:t>
      </w:r>
      <w:r w:rsidR="00146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Zavedením tohto limitu sa zabezpečí väčšia transparentnosť vo financovaní politických strán. Tiež sa zabráni </w:t>
      </w:r>
      <w:r w:rsidR="00741FCE">
        <w:rPr>
          <w:rFonts w:ascii="Times New Roman" w:hAnsi="Times New Roman" w:cs="Times New Roman"/>
          <w:sz w:val="24"/>
          <w:szCs w:val="24"/>
        </w:rPr>
        <w:t xml:space="preserve">neúmernému </w:t>
      </w:r>
      <w:r>
        <w:rPr>
          <w:rFonts w:ascii="Times New Roman" w:hAnsi="Times New Roman" w:cs="Times New Roman"/>
          <w:sz w:val="24"/>
          <w:szCs w:val="24"/>
        </w:rPr>
        <w:t xml:space="preserve">„predvolebnému“ predlžovaniu politických strán, ktoré sa spoliehajú na svoj volebný úspech a následné príjmy zo štátneho rozpočtu. </w:t>
      </w:r>
    </w:p>
    <w:p w:rsidR="00CC1355" w:rsidRDefault="00CC1355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5900" w:rsidRPr="00233768" w:rsidRDefault="00095900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3768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 w:rsidR="00EE3B6F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AB2E19" w:rsidRDefault="004127AC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prechodných ustanoveniach sa predchádza možným prípadom retroaktivity tohto návrhu zákona</w:t>
      </w:r>
      <w:r w:rsidR="00C07A8D">
        <w:rPr>
          <w:rFonts w:ascii="Times New Roman" w:hAnsi="Times New Roman" w:cs="Times New Roman"/>
          <w:sz w:val="24"/>
          <w:szCs w:val="24"/>
        </w:rPr>
        <w:t xml:space="preserve"> v prípadoch ak politické strany už prekročili týmto zákonom stanovené limity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E32" w:rsidRDefault="004127AC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vzťahu k ustanovenému limitu členského príspevku na jedného člena sa upravuje, že tento limit </w:t>
      </w:r>
      <w:r w:rsidRPr="00881D3C">
        <w:rPr>
          <w:rFonts w:ascii="Times New Roman" w:hAnsi="Times New Roman" w:cs="Times New Roman"/>
          <w:sz w:val="24"/>
          <w:szCs w:val="24"/>
        </w:rPr>
        <w:t>sa nevzťahuje na členské príspevky, ktoré strana prijala pred nadobudnutím účinnosti tohto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E19" w:rsidRDefault="00AB2E19" w:rsidP="00233768">
      <w:pPr>
        <w:tabs>
          <w:tab w:val="center" w:pos="4536"/>
          <w:tab w:val="righ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Vo vzťahu k ustanovenému limitu príjmov strany podľa § 22 ods. 1 písm. b) a h) zákona sa </w:t>
      </w:r>
      <w:r w:rsidR="00C07A8D">
        <w:rPr>
          <w:rFonts w:ascii="Times New Roman" w:hAnsi="Times New Roman" w:cs="Times New Roman"/>
          <w:sz w:val="24"/>
          <w:szCs w:val="24"/>
        </w:rPr>
        <w:t xml:space="preserve">obdobne </w:t>
      </w:r>
      <w:r>
        <w:rPr>
          <w:rFonts w:ascii="Times New Roman" w:hAnsi="Times New Roman" w:cs="Times New Roman"/>
          <w:sz w:val="24"/>
          <w:szCs w:val="24"/>
        </w:rPr>
        <w:t>upravuje, že tento limit sa vzťahuje až na príjmy</w:t>
      </w:r>
      <w:r w:rsidRPr="00881D3C">
        <w:rPr>
          <w:rFonts w:ascii="Times New Roman" w:hAnsi="Times New Roman" w:cs="Times New Roman"/>
          <w:sz w:val="24"/>
          <w:szCs w:val="24"/>
        </w:rPr>
        <w:t>, ktoré má strana po nadobudnutí účinnosti tohto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6095" w:rsidRDefault="00E16095" w:rsidP="00915C7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C35E32" w:rsidRDefault="00C35E32" w:rsidP="00915C7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sz w:val="24"/>
          <w:lang w:eastAsia="sk-SK"/>
        </w:rPr>
        <w:t>K čl. I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II</w:t>
      </w:r>
    </w:p>
    <w:p w:rsidR="00C35E32" w:rsidRPr="00C35E32" w:rsidRDefault="005B3934" w:rsidP="004F253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S ohľadom na problematiku návrhu zákona sa navrhuje ú</w:t>
      </w:r>
      <w:r w:rsidR="00C35E32" w:rsidRPr="00C35E32">
        <w:rPr>
          <w:rFonts w:ascii="Times New Roman" w:eastAsia="Times New Roman" w:hAnsi="Times New Roman" w:cs="Times New Roman"/>
          <w:sz w:val="24"/>
          <w:lang w:eastAsia="sk-SK"/>
        </w:rPr>
        <w:t xml:space="preserve">činnosť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zákona </w:t>
      </w:r>
      <w:r w:rsidR="00C35E32" w:rsidRPr="00C35E32">
        <w:rPr>
          <w:rFonts w:ascii="Times New Roman" w:eastAsia="Times New Roman" w:hAnsi="Times New Roman" w:cs="Times New Roman"/>
          <w:sz w:val="24"/>
          <w:lang w:eastAsia="sk-SK"/>
        </w:rPr>
        <w:t xml:space="preserve">ku dňu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jeho </w:t>
      </w:r>
      <w:r w:rsidR="00C35E32" w:rsidRPr="00C35E32">
        <w:rPr>
          <w:rFonts w:ascii="Times New Roman" w:eastAsia="Times New Roman" w:hAnsi="Times New Roman" w:cs="Times New Roman"/>
          <w:sz w:val="24"/>
          <w:lang w:eastAsia="sk-SK"/>
        </w:rPr>
        <w:t xml:space="preserve">vyhlásenia </w:t>
      </w:r>
      <w:r w:rsidR="00C35E32">
        <w:rPr>
          <w:rFonts w:ascii="Times New Roman" w:eastAsia="Times New Roman" w:hAnsi="Times New Roman" w:cs="Times New Roman"/>
          <w:sz w:val="24"/>
          <w:lang w:eastAsia="sk-SK"/>
        </w:rPr>
        <w:t>v </w:t>
      </w:r>
      <w:r w:rsidRPr="005B3934">
        <w:rPr>
          <w:rFonts w:ascii="Times New Roman" w:eastAsia="Times New Roman" w:hAnsi="Times New Roman" w:cs="Times New Roman"/>
          <w:sz w:val="24"/>
          <w:lang w:eastAsia="sk-SK"/>
        </w:rPr>
        <w:t>Zbierke zákonov Slovenskej republiky</w:t>
      </w:r>
      <w:r w:rsidR="00C35E32">
        <w:rPr>
          <w:rFonts w:ascii="Times New Roman" w:eastAsia="Times New Roman" w:hAnsi="Times New Roman" w:cs="Times New Roman"/>
          <w:sz w:val="24"/>
          <w:lang w:eastAsia="sk-SK"/>
        </w:rPr>
        <w:t>.</w:t>
      </w:r>
    </w:p>
    <w:p w:rsidR="00C35E32" w:rsidRDefault="00C35E32" w:rsidP="0023376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BD3" w:rsidRPr="00233768" w:rsidRDefault="00C60BD3" w:rsidP="00C60BD3">
      <w:pPr>
        <w:pageBreakBefore/>
        <w:widowControl w:val="0"/>
        <w:suppressAutoHyphens/>
        <w:spacing w:line="360" w:lineRule="auto"/>
        <w:ind w:right="-42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33768">
        <w:rPr>
          <w:rFonts w:ascii="Times New Roman" w:eastAsia="SimSun" w:hAnsi="Times New Roman" w:cs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:rsidR="00C60BD3" w:rsidRPr="00233768" w:rsidRDefault="00C60BD3" w:rsidP="00C60BD3">
      <w:pPr>
        <w:widowControl w:val="0"/>
        <w:pBdr>
          <w:bottom w:val="single" w:sz="4" w:space="1" w:color="auto"/>
        </w:pBdr>
        <w:suppressAutoHyphens/>
        <w:spacing w:line="360" w:lineRule="auto"/>
        <w:ind w:right="-427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337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C60BD3" w:rsidRPr="00233768" w:rsidRDefault="00C60BD3" w:rsidP="00C60BD3">
      <w:pPr>
        <w:widowControl w:val="0"/>
        <w:suppressAutoHyphens/>
        <w:spacing w:line="312" w:lineRule="auto"/>
        <w:ind w:right="-42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C60BD3" w:rsidRPr="00233768" w:rsidRDefault="00C60BD3" w:rsidP="00C60BD3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337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C60BD3" w:rsidRPr="00233768" w:rsidRDefault="00C60BD3" w:rsidP="00C60BD3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3768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B577D0">
        <w:rPr>
          <w:rFonts w:ascii="Times New Roman" w:hAnsi="Times New Roman" w:cs="Times New Roman"/>
          <w:sz w:val="24"/>
          <w:szCs w:val="24"/>
        </w:rPr>
        <w:t>ktorým sa mení a dopĺňa zákon č. 181/2014 Z. z. o volebnej kampani a o zmene a doplnení zákona č. 85/2005 Z. z. o politických stranách a politických hnutiach v znení neskorších predpisov v znení neskorších predpisov a ktorým sa dopĺňa zákon č. 85/2005 Z. z. o politických stranách a politických hnutiach v znení neskorších predpisov</w:t>
      </w:r>
      <w:r w:rsidRPr="00233768">
        <w:rPr>
          <w:rFonts w:ascii="Times New Roman" w:hAnsi="Times New Roman" w:cs="Times New Roman"/>
          <w:sz w:val="24"/>
          <w:szCs w:val="24"/>
        </w:rPr>
        <w:t>.</w:t>
      </w:r>
    </w:p>
    <w:p w:rsidR="00C60BD3" w:rsidRPr="00233768" w:rsidRDefault="00C60BD3" w:rsidP="00C60BD3">
      <w:pPr>
        <w:widowControl w:val="0"/>
        <w:suppressAutoHyphens/>
        <w:spacing w:line="312" w:lineRule="auto"/>
        <w:ind w:right="-427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C60BD3" w:rsidRPr="00233768" w:rsidRDefault="00C60BD3" w:rsidP="00C60BD3">
      <w:pPr>
        <w:widowControl w:val="0"/>
        <w:suppressAutoHyphens/>
        <w:spacing w:line="312" w:lineRule="auto"/>
        <w:ind w:right="-42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337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339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362"/>
        <w:gridCol w:w="1063"/>
        <w:gridCol w:w="1064"/>
        <w:gridCol w:w="850"/>
      </w:tblGrid>
      <w:tr w:rsidR="00C60BD3" w:rsidRPr="00C60BD3" w:rsidTr="00233768">
        <w:tc>
          <w:tcPr>
            <w:tcW w:w="6362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Pozitívne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 w:themeColor="background2" w:themeShade="E6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Žiadne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single" w:sz="4" w:space="0" w:color="D0CECE" w:themeColor="background2" w:themeShade="E6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single" w:sz="4" w:space="0" w:color="D0CECE" w:themeColor="background2" w:themeShade="E6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single" w:sz="4" w:space="0" w:color="D0CECE" w:themeColor="background2" w:themeShade="E6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single" w:sz="4" w:space="0" w:color="D0CECE" w:themeColor="background2" w:themeShade="E6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063" w:type="dxa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 w:themeColor="background2" w:themeShade="E6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single" w:sz="4" w:space="0" w:color="D0CECE" w:themeColor="background2" w:themeShade="E6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   </w:t>
            </w: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single" w:sz="4" w:space="0" w:color="D0CECE" w:themeColor="background2" w:themeShade="E6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 w:themeColor="background2" w:themeShade="E6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exklúziu</w:t>
            </w:r>
            <w:proofErr w:type="spellEnd"/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60B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60B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60B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60BD3" w:rsidRPr="00C60BD3" w:rsidTr="00CC1355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337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7. Vplyvy na manželstvo, rodičovstvo a  rodinu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napToGrid w:val="0"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60BD3" w:rsidRPr="00233768" w:rsidRDefault="00C60BD3" w:rsidP="00233768">
            <w:pPr>
              <w:widowControl w:val="0"/>
              <w:suppressAutoHyphens/>
              <w:spacing w:after="0" w:line="360" w:lineRule="auto"/>
              <w:ind w:left="-17"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</w:tbl>
    <w:p w:rsidR="00C60BD3" w:rsidRPr="00233768" w:rsidRDefault="00C60BD3" w:rsidP="00C60BD3">
      <w:pPr>
        <w:widowControl w:val="0"/>
        <w:suppressAutoHyphens/>
        <w:spacing w:line="312" w:lineRule="auto"/>
        <w:ind w:right="-427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2337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 </w:t>
      </w:r>
    </w:p>
    <w:p w:rsidR="00C60BD3" w:rsidRPr="00233768" w:rsidRDefault="00C60BD3" w:rsidP="0023376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768">
        <w:rPr>
          <w:rFonts w:ascii="Times New Roman" w:hAnsi="Times New Roman" w:cs="Times New Roman"/>
          <w:b/>
          <w:sz w:val="24"/>
          <w:szCs w:val="24"/>
        </w:rPr>
        <w:t>A.3. Poznámky:</w:t>
      </w:r>
    </w:p>
    <w:p w:rsidR="00C60BD3" w:rsidRDefault="00C60BD3" w:rsidP="00233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8D">
        <w:rPr>
          <w:rFonts w:ascii="Times New Roman" w:hAnsi="Times New Roman" w:cs="Times New Roman"/>
          <w:sz w:val="24"/>
          <w:szCs w:val="24"/>
        </w:rPr>
        <w:t>Predkladaný návrh zákona nemá žiadne vplyvy na rozpočet verejnej správy, vplyvy na podnikateľské prostredie, sociálne vplyvy, vplyvy na životné prostredie, vplyvy na informatizáciu spoločnosti a sl</w:t>
      </w:r>
      <w:r>
        <w:rPr>
          <w:rFonts w:ascii="Times New Roman" w:hAnsi="Times New Roman" w:cs="Times New Roman"/>
          <w:sz w:val="24"/>
          <w:szCs w:val="24"/>
        </w:rPr>
        <w:t xml:space="preserve">užby verejnej správy pre občana </w:t>
      </w:r>
      <w:r w:rsidRPr="001A21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218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vplyvy na </w:t>
      </w:r>
      <w:r w:rsidRPr="00333AA9">
        <w:rPr>
          <w:rFonts w:ascii="Times New Roman" w:hAnsi="Times New Roman" w:cs="Times New Roman"/>
          <w:sz w:val="24"/>
          <w:szCs w:val="24"/>
        </w:rPr>
        <w:t>manželstvo, rodičovstvo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3AA9">
        <w:rPr>
          <w:rFonts w:ascii="Times New Roman" w:hAnsi="Times New Roman" w:cs="Times New Roman"/>
          <w:sz w:val="24"/>
          <w:szCs w:val="24"/>
        </w:rPr>
        <w:t>rodinu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BD3" w:rsidRDefault="00C60BD3" w:rsidP="00C60BD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BD3" w:rsidRPr="00233768" w:rsidRDefault="00C60BD3" w:rsidP="00C60BD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768">
        <w:rPr>
          <w:rFonts w:ascii="Times New Roman" w:hAnsi="Times New Roman" w:cs="Times New Roman"/>
          <w:b/>
          <w:sz w:val="24"/>
          <w:szCs w:val="24"/>
        </w:rPr>
        <w:t>A.4. Alternatívne riešenia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60BD3" w:rsidRPr="00C60BD3" w:rsidRDefault="00C60BD3" w:rsidP="00C60BD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BD3">
        <w:rPr>
          <w:rFonts w:ascii="Times New Roman" w:hAnsi="Times New Roman" w:cs="Times New Roman"/>
          <w:sz w:val="24"/>
          <w:szCs w:val="24"/>
        </w:rPr>
        <w:t xml:space="preserve">Bezpredmetné </w:t>
      </w:r>
    </w:p>
    <w:p w:rsidR="00C60BD3" w:rsidRPr="00C60BD3" w:rsidRDefault="00C60BD3" w:rsidP="00C60BD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BD3" w:rsidRPr="00233768" w:rsidRDefault="00C60BD3" w:rsidP="00C60BD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768">
        <w:rPr>
          <w:rFonts w:ascii="Times New Roman" w:hAnsi="Times New Roman" w:cs="Times New Roman"/>
          <w:b/>
          <w:sz w:val="24"/>
          <w:szCs w:val="24"/>
        </w:rPr>
        <w:t xml:space="preserve">A.5.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768">
        <w:rPr>
          <w:rFonts w:ascii="Times New Roman" w:hAnsi="Times New Roman" w:cs="Times New Roman"/>
          <w:b/>
          <w:sz w:val="24"/>
          <w:szCs w:val="24"/>
        </w:rPr>
        <w:t>Stanovisko gestorov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5E32" w:rsidRDefault="00C60BD3" w:rsidP="00233768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BD3">
        <w:rPr>
          <w:rFonts w:ascii="Times New Roman" w:hAnsi="Times New Roman" w:cs="Times New Roman"/>
          <w:sz w:val="24"/>
          <w:szCs w:val="24"/>
        </w:rPr>
        <w:t>Bezpredmetné</w:t>
      </w:r>
    </w:p>
    <w:p w:rsidR="003B0E76" w:rsidRDefault="003B0E76" w:rsidP="0023376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30E" w:rsidRPr="00CB130E" w:rsidRDefault="00CB130E" w:rsidP="00B577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DOLOŽKA ZLUČITEĽNOSTI</w:t>
      </w:r>
    </w:p>
    <w:p w:rsidR="00CB130E" w:rsidRPr="00CB130E" w:rsidRDefault="00CB130E" w:rsidP="00233768">
      <w:pPr>
        <w:pBdr>
          <w:bottom w:val="single" w:sz="4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 právom Európskej únie</w:t>
      </w:r>
    </w:p>
    <w:p w:rsidR="00CB130E" w:rsidRPr="00CB130E" w:rsidRDefault="00CB130E" w:rsidP="00E7182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130E" w:rsidRPr="00233768" w:rsidRDefault="00CB130E" w:rsidP="00233768">
      <w:pPr>
        <w:pStyle w:val="Odsekzoznamu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Navrhovateľ zákona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C60BD3"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skupina 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poslanc</w:t>
      </w:r>
      <w:r w:rsidR="00C60BD3"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</w:t>
      </w:r>
      <w:r w:rsidR="00C60BD3"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B130E" w:rsidRPr="00CB130E" w:rsidRDefault="00CB130E" w:rsidP="00C07A8D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130E" w:rsidRPr="00233768" w:rsidRDefault="00CB130E" w:rsidP="00233768">
      <w:pPr>
        <w:pStyle w:val="Odsekzoznamu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návrhu zákona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Zákon, </w:t>
      </w:r>
      <w:r w:rsidR="00C60BD3" w:rsidRPr="00233768">
        <w:rPr>
          <w:rFonts w:ascii="Times New Roman" w:hAnsi="Times New Roman" w:cs="Times New Roman"/>
          <w:sz w:val="24"/>
          <w:szCs w:val="24"/>
        </w:rPr>
        <w:t>ktorým sa mení a dopĺňa zákon č. 181/2014 Z. z. o volebnej kampani a o zmene a doplnení zákona č. 85/2005 Z. z. o politických stranách a politických hnutiach v znení neskorších predpisov v znení neskorších predpisov a ktorým sa dopĺňa zákon č. 85/2005 Z. z. o politických stranách a politických hnutiach v znení neskorších predpisov.</w:t>
      </w:r>
      <w:r w:rsidRPr="002337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C60BD3" w:rsidRPr="00CB130E" w:rsidRDefault="00C60BD3" w:rsidP="001A218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130E" w:rsidRPr="00233768" w:rsidRDefault="00CB130E" w:rsidP="00233768">
      <w:pPr>
        <w:pStyle w:val="Odsekzoznamu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Problematika návrhu zákona 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je upravená v práve Európskej únie:</w:t>
      </w:r>
    </w:p>
    <w:p w:rsidR="00CB130E" w:rsidRPr="00233768" w:rsidRDefault="00CB130E" w:rsidP="00233768">
      <w:pPr>
        <w:pStyle w:val="Odsekzoznamu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v primárnom práve</w:t>
      </w:r>
      <w:r w:rsidR="00C60BD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B130E" w:rsidRPr="00233768" w:rsidRDefault="00CB130E" w:rsidP="00233768">
      <w:pPr>
        <w:pStyle w:val="Odsekzoznamu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10 ods. 4 Zmluvy o Európskej únii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CB130E" w:rsidRPr="00233768" w:rsidRDefault="00CB130E" w:rsidP="00233768">
      <w:pPr>
        <w:pStyle w:val="Odsekzoznamu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čl. 224 Zmluvy o fungovaní Európskej únie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                        </w:t>
      </w:r>
    </w:p>
    <w:p w:rsidR="00CB130E" w:rsidRPr="00233768" w:rsidRDefault="00CB130E" w:rsidP="00233768">
      <w:pPr>
        <w:pStyle w:val="Odsekzoznamu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v sekundárnom práve</w:t>
      </w:r>
      <w:r w:rsidR="00C60BD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CB130E" w:rsidRPr="00233768" w:rsidRDefault="00CB130E" w:rsidP="00233768">
      <w:pPr>
        <w:pStyle w:val="Odsekzoznamu"/>
        <w:numPr>
          <w:ilvl w:val="1"/>
          <w:numId w:val="6"/>
        </w:numPr>
        <w:spacing w:after="20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Európskeho parlamentu a Rady (EÚ, </w:t>
      </w:r>
      <w:proofErr w:type="spellStart"/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) č. 1141/2014  z 22. októbra 2014 o štatúte a financovaní európskych politických strán a európskych politických nadácií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CB130E" w:rsidRPr="00233768" w:rsidRDefault="00CB130E" w:rsidP="00233768">
      <w:pPr>
        <w:pStyle w:val="Odsekzoznamu"/>
        <w:numPr>
          <w:ilvl w:val="1"/>
          <w:numId w:val="6"/>
        </w:numPr>
        <w:spacing w:after="20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Delegované nariadenie Komisie (EÚ, </w:t>
      </w:r>
      <w:proofErr w:type="spellStart"/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Euratom</w:t>
      </w:r>
      <w:proofErr w:type="spellEnd"/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) 2015/2401 z 2. októbra 2015 o obsahu a fungovaní registra európskych politických strán a európskych politických nadácií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CB130E" w:rsidRPr="00233768" w:rsidRDefault="00CB130E" w:rsidP="00233768">
      <w:pPr>
        <w:pStyle w:val="Odsekzoznamu"/>
        <w:numPr>
          <w:ilvl w:val="1"/>
          <w:numId w:val="6"/>
        </w:numPr>
        <w:spacing w:after="20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Vykonávacie nariadenie Komisie (EÚ) 2015/2246 z 3. decembra 2015 o podrobných ustanoveniach týkajúcich sa systému registračných čísel uplatňovaného na register európskych politických strán a európskych politických nadácií  a informácií poskytovaných v štandardných výpisoch z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registra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B130E" w:rsidRPr="00233768" w:rsidRDefault="00CB130E" w:rsidP="00233768">
      <w:pPr>
        <w:pStyle w:val="Odsekzoznamu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v judikatúre Súdneho dvora Európskej únie</w:t>
      </w:r>
      <w:r w:rsidR="00C60B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233768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B130E" w:rsidRPr="00CB130E" w:rsidRDefault="00CB13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130E" w:rsidRPr="00233768" w:rsidRDefault="00CB130E" w:rsidP="00233768">
      <w:pPr>
        <w:pStyle w:val="Odsekzoznamu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 Európskej únii:</w:t>
      </w:r>
    </w:p>
    <w:p w:rsidR="00CB130E" w:rsidRPr="00CB130E" w:rsidRDefault="00CB130E" w:rsidP="00233768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   </w:t>
      </w:r>
      <w:r w:rsidR="00C07A8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B130E" w:rsidRPr="00CB130E" w:rsidRDefault="00CB130E" w:rsidP="00233768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B130E" w:rsidRPr="00233768" w:rsidRDefault="00CB130E" w:rsidP="00233768">
      <w:pPr>
        <w:pStyle w:val="Odsekzoznamu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337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Stupeň zlučiteľnosti návrhu zákona s právom Európskej únie: </w:t>
      </w:r>
    </w:p>
    <w:p w:rsidR="00CB130E" w:rsidRPr="00CB130E" w:rsidRDefault="00CB13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30E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Úplný</w:t>
      </w:r>
      <w:r w:rsidR="00C5533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B130E" w:rsidRPr="00CB130E" w:rsidRDefault="00CB13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CB130E" w:rsidRPr="00CB13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B5" w:rsidRDefault="001525B5" w:rsidP="00333AA9">
      <w:pPr>
        <w:spacing w:after="0" w:line="240" w:lineRule="auto"/>
      </w:pPr>
      <w:r>
        <w:separator/>
      </w:r>
    </w:p>
  </w:endnote>
  <w:endnote w:type="continuationSeparator" w:id="0">
    <w:p w:rsidR="001525B5" w:rsidRDefault="001525B5" w:rsidP="0033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336873"/>
      <w:docPartObj>
        <w:docPartGallery w:val="Page Numbers (Bottom of Page)"/>
        <w:docPartUnique/>
      </w:docPartObj>
    </w:sdtPr>
    <w:sdtEndPr/>
    <w:sdtContent>
      <w:p w:rsidR="00CC1355" w:rsidRDefault="00CC13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095">
          <w:rPr>
            <w:noProof/>
          </w:rPr>
          <w:t>8</w:t>
        </w:r>
        <w:r>
          <w:fldChar w:fldCharType="end"/>
        </w:r>
      </w:p>
    </w:sdtContent>
  </w:sdt>
  <w:p w:rsidR="00CC1355" w:rsidRDefault="00CC13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B5" w:rsidRDefault="001525B5" w:rsidP="00333AA9">
      <w:pPr>
        <w:spacing w:after="0" w:line="240" w:lineRule="auto"/>
      </w:pPr>
      <w:r>
        <w:separator/>
      </w:r>
    </w:p>
  </w:footnote>
  <w:footnote w:type="continuationSeparator" w:id="0">
    <w:p w:rsidR="001525B5" w:rsidRDefault="001525B5" w:rsidP="0033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20"/>
    <w:multiLevelType w:val="hybridMultilevel"/>
    <w:tmpl w:val="5DD2BF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C630E"/>
    <w:multiLevelType w:val="hybridMultilevel"/>
    <w:tmpl w:val="142C4A92"/>
    <w:lvl w:ilvl="0" w:tplc="3282317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DB1EB51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7B433E"/>
    <w:multiLevelType w:val="hybridMultilevel"/>
    <w:tmpl w:val="D63A1D6E"/>
    <w:lvl w:ilvl="0" w:tplc="3282317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327B6"/>
    <w:multiLevelType w:val="hybridMultilevel"/>
    <w:tmpl w:val="7952A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6F55"/>
    <w:multiLevelType w:val="hybridMultilevel"/>
    <w:tmpl w:val="C3DA11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C38B9"/>
    <w:multiLevelType w:val="hybridMultilevel"/>
    <w:tmpl w:val="8D489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36EBD"/>
    <w:multiLevelType w:val="hybridMultilevel"/>
    <w:tmpl w:val="5DD2BF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43F63"/>
    <w:multiLevelType w:val="hybridMultilevel"/>
    <w:tmpl w:val="00922C16"/>
    <w:lvl w:ilvl="0" w:tplc="0568D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52B5E"/>
    <w:multiLevelType w:val="hybridMultilevel"/>
    <w:tmpl w:val="502AC1BC"/>
    <w:lvl w:ilvl="0" w:tplc="0568D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1"/>
    <w:rsid w:val="00015172"/>
    <w:rsid w:val="00056598"/>
    <w:rsid w:val="0009584B"/>
    <w:rsid w:val="00095900"/>
    <w:rsid w:val="000C2D4C"/>
    <w:rsid w:val="000D41D1"/>
    <w:rsid w:val="000E5266"/>
    <w:rsid w:val="001045A0"/>
    <w:rsid w:val="00146FA2"/>
    <w:rsid w:val="00152357"/>
    <w:rsid w:val="001525B5"/>
    <w:rsid w:val="00156726"/>
    <w:rsid w:val="00163614"/>
    <w:rsid w:val="00197BCB"/>
    <w:rsid w:val="001A218D"/>
    <w:rsid w:val="001B4E91"/>
    <w:rsid w:val="001E1A28"/>
    <w:rsid w:val="00206CF2"/>
    <w:rsid w:val="00207212"/>
    <w:rsid w:val="00222AF0"/>
    <w:rsid w:val="00227302"/>
    <w:rsid w:val="002319F2"/>
    <w:rsid w:val="00233768"/>
    <w:rsid w:val="002364F5"/>
    <w:rsid w:val="0024365A"/>
    <w:rsid w:val="002448F4"/>
    <w:rsid w:val="00263C8F"/>
    <w:rsid w:val="0029042B"/>
    <w:rsid w:val="002C2D08"/>
    <w:rsid w:val="00327AA2"/>
    <w:rsid w:val="00333AA9"/>
    <w:rsid w:val="003414E5"/>
    <w:rsid w:val="00344774"/>
    <w:rsid w:val="00351D0E"/>
    <w:rsid w:val="003561A6"/>
    <w:rsid w:val="00361FAF"/>
    <w:rsid w:val="00374E26"/>
    <w:rsid w:val="003A13C7"/>
    <w:rsid w:val="003B0E76"/>
    <w:rsid w:val="003F0FD9"/>
    <w:rsid w:val="0040591B"/>
    <w:rsid w:val="004061F1"/>
    <w:rsid w:val="004127AC"/>
    <w:rsid w:val="00431BBD"/>
    <w:rsid w:val="0046278C"/>
    <w:rsid w:val="004B5741"/>
    <w:rsid w:val="004D3A38"/>
    <w:rsid w:val="004F2535"/>
    <w:rsid w:val="00517B94"/>
    <w:rsid w:val="00587DC3"/>
    <w:rsid w:val="00596108"/>
    <w:rsid w:val="005B3934"/>
    <w:rsid w:val="005B4069"/>
    <w:rsid w:val="005C163D"/>
    <w:rsid w:val="005F53AD"/>
    <w:rsid w:val="00610730"/>
    <w:rsid w:val="00621906"/>
    <w:rsid w:val="00652768"/>
    <w:rsid w:val="00660AF5"/>
    <w:rsid w:val="00693202"/>
    <w:rsid w:val="006B05E0"/>
    <w:rsid w:val="006B15A9"/>
    <w:rsid w:val="00711DD7"/>
    <w:rsid w:val="00730EE2"/>
    <w:rsid w:val="00734116"/>
    <w:rsid w:val="00741FCE"/>
    <w:rsid w:val="0074722D"/>
    <w:rsid w:val="00766C2A"/>
    <w:rsid w:val="007D2867"/>
    <w:rsid w:val="007E4BD2"/>
    <w:rsid w:val="0083089F"/>
    <w:rsid w:val="0088424B"/>
    <w:rsid w:val="008A1BFA"/>
    <w:rsid w:val="008A6B30"/>
    <w:rsid w:val="008B4B62"/>
    <w:rsid w:val="008C0BCA"/>
    <w:rsid w:val="008C2FEE"/>
    <w:rsid w:val="008E5FD3"/>
    <w:rsid w:val="00915C7E"/>
    <w:rsid w:val="00917E0C"/>
    <w:rsid w:val="009B76E6"/>
    <w:rsid w:val="009F4542"/>
    <w:rsid w:val="00A1205C"/>
    <w:rsid w:val="00A45296"/>
    <w:rsid w:val="00A547A6"/>
    <w:rsid w:val="00A608D7"/>
    <w:rsid w:val="00A9552A"/>
    <w:rsid w:val="00A96F08"/>
    <w:rsid w:val="00AB2E19"/>
    <w:rsid w:val="00AC3A8F"/>
    <w:rsid w:val="00B32F91"/>
    <w:rsid w:val="00B577D0"/>
    <w:rsid w:val="00B958FA"/>
    <w:rsid w:val="00B959F9"/>
    <w:rsid w:val="00BD2933"/>
    <w:rsid w:val="00C07A8D"/>
    <w:rsid w:val="00C12C16"/>
    <w:rsid w:val="00C35E32"/>
    <w:rsid w:val="00C55334"/>
    <w:rsid w:val="00C60BD3"/>
    <w:rsid w:val="00C81AF6"/>
    <w:rsid w:val="00C8517B"/>
    <w:rsid w:val="00C95D85"/>
    <w:rsid w:val="00CB130E"/>
    <w:rsid w:val="00CC1355"/>
    <w:rsid w:val="00CF1BF7"/>
    <w:rsid w:val="00D06080"/>
    <w:rsid w:val="00D115DE"/>
    <w:rsid w:val="00D15A7F"/>
    <w:rsid w:val="00D21299"/>
    <w:rsid w:val="00D23A14"/>
    <w:rsid w:val="00D46AAC"/>
    <w:rsid w:val="00D46E5C"/>
    <w:rsid w:val="00D90E55"/>
    <w:rsid w:val="00DB1721"/>
    <w:rsid w:val="00DB1A72"/>
    <w:rsid w:val="00DC1B86"/>
    <w:rsid w:val="00E16095"/>
    <w:rsid w:val="00E7182D"/>
    <w:rsid w:val="00E8178F"/>
    <w:rsid w:val="00E9354B"/>
    <w:rsid w:val="00EB48D7"/>
    <w:rsid w:val="00EC1FE8"/>
    <w:rsid w:val="00EE3B6F"/>
    <w:rsid w:val="00F07874"/>
    <w:rsid w:val="00F32CD1"/>
    <w:rsid w:val="00F37013"/>
    <w:rsid w:val="00F410E1"/>
    <w:rsid w:val="00F528D9"/>
    <w:rsid w:val="00F66163"/>
    <w:rsid w:val="00F66AF8"/>
    <w:rsid w:val="00F74324"/>
    <w:rsid w:val="00F9187A"/>
    <w:rsid w:val="00F947BE"/>
    <w:rsid w:val="00F9757F"/>
    <w:rsid w:val="00F9770E"/>
    <w:rsid w:val="00FA1576"/>
    <w:rsid w:val="00FA530E"/>
    <w:rsid w:val="00FB6009"/>
    <w:rsid w:val="00FD3EEA"/>
    <w:rsid w:val="00FE44E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0E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D15A7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5A7F"/>
    <w:rPr>
      <w:rFonts w:ascii="Calibri" w:eastAsia="Calibri" w:hAnsi="Calibri" w:cs="Times New Roman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F977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3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3AA9"/>
  </w:style>
  <w:style w:type="paragraph" w:styleId="Pta">
    <w:name w:val="footer"/>
    <w:basedOn w:val="Normlny"/>
    <w:link w:val="PtaChar"/>
    <w:uiPriority w:val="99"/>
    <w:unhideWhenUsed/>
    <w:rsid w:val="0033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3AA9"/>
  </w:style>
  <w:style w:type="character" w:customStyle="1" w:styleId="OdsekzoznamuChar">
    <w:name w:val="Odsek zoznamu Char"/>
    <w:link w:val="Odsekzoznamu"/>
    <w:uiPriority w:val="34"/>
    <w:locked/>
    <w:rsid w:val="00C60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0E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D15A7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5A7F"/>
    <w:rPr>
      <w:rFonts w:ascii="Calibri" w:eastAsia="Calibri" w:hAnsi="Calibri" w:cs="Times New Roman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F977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3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3AA9"/>
  </w:style>
  <w:style w:type="paragraph" w:styleId="Pta">
    <w:name w:val="footer"/>
    <w:basedOn w:val="Normlny"/>
    <w:link w:val="PtaChar"/>
    <w:uiPriority w:val="99"/>
    <w:unhideWhenUsed/>
    <w:rsid w:val="0033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3AA9"/>
  </w:style>
  <w:style w:type="character" w:customStyle="1" w:styleId="OdsekzoznamuChar">
    <w:name w:val="Odsek zoznamu Char"/>
    <w:link w:val="Odsekzoznamu"/>
    <w:uiPriority w:val="34"/>
    <w:locked/>
    <w:rsid w:val="00C6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Chmelová</dc:creator>
  <cp:lastModifiedBy>Dedo</cp:lastModifiedBy>
  <cp:revision>4</cp:revision>
  <cp:lastPrinted>2019-06-26T07:28:00Z</cp:lastPrinted>
  <dcterms:created xsi:type="dcterms:W3CDTF">2019-06-26T07:28:00Z</dcterms:created>
  <dcterms:modified xsi:type="dcterms:W3CDTF">2019-06-26T07:36:00Z</dcterms:modified>
</cp:coreProperties>
</file>