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C5DAA" w:rsidRPr="002C5DAA" w:rsidP="002C5DAA">
      <w:pPr>
        <w:pStyle w:val="Heading3"/>
        <w:bidi w:val="0"/>
        <w:jc w:val="left"/>
        <w:rPr>
          <w:rFonts w:ascii="Times New Roman" w:eastAsia="Times New Roman" w:hAnsi="Times New Roman"/>
          <w:b w:val="0"/>
          <w:i/>
          <w:sz w:val="24"/>
          <w:szCs w:val="24"/>
        </w:rPr>
      </w:pPr>
      <w:r w:rsidRPr="002C5DAA">
        <w:rPr>
          <w:rFonts w:ascii="Times New Roman" w:eastAsia="Times New Roman" w:hAnsi="Times New Roman" w:cs="Times New Roman" w:hint="cs"/>
          <w:b w:val="0"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                Výbor  </w:t>
      </w:r>
    </w:p>
    <w:p w:rsidR="002C5DAA" w:rsidRPr="002C5DAA" w:rsidP="002C5DAA">
      <w:pPr>
        <w:bidi w:val="0"/>
        <w:spacing w:line="240" w:lineRule="atLeast"/>
        <w:jc w:val="both"/>
        <w:rPr>
          <w:rFonts w:ascii="Times New Roman" w:eastAsia="Times New Roman" w:hAnsi="Times New Roman" w:cs="Times New Roman"/>
          <w:i/>
        </w:rPr>
      </w:pPr>
      <w:r w:rsidRPr="002C5DAA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2C5DAA" w:rsidRPr="002C5DAA" w:rsidP="002C5DAA">
      <w:pPr>
        <w:bidi w:val="0"/>
        <w:jc w:val="both"/>
        <w:rPr>
          <w:rFonts w:ascii="Times New Roman" w:eastAsia="Times New Roman" w:hAnsi="Times New Roman" w:cs="Times New Roman"/>
          <w:i/>
        </w:rPr>
      </w:pPr>
      <w:r w:rsidRPr="002C5DAA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  pre nezlučiteľnosť funkcií      </w:t>
      </w:r>
    </w:p>
    <w:p w:rsidR="002C5DAA" w:rsidRPr="002C5DAA" w:rsidP="002C5DAA">
      <w:pPr>
        <w:bidi w:val="0"/>
        <w:ind w:left="2832"/>
        <w:jc w:val="both"/>
        <w:rPr>
          <w:rFonts w:ascii="Times New Roman" w:eastAsia="Times New Roman" w:hAnsi="Times New Roman" w:cs="Times New Roman"/>
        </w:rPr>
      </w:pPr>
      <w:r w:rsidRPr="002C5DAA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C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B74C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2C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2C5DAA" w:rsidRPr="003F2917" w:rsidP="002C5DAA">
      <w:pPr>
        <w:bidi w:val="0"/>
        <w:jc w:val="center"/>
        <w:rPr>
          <w:rFonts w:ascii="AT*Toronto" w:eastAsia="Times New Roman" w:hAnsi="AT*Toronto"/>
          <w:b/>
          <w:sz w:val="32"/>
          <w:szCs w:val="32"/>
        </w:rPr>
      </w:pPr>
      <w:r w:rsidR="00783226">
        <w:rPr>
          <w:rFonts w:ascii="AT*Toronto" w:eastAsia="Times New Roman" w:hAnsi="AT*Toronto" w:cs="Arial" w:hint="cs"/>
          <w:b/>
          <w:sz w:val="32"/>
          <w:szCs w:val="32"/>
          <w:rtl w:val="0"/>
          <w:cs w:val="0"/>
          <w:lang w:val="sk-SK" w:eastAsia="sk-SK" w:bidi="ar-SA"/>
        </w:rPr>
        <w:t>346</w:t>
      </w:r>
    </w:p>
    <w:p w:rsidR="002C5DAA" w:rsidP="002C5DAA">
      <w:pPr>
        <w:bidi w:val="0"/>
        <w:jc w:val="center"/>
        <w:rPr>
          <w:rFonts w:ascii="AT*Toronto" w:eastAsia="Times New Roman" w:hAnsi="AT*Toronto"/>
          <w:b/>
          <w:sz w:val="28"/>
        </w:rPr>
      </w:pPr>
      <w:r>
        <w:rPr>
          <w:rFonts w:ascii="AT*Toronto" w:eastAsia="Times New Roman" w:hAnsi="AT*Toronto" w:cs="Arial" w:hint="cs"/>
          <w:b/>
          <w:sz w:val="28"/>
          <w:szCs w:val="24"/>
          <w:rtl w:val="0"/>
          <w:cs w:val="0"/>
          <w:lang w:val="sk-SK" w:eastAsia="sk-SK" w:bidi="ar-SA"/>
        </w:rPr>
        <w:t xml:space="preserve">U z n e s e n i e </w:t>
      </w:r>
    </w:p>
    <w:p w:rsidR="002C5DAA" w:rsidP="002C5DAA">
      <w:pPr>
        <w:bidi w:val="0"/>
        <w:spacing w:line="240" w:lineRule="atLeast"/>
        <w:jc w:val="center"/>
        <w:rPr>
          <w:rFonts w:ascii="AT*Toronto" w:eastAsia="Times New Roman" w:hAnsi="AT*Toronto"/>
          <w:b/>
        </w:rPr>
      </w:pPr>
      <w:r>
        <w:rPr>
          <w:rFonts w:ascii="AT*Toronto" w:eastAsia="Times New Roman" w:hAnsi="AT*Toronto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C5DAA" w:rsidP="002C5DAA">
      <w:pPr>
        <w:bidi w:val="0"/>
        <w:spacing w:line="240" w:lineRule="atLeast"/>
        <w:jc w:val="center"/>
        <w:rPr>
          <w:rFonts w:ascii="AT*Toronto CE" w:eastAsia="Times New Roman" w:hAnsi="AT*Toronto CE"/>
          <w:b/>
        </w:rPr>
      </w:pPr>
      <w:r>
        <w:rPr>
          <w:rFonts w:ascii="AT*Toronto CE" w:eastAsia="Times New Roman" w:hAnsi="AT*Toronto CE" w:cs="Arial" w:hint="cs"/>
          <w:b/>
          <w:sz w:val="24"/>
          <w:szCs w:val="24"/>
          <w:rtl w:val="0"/>
          <w:cs w:val="0"/>
          <w:lang w:val="sk-SK" w:eastAsia="sk-SK" w:bidi="ar-SA"/>
        </w:rPr>
        <w:t>pre nezlučiteľnosť funkcií</w:t>
      </w:r>
    </w:p>
    <w:p w:rsidR="002C5DAA" w:rsidP="002C5DAA">
      <w:pPr>
        <w:bidi w:val="0"/>
        <w:spacing w:line="240" w:lineRule="atLeast"/>
        <w:jc w:val="center"/>
        <w:rPr>
          <w:rFonts w:ascii="AT*Toronto" w:eastAsia="Times New Roman" w:hAnsi="AT*Toronto"/>
        </w:rPr>
      </w:pPr>
      <w:r>
        <w:rPr>
          <w:rFonts w:ascii="AT*Toronto" w:eastAsia="Times New Roman" w:hAnsi="AT*Toronto" w:cs="Arial" w:hint="cs"/>
          <w:sz w:val="24"/>
          <w:szCs w:val="24"/>
          <w:rtl w:val="0"/>
          <w:cs w:val="0"/>
          <w:lang w:val="sk-SK" w:eastAsia="sk-SK" w:bidi="ar-SA"/>
        </w:rPr>
        <w:t>z</w:t>
      </w:r>
      <w:r w:rsidR="004837C3">
        <w:rPr>
          <w:rFonts w:ascii="AT*Toronto" w:eastAsia="Times New Roman" w:hAnsi="AT*Toronto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42E0B">
        <w:rPr>
          <w:rFonts w:ascii="AT*Toronto" w:eastAsia="Times New Roman" w:hAnsi="AT*Toronto" w:cs="Arial" w:hint="cs"/>
          <w:sz w:val="24"/>
          <w:szCs w:val="24"/>
          <w:rtl w:val="0"/>
          <w:cs w:val="0"/>
          <w:lang w:val="sk-SK" w:eastAsia="sk-SK" w:bidi="ar-SA"/>
        </w:rPr>
        <w:t>18</w:t>
      </w:r>
      <w:r>
        <w:rPr>
          <w:rFonts w:ascii="AT*Toronto" w:eastAsia="Times New Roman" w:hAnsi="AT*Toronto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837C3">
        <w:rPr>
          <w:rFonts w:ascii="AT*Toronto" w:eastAsia="Times New Roman" w:hAnsi="AT*Toronto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B42E0B">
        <w:rPr>
          <w:rFonts w:ascii="AT*Toronto" w:eastAsia="Times New Roman" w:hAnsi="AT*Toronto" w:cs="Arial" w:hint="cs"/>
          <w:sz w:val="24"/>
          <w:szCs w:val="24"/>
          <w:rtl w:val="0"/>
          <w:cs w:val="0"/>
          <w:lang w:val="sk-SK" w:eastAsia="sk-SK" w:bidi="ar-SA"/>
        </w:rPr>
        <w:t xml:space="preserve">úna </w:t>
      </w:r>
      <w:r w:rsidR="004837C3">
        <w:rPr>
          <w:rFonts w:ascii="AT*Toronto" w:eastAsia="Times New Roman" w:hAnsi="AT*Toronto" w:cs="Arial" w:hint="cs"/>
          <w:sz w:val="24"/>
          <w:szCs w:val="24"/>
          <w:rtl w:val="0"/>
          <w:cs w:val="0"/>
          <w:lang w:val="sk-SK" w:eastAsia="sk-SK" w:bidi="ar-SA"/>
        </w:rPr>
        <w:t>2019</w:t>
      </w:r>
    </w:p>
    <w:p w:rsidR="007521C5" w:rsidRPr="00503289" w:rsidP="007521C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lang w:val="cs-CZ"/>
        </w:rPr>
      </w:pPr>
    </w:p>
    <w:p w:rsidR="002C5DAA" w:rsidRPr="002C5DAA" w:rsidP="002C5DAA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2C5DAA" w:rsidR="007521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návrhu 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nezlučiteľnosť funkcií</w:t>
        <w:br/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vydanie ústavného zákona, ktorým sa mení ústavný zákon č. 357/2004 Z.</w:t>
      </w:r>
      <w:r w:rsidR="000418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z. o ochrane verejného záujmu pri výkone funkcií verejných funkcionárov v znení 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neskorších predpisov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C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="003412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B42E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443</w:t>
      </w:r>
      <w:r w:rsidRPr="002C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C5DAA" w:rsidP="007521C5">
      <w:pPr>
        <w:bidi w:val="0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2C5DAA" w:rsidP="002C5DAA">
      <w:pPr>
        <w:pStyle w:val="BodyTextIndent2"/>
        <w:bidi w:val="0"/>
        <w:spacing w:after="0" w:line="240" w:lineRule="auto"/>
        <w:jc w:val="lef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Výbor Národnej rady Slovenskej republiky</w:t>
      </w:r>
    </w:p>
    <w:p w:rsidR="002C5DAA" w:rsidP="002C5DAA">
      <w:pPr>
        <w:pStyle w:val="BodyTextIndent2"/>
        <w:bidi w:val="0"/>
        <w:spacing w:after="0" w:line="240" w:lineRule="auto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pre nezlučiteľnosť funkcií</w:t>
      </w:r>
    </w:p>
    <w:p w:rsidR="007521C5" w:rsidRPr="00503289" w:rsidP="007521C5">
      <w:pPr>
        <w:bidi w:val="0"/>
        <w:jc w:val="both"/>
        <w:rPr>
          <w:rFonts w:ascii="Times New Roman" w:eastAsia="Times New Roman" w:hAnsi="Times New Roman" w:cs="Times New Roman"/>
        </w:rPr>
      </w:pPr>
    </w:p>
    <w:p w:rsidR="002C5DAA" w:rsidRPr="00503289" w:rsidP="002C5DAA">
      <w:pPr>
        <w:bidi w:val="0"/>
        <w:jc w:val="left"/>
        <w:rPr>
          <w:rFonts w:ascii="Times New Roman" w:eastAsia="Times New Roman" w:hAnsi="Times New Roman" w:cs="Times New Roman"/>
          <w:b/>
          <w:spacing w:val="38"/>
          <w:lang w:val="cs-CZ"/>
        </w:rPr>
      </w:pPr>
      <w:r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 xml:space="preserve">A. </w:t>
      </w:r>
      <w:r w:rsidRPr="00503289"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>súhlasí</w:t>
      </w:r>
    </w:p>
    <w:p w:rsidR="002C5DAA" w:rsidRPr="00503289" w:rsidP="002C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2C5DAA" w:rsidRPr="00503289" w:rsidP="002C5DAA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="00835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 návrhom 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nezlučiteľnosť funkcií</w:t>
        <w:br/>
        <w:t>na vydanie ústavného zákona, ktorým sa mení ústavný zákon č. 357/2004 Z.</w:t>
      </w:r>
      <w:r w:rsidR="000418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z. o ochrane verejného záujmu pri výkone funkcií verejných funkcionárov v znení neskorších predpisov </w:t>
      </w:r>
      <w:r w:rsidRPr="002C5DAA"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="00B42E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1443</w:t>
      </w:r>
      <w:r w:rsidRPr="002C5DAA"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5032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C5DAA" w:rsidRPr="00503289" w:rsidP="002C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2C5DAA" w:rsidRPr="00503289" w:rsidP="002C5DAA">
      <w:pPr>
        <w:bidi w:val="0"/>
        <w:jc w:val="left"/>
        <w:rPr>
          <w:rFonts w:ascii="Times New Roman" w:eastAsia="Times New Roman" w:hAnsi="Times New Roman" w:cs="Times New Roman"/>
          <w:b/>
          <w:spacing w:val="38"/>
          <w:lang w:val="cs-CZ"/>
        </w:rPr>
      </w:pPr>
      <w:r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 xml:space="preserve">B. </w:t>
      </w:r>
      <w:r w:rsidRPr="00503289"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>odporúča</w:t>
      </w:r>
    </w:p>
    <w:p w:rsidR="002C5DAA" w:rsidP="002C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</w:t>
      </w:r>
    </w:p>
    <w:p w:rsidR="002C5DAA" w:rsidRPr="0027341F" w:rsidP="002C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2734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Národnej rade Slovenskej republiky</w:t>
      </w:r>
    </w:p>
    <w:p w:rsidR="002C5DAA" w:rsidP="002C5DAA">
      <w:pPr>
        <w:bidi w:val="0"/>
        <w:jc w:val="both"/>
        <w:rPr>
          <w:rFonts w:ascii="Times New Roman" w:eastAsia="Times New Roman" w:hAnsi="Times New Roman" w:cs="Times New Roman"/>
          <w:b/>
          <w:bCs/>
        </w:rPr>
      </w:pPr>
    </w:p>
    <w:p w:rsidR="0083584E" w:rsidRPr="0083584E" w:rsidP="0083584E">
      <w:pPr>
        <w:bidi w:val="0"/>
        <w:jc w:val="both"/>
        <w:rPr>
          <w:rFonts w:ascii="Times New Roman" w:eastAsia="Times New Roman" w:hAnsi="Times New Roman" w:cs="Times New Roman"/>
          <w:color w:val="333333"/>
        </w:rPr>
      </w:pPr>
      <w:r w:rsidR="002C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503289" w:rsidR="002C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Výboru Národnej rady Slovenskej republiky pre nezlučiteľnosť funkcií</w:t>
        <w:br/>
      </w:r>
      <w:r w:rsidRPr="0083584E"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vydanie ústavného zákona, ktorým sa mení ústavný zákon č. 357/2004 Z.</w:t>
      </w:r>
      <w:r w:rsidRPr="0083584E" w:rsidR="000418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3584E"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z. o ochrane verejného záujmu pri výkone funkcií verejných funkcionárov v znení neskorších predpisov (tlač </w:t>
      </w:r>
      <w:r w:rsidRPr="0083584E" w:rsidR="00B42E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1443</w:t>
      </w:r>
      <w:r w:rsidRPr="0083584E"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Pr="0083584E" w:rsidR="002C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3584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schváliť </w:t>
      </w:r>
      <w:r w:rsidRPr="008358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="00CC78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pozmeňujúcimi a doplňujúcimi návrhmi</w:t>
      </w:r>
      <w:r w:rsidRPr="008358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uvedenými v prílohe tohto uznesenia; </w:t>
      </w:r>
    </w:p>
    <w:p w:rsidR="002C5DAA" w:rsidRPr="00503289" w:rsidP="002C5DAA">
      <w:pPr>
        <w:bidi w:val="0"/>
        <w:jc w:val="both"/>
        <w:rPr>
          <w:rFonts w:ascii="Times New Roman" w:eastAsia="Times New Roman" w:hAnsi="Times New Roman" w:cs="Times New Roman"/>
        </w:rPr>
      </w:pPr>
    </w:p>
    <w:p w:rsidR="002C5DAA" w:rsidRPr="00503289" w:rsidP="002C5DAA">
      <w:pPr>
        <w:bidi w:val="0"/>
        <w:jc w:val="left"/>
        <w:rPr>
          <w:rFonts w:ascii="Times New Roman" w:eastAsia="Times New Roman" w:hAnsi="Times New Roman" w:cs="Times New Roman"/>
          <w:b/>
          <w:spacing w:val="38"/>
        </w:rPr>
      </w:pPr>
      <w:r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 xml:space="preserve">C. </w:t>
      </w:r>
      <w:r w:rsidRPr="00503289">
        <w:rPr>
          <w:rFonts w:ascii="Times New Roman" w:eastAsia="Times New Roman" w:hAnsi="Times New Roman" w:cs="Times New Roman" w:hint="cs"/>
          <w:b/>
          <w:spacing w:val="38"/>
          <w:sz w:val="24"/>
          <w:szCs w:val="24"/>
          <w:rtl w:val="0"/>
          <w:cs w:val="0"/>
          <w:lang w:val="sk-SK" w:eastAsia="sk-SK" w:bidi="ar-SA"/>
        </w:rPr>
        <w:t>ukladá</w:t>
      </w:r>
    </w:p>
    <w:p w:rsidR="002C5DAA" w:rsidP="002C5DAA">
      <w:p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2C5DAA" w:rsidRPr="0027341F" w:rsidP="002C5DAA">
      <w:pPr>
        <w:bidi w:val="0"/>
        <w:jc w:val="both"/>
        <w:rPr>
          <w:rFonts w:ascii="Times New Roman" w:eastAsia="Times New Roman" w:hAnsi="Times New Roman" w:cs="Times New Roman"/>
          <w:bCs/>
        </w:rPr>
      </w:pPr>
      <w:r w:rsidRPr="002734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predsedovi výboru</w:t>
      </w:r>
    </w:p>
    <w:p w:rsidR="002C5DAA" w:rsidP="002C5DAA">
      <w:pPr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</w:t>
      </w:r>
    </w:p>
    <w:p w:rsidR="002C5DAA" w:rsidRPr="0027341F" w:rsidP="002C5DAA">
      <w:p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="003F29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predložiť stanovisko 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5032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pre nezlučiteľnosť funkcií </w:t>
      </w:r>
      <w:r w:rsidR="003F29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="003F29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ávrhu 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503289"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</w:t>
      </w:r>
      <w:r w:rsidR="00B42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pre nezlučiteľnosť funkcií 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5032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</w:t>
      </w:r>
      <w:r w:rsidR="003F29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ovi</w:t>
      </w:r>
      <w:r w:rsidRPr="005032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</w:t>
      </w:r>
      <w:r w:rsidRPr="005032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estorského </w:t>
      </w:r>
      <w:r w:rsid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Ústavnoprávneho 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 w:rsidRPr="005032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C5DAA" w:rsidP="007521C5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A946B9" w:rsidRPr="003412C9" w:rsidP="002C5DAA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3412C9" w:rsidRPr="003412C9" w:rsidP="003412C9">
      <w:pPr>
        <w:bidi w:val="0"/>
        <w:ind w:left="52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Vladimír  </w:t>
      </w:r>
      <w:r w:rsidRPr="003412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l o b o d a</w:t>
      </w:r>
    </w:p>
    <w:p w:rsidR="003412C9" w:rsidRPr="003412C9" w:rsidP="003412C9">
      <w:pPr>
        <w:bidi w:val="0"/>
        <w:ind w:left="5220"/>
        <w:jc w:val="both"/>
        <w:rPr>
          <w:rFonts w:ascii="Times New Roman" w:eastAsia="Times New Roman" w:hAnsi="Times New Roman" w:cs="Times New Roman"/>
        </w:rPr>
      </w:pPr>
      <w:r w:rsidRP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výboru </w:t>
      </w:r>
    </w:p>
    <w:p w:rsidR="003412C9" w:rsidRPr="003412C9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  <w:b/>
        </w:rPr>
      </w:pPr>
      <w:r w:rsidRP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Jozef  </w:t>
      </w:r>
      <w:r w:rsidRPr="003412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L u k á č</w:t>
      </w:r>
    </w:p>
    <w:p w:rsidR="003412C9" w:rsidRPr="003412C9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  <w:b/>
        </w:rPr>
      </w:pPr>
      <w:r w:rsidRP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Róbert  </w:t>
      </w:r>
      <w:r w:rsidRPr="003412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</w:t>
      </w:r>
    </w:p>
    <w:p w:rsidR="003412C9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  <w:r w:rsidRPr="00341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83584E" w:rsidRPr="0083584E" w:rsidP="0083584E">
      <w:pPr>
        <w:pStyle w:val="Heading3"/>
        <w:bidi w:val="0"/>
        <w:jc w:val="left"/>
        <w:rPr>
          <w:rFonts w:ascii="Times New Roman" w:eastAsia="Times New Roman" w:hAnsi="Times New Roman"/>
          <w:b w:val="0"/>
          <w:i/>
          <w:sz w:val="24"/>
          <w:szCs w:val="24"/>
        </w:rPr>
      </w:pPr>
      <w:r w:rsidRPr="0083584E">
        <w:rPr>
          <w:rFonts w:ascii="Times New Roman" w:eastAsia="Times New Roman" w:hAnsi="Times New Roman" w:cs="Times New Roman" w:hint="cs"/>
          <w:b w:val="0"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Výbor  </w:t>
      </w:r>
    </w:p>
    <w:p w:rsidR="0083584E" w:rsidRPr="0083584E" w:rsidP="0083584E">
      <w:pPr>
        <w:bidi w:val="0"/>
        <w:spacing w:line="240" w:lineRule="atLeast"/>
        <w:jc w:val="both"/>
        <w:rPr>
          <w:rFonts w:ascii="Times New Roman" w:eastAsia="Times New Roman" w:hAnsi="Times New Roman" w:cs="Times New Roman"/>
          <w:i/>
        </w:rPr>
      </w:pPr>
      <w:r w:rsidRPr="0083584E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83584E" w:rsidRPr="0083584E" w:rsidP="0083584E">
      <w:pPr>
        <w:bidi w:val="0"/>
        <w:jc w:val="both"/>
        <w:rPr>
          <w:rFonts w:ascii="Times New Roman" w:eastAsia="Times New Roman" w:hAnsi="Times New Roman" w:cs="Times New Roman"/>
          <w:i/>
        </w:rPr>
      </w:pPr>
      <w:r w:rsidRPr="0083584E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  pre nezlučiteľnosť funkcií      </w:t>
      </w:r>
    </w:p>
    <w:p w:rsidR="0083584E" w:rsidRPr="0083584E" w:rsidP="0083584E">
      <w:pPr>
        <w:bidi w:val="0"/>
        <w:ind w:left="2832"/>
        <w:jc w:val="both"/>
        <w:rPr>
          <w:rFonts w:ascii="Times New Roman" w:eastAsia="Times New Roman" w:hAnsi="Times New Roman" w:cs="Times New Roman"/>
        </w:rPr>
      </w:pPr>
      <w:r w:rsidRPr="0083584E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835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26</w:t>
      </w:r>
      <w:r w:rsidRPr="00835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83584E" w:rsidRPr="0083584E" w:rsidP="0083584E">
      <w:pPr>
        <w:bidi w:val="0"/>
        <w:ind w:left="2832"/>
        <w:jc w:val="both"/>
        <w:rPr>
          <w:rFonts w:ascii="Times New Roman" w:eastAsia="Times New Roman" w:hAnsi="Times New Roman" w:cs="Times New Roman"/>
        </w:rPr>
      </w:pPr>
      <w:r w:rsidRPr="00835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</w:p>
    <w:p w:rsidR="0083584E" w:rsidRPr="0083584E" w:rsidP="0083584E">
      <w:pPr>
        <w:bidi w:val="0"/>
        <w:ind w:left="2832"/>
        <w:jc w:val="both"/>
        <w:rPr>
          <w:rFonts w:ascii="Times New Roman" w:eastAsia="Times New Roman" w:hAnsi="Times New Roman" w:cs="Times New Roman"/>
        </w:rPr>
      </w:pPr>
    </w:p>
    <w:p w:rsidR="0083584E" w:rsidRPr="0083584E" w:rsidP="0083584E">
      <w:pPr>
        <w:bidi w:val="0"/>
        <w:jc w:val="center"/>
        <w:rPr>
          <w:rFonts w:ascii="Times New Roman" w:eastAsia="Times New Roman" w:hAnsi="Times New Roman" w:cs="Times New Roman"/>
        </w:rPr>
      </w:pPr>
      <w:r w:rsidRPr="00835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Pozmeňujúce a doplňujúce návrhy </w:t>
      </w:r>
    </w:p>
    <w:p w:rsidR="0083584E" w:rsidP="0083584E">
      <w:pPr>
        <w:bidi w:val="0"/>
        <w:jc w:val="center"/>
        <w:rPr>
          <w:rFonts w:ascii="Times New Roman" w:eastAsia="Times New Roman" w:hAnsi="Times New Roman" w:cs="Times New Roman"/>
        </w:rPr>
      </w:pPr>
      <w:r w:rsidRPr="00835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 návrhu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 nezlučiteľnosť funkcií</w:t>
        <w:br/>
        <w:t xml:space="preserve">na vydanie ústavného zákona, ktorým sa mení ústavný zákon č. 357/2004 Z. z. o ochrane verejného záujmu pri výkone funkcií verejných funkcionárov v znení neskorších predpisov </w:t>
      </w:r>
      <w:r w:rsidRPr="002C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Pr="008358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1443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</w:p>
    <w:p w:rsidR="0083584E" w:rsidRPr="0083584E" w:rsidP="0083584E">
      <w:pPr>
        <w:bidi w:val="0"/>
        <w:jc w:val="center"/>
        <w:rPr>
          <w:rFonts w:ascii="Times New Roman" w:eastAsia="Times New Roman" w:hAnsi="Times New Roman" w:cs="Times New Roman"/>
        </w:rPr>
      </w:pPr>
      <w:r w:rsidRPr="008358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___________________________________________________________________________</w:t>
      </w:r>
    </w:p>
    <w:p w:rsidR="0083584E" w:rsidRPr="0083584E" w:rsidP="0083584E">
      <w:pPr>
        <w:pStyle w:val="Title"/>
        <w:tabs>
          <w:tab w:val="left" w:pos="0"/>
        </w:tabs>
        <w:bidi w:val="0"/>
        <w:jc w:val="left"/>
        <w:rPr>
          <w:rFonts w:ascii="Times New Roman" w:eastAsia="Times New Roman" w:hAnsi="Times New Roman"/>
          <w:b w:val="0"/>
          <w:sz w:val="24"/>
        </w:rPr>
      </w:pPr>
    </w:p>
    <w:p w:rsidR="0083584E" w:rsidRPr="0083584E" w:rsidP="00D2352D">
      <w:pPr>
        <w:bidi w:val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3584E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83584E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83584E" w:rsidRPr="008659AC" w:rsidP="0083584E">
      <w:pPr>
        <w:bidi w:val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V čl. I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vkladá 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nový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prvý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bod, ktorý znie:</w:t>
      </w:r>
    </w:p>
    <w:p w:rsidR="0083584E" w:rsidP="0083584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3584E" w:rsidP="0083584E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„1. </w:t>
      </w:r>
      <w:r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 čl. 2 ods. 1 písmeno zb) sa na konci pripájajú tieto slová „a predsedu a podpredsedu Dopravného úradu,“.“.</w:t>
      </w:r>
    </w:p>
    <w:p w:rsidR="0083584E" w:rsidP="0083584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83584E" w:rsidRPr="00184750" w:rsidP="0083584E">
      <w:pPr>
        <w:bidi w:val="0"/>
        <w:ind w:left="1416"/>
        <w:jc w:val="both"/>
        <w:rPr>
          <w:rFonts w:ascii="Times New Roman" w:eastAsia="Times New Roman" w:hAnsi="Times New Roman" w:cs="Times New Roman"/>
        </w:rPr>
      </w:pPr>
      <w:r w:rsidRPr="001847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Cieľom doplňujúceho návrhu je zjednotiť postavenie funkcionárov regulačných úradov, ktorých postavenie upravuje zákon č. 402/2013 Z. z. o Úrade pre reguláciu elektronických komunikácií a poštových služieb a Dopravnom úrade a o zmene a doplnení niektorých zákonov </w:t>
      </w:r>
      <w:r w:rsidRPr="00184750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v znení zákona </w:t>
      </w:r>
      <w:r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184750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177/2018 Z. z.</w:t>
      </w:r>
      <w:r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, vo vzťahu k ústavnému zákonu č. 357/2004 Z. z.</w:t>
      </w:r>
      <w:r w:rsidRPr="001847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83584E" w:rsidP="0083584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83584E" w:rsidRPr="008659AC" w:rsidP="0083584E">
      <w:pPr>
        <w:bidi w:val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 V č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l. I sa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vkladá </w:t>
      </w:r>
      <w:r w:rsidR="009E6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nový </w:t>
      </w:r>
      <w:r w:rsidR="001771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9E62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bod, ktorý znie:</w:t>
      </w:r>
    </w:p>
    <w:p w:rsidR="0083584E" w:rsidP="0083584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83584E" w:rsidRPr="008659AC" w:rsidP="0083584E">
      <w:pPr>
        <w:bidi w:val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„1. V č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l. 2 ods. 1 písmeno zc) znie:</w:t>
      </w:r>
    </w:p>
    <w:p w:rsidR="0083584E" w:rsidP="0083584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5A38C0" w:rsidP="005A38C0">
      <w:pPr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zc) štatutárneho orgánu alebo členov štatutárneho orgánu a členov dozorných rád právnických osôb,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ktorých do funkcie ustanovuje š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tát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alebo ich do funkcie ustanovuje právnická osoba, v ktorej má majoritnú účasť štát</w:t>
      </w:r>
      <w:r w:rsidRPr="008659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“.“.</w:t>
      </w:r>
    </w:p>
    <w:p w:rsidR="005A38C0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83584E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Ďalšie body sa primerane prečíslujú. </w:t>
      </w:r>
    </w:p>
    <w:p w:rsidR="0083584E" w:rsidP="0083584E">
      <w:pPr>
        <w:bidi w:val="0"/>
        <w:jc w:val="left"/>
        <w:rPr>
          <w:rFonts w:ascii="Times New Roman" w:eastAsia="Times New Roman" w:hAnsi="Times New Roman" w:cs="Times New Roman"/>
        </w:rPr>
      </w:pPr>
    </w:p>
    <w:p w:rsidR="0083584E" w:rsidP="0083584E">
      <w:pPr>
        <w:bidi w:val="0"/>
        <w:ind w:left="1410"/>
        <w:jc w:val="both"/>
        <w:rPr>
          <w:rFonts w:ascii="Times New Roman" w:eastAsia="Times New Roman" w:hAnsi="Times New Roman" w:cs="Times New Roman"/>
        </w:rPr>
      </w:pPr>
      <w:r w:rsidRPr="00ED48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Ústavný zákon č. 357/2004 Z. z. chráni verejný záujem pri výkone funkcií verejných funkcionárov. Verejný záujem na účely tohto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ústavného </w:t>
      </w:r>
      <w:r w:rsidRPr="00ED48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je taký záujem, ktorý prináša majetkový prospech alebo iný prospech všetkým občanom alebo mnohým občanom.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Verejný funkcionár je povinný presadzovať, zastupovať a obhajovať verejný záujem a za tým účelom mu ústavný zákon ukladá povinnosti, obmedzenia a zakladá jeho zodpovednosť za ich porušenie. Navrhuje sa preto stanovenie pravidla, aby sa ústavný zákon vzťahoval na tých členov orgánov obchodných spoločností</w:t>
      </w:r>
      <w:r w:rsidR="00523B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ktorých do funkcie ustanovuje štát alebo právnická osoba, v ktorej má majoritnú účasť</w:t>
      </w:r>
      <w:r w:rsidR="004522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štát.</w:t>
      </w:r>
      <w:r w:rsidR="00523B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Ich úlohou a zodpovednosťou je presadzovanie verejného záujmu v týchto obchodných spoločnostiach. </w:t>
      </w:r>
    </w:p>
    <w:p w:rsidR="00EF5052" w:rsidP="0083584E">
      <w:pPr>
        <w:bidi w:val="0"/>
        <w:ind w:left="1410"/>
        <w:jc w:val="both"/>
        <w:rPr>
          <w:rFonts w:ascii="Times New Roman" w:eastAsia="Times New Roman" w:hAnsi="Times New Roman" w:cs="Times New Roman"/>
        </w:rPr>
      </w:pPr>
    </w:p>
    <w:p w:rsidR="0083584E" w:rsidP="0083584E">
      <w:pPr>
        <w:bidi w:val="0"/>
        <w:ind w:left="1412" w:firstLine="6"/>
        <w:jc w:val="both"/>
        <w:rPr>
          <w:rFonts w:ascii="Times New Roman" w:eastAsia="Times New Roman" w:hAnsi="Times New Roman" w:cs="Times New Roman"/>
        </w:rPr>
      </w:pPr>
    </w:p>
    <w:p w:rsidR="009E62C9" w:rsidP="0083584E">
      <w:pPr>
        <w:bidi w:val="0"/>
        <w:ind w:left="1412" w:firstLine="6"/>
        <w:jc w:val="both"/>
        <w:rPr>
          <w:rFonts w:ascii="Times New Roman" w:eastAsia="Times New Roman" w:hAnsi="Times New Roman" w:cs="Times New Roman"/>
        </w:rPr>
      </w:pPr>
    </w:p>
    <w:p w:rsidR="009E62C9" w:rsidP="0083584E">
      <w:pPr>
        <w:bidi w:val="0"/>
        <w:ind w:left="1412" w:firstLine="6"/>
        <w:jc w:val="both"/>
        <w:rPr>
          <w:rFonts w:ascii="Times New Roman" w:eastAsia="Times New Roman" w:hAnsi="Times New Roman" w:cs="Times New Roman"/>
        </w:rPr>
      </w:pPr>
    </w:p>
    <w:p w:rsidR="0083584E" w:rsidRPr="00CC0881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CC08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V čl. I sa za </w:t>
      </w:r>
      <w:r w:rsidR="001771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CC08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bod vkladá nový </w:t>
      </w:r>
      <w:r w:rsidR="001771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CC08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bod, ktorý znie:</w:t>
      </w:r>
    </w:p>
    <w:p w:rsidR="0083584E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83584E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„3. V čl. 7 ods. 1 písm. e) sa na konci pripájajú tieto slová: „podľa stavu k 31. decembru predchádzajúceho kalendárneho roka,“.“.</w:t>
      </w:r>
    </w:p>
    <w:p w:rsidR="0083584E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83584E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Ďalšie body sa primerane prečíslujú. </w:t>
      </w:r>
    </w:p>
    <w:p w:rsidR="0083584E" w:rsidP="0083584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83584E" w:rsidP="0083584E">
      <w:pPr>
        <w:widowControl w:val="0"/>
        <w:autoSpaceDE w:val="0"/>
        <w:autoSpaceDN w:val="0"/>
        <w:bidi w:val="0"/>
        <w:adjustRightInd w:val="0"/>
        <w:ind w:left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Vzhľadom na pohyby v majetkových pomeroch verejného funkcionára a jeho rodinných príslušníkov v priebehu predchádzajúceho kalendárneho roka, za ktorý podáva oznámenie funkcií, zamestnaní, činností a majetkových pomerov je potrebné stanoviť presný dátum, ku ktorému sa predmetná časť oznámenia podáva. Uvedený návrh umožní presne identifikovať majetkové pomery verejného funkcionára ku konkrétnemu dátumu. </w:t>
      </w:r>
    </w:p>
    <w:p w:rsidR="0083584E" w:rsidRPr="00ED487C" w:rsidP="0083584E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3584E" w:rsidRPr="0083584E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83584E" w:rsidRPr="0083584E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83584E" w:rsidRPr="0083584E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83584E" w:rsidRPr="003412C9" w:rsidP="003412C9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sectPr w:rsidSect="00C64A3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AT*Toronto CE">
    <w:altName w:val="Times New Roman"/>
    <w:charset w:val="EE"/>
    <w:family w:val="auto"/>
    <w:pitch w:val="variable"/>
  </w:font>
  <w:font w:name="AT*Toronto Tur">
    <w:altName w:val="Times New Roman"/>
    <w:charset w:val="A2"/>
    <w:family w:val="auto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A1" w:rsidP="00465121">
    <w:pPr>
      <w:pStyle w:val="Footer"/>
      <w:framePr w:wrap="around" w:vAnchor="text" w:hAnchor="margin" w:xAlign="right"/>
      <w:bidi w:val="0"/>
      <w:jc w:val="left"/>
      <w:rPr>
        <w:rStyle w:val="PageNumber"/>
        <w:rFonts w:eastAsia="Times New Roman" w:hint="default"/>
        <w:rtl w:val="0"/>
        <w:cs w:val="0"/>
      </w:rPr>
    </w:pPr>
    <w:r>
      <w:rPr>
        <w:rStyle w:val="PageNumber"/>
        <w:rFonts w:ascii="Arial" w:eastAsia="Times New Roman" w:hAnsi="Arial" w:cs="Arial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Arial" w:eastAsia="Times New Roman" w:hAnsi="Arial" w:cs="Arial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Arial" w:eastAsia="Times New Roman" w:hAnsi="Arial" w:cs="Arial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Arial" w:eastAsia="Times New Roman" w:hAnsi="Arial" w:cs="Arial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Arial" w:eastAsia="Times New Roman" w:hAnsi="Arial" w:cs="Arial"/>
        <w:sz w:val="24"/>
        <w:szCs w:val="24"/>
        <w:lang w:val="sk-SK" w:eastAsia="sk-SK" w:bidi="ar-SA"/>
      </w:rPr>
      <w:fldChar w:fldCharType="end"/>
    </w:r>
  </w:p>
  <w:p w:rsidR="006F28A1" w:rsidP="00465121">
    <w:pPr>
      <w:pStyle w:val="Footer"/>
      <w:bidi w:val="0"/>
      <w:ind w:right="360"/>
      <w:jc w:val="left"/>
      <w:rPr>
        <w:rFonts w:eastAsia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A1" w:rsidP="00465121">
    <w:pPr>
      <w:pStyle w:val="Footer"/>
      <w:bidi w:val="0"/>
      <w:ind w:right="360"/>
      <w:jc w:val="left"/>
      <w:rPr>
        <w:rFonts w:eastAsia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76799"/>
    <w:multiLevelType w:val="hybridMultilevel"/>
    <w:tmpl w:val="3950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52CA448B"/>
    <w:multiLevelType w:val="hybridMultilevel"/>
    <w:tmpl w:val="343A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6744783C"/>
    <w:multiLevelType w:val="hybridMultilevel"/>
    <w:tmpl w:val="08308E5A"/>
    <w:lvl w:ilvl="0">
      <w:start w:val="3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cs"/>
        <w:rtl w:val="0"/>
        <w:cs w:val="0"/>
      </w:rPr>
    </w:lvl>
  </w:abstractNum>
  <w:abstractNum w:abstractNumId="3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 w:hint="cs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1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03289"/>
    <w:pPr>
      <w:keepNext/>
      <w:outlineLvl w:val="0"/>
    </w:pPr>
    <w:rPr>
      <w:rFonts w:ascii="Times New Roman" w:hAnsi="Times New Roman" w:cs="Times New Roman"/>
      <w:b/>
      <w:bCs/>
      <w:i/>
      <w:iCs/>
      <w:sz w:val="28"/>
    </w:rPr>
  </w:style>
  <w:style w:type="paragraph" w:styleId="Heading2">
    <w:name w:val="heading 2"/>
    <w:basedOn w:val="Normal"/>
    <w:next w:val="Normal"/>
    <w:qFormat/>
    <w:rsid w:val="00503289"/>
    <w:pPr>
      <w:keepNext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2C5DA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3F2917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paragraph" w:styleId="Footer">
    <w:name w:val="footer"/>
    <w:basedOn w:val="Normal"/>
    <w:rsid w:val="0046512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5121"/>
    <w:rPr>
      <w:rFonts w:cs="Times New Roman" w:hint="cs"/>
      <w:rtl w:val="0"/>
      <w:cs w:val="0"/>
    </w:rPr>
  </w:style>
  <w:style w:type="paragraph" w:styleId="Title">
    <w:name w:val="Title"/>
    <w:basedOn w:val="Normal"/>
    <w:link w:val="NzovChar"/>
    <w:qFormat/>
    <w:rsid w:val="00503289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Nadpis3Char">
    <w:name w:val="Nadpis 3 Char"/>
    <w:link w:val="Heading3"/>
    <w:semiHidden/>
    <w:locked/>
    <w:rsid w:val="002C5DAA"/>
    <w:rPr>
      <w:rFonts w:ascii="Cambria" w:hAnsi="Cambria"/>
      <w:b/>
      <w:sz w:val="26"/>
    </w:rPr>
  </w:style>
  <w:style w:type="paragraph" w:styleId="BodyText">
    <w:name w:val="Body Text"/>
    <w:basedOn w:val="Normal"/>
    <w:link w:val="ZkladntextChar"/>
    <w:uiPriority w:val="99"/>
    <w:rsid w:val="002C5DAA"/>
    <w:pPr>
      <w:jc w:val="both"/>
    </w:pPr>
    <w:rPr>
      <w:rFonts w:ascii="AT*Toronto" w:hAnsi="AT*Toronto" w:cs="Times New Roman"/>
      <w:szCs w:val="20"/>
    </w:rPr>
  </w:style>
  <w:style w:type="character" w:customStyle="1" w:styleId="ZkladntextChar">
    <w:name w:val="Základný text Char"/>
    <w:link w:val="BodyText"/>
    <w:uiPriority w:val="99"/>
    <w:locked/>
    <w:rsid w:val="002C5DAA"/>
    <w:rPr>
      <w:rFonts w:ascii="AT*Toronto" w:hAnsi="AT*Toronto"/>
      <w:sz w:val="24"/>
    </w:rPr>
  </w:style>
  <w:style w:type="paragraph" w:styleId="BodyTextIndent2">
    <w:name w:val="Body Text Indent 2"/>
    <w:basedOn w:val="Normal"/>
    <w:link w:val="Zarkazkladnhotextu2Char"/>
    <w:rsid w:val="002C5DAA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link w:val="BodyTextIndent2"/>
    <w:locked/>
    <w:rsid w:val="002C5DAA"/>
    <w:rPr>
      <w:sz w:val="24"/>
    </w:rPr>
  </w:style>
  <w:style w:type="character" w:customStyle="1" w:styleId="Nadpis5Char">
    <w:name w:val="Nadpis 5 Char"/>
    <w:link w:val="Heading5"/>
    <w:semiHidden/>
    <w:locked/>
    <w:rsid w:val="003F2917"/>
    <w:rPr>
      <w:rFonts w:ascii="Calibri" w:hAnsi="Calibri"/>
      <w:b/>
      <w:i/>
      <w:sz w:val="26"/>
    </w:rPr>
  </w:style>
  <w:style w:type="paragraph" w:styleId="Header">
    <w:name w:val="header"/>
    <w:basedOn w:val="Normal"/>
    <w:link w:val="HlavikaChar"/>
    <w:rsid w:val="00DE0F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locked/>
    <w:rsid w:val="00DE0F1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A20FC"/>
    <w:pPr>
      <w:widowControl w:val="0"/>
      <w:autoSpaceDE w:val="0"/>
      <w:autoSpaceDN w:val="0"/>
      <w:adjustRightInd w:val="0"/>
      <w:ind w:left="720"/>
      <w:contextualSpacing/>
    </w:pPr>
  </w:style>
  <w:style w:type="paragraph" w:styleId="BalloonText">
    <w:name w:val="Balloon Text"/>
    <w:basedOn w:val="Normal"/>
    <w:link w:val="TextbublinyChar"/>
    <w:rsid w:val="000E04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E0478"/>
    <w:rPr>
      <w:rFonts w:ascii="Segoe UI" w:hAnsi="Segoe UI"/>
      <w:sz w:val="18"/>
    </w:rPr>
  </w:style>
  <w:style w:type="paragraph" w:styleId="BodyText2">
    <w:name w:val="Body Text 2"/>
    <w:basedOn w:val="Normal"/>
    <w:link w:val="Zkladntext2Char"/>
    <w:rsid w:val="00CF66AD"/>
    <w:pPr>
      <w:spacing w:after="120" w:line="480" w:lineRule="auto"/>
    </w:pPr>
  </w:style>
  <w:style w:type="character" w:customStyle="1" w:styleId="Zkladntext2Char">
    <w:name w:val="Základný text 2 Char"/>
    <w:link w:val="BodyText2"/>
    <w:locked/>
    <w:rsid w:val="00CF66AD"/>
    <w:rPr>
      <w:rFonts w:ascii="Arial" w:hAnsi="Arial"/>
      <w:sz w:val="24"/>
    </w:rPr>
  </w:style>
  <w:style w:type="paragraph" w:customStyle="1" w:styleId="TxBrp9">
    <w:name w:val="TxBr_p9"/>
    <w:basedOn w:val="Normal"/>
    <w:rsid w:val="0083584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 w:cs="Times New Roman"/>
      <w:sz w:val="20"/>
      <w:lang w:val="en-US"/>
    </w:rPr>
  </w:style>
  <w:style w:type="character" w:customStyle="1" w:styleId="NzovChar">
    <w:name w:val="Názov Char"/>
    <w:link w:val="Title"/>
    <w:locked/>
    <w:rsid w:val="0083584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670</Words>
  <Characters>3819</Characters>
  <Application>Microsoft Office Word</Application>
  <DocSecurity>0</DocSecurity>
  <Lines>0</Lines>
  <Paragraphs>0</Paragraphs>
  <ScaleCrop>false</ScaleCrop>
  <Company>Kancelaria NR SR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Maronová, Renáta, Mgr.</cp:lastModifiedBy>
  <cp:revision>2</cp:revision>
  <cp:lastPrinted>2019-06-18T10:14:00Z</cp:lastPrinted>
  <dcterms:created xsi:type="dcterms:W3CDTF">2019-06-19T10:58:00Z</dcterms:created>
  <dcterms:modified xsi:type="dcterms:W3CDTF">2019-06-19T10:58:00Z</dcterms:modified>
</cp:coreProperties>
</file>