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0C3652" w:rsidRPr="00312B6D">
      <w:pPr>
        <w:pStyle w:val="Title"/>
        <w:pBdr>
          <w:bottom w:val="single" w:sz="12" w:space="1" w:color="auto"/>
        </w:pBdr>
        <w:bidi w:val="0"/>
        <w:jc w:val="center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Národná rada Slovenskej republiky</w:t>
      </w:r>
    </w:p>
    <w:p w:rsidR="00074BC5" w:rsidRPr="00312B6D">
      <w:pPr>
        <w:bidi w:val="0"/>
        <w:jc w:val="center"/>
        <w:rPr>
          <w:rFonts w:ascii="Times New Roman" w:eastAsia="Times New Roman" w:hAnsi="Times New Roman" w:cs="Times New Roman"/>
        </w:rPr>
      </w:pPr>
    </w:p>
    <w:p w:rsidR="000C3652" w:rsidRPr="00312B6D">
      <w:pPr>
        <w:pStyle w:val="Heading2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B6D" w:rsidR="006E1191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V</w:t>
      </w:r>
      <w:r w:rsidRPr="00312B6D" w:rsidR="00593244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312B6D" w:rsidR="00C90FB0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I</w:t>
      </w:r>
      <w:r w:rsidRPr="00312B6D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. volebné  obdobie</w:t>
      </w:r>
    </w:p>
    <w:p w:rsidR="00ED78ED" w:rsidRPr="00312B6D">
      <w:pPr>
        <w:bidi w:val="0"/>
        <w:jc w:val="left"/>
        <w:rPr>
          <w:rFonts w:ascii="Times New Roman" w:eastAsia="Times New Roman" w:hAnsi="Times New Roman" w:cs="Times New Roman"/>
        </w:rPr>
      </w:pPr>
    </w:p>
    <w:p w:rsidR="00B11A19" w:rsidRPr="00312B6D">
      <w:pPr>
        <w:bidi w:val="0"/>
        <w:jc w:val="left"/>
        <w:rPr>
          <w:rFonts w:ascii="Times New Roman" w:eastAsia="Times New Roman" w:hAnsi="Times New Roman" w:cs="Times New Roman"/>
        </w:rPr>
      </w:pPr>
      <w:r w:rsidRPr="00312B6D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Číslo: </w:t>
      </w:r>
      <w:r w:rsidRPr="00312B6D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CRD</w:t>
      </w:r>
      <w:r w:rsidRPr="00312B6D" w:rsidR="00A535A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-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554</w:t>
      </w:r>
      <w:r w:rsidRPr="00312B6D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/20</w:t>
      </w:r>
      <w:r w:rsidRPr="00312B6D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312B6D" w:rsidR="008650C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F025DE" w:rsidRPr="00312B6D">
      <w:pPr>
        <w:bidi w:val="0"/>
        <w:jc w:val="left"/>
        <w:rPr>
          <w:rFonts w:ascii="Times New Roman" w:eastAsia="Times New Roman" w:hAnsi="Times New Roman" w:cs="Times New Roman"/>
        </w:rPr>
      </w:pPr>
    </w:p>
    <w:p w:rsidR="00F025DE" w:rsidRPr="00312B6D">
      <w:pPr>
        <w:bidi w:val="0"/>
        <w:jc w:val="left"/>
        <w:rPr>
          <w:rFonts w:ascii="Times New Roman" w:eastAsia="Times New Roman" w:hAnsi="Times New Roman" w:cs="Times New Roman"/>
        </w:rPr>
      </w:pPr>
    </w:p>
    <w:p w:rsidR="00DB3BE6" w:rsidRPr="00312B6D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E5DAA" w:rsidRPr="00312B6D">
      <w:pPr>
        <w:bidi w:val="0"/>
        <w:jc w:val="left"/>
        <w:rPr>
          <w:rFonts w:ascii="Times New Roman" w:eastAsia="Times New Roman" w:hAnsi="Times New Roman" w:cs="Times New Roman"/>
        </w:rPr>
      </w:pPr>
    </w:p>
    <w:p w:rsidR="000C3652" w:rsidRPr="00312B6D" w:rsidP="00B71A0B">
      <w:pPr>
        <w:bidi w:val="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312B6D" w:rsidR="00A85049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1372</w:t>
      </w:r>
      <w:r w:rsidRPr="00312B6D" w:rsidR="009D0E4A">
        <w:rPr>
          <w:rFonts w:ascii="Times New Roman" w:eastAsia="Times New Roman" w:hAnsi="Times New Roman" w:cs="Times New Roman" w:hint="cs"/>
          <w:b/>
          <w:bCs/>
          <w:sz w:val="32"/>
          <w:szCs w:val="32"/>
          <w:rtl w:val="0"/>
          <w:cs w:val="0"/>
          <w:lang w:val="sk-SK" w:eastAsia="sk-SK" w:bidi="ar-SA"/>
        </w:rPr>
        <w:t>a</w:t>
      </w:r>
    </w:p>
    <w:p w:rsidR="000C3652" w:rsidRPr="00312B6D" w:rsidP="00B71A0B">
      <w:pPr>
        <w:pStyle w:val="Heading1"/>
        <w:keepNext/>
        <w:bidi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S p o l o č n á   s p r á v</w:t>
      </w:r>
      <w:r w:rsidRPr="00312B6D" w:rsidR="00B71A0B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 </w:t>
      </w:r>
      <w:r w:rsidRPr="00312B6D">
        <w:rPr>
          <w:rFonts w:ascii="Times New Roman" w:eastAsia="Times New Roman" w:hAnsi="Times New Roman" w:cs="Times New Roman" w:hint="cs"/>
          <w:b/>
          <w:bCs/>
          <w:sz w:val="28"/>
          <w:szCs w:val="28"/>
          <w:rtl w:val="0"/>
          <w:cs w:val="0"/>
          <w:lang w:val="sk-SK" w:eastAsia="sk-SK" w:bidi="ar-SA"/>
        </w:rPr>
        <w:t>a</w:t>
      </w:r>
    </w:p>
    <w:p w:rsidR="00B71A0B" w:rsidRPr="00312B6D" w:rsidP="00A6195F">
      <w:pPr>
        <w:bidi w:val="0"/>
        <w:jc w:val="center"/>
        <w:rPr>
          <w:rFonts w:ascii="Times New Roman" w:eastAsia="Times New Roman" w:hAnsi="Times New Roman" w:cs="Times New Roman"/>
          <w:u w:val="single"/>
        </w:rPr>
      </w:pPr>
    </w:p>
    <w:p w:rsidR="000C3652" w:rsidRPr="00312B6D" w:rsidP="00BF5657">
      <w:pPr>
        <w:widowControl/>
        <w:autoSpaceDE/>
        <w:autoSpaceDN/>
        <w:bidi w:val="0"/>
        <w:adjustRightInd/>
        <w:ind w:firstLine="720"/>
        <w:jc w:val="both"/>
        <w:rPr>
          <w:rFonts w:ascii="Times New Roman" w:eastAsia="Times New Roman" w:hAnsi="Times New Roman" w:cs="Times New Roman"/>
        </w:rPr>
      </w:pPr>
      <w:r w:rsidRPr="00312B6D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výborov Národnej rady Slovenskej republiky o </w:t>
      </w:r>
      <w:r w:rsidRPr="00312B6D" w:rsidR="00A14CF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výsledku </w:t>
      </w:r>
      <w:r w:rsidRPr="00312B6D" w:rsidR="00A535A2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prerokovania </w:t>
      </w:r>
      <w:r w:rsidRPr="00312B6D" w:rsidR="00A535A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 (tlač </w:t>
      </w:r>
      <w:r w:rsidRPr="00312B6D" w:rsidR="00A8504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1372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)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druhom čítaní</w:t>
      </w:r>
    </w:p>
    <w:p w:rsidR="000C3652" w:rsidRPr="00312B6D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71A0B" w:rsidRPr="00312B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  <w:u w:val="single"/>
        </w:rPr>
      </w:pPr>
    </w:p>
    <w:p w:rsidR="00BF5657" w:rsidRPr="00312B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312B6D" w:rsidR="000C365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</w:p>
    <w:p w:rsidR="000C3652" w:rsidRPr="00312B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  <w:r w:rsidRPr="00312B6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</w:t>
      </w:r>
      <w:r w:rsidRPr="00312B6D" w:rsidR="0059324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hospodárske záležitosti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ako gestorský výbor k </w:t>
      </w:r>
      <w:r w:rsidRPr="00312B6D" w:rsidR="002538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návrhu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 (tlač </w:t>
      </w:r>
      <w:r w:rsidRPr="00312B6D" w:rsidR="00A8504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1372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312B6D" w:rsidR="0042353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„gestorský výbor“) podáva Národnej rade Slovenskej republiky podľa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§ 79 </w:t>
      </w:r>
      <w:r w:rsidRPr="00312B6D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ods. 1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zákona N</w:t>
      </w:r>
      <w:r w:rsidRPr="00312B6D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árodnej rady Slovenskej republiky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č. 350/1996 Z. z. o rokovacom poriadku Národnej rady Slovenskej republiky </w:t>
      </w:r>
      <w:r w:rsidRPr="00312B6D" w:rsidR="00A6195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 znení neskorších predpisov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(ďalej len „rokovací poriadok“) spoločnú správu výborov Národnej rady Slovenskej republiky.</w:t>
      </w:r>
    </w:p>
    <w:p w:rsidR="000C3652" w:rsidRPr="00312B6D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eastAsia="Times New Roman" w:hAnsi="Times New Roman" w:cs="Times New Roman"/>
        </w:rPr>
      </w:pPr>
    </w:p>
    <w:p w:rsidR="00ED78ED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I.</w:t>
      </w:r>
    </w:p>
    <w:p w:rsidR="00CA7C7E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312B6D">
      <w:pPr>
        <w:tabs>
          <w:tab w:val="left" w:pos="0"/>
        </w:tabs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Národná rada Slovenskej republiky uznesením</w:t>
      </w:r>
      <w:r w:rsidRPr="00312B6D" w:rsidR="007F6A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č. 1790</w:t>
      </w:r>
      <w:r w:rsidRPr="00312B6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6160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12B6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</w:t>
      </w:r>
      <w:r w:rsidRPr="00312B6D" w:rsidR="00BF56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2B6D" w:rsidR="00CD05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E74F6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mája </w:t>
      </w:r>
      <w:r w:rsidRPr="00312B6D" w:rsidR="00BB70A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</w:t>
      </w:r>
      <w:r w:rsidRPr="00312B6D" w:rsidR="0088462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312B6D" w:rsidR="006724F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pridelila</w:t>
      </w:r>
      <w:r w:rsidRPr="00312B6D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predmetný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návrh</w:t>
      </w:r>
      <w:r w:rsidRPr="00312B6D" w:rsidR="00C04A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26325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zákona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na prerokovanie </w:t>
      </w:r>
      <w:r w:rsidRPr="00312B6D" w:rsidR="002D5F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týmto výborom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:</w:t>
      </w:r>
    </w:p>
    <w:p w:rsidR="003B1512" w:rsidRPr="00312B6D" w:rsidP="003B1512">
      <w:pPr>
        <w:bidi w:val="0"/>
        <w:jc w:val="both"/>
        <w:rPr>
          <w:rFonts w:ascii="Times New Roman" w:eastAsia="Times New Roman" w:hAnsi="Times New Roman" w:cs="Times New Roman"/>
          <w:sz w:val="22"/>
        </w:rPr>
      </w:pPr>
    </w:p>
    <w:p w:rsidR="0088326B" w:rsidRPr="00312B6D" w:rsidP="003B1512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312B6D" w:rsidR="003B1512">
        <w:rPr>
          <w:rFonts w:ascii="Times New Roman" w:eastAsia="Times New Roman" w:hAnsi="Times New Roman" w:cs="Times New Roman" w:hint="cs"/>
          <w:sz w:val="22"/>
          <w:szCs w:val="24"/>
          <w:rtl w:val="0"/>
          <w:cs w:val="0"/>
          <w:lang w:val="sk-SK" w:eastAsia="sk-SK" w:bidi="ar-SA"/>
        </w:rPr>
        <w:tab/>
      </w:r>
      <w:r w:rsidRPr="00312B6D" w:rsidR="003B151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Ústavnoprávnemu výboru Národnej rady Slovenskej republiky</w:t>
      </w:r>
      <w:r w:rsidRPr="00312B6D" w:rsidR="00F35E9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</w:t>
      </w:r>
    </w:p>
    <w:p w:rsidR="00E74F6A" w:rsidRPr="00312B6D" w:rsidP="006724F1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312B6D" w:rsidR="001F366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>Výboru Národnej rady Slovenskej republi</w:t>
      </w:r>
      <w:r w:rsidRPr="00312B6D" w:rsidR="000519E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ky pre hospodárske záležitosti</w:t>
      </w:r>
      <w:r w:rsidRPr="00312B6D" w:rsidR="008832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0519E9" w:rsidRPr="00312B6D" w:rsidP="007A3FF6">
      <w:pPr>
        <w:tabs>
          <w:tab w:val="left" w:pos="1080"/>
        </w:tabs>
        <w:bidi w:val="0"/>
        <w:jc w:val="both"/>
        <w:rPr>
          <w:rFonts w:ascii="Times New Roman" w:eastAsia="Times New Roman" w:hAnsi="Times New Roman" w:cs="Times New Roman"/>
        </w:rPr>
      </w:pPr>
      <w:r w:rsidRPr="00312B6D" w:rsidR="00BF489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Pr="00312B6D" w:rsidR="003151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B1512" w:rsidRPr="00312B6D" w:rsidP="00593244">
      <w:pPr>
        <w:tabs>
          <w:tab w:val="left" w:pos="1080"/>
        </w:tabs>
        <w:bidi w:val="0"/>
        <w:ind w:left="1080"/>
        <w:jc w:val="both"/>
        <w:rPr>
          <w:rFonts w:ascii="Times New Roman" w:eastAsia="Times New Roman" w:hAnsi="Times New Roman" w:cs="Times New Roman"/>
        </w:rPr>
      </w:pPr>
    </w:p>
    <w:p w:rsidR="00F768C6" w:rsidRPr="00312B6D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065871" w:rsidRPr="00312B6D" w:rsidP="00D54775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Výbory prerokovali návrh zákona v lehote určenej uznesením Národnej rady Slovenskej republiky.</w:t>
      </w:r>
    </w:p>
    <w:p w:rsidR="000C3652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II.</w:t>
      </w:r>
    </w:p>
    <w:p w:rsidR="00CA7C7E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312B6D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Poslanci Národnej rady Slovenskej republiky, ktorí nie sú členmi výborov, ktorým bol návrh zákona pridelený, neoznámili </w:t>
      </w:r>
      <w:r w:rsidRPr="00312B6D" w:rsidR="0073003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gestorskému výboru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určenej lehote žiadne stanovisko k predmetnému návrhu zákona (§ 75 ods. 2 rokovacieho poriadku).</w:t>
      </w:r>
    </w:p>
    <w:p w:rsidR="000E5DAA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312B6D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0C3652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III.</w:t>
      </w:r>
    </w:p>
    <w:p w:rsidR="00CA7C7E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D14D36" w:rsidRPr="00312B6D" w:rsidP="00D14D36">
      <w:pPr>
        <w:bidi w:val="0"/>
        <w:ind w:firstLine="360"/>
        <w:jc w:val="both"/>
        <w:rPr>
          <w:rFonts w:ascii="Times New Roman" w:eastAsia="Times New Roman" w:hAnsi="Times New Roman" w:cs="Times New Roman"/>
          <w:bCs/>
        </w:rPr>
      </w:pPr>
      <w:r w:rsidRPr="00312B6D" w:rsidR="0016707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ávrh zákona</w:t>
      </w: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odporúčali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Národnej rade Slovenskej republiky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schváliť:</w:t>
      </w:r>
    </w:p>
    <w:p w:rsidR="00564466" w:rsidRPr="00312B6D" w:rsidP="00564466">
      <w:pPr>
        <w:bidi w:val="0"/>
        <w:ind w:left="720"/>
        <w:jc w:val="both"/>
        <w:rPr>
          <w:rFonts w:ascii="Times New Roman" w:eastAsia="Times New Roman" w:hAnsi="Times New Roman" w:cs="Times New Roman"/>
        </w:rPr>
      </w:pPr>
    </w:p>
    <w:p w:rsidR="00315148" w:rsidRPr="00312B6D" w:rsidP="00825ECC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312B6D" w:rsidR="00E33A3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Ústavnoprávny v</w:t>
      </w:r>
      <w:r w:rsidRPr="00312B6D" w:rsidR="0076579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ýbor Národnej rady Slovenskej republiky </w:t>
      </w:r>
      <w:r w:rsidRPr="00312B6D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</w:t>
      </w:r>
      <w:r w:rsidRPr="00312B6D" w:rsidR="00FF46F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č. </w:t>
      </w:r>
      <w:r w:rsidRPr="00312B6D" w:rsid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636 z 11. júna </w:t>
      </w:r>
      <w:r w:rsidRPr="00312B6D" w:rsidR="00765794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201</w:t>
      </w:r>
      <w:r w:rsidRPr="00312B6D" w:rsidR="00825ECC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9</w:t>
      </w:r>
    </w:p>
    <w:p w:rsidR="00F0056B" w:rsidRPr="00312B6D" w:rsidP="00F0056B">
      <w:pPr>
        <w:numPr>
          <w:numId w:val="20"/>
        </w:numPr>
        <w:bidi w:val="0"/>
        <w:jc w:val="both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pre hospodárske záležitosti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uznesením č. </w:t>
      </w:r>
      <w:r w:rsidRPr="00312B6D" w:rsidR="00A8504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37</w:t>
      </w:r>
      <w:r w:rsidRPr="00312B6D" w:rsid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2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z 13. júna 2019.</w:t>
      </w:r>
    </w:p>
    <w:p w:rsidR="00B122BB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312B6D" w:rsidRPr="00312B6D" w:rsidP="00A51144">
      <w:pPr>
        <w:bidi w:val="0"/>
        <w:ind w:left="720"/>
        <w:jc w:val="both"/>
        <w:rPr>
          <w:rFonts w:ascii="Times New Roman" w:eastAsia="Times New Roman" w:hAnsi="Times New Roman" w:cs="Times New Roman"/>
          <w:b/>
          <w:bCs/>
        </w:rPr>
      </w:pPr>
    </w:p>
    <w:p w:rsidR="000C3652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IV.</w:t>
      </w:r>
    </w:p>
    <w:p w:rsidR="00CA7C7E" w:rsidRPr="00312B6D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16707B" w:rsidRPr="00312B6D" w:rsidP="0016707B">
      <w:pPr>
        <w:bidi w:val="0"/>
        <w:ind w:firstLine="567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Z uznesení výborov Národnej rady Slovenskej republiky </w:t>
      </w:r>
      <w:r w:rsidRPr="00312B6D" w:rsidR="00B31C0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uvedených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pod bodom III tejto správy vyplývajú nasledovné pozmeňujúce a doplňujúce návrhy:</w:t>
      </w:r>
    </w:p>
    <w:p w:rsidR="009A31A9" w:rsidRPr="00312B6D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12B6D" w:rsidRPr="00312B6D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widowControl/>
        <w:numPr>
          <w:numId w:val="37"/>
        </w:numPr>
        <w:autoSpaceDE/>
        <w:autoSpaceDN/>
        <w:bidi w:val="0"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 čl. I, bode 3 § 8 ods. 10 sa slová „osobitného predpisu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11b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)“ nahrádzajú slovami „medzinárodnej zmluvy, ktorou je Slovenská republika viazaná,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11b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 alebo účastníkovi konania podľa osobitného predpisu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11c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vertAlign w:val="superscript"/>
          <w:rtl w:val="0"/>
          <w:cs w:val="0"/>
          <w:lang w:val="sk-SK" w:eastAsia="sk-SK" w:bidi="ar-SA"/>
        </w:rPr>
        <w:t>“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doterajší odkaz 11c nad slovom „predpisu,“ sa nahrádza odkazom  11d a doterajšia poznámka pod čiarou k odkazu 11c sa označuje ako poznámka pod čiarou k odkazu 11d.</w:t>
      </w:r>
    </w:p>
    <w:p w:rsidR="00312B6D" w:rsidRPr="00312B6D" w:rsidP="00312B6D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bidi w:val="0"/>
        <w:ind w:left="284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Poznámky pod čiarou k odkazom 11b a 11c znejú:</w:t>
      </w:r>
    </w:p>
    <w:p w:rsidR="00312B6D" w:rsidRPr="00312B6D" w:rsidP="00312B6D">
      <w:pPr>
        <w:bidi w:val="0"/>
        <w:ind w:left="993" w:hanging="709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„11b) Dohovor o prístupe k informáciám, účasti verejnosti na rozhodovacom procese a prístupe k spravodlivosti v záležitostiach životného prostredia (oznámenie Ministerstva zahraničných vecí Slovenske</w:t>
      </w:r>
      <w:r w:rsidR="009828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j republiky č. 43/2006 Z. z.).</w:t>
      </w:r>
    </w:p>
    <w:p w:rsidR="00312B6D" w:rsidRPr="00312B6D" w:rsidP="00312B6D">
      <w:pPr>
        <w:bidi w:val="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11c)  § 24 a 25 zákona č. 24/2006 Z. z. v znení neskorších predpisov.“.</w:t>
      </w:r>
    </w:p>
    <w:p w:rsidR="00312B6D" w:rsidRPr="00312B6D" w:rsidP="00312B6D">
      <w:pPr>
        <w:bidi w:val="0"/>
        <w:ind w:left="3538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úpravu; Aarhuský dohovor je medzinárodnou zmluvou a nie je osobitným predpisom </w:t>
      </w:r>
      <w:r w:rsidRPr="00312B6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(hierarchicky je nadradená osobitnému predpisu),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a preto je potrebné túto skutočnosť v texte zákona zohľadniť.</w:t>
      </w:r>
    </w:p>
    <w:p w:rsid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12B6D" w:rsidRPr="00312B6D" w:rsidP="00312B6D">
      <w:pPr>
        <w:bidi w:val="0"/>
        <w:ind w:left="4258"/>
        <w:jc w:val="both"/>
        <w:rPr>
          <w:rFonts w:ascii="Times New Roman" w:eastAsia="Times New Roman" w:hAnsi="Times New Roman" w:cs="Times New Roman"/>
          <w:sz w:val="36"/>
        </w:rPr>
      </w:pPr>
    </w:p>
    <w:p w:rsidR="00312B6D" w:rsidRPr="00312B6D" w:rsidP="00312B6D">
      <w:pPr>
        <w:widowControl/>
        <w:numPr>
          <w:numId w:val="37"/>
        </w:numPr>
        <w:autoSpaceDE/>
        <w:autoSpaceDN/>
        <w:bidi w:val="0"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 bode 4 § 8 ods. 12 sa slová „že môže označiť“ nahrádzajú slovami „aby označil“ a slová „obchodného tajomstva“ sa nahrádzajú slovami „utajovanej skutočnosti, bankového tajomstva, daňového tajomstva, obchodného tajomstva, telekomunikačného tajomstva, poštového tajomstva,“.</w:t>
      </w:r>
    </w:p>
    <w:p w:rsidR="00312B6D" w:rsidRPr="00312B6D" w:rsidP="00312B6D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 o legislatívno-technickú úpravu. Utajovaná skutočnosť, bankové tajomstvo, daňové tajomstvo, obchodné tajomstvo, telekomunikačné tajomstvo a poštové tajomstvo nie sú zahrnuté v pojme citlivá informácia. Z uvedeného dôvodu sa navrhovaný odsek 12 </w:t>
      </w:r>
      <w:r w:rsidRPr="00312B6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zosúlaďuje s navrhovaným znením odseku 11</w:t>
      </w:r>
      <w:r w:rsidRPr="00312B6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(§ 8),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ktorý vymenúva „utajovanú skutočnosť, bankové tajomstvo, daňové tajomstvo, obchodné tajomstvo, telekomunikačné tajomstvo, poštové tajomstvo,“.</w:t>
      </w:r>
    </w:p>
    <w:p w:rsidR="00312B6D" w:rsidP="00312B6D">
      <w:pPr>
        <w:bidi w:val="0"/>
        <w:ind w:left="3540"/>
        <w:jc w:val="both"/>
        <w:rPr>
          <w:rFonts w:ascii="Times New Roman" w:eastAsia="Times New Roman" w:hAnsi="Times New Roman" w:cs="Times New Roman"/>
          <w:sz w:val="36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12B6D" w:rsidRPr="00312B6D" w:rsidP="00312B6D">
      <w:pPr>
        <w:bidi w:val="0"/>
        <w:ind w:left="3540"/>
        <w:jc w:val="both"/>
        <w:rPr>
          <w:rFonts w:ascii="Times New Roman" w:eastAsia="Times New Roman" w:hAnsi="Times New Roman" w:cs="Times New Roman"/>
          <w:sz w:val="36"/>
        </w:rPr>
      </w:pPr>
    </w:p>
    <w:p w:rsidR="00312B6D" w:rsidRPr="00312B6D" w:rsidP="00312B6D">
      <w:pPr>
        <w:widowControl/>
        <w:numPr>
          <w:numId w:val="37"/>
        </w:numPr>
        <w:autoSpaceDE/>
        <w:autoSpaceDN/>
        <w:bidi w:val="0"/>
        <w:adjustRightInd/>
        <w:ind w:left="284" w:hanging="284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V čl. I, bode 4 § 8 ods. 13 v prvej a druhej vete sa slová „obchodné tajomstvo“ vo všetkých gramatických tvaroch nahrádzajú slovami „utajovaná skutočnosť, bankové tajomstvo, daňové tajomstvo, obchodné tajomstvo, telekomunikačné tajomstvo, poštové tajomstvo“ v príslušnom gramatickom tvare.</w:t>
      </w:r>
    </w:p>
    <w:p w:rsidR="00312B6D" w:rsidRPr="00312B6D" w:rsidP="00312B6D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bidi w:val="0"/>
        <w:ind w:left="360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Ide o legislatívno-technickú úpravu. Utajovaná skutočnosť, bankové tajomstvo, daňové tajomstvo, obchodné tajomstvo, telekomunikačné tajomstvo a poštové tajomstvo nie sú zahrnuté v pojme citlivá informácia. Z uvedeného dôvodu sa navrhovaný odsek 13 </w:t>
      </w:r>
      <w:r w:rsidRPr="00312B6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zosúlaďuje s navrhovaným znením odseku 11 </w:t>
      </w:r>
      <w:r w:rsidRPr="00312B6D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>(§ 8)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, ktorý vymenúva „utajovanú skutočnosť, bankové tajomstvo, daňové tajomstvo, obchodné tajomstvo, telekomunikačné tajomstvo, poštové tajomstvo,“.</w:t>
      </w:r>
    </w:p>
    <w:p w:rsidR="00312B6D" w:rsidP="00312B6D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Ústavnoprávny výbor NR SR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ab/>
        <w:t>Výbor NR SR pre hospodárske záležitosti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12B6D" w:rsidRPr="00312B6D" w:rsidP="00312B6D">
      <w:pPr>
        <w:bidi w:val="0"/>
        <w:ind w:left="3402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pStyle w:val="ListParagraph"/>
        <w:numPr>
          <w:numId w:val="37"/>
        </w:numPr>
        <w:autoSpaceDE w:val="0"/>
        <w:autoSpaceDN w:val="0"/>
        <w:bidi w:val="0"/>
        <w:adjustRightInd w:val="0"/>
        <w:ind w:left="426" w:hanging="426"/>
        <w:contextualSpacing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 čl. II sa na začiatku </w:t>
      </w:r>
      <w:r w:rsidRPr="00312B6D">
        <w:rPr>
          <w:rFonts w:ascii="Times New Roman" w:eastAsia="Times New Roman" w:hAnsi="Times New Roman" w:cs="Times New Roman" w:hint="cs"/>
          <w:i/>
          <w:noProof/>
          <w:sz w:val="24"/>
          <w:szCs w:val="24"/>
          <w:rtl w:val="0"/>
          <w:cs w:val="0"/>
          <w:lang w:val="sk-SK" w:eastAsia="sk-SK" w:bidi="ar-SA"/>
        </w:rPr>
        <w:t>(za úvodnú vetu)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vkladá nový bod 1, ktorý znie:</w:t>
      </w:r>
    </w:p>
    <w:p w:rsidR="00312B6D" w:rsidRPr="00312B6D" w:rsidP="00312B6D">
      <w:pPr>
        <w:bidi w:val="0"/>
        <w:jc w:val="both"/>
        <w:rPr>
          <w:rFonts w:ascii="Times New Roman" w:eastAsia="Times New Roman" w:hAnsi="Times New Roman" w:cs="Times New Roman"/>
        </w:rPr>
      </w:pPr>
    </w:p>
    <w:p w:rsidR="00312B6D" w:rsidRPr="00312B6D" w:rsidP="00312B6D">
      <w:pPr>
        <w:tabs>
          <w:tab w:val="left" w:pos="284"/>
        </w:tabs>
        <w:bidi w:val="0"/>
        <w:ind w:firstLine="284"/>
        <w:jc w:val="both"/>
        <w:rPr>
          <w:rFonts w:ascii="Times New Roman" w:eastAsia="Times New Roman" w:hAnsi="Times New Roman" w:cs="Times New Roman"/>
          <w:color w:val="000000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„</w:t>
      </w:r>
      <w:r w:rsidRPr="00312B6D">
        <w:rPr>
          <w:rFonts w:ascii="Times New Roman" w:eastAsia="Times New Roman" w:hAnsi="Times New Roman" w:cs="Times New Roman" w:hint="cs"/>
          <w:color w:val="000000"/>
          <w:sz w:val="24"/>
          <w:szCs w:val="24"/>
          <w:rtl w:val="0"/>
          <w:cs w:val="0"/>
          <w:lang w:val="sk-SK" w:eastAsia="sk-SK" w:bidi="ar-SA"/>
        </w:rPr>
        <w:t>1. § 41 sa dopĺňa odsekom 3, ktorý znie:</w:t>
      </w:r>
    </w:p>
    <w:p w:rsidR="00312B6D" w:rsidRPr="00312B6D" w:rsidP="00312B6D">
      <w:pPr>
        <w:pStyle w:val="ListParagraph"/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/>
          <w:color w:val="000000"/>
        </w:rPr>
      </w:pP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„(3) Stavebný úrad z podnetu navrhovateľa zmení územné rozhodnutie o umiestnenie líniovej stavby uvedenej 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 § 139 ods. 3 písm. a) až f),</w:t>
      </w: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 ktoré je právoplatné  tak, že doplní umiestnenie podzemného vedenia elektronickej komunikačnej siete v trase budovanej líniovej stavby, ak o tom navrhovateľ predloží dohodu s podnikom elektronických komunikácií</w:t>
      </w: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vertAlign w:val="superscript"/>
          <w:rtl w:val="0"/>
          <w:cs w:val="0"/>
          <w:lang w:val="sk-SK" w:eastAsia="sk-SK" w:bidi="ar-SA"/>
        </w:rPr>
        <w:t>1ha)</w:t>
      </w: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>.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Účastníkom konania o zmene územného rozhodnutia o umiestnení líniovej stavby je navrhovateľ, podnik elektronických komunikácií a obec, ak nie je stavebným úradom príslušným na územné konanie. Právoplatné rozhodnutie o zmene územného rozhodnutia o umiestnenie líniovej stavby doručí stavebný úrad všetkým účastníkom územného konania o umiestnení líniovej stavby.“.</w:t>
      </w:r>
    </w:p>
    <w:p w:rsidR="00312B6D" w:rsidRPr="00312B6D" w:rsidP="00312B6D">
      <w:pPr>
        <w:pStyle w:val="ListParagraph"/>
        <w:tabs>
          <w:tab w:val="left" w:pos="709"/>
        </w:tabs>
        <w:bidi w:val="0"/>
        <w:ind w:left="709"/>
        <w:jc w:val="both"/>
        <w:rPr>
          <w:rFonts w:ascii="Times New Roman" w:eastAsia="Times New Roman" w:hAnsi="Times New Roman"/>
        </w:rPr>
      </w:pPr>
    </w:p>
    <w:p w:rsidR="00312B6D" w:rsidRPr="00312B6D" w:rsidP="00312B6D">
      <w:pPr>
        <w:pStyle w:val="ListParagraph"/>
        <w:tabs>
          <w:tab w:val="left" w:pos="709"/>
        </w:tabs>
        <w:bidi w:val="0"/>
        <w:ind w:left="0" w:firstLine="142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       Poznámka pod čiarou k odkazu 1ha) znie:</w:t>
      </w:r>
    </w:p>
    <w:p w:rsidR="00312B6D" w:rsidRPr="00312B6D" w:rsidP="00312B6D">
      <w:pPr>
        <w:pStyle w:val="ListParagraph"/>
        <w:bidi w:val="0"/>
        <w:ind w:left="426" w:firstLine="142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 „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1ha)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§ 5 ods. 1 zákona č. 351/2011 Z. z. v znení neskorších predpisov</w:t>
      </w:r>
      <w:r w:rsidR="009828E3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.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“.</w:t>
      </w:r>
    </w:p>
    <w:p w:rsidR="00312B6D" w:rsidRPr="00312B6D" w:rsidP="00312B6D">
      <w:pPr>
        <w:pStyle w:val="CommentText"/>
        <w:bidi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12B6D" w:rsidRPr="00312B6D" w:rsidP="00A21E36">
      <w:pPr>
        <w:pStyle w:val="CommentText"/>
        <w:bidi w:val="0"/>
        <w:ind w:left="426" w:firstLine="294"/>
        <w:jc w:val="both"/>
        <w:rPr>
          <w:rFonts w:ascii="Times New Roman" w:eastAsia="Times New Roman" w:hAnsi="Times New Roman"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Nasledujúce body sa primerane prečíslujú.</w:t>
      </w:r>
    </w:p>
    <w:p w:rsidR="00312B6D" w:rsidRPr="00312B6D" w:rsidP="00312B6D">
      <w:pPr>
        <w:pStyle w:val="CommentText"/>
        <w:bidi w:val="0"/>
        <w:jc w:val="left"/>
        <w:rPr>
          <w:rFonts w:ascii="Times New Roman" w:eastAsia="Times New Roman" w:hAnsi="Times New Roman"/>
          <w:sz w:val="24"/>
          <w:szCs w:val="24"/>
        </w:rPr>
      </w:pPr>
    </w:p>
    <w:p w:rsidR="00312B6D" w:rsidRPr="00312B6D" w:rsidP="00312B6D">
      <w:pPr>
        <w:pStyle w:val="CommentText"/>
        <w:bidi w:val="0"/>
        <w:ind w:left="3600"/>
        <w:jc w:val="both"/>
        <w:rPr>
          <w:rFonts w:ascii="Times New Roman" w:eastAsia="Times New Roman" w:hAnsi="Times New Roman"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umožňuje stavebnému úradu zmeniť už právoplatné rozhodnutie o umiestnení niektorých druhov líniových stavieb o dodatočné doplnenie umiestnenia vedenia elektronickej telekomunikačnej siete v rovnakej trase. Stavebný úrad tak urobí vždy pokiaľ  stavebník líniovej stavby sa dohodne  s podnikom  elektronických komunikácií  o spoločnom postupe pri budovaní líniových stavieb. Konanie má obmedzený počet účastníkov len na stavebníka, príslušný podnik elektronických komunikácií a obec, ak nie je stavebným úradom. Takéto zmenené rozhodnutie sa ale následne doručí všetkým účastníkom pôvodného konania o umiestnení líniovej stavby. Tento zjednodušený postup sa navyše bude dať využiť nie len pri líniových budovaných v súvislosti s jadrovými zariadeniami, ale aj pri iných líniových stavbách. </w:t>
      </w:r>
    </w:p>
    <w:p w:rsidR="00312B6D" w:rsidP="00312B6D">
      <w:pPr>
        <w:pStyle w:val="CommentText"/>
        <w:bidi w:val="0"/>
        <w:ind w:left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12B6D" w:rsidRPr="00312B6D" w:rsidP="00312B6D">
      <w:pPr>
        <w:pStyle w:val="CommentText"/>
        <w:bidi w:val="0"/>
        <w:ind w:left="2124"/>
        <w:jc w:val="both"/>
        <w:rPr>
          <w:rFonts w:ascii="Times New Roman" w:eastAsia="Times New Roman" w:hAnsi="Times New Roman"/>
          <w:sz w:val="24"/>
          <w:szCs w:val="24"/>
        </w:rPr>
      </w:pPr>
    </w:p>
    <w:p w:rsidR="00312B6D" w:rsidRPr="00312B6D" w:rsidP="00312B6D">
      <w:pPr>
        <w:pStyle w:val="ListParagraph"/>
        <w:numPr>
          <w:numId w:val="37"/>
        </w:numPr>
        <w:bidi w:val="0"/>
        <w:ind w:left="284" w:hanging="284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Čl. II sa dopĺňa bodom 5, ktorý znie:</w:t>
      </w:r>
    </w:p>
    <w:p w:rsidR="00312B6D" w:rsidRPr="00312B6D" w:rsidP="00312B6D">
      <w:pPr>
        <w:pStyle w:val="ListParagraph"/>
        <w:bidi w:val="0"/>
        <w:ind w:hanging="720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312B6D" w:rsidRPr="00312B6D" w:rsidP="00312B6D">
      <w:pPr>
        <w:pStyle w:val="ListParagraph"/>
        <w:bidi w:val="0"/>
        <w:ind w:hanging="436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„5.  Poznámka pod čiarou k odkazu 13b znie: </w:t>
      </w:r>
    </w:p>
    <w:p w:rsidR="00312B6D" w:rsidRPr="00312B6D" w:rsidP="00312B6D">
      <w:pPr>
        <w:pStyle w:val="ListParagraph"/>
        <w:bidi w:val="0"/>
        <w:ind w:left="1276" w:hanging="567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„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vertAlign w:val="superscript"/>
          <w:rtl w:val="0"/>
          <w:cs w:val="0"/>
          <w:lang w:val="sk-SK" w:eastAsia="sk-SK" w:bidi="ar-SA"/>
        </w:rPr>
        <w:t>13b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) Napríklad zákon 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"https://www.slov-lex.sk/pravne-predpisy/SK/ZZ/2004/364/" \o "Odkaz na predpis alebo ustanovenie" </w:instrTex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č. 364/2004 Z. z.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vodách a o zmene zákona Slovenskej národnej rady č. 372/1990 Zb. o priestupkoch v znení neskorších predpisov (vodný zákon) v znení neskorších predpisov, zákon č. 656/2004 Z. z. o energetike a o zmene niektorých zákonov v znení neskorších predpisov, zákon 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"https://www.slov-lex.sk/pravne-predpisy/SK/ZZ/2009/66/" \o "Odkaz na predpis alebo ustanovenie" </w:instrTex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č. 66/2009 Z. z.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niektorých opatreniach pri majetkovoprávnom usporiadaní pozemkov pod stavbami, ktoré prešli z vlastníctva štátu na obce a vyššie územné celky a o zmene a doplnení niektorých zákonov, zákon č. 351/2011 Z. z. v znení neskorších predpisov.“.</w:t>
      </w:r>
    </w:p>
    <w:p w:rsidR="00312B6D" w:rsidRPr="00312B6D" w:rsidP="00312B6D">
      <w:pPr>
        <w:pStyle w:val="ListParagraph"/>
        <w:bidi w:val="0"/>
        <w:ind w:left="426"/>
        <w:jc w:val="both"/>
        <w:rPr>
          <w:rFonts w:ascii="Times New Roman" w:eastAsia="Times New Roman" w:hAnsi="Times New Roman"/>
          <w:b/>
        </w:rPr>
      </w:pPr>
    </w:p>
    <w:p w:rsidR="00312B6D" w:rsidP="00312B6D">
      <w:pPr>
        <w:pStyle w:val="ListParagraph"/>
        <w:bidi w:val="0"/>
        <w:ind w:left="3600"/>
        <w:jc w:val="both"/>
        <w:rPr>
          <w:rFonts w:ascii="Times New Roman" w:eastAsia="Times New Roman" w:hAnsi="Times New Roman"/>
        </w:rPr>
      </w:pPr>
    </w:p>
    <w:p w:rsidR="00312B6D" w:rsidP="00312B6D">
      <w:pPr>
        <w:pStyle w:val="ListParagraph"/>
        <w:bidi w:val="0"/>
        <w:ind w:left="3600"/>
        <w:jc w:val="both"/>
        <w:rPr>
          <w:rFonts w:ascii="Times New Roman" w:eastAsia="Times New Roman" w:hAnsi="Times New Roman"/>
        </w:rPr>
      </w:pPr>
    </w:p>
    <w:p w:rsidR="00312B6D" w:rsidRPr="00312B6D" w:rsidP="00312B6D">
      <w:pPr>
        <w:pStyle w:val="ListParagraph"/>
        <w:bidi w:val="0"/>
        <w:ind w:left="3600"/>
        <w:jc w:val="both"/>
        <w:rPr>
          <w:rFonts w:ascii="Times New Roman" w:eastAsia="Times New Roman" w:hAnsi="Times New Roman"/>
        </w:rPr>
      </w:pP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Ide o legislatívno-technickú úpravu; doterajší </w:t>
      </w: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výpočet právnych predpisov v predmetnej poznámke pod čiarou sa rozširuje o 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begin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instrText xml:space="preserve"> HYPERLINK "aspi://module='ASPI'&amp;link='351/2011%20Z.z.%252367a'&amp;ucin-k-dni='30.12.9999'" </w:instrTex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separate"/>
      </w:r>
      <w:r w:rsidRPr="00312B6D">
        <w:rPr>
          <w:rFonts w:ascii="Times New Roman" w:eastAsia="Times New Roman" w:hAnsi="Times New Roman" w:cs="Times New Roman" w:hint="cs"/>
          <w:noProof/>
          <w:color w:val="0000FF"/>
          <w:sz w:val="24"/>
          <w:szCs w:val="24"/>
          <w:u w:val="single"/>
          <w:rtl w:val="0"/>
          <w:cs w:val="0"/>
          <w:lang w:val="sk-SK" w:eastAsia="sk-SK" w:bidi="ar-SA"/>
        </w:rPr>
        <w:t>zákon č. 351/2011 Z. z.</w:t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fldChar w:fldCharType="end"/>
      </w:r>
      <w:r w:rsidRPr="00312B6D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 o elektronických komunikáciách</w:t>
      </w:r>
      <w:r w:rsidRPr="00312B6D">
        <w:rPr>
          <w:rFonts w:ascii="Times New Roman" w:eastAsia="Times New Roman" w:hAnsi="Times New Roman" w:cs="Times New Roman" w:hint="cs"/>
          <w:noProof/>
          <w:color w:val="000000"/>
          <w:sz w:val="24"/>
          <w:szCs w:val="24"/>
          <w:rtl w:val="0"/>
          <w:cs w:val="0"/>
          <w:lang w:val="sk-SK" w:eastAsia="sk-SK" w:bidi="ar-SA"/>
        </w:rPr>
        <w:t xml:space="preserve"> v znení neskorších predpisov.</w:t>
      </w:r>
    </w:p>
    <w:p w:rsid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 NR SR pre hospodárske záležitosti</w:t>
      </w:r>
    </w:p>
    <w:p w:rsidR="00312B6D" w:rsidRPr="00312B6D" w:rsidP="00312B6D">
      <w:pPr>
        <w:pStyle w:val="FootnoteText"/>
        <w:bidi w:val="0"/>
        <w:spacing w:before="0"/>
        <w:ind w:left="288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</w:p>
    <w:p w:rsidR="00312B6D" w:rsidRPr="00312B6D" w:rsidP="00312B6D">
      <w:pPr>
        <w:pStyle w:val="FootnoteText"/>
        <w:bidi w:val="0"/>
        <w:spacing w:before="0"/>
        <w:ind w:left="2880" w:firstLine="72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312B6D">
        <w:rPr>
          <w:rFonts w:ascii="Times New Roman" w:eastAsia="Times New Roman" w:hAnsi="Times New Roman" w:cs="Times New Roman" w:hint="cs"/>
          <w:b/>
          <w:i/>
          <w:sz w:val="24"/>
          <w:szCs w:val="24"/>
          <w:rtl w:val="0"/>
          <w:cs w:val="0"/>
          <w:lang w:val="sk-SK" w:eastAsia="sk-SK" w:bidi="ar-SA"/>
        </w:rPr>
        <w:t>Gestorský výbor odporúča schváliť</w:t>
      </w:r>
    </w:p>
    <w:p w:rsidR="00312B6D" w:rsidRPr="00312B6D" w:rsidP="00312B6D">
      <w:pPr>
        <w:bidi w:val="0"/>
        <w:jc w:val="both"/>
        <w:rPr>
          <w:rFonts w:ascii="Times New Roman" w:eastAsia="Times New Roman" w:hAnsi="Times New Roman" w:cs="Times New Roman"/>
          <w:sz w:val="36"/>
        </w:rPr>
      </w:pPr>
    </w:p>
    <w:p w:rsidR="00312B6D" w:rsidRPr="00312B6D" w:rsidP="00D71AB1">
      <w:pPr>
        <w:bidi w:val="0"/>
        <w:jc w:val="both"/>
        <w:rPr>
          <w:rFonts w:ascii="Times New Roman" w:eastAsia="Times New Roman" w:hAnsi="Times New Roman" w:cs="Times New Roman"/>
        </w:rPr>
      </w:pPr>
    </w:p>
    <w:p w:rsidR="000E5DAA" w:rsidRPr="00312B6D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  <w:r w:rsidRPr="00312B6D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Gestorský výbor odporúča hlasovať</w:t>
      </w:r>
      <w:r w:rsidRPr="00312B6D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bodoch </w:t>
      </w:r>
      <w:r w:rsidRPr="00312B6D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 a</w:t>
      </w:r>
      <w:r w:rsidRPr="00312B6D" w:rsidR="00143BA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ž</w:t>
      </w:r>
      <w:r w:rsidRPr="00312B6D" w:rsidR="002929FE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5</w:t>
      </w:r>
      <w:r w:rsidRPr="00312B6D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 w:rsidR="0097083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spo</w:t>
      </w:r>
      <w:r w:rsidRPr="00312B6D" w:rsidR="00956B2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ločne s odporúčaním </w:t>
      </w:r>
      <w:r w:rsidRPr="00312B6D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s c h v á l i</w:t>
      </w:r>
      <w:r w:rsidRPr="00312B6D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 </w:t>
      </w:r>
      <w:r w:rsidRPr="00312B6D" w:rsidR="00956B2C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ť</w:t>
      </w:r>
      <w:r w:rsidRPr="00312B6D" w:rsidR="0097083F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312B6D" w:rsidP="00FD5539">
      <w:pPr>
        <w:bidi w:val="0"/>
        <w:jc w:val="both"/>
        <w:rPr>
          <w:rFonts w:ascii="Times New Roman" w:eastAsia="Times New Roman" w:hAnsi="Times New Roman" w:cs="Times New Roman"/>
          <w:b/>
        </w:rPr>
      </w:pPr>
    </w:p>
    <w:p w:rsidR="00E269DC" w:rsidRPr="00312B6D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V.</w:t>
      </w:r>
    </w:p>
    <w:p w:rsidR="00E269DC" w:rsidRPr="00312B6D" w:rsidP="00E269DC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</w:rPr>
      </w:pP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odporúča Národnej rade Slovenskej republiky</w:t>
      </w: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  <w:u w:val="single"/>
        </w:rPr>
      </w:pPr>
    </w:p>
    <w:p w:rsidR="00624A9D" w:rsidRPr="00312B6D" w:rsidP="00423537">
      <w:pPr>
        <w:bidi w:val="0"/>
        <w:ind w:firstLine="540"/>
        <w:jc w:val="both"/>
        <w:rPr>
          <w:rFonts w:ascii="Times New Roman" w:eastAsia="Times New Roman" w:hAnsi="Times New Roman" w:cs="Times New Roman"/>
          <w:b/>
        </w:rPr>
      </w:pP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návrh poslancov Národnej rady Slovenskej republiky Róberta PUCIHO a Maroša KONDRÓTA na vydanie zákona, ktorým sa mení a dopĺňa zákon č. 541/2004 Z. z. o mierovom využívaní jadrovej energie (atómový zákon) a o zmene a doplnení niektorých zákonov v znení neskorších predpisov a o zmene a doplnení zákona č. 50/1976 Zb. o územnom plánovaní a stavebnom poriadku (stavebný zákon) v znení neskorších predpisov (tlač </w:t>
      </w:r>
      <w:r w:rsidRPr="00312B6D" w:rsidR="00A8504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1372</w:t>
      </w:r>
      <w:r w:rsidRPr="00312B6D" w:rsidR="00A8504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)</w:t>
      </w:r>
    </w:p>
    <w:p w:rsidR="000519E9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Cs/>
        </w:rPr>
      </w:pP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s c h v á l i ť 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v</w:t>
      </w:r>
      <w:r w:rsidRPr="00312B6D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znení pozmeňujúcich a doplňujúcich návrhov uvedených v tejto spoločnej správe, ktoré gestorský výbor odporúčal schváliť.</w:t>
      </w:r>
    </w:p>
    <w:p w:rsidR="00E269DC" w:rsidRPr="00312B6D" w:rsidP="00E269DC">
      <w:pPr>
        <w:bidi w:val="0"/>
        <w:ind w:firstLine="540"/>
        <w:jc w:val="both"/>
        <w:rPr>
          <w:rFonts w:ascii="Times New Roman" w:eastAsia="Times New Roman" w:hAnsi="Times New Roman" w:cs="Times New Roman"/>
          <w:b/>
          <w:bCs/>
        </w:rPr>
      </w:pPr>
    </w:p>
    <w:p w:rsidR="00E269DC" w:rsidRPr="00312B6D" w:rsidP="00FD5539">
      <w:pPr>
        <w:bidi w:val="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Spoločná správa výborov Národnej rady Slovenskej republiky o výsledku prerokovania návrhu zákona v druhom čítaní bola schválená uznesením Výboru Národnej rady Slovenskej republiky pre hospodárske záležitosti č</w:t>
      </w:r>
      <w:r w:rsidRPr="00312B6D" w:rsidR="00BE2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1E541F" w:rsidR="001E541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379</w:t>
      </w:r>
      <w:r w:rsidRPr="00312B6D" w:rsidR="0077337E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 </w:t>
      </w:r>
      <w:r w:rsidRPr="00312B6D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312B6D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312B6D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</w:p>
    <w:p w:rsidR="00E269DC" w:rsidRPr="00312B6D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</w:p>
    <w:p w:rsidR="00E269DC" w:rsidRPr="00312B6D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Týmto uznesením </w:t>
      </w:r>
      <w:r w:rsidRPr="00312B6D" w:rsidR="000519E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 zároveň poveril spoločného spravodajcu </w:t>
      </w:r>
      <w:r w:rsidRPr="00312B6D" w:rsidR="00A85049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Petra Pamulu 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predložiť návrhy podľa §  81 ods. 2, § 83 ods. 4, § 84 ods. 2 a § 86 rokovacieho poriadku Národnej rady Slovenskej republiky.</w:t>
      </w:r>
    </w:p>
    <w:p w:rsidR="00E269DC" w:rsidRPr="00312B6D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351D76" w:rsidRPr="00312B6D" w:rsidP="00E269DC">
      <w:pPr>
        <w:bidi w:val="0"/>
        <w:ind w:firstLine="567"/>
        <w:jc w:val="both"/>
        <w:rPr>
          <w:rFonts w:ascii="Times New Roman" w:eastAsia="Times New Roman" w:hAnsi="Times New Roman" w:cs="Times New Roman"/>
          <w:bCs/>
        </w:rPr>
      </w:pPr>
    </w:p>
    <w:p w:rsidR="00E269DC" w:rsidRPr="00312B6D" w:rsidP="00E269DC">
      <w:pPr>
        <w:bidi w:val="0"/>
        <w:jc w:val="both"/>
        <w:rPr>
          <w:rFonts w:ascii="Times New Roman" w:eastAsia="Times New Roman" w:hAnsi="Times New Roman" w:cs="Times New Roman"/>
        </w:rPr>
      </w:pP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Bratislava </w:t>
      </w:r>
      <w:r w:rsidRPr="00312B6D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18</w:t>
      </w:r>
      <w:r w:rsidRPr="00312B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312B6D" w:rsidR="00B75BB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Pr="00312B6D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201</w:t>
      </w:r>
      <w:r w:rsidRPr="00312B6D" w:rsidR="00825EC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</w:p>
    <w:p w:rsidR="00E269DC" w:rsidRPr="00312B6D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77479C" w:rsidRPr="00312B6D" w:rsidP="00E269DC">
      <w:pPr>
        <w:bidi w:val="0"/>
        <w:jc w:val="both"/>
        <w:rPr>
          <w:rFonts w:ascii="Times New Roman" w:eastAsia="Times New Roman" w:hAnsi="Times New Roman" w:cs="Times New Roman"/>
        </w:rPr>
      </w:pPr>
    </w:p>
    <w:p w:rsidR="00E269DC" w:rsidRPr="00312B6D" w:rsidP="00E269DC">
      <w:pPr>
        <w:bidi w:val="0"/>
        <w:jc w:val="center"/>
        <w:rPr>
          <w:rFonts w:ascii="Times New Roman" w:eastAsia="Times New Roman" w:hAnsi="Times New Roman" w:cs="Times New Roman"/>
          <w:bCs/>
          <w:lang w:eastAsia="cs-CZ"/>
        </w:rPr>
      </w:pPr>
      <w:r w:rsidRPr="00312B6D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Jana</w:t>
      </w:r>
      <w:r w:rsidRPr="00312B6D" w:rsidR="002C660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312B6D" w:rsidR="004C667F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cs-CZ" w:bidi="ar-SA"/>
        </w:rPr>
        <w:t>K i š š o v á</w:t>
      </w:r>
      <w:r w:rsidRPr="00312B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cs-CZ" w:bidi="ar-SA"/>
        </w:rPr>
        <w:t>, v.r.</w:t>
      </w:r>
      <w:r w:rsidRPr="00312B6D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cs-CZ" w:bidi="ar-SA"/>
        </w:rPr>
        <w:t xml:space="preserve">  </w:t>
      </w:r>
    </w:p>
    <w:p w:rsidR="00B62E81" w:rsidRPr="00312B6D" w:rsidP="00E269DC">
      <w:pPr>
        <w:bidi w:val="0"/>
        <w:jc w:val="center"/>
        <w:rPr>
          <w:rFonts w:ascii="Times New Roman" w:eastAsia="Times New Roman" w:hAnsi="Times New Roman" w:cs="Times New Roman"/>
          <w:lang w:eastAsia="cs-CZ"/>
        </w:rPr>
      </w:pPr>
      <w:r w:rsidRPr="00312B6D" w:rsidR="004C667F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predsedníčka</w:t>
      </w:r>
      <w:r w:rsidRPr="00312B6D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Výboru NR SR </w:t>
      </w:r>
    </w:p>
    <w:p w:rsidR="00313A20" w:rsidRPr="00312B6D" w:rsidP="009325C0">
      <w:pPr>
        <w:bidi w:val="0"/>
        <w:jc w:val="center"/>
        <w:rPr>
          <w:rFonts w:ascii="Times New Roman" w:eastAsia="Times New Roman" w:hAnsi="Times New Roman" w:cs="Times New Roman"/>
          <w:b/>
          <w:bCs/>
        </w:rPr>
      </w:pPr>
      <w:r w:rsidRPr="00312B6D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>pre</w:t>
      </w:r>
      <w:r w:rsidRPr="00312B6D" w:rsidR="00B62E81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 </w:t>
      </w:r>
      <w:r w:rsidRPr="00312B6D" w:rsidR="00E269DC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cs-CZ" w:bidi="ar-SA"/>
        </w:rPr>
        <w:t xml:space="preserve">hospodárske záležitosti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Symbol">
    <w:altName w:val="Times New Roman"/>
    <w:panose1 w:val="05050102010706020507"/>
    <w:charset w:val="02"/>
    <w:family w:val="roman"/>
    <w:pitch w:val="variable"/>
  </w:font>
  <w:font w:name="Wingdings">
    <w:altName w:val="Symbol"/>
    <w:panose1 w:val="05000000000000000000"/>
    <w:charset w:val="02"/>
    <w:family w:val="auto"/>
    <w:pitch w:val="variable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Tahoma">
    <w:altName w:val="Tahoma"/>
    <w:panose1 w:val="00000000000000000000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PalatinoLinotype-Bold">
    <w:altName w:val="MS Mincho"/>
    <w:panose1 w:val="00000000000000000000"/>
    <w:charset w:val="80"/>
    <w:family w:val="auto"/>
    <w:pitch w:val="default"/>
  </w:font>
  <w:font w:name="@PalatinoLinotype-Bold">
    <w:panose1 w:val="00000000000000000000"/>
    <w:charset w:val="80"/>
    <w:family w:val="auto"/>
    <w:pitch w:val="default"/>
  </w:font>
  <w:font w:name="Cambria">
    <w:panose1 w:val="02040503050406030204"/>
    <w:charset w:val="EE"/>
    <w:family w:val="roman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311">
    <w:pPr>
      <w:pStyle w:val="Footer"/>
      <w:framePr w:wrap="around" w:vAnchor="text" w:hAnchor="margin" w:xAlign="right"/>
      <w:bidi w:val="0"/>
      <w:jc w:val="left"/>
      <w:rPr>
        <w:rStyle w:val="PageNumber"/>
        <w:rFonts w:ascii="Times New Roman" w:eastAsia="Times New Roman" w:hAnsi="Times New Roman" w:cs="Times New Roman" w:hint="default"/>
        <w:rtl w:val="0"/>
        <w:cs w:val="0"/>
      </w:rPr>
    </w:pP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begin"/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instrText xml:space="preserve">PAGE  </w:instrTex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separate"/>
    </w:r>
    <w:r w:rsidR="009828E3">
      <w:rPr>
        <w:rStyle w:val="PageNumber"/>
        <w:rFonts w:ascii="Times New Roman" w:eastAsia="Times New Roman" w:hAnsi="Times New Roman"/>
        <w:noProof/>
        <w:sz w:val="24"/>
        <w:szCs w:val="24"/>
        <w:lang w:val="sk-SK" w:eastAsia="sk-SK" w:bidi="ar-SA"/>
      </w:rPr>
      <w:t>4</w:t>
    </w:r>
    <w:r>
      <w:rPr>
        <w:rStyle w:val="PageNumber"/>
        <w:rFonts w:ascii="Times New Roman" w:eastAsia="Times New Roman" w:hAnsi="Times New Roman"/>
        <w:sz w:val="24"/>
        <w:szCs w:val="24"/>
        <w:lang w:val="sk-SK" w:eastAsia="sk-SK" w:bidi="ar-SA"/>
      </w:rPr>
      <w:fldChar w:fldCharType="end"/>
    </w:r>
  </w:p>
  <w:p w:rsidR="00A50311">
    <w:pPr>
      <w:pStyle w:val="Footer"/>
      <w:bidi w:val="0"/>
      <w:ind w:right="360"/>
      <w:jc w:val="left"/>
      <w:rPr>
        <w:rFonts w:ascii="Times New Roman" w:eastAsia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6D445050"/>
    <w:lvl w:ilvl="0">
      <w:start w:val="1"/>
      <w:numFmt w:val="decimal"/>
      <w:lvlText w:val="%1."/>
      <w:lvlJc w:val="left"/>
      <w:pPr>
        <w:tabs>
          <w:tab w:val="num" w:pos="284"/>
        </w:tabs>
        <w:ind w:left="1070" w:hanging="360"/>
      </w:pPr>
      <w:rPr>
        <w:rFonts w:cs="Times New Roman" w:hint="cs"/>
        <w:b w:val="0"/>
        <w:i w:val="0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Abecednzoznam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7AA27CE"/>
    <w:multiLevelType w:val="hybridMultilevel"/>
    <w:tmpl w:val="62B89A2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C7C35DE"/>
    <w:multiLevelType w:val="hybridMultilevel"/>
    <w:tmpl w:val="6B528A2E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cs"/>
        <w:rtl w:val="0"/>
        <w:cs w:val="0"/>
      </w:rPr>
    </w:lvl>
  </w:abstractNum>
  <w:abstractNum w:abstractNumId="4">
    <w:nsid w:val="0FDB6C37"/>
    <w:multiLevelType w:val="hybridMultilevel"/>
    <w:tmpl w:val="EBEC7DA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5">
    <w:nsid w:val="11411551"/>
    <w:multiLevelType w:val="hybridMultilevel"/>
    <w:tmpl w:val="716802C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6">
    <w:nsid w:val="119121FE"/>
    <w:multiLevelType w:val="hybridMultilevel"/>
    <w:tmpl w:val="E006EC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EF01B7F"/>
    <w:multiLevelType w:val="hybridMultilevel"/>
    <w:tmpl w:val="DBBC59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230E05C1"/>
    <w:multiLevelType w:val="hybridMultilevel"/>
    <w:tmpl w:val="D1986B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0">
    <w:nsid w:val="2CB25156"/>
    <w:multiLevelType w:val="hybridMultilevel"/>
    <w:tmpl w:val="448C152A"/>
    <w:lvl w:ilvl="0">
      <w:start w:val="1"/>
      <w:numFmt w:val="lowerLetter"/>
      <w:lvlText w:val="%1)"/>
      <w:lvlJc w:val="left"/>
      <w:pPr>
        <w:ind w:left="720" w:hanging="360"/>
      </w:pPr>
      <w:rPr>
        <w:rFonts w:eastAsia="PalatinoLinotype-Bold" w:cs="Times New Roman" w:hint="eastAsia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1">
    <w:nsid w:val="2F8007E2"/>
    <w:multiLevelType w:val="hybridMultilevel"/>
    <w:tmpl w:val="B50402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323A09E9"/>
    <w:multiLevelType w:val="hybridMultilevel"/>
    <w:tmpl w:val="A4DC2B5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cs"/>
        <w:rtl w:val="0"/>
        <w:cs w:val="0"/>
      </w:rPr>
    </w:lvl>
  </w:abstractNum>
  <w:abstractNum w:abstractNumId="13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4">
    <w:nsid w:val="391C33F2"/>
    <w:multiLevelType w:val="hybridMultilevel"/>
    <w:tmpl w:val="8B62B772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>
    <w:nsid w:val="3E5335C0"/>
    <w:multiLevelType w:val="hybridMultilevel"/>
    <w:tmpl w:val="D2AC8754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eastAsia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6">
    <w:nsid w:val="3E8D61DC"/>
    <w:multiLevelType w:val="hybridMultilevel"/>
    <w:tmpl w:val="5052DA3A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18">
    <w:nsid w:val="44384E35"/>
    <w:multiLevelType w:val="hybridMultilevel"/>
    <w:tmpl w:val="98CEB3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B8B68D1"/>
    <w:multiLevelType w:val="hybridMultilevel"/>
    <w:tmpl w:val="66147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4EF96144"/>
    <w:multiLevelType w:val="hybridMultilevel"/>
    <w:tmpl w:val="BD921670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1">
    <w:nsid w:val="4FA409BA"/>
    <w:multiLevelType w:val="hybridMultilevel"/>
    <w:tmpl w:val="978EC02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22">
    <w:nsid w:val="51BB3DB5"/>
    <w:multiLevelType w:val="hybridMultilevel"/>
    <w:tmpl w:val="D0584A0A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 w:hint="cs"/>
        <w:rtl w:val="0"/>
        <w:cs w:val="0"/>
      </w:rPr>
    </w:lvl>
  </w:abstractNum>
  <w:abstractNum w:abstractNumId="23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4">
    <w:nsid w:val="520A0D0A"/>
    <w:multiLevelType w:val="hybridMultilevel"/>
    <w:tmpl w:val="A594B2B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5">
    <w:nsid w:val="58F3235D"/>
    <w:multiLevelType w:val="hybridMultilevel"/>
    <w:tmpl w:val="1B24A1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ADB596A"/>
    <w:multiLevelType w:val="hybridMultilevel"/>
    <w:tmpl w:val="C868F9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5B7E4CB8"/>
    <w:multiLevelType w:val="hybridMultilevel"/>
    <w:tmpl w:val="06F896A4"/>
    <w:lvl w:ilvl="0">
      <w:start w:val="1"/>
      <w:numFmt w:val="lowerLetter"/>
      <w:pStyle w:val="PSMENO"/>
      <w:lvlText w:val="%1)"/>
      <w:lvlJc w:val="left"/>
      <w:pPr>
        <w:ind w:left="1211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008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728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448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168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888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608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328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048" w:hanging="180"/>
      </w:pPr>
      <w:rPr>
        <w:rFonts w:cs="Times New Roman" w:hint="cs"/>
        <w:rtl w:val="0"/>
        <w:cs w:val="0"/>
      </w:rPr>
    </w:lvl>
  </w:abstractNum>
  <w:abstractNum w:abstractNumId="28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rFonts w:cs="Times New Roman" w:hint="cs"/>
        <w:u w:val="none"/>
        <w:rtl w:val="0"/>
        <w:cs w:val="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</w:rPr>
    </w:lvl>
  </w:abstractNum>
  <w:abstractNum w:abstractNumId="29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 w:hint="cs"/>
        <w:rtl w:val="0"/>
        <w:cs w:val="0"/>
      </w:rPr>
    </w:lvl>
  </w:abstractNum>
  <w:abstractNum w:abstractNumId="30">
    <w:nsid w:val="66D84C1A"/>
    <w:multiLevelType w:val="hybridMultilevel"/>
    <w:tmpl w:val="E9785D1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1">
    <w:nsid w:val="6C0E3236"/>
    <w:multiLevelType w:val="hybridMultilevel"/>
    <w:tmpl w:val="C8A885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2">
    <w:nsid w:val="6D4E0FB2"/>
    <w:multiLevelType w:val="hybridMultilevel"/>
    <w:tmpl w:val="072439D2"/>
    <w:lvl w:ilvl="0">
      <w:start w:val="1"/>
      <w:numFmt w:val="decimal"/>
      <w:lvlText w:val="%1."/>
      <w:lvlJc w:val="left"/>
      <w:pPr>
        <w:ind w:left="4046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476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548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620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692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764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836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908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9806" w:hanging="180"/>
      </w:pPr>
      <w:rPr>
        <w:rFonts w:cs="Times New Roman" w:hint="cs"/>
        <w:rtl w:val="0"/>
        <w:cs w:val="0"/>
      </w:rPr>
    </w:lvl>
  </w:abstractNum>
  <w:abstractNum w:abstractNumId="33">
    <w:nsid w:val="6FC228AB"/>
    <w:multiLevelType w:val="hybridMultilevel"/>
    <w:tmpl w:val="53A44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4">
    <w:nsid w:val="765C6B36"/>
    <w:multiLevelType w:val="hybridMultilevel"/>
    <w:tmpl w:val="4AE4953C"/>
    <w:lvl w:ilvl="0">
      <w:start w:val="1"/>
      <w:numFmt w:val="decimal"/>
      <w:lvlText w:val="%1."/>
      <w:lvlJc w:val="left"/>
      <w:pPr>
        <w:ind w:left="780" w:hanging="42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5">
    <w:nsid w:val="78121AA6"/>
    <w:multiLevelType w:val="hybridMultilevel"/>
    <w:tmpl w:val="B84822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8"/>
  </w:num>
  <w:num w:numId="2">
    <w:abstractNumId w:val="19"/>
  </w:num>
  <w:num w:numId="3">
    <w:abstractNumId w:val="30"/>
  </w:num>
  <w:num w:numId="4">
    <w:abstractNumId w:val="11"/>
  </w:num>
  <w:num w:numId="5">
    <w:abstractNumId w:val="21"/>
  </w:num>
  <w:num w:numId="6">
    <w:abstractNumId w:val="24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0"/>
  </w:num>
  <w:num w:numId="11">
    <w:abstractNumId w:val="22"/>
  </w:num>
  <w:num w:numId="12">
    <w:abstractNumId w:val="12"/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6"/>
  </w:num>
  <w:num w:numId="16">
    <w:abstractNumId w:val="9"/>
  </w:num>
  <w:num w:numId="17">
    <w:abstractNumId w:val="14"/>
  </w:num>
  <w:num w:numId="18">
    <w:abstractNumId w:val="2"/>
  </w:num>
  <w:num w:numId="19">
    <w:abstractNumId w:val="15"/>
  </w:num>
  <w:num w:numId="20">
    <w:abstractNumId w:val="35"/>
  </w:num>
  <w:num w:numId="21">
    <w:abstractNumId w:val="5"/>
  </w:num>
  <w:num w:numId="22">
    <w:abstractNumId w:val="25"/>
  </w:num>
  <w:num w:numId="23">
    <w:abstractNumId w:val="4"/>
  </w:num>
  <w:num w:numId="24">
    <w:abstractNumId w:val="32"/>
  </w:num>
  <w:num w:numId="25">
    <w:abstractNumId w:val="27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3"/>
  </w:num>
  <w:num w:numId="29">
    <w:abstractNumId w:val="1"/>
  </w:num>
  <w:num w:numId="30">
    <w:abstractNumId w:val="7"/>
  </w:num>
  <w:num w:numId="31">
    <w:abstractNumId w:val="23"/>
  </w:num>
  <w:num w:numId="32">
    <w:abstractNumId w:val="17"/>
  </w:num>
  <w:num w:numId="33">
    <w:abstractNumId w:val="31"/>
  </w:num>
  <w:num w:numId="34">
    <w:abstractNumId w:val="18"/>
  </w:num>
  <w:num w:numId="35">
    <w:abstractNumId w:val="8"/>
  </w:num>
  <w:num w:numId="36">
    <w:abstractNumId w:val="34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 w:hint="cs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outlineLvl w:val="0"/>
    </w:pPr>
  </w:style>
  <w:style w:type="paragraph" w:styleId="Heading2">
    <w:name w:val="heading 2"/>
    <w:basedOn w:val="Normal"/>
    <w:next w:val="Normal"/>
    <w:link w:val="Nadpis2Char"/>
    <w:uiPriority w:val="9"/>
    <w:qFormat/>
    <w:pPr>
      <w:outlineLvl w:val="1"/>
    </w:p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link w:val="Nadpis4Char"/>
    <w:uiPriority w:val="9"/>
    <w:qFormat/>
    <w:pPr>
      <w:keepNext/>
      <w:ind w:left="3969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link w:val="Nadpis5Char"/>
    <w:uiPriority w:val="9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Nadpis6Char"/>
    <w:uiPriority w:val="9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link w:val="Nadpis7Char"/>
    <w:uiPriority w:val="9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link w:val="Nadpis8Char"/>
    <w:uiPriority w:val="9"/>
    <w:qFormat/>
    <w:pPr>
      <w:keepNext/>
      <w:ind w:left="2835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link w:val="Nadpis9Char"/>
    <w:uiPriority w:val="9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/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eastAsia="Times New Roman" w:hAnsi="Cambria" w:cs="Times New Roman" w:hint="eastAsia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="Cambria" w:eastAsia="Times New Roman" w:hAnsi="Cambria" w:cs="Times New Roman" w:hint="eastAsia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eastAsia="Times New Roman" w:hAnsi="Cambria" w:cs="Times New Roman" w:hint="eastAsia"/>
      <w:b/>
      <w:bCs/>
      <w:sz w:val="26"/>
      <w:szCs w:val="26"/>
      <w:rtl w:val="0"/>
      <w:cs w:val="0"/>
    </w:rPr>
  </w:style>
  <w:style w:type="character" w:customStyle="1" w:styleId="Nadpis4Char">
    <w:name w:val="Nadpis 4 Char"/>
    <w:basedOn w:val="DefaultParagraphFont"/>
    <w:link w:val="Heading4"/>
    <w:uiPriority w:val="9"/>
    <w:semiHidden/>
    <w:locked/>
    <w:rPr>
      <w:rFonts w:ascii="Calibri" w:eastAsia="Times New Roman" w:hAnsi="Calibri" w:cs="Times New Roman" w:hint="eastAsia"/>
      <w:b/>
      <w:bCs/>
      <w:sz w:val="28"/>
      <w:szCs w:val="28"/>
      <w:rtl w:val="0"/>
      <w:cs w:val="0"/>
    </w:rPr>
  </w:style>
  <w:style w:type="character" w:customStyle="1" w:styleId="Nadpis5Char">
    <w:name w:val="Nadpis 5 Char"/>
    <w:basedOn w:val="DefaultParagraphFont"/>
    <w:link w:val="Heading5"/>
    <w:uiPriority w:val="9"/>
    <w:semiHidden/>
    <w:locked/>
    <w:rPr>
      <w:rFonts w:ascii="Calibri" w:eastAsia="Times New Roman" w:hAnsi="Calibri" w:cs="Times New Roman" w:hint="eastAsia"/>
      <w:b/>
      <w:bCs/>
      <w:i/>
      <w:iCs/>
      <w:sz w:val="26"/>
      <w:szCs w:val="26"/>
      <w:rtl w:val="0"/>
      <w:cs w:val="0"/>
    </w:rPr>
  </w:style>
  <w:style w:type="character" w:customStyle="1" w:styleId="Nadpis6Char">
    <w:name w:val="Nadpis 6 Char"/>
    <w:basedOn w:val="DefaultParagraphFont"/>
    <w:link w:val="Heading6"/>
    <w:uiPriority w:val="9"/>
    <w:semiHidden/>
    <w:locked/>
    <w:rPr>
      <w:rFonts w:ascii="Calibri" w:eastAsia="Times New Roman" w:hAnsi="Calibri" w:cs="Times New Roman" w:hint="eastAsia"/>
      <w:b/>
      <w:bCs/>
      <w:sz w:val="22"/>
      <w:szCs w:val="22"/>
      <w:rtl w:val="0"/>
      <w:cs w:val="0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Pr>
      <w:rFonts w:ascii="Calibri" w:eastAsia="Times New Roman" w:hAnsi="Calibri" w:cs="Times New Roman" w:hint="eastAsia"/>
      <w:sz w:val="24"/>
      <w:szCs w:val="24"/>
      <w:rtl w:val="0"/>
      <w:cs w:val="0"/>
    </w:rPr>
  </w:style>
  <w:style w:type="character" w:customStyle="1" w:styleId="Nadpis8Char">
    <w:name w:val="Nadpis 8 Char"/>
    <w:basedOn w:val="DefaultParagraphFont"/>
    <w:link w:val="Heading8"/>
    <w:uiPriority w:val="9"/>
    <w:semiHidden/>
    <w:locked/>
    <w:rPr>
      <w:rFonts w:ascii="Calibri" w:eastAsia="Times New Roman" w:hAnsi="Calibri" w:cs="Times New Roman" w:hint="eastAsia"/>
      <w:i/>
      <w:iCs/>
      <w:sz w:val="24"/>
      <w:szCs w:val="24"/>
      <w:rtl w:val="0"/>
      <w:cs w:val="0"/>
    </w:rPr>
  </w:style>
  <w:style w:type="character" w:customStyle="1" w:styleId="Nadpis9Char">
    <w:name w:val="Nadpis 9 Char"/>
    <w:basedOn w:val="DefaultParagraphFont"/>
    <w:link w:val="Heading9"/>
    <w:uiPriority w:val="9"/>
    <w:semiHidden/>
    <w:locked/>
    <w:rPr>
      <w:rFonts w:ascii="Cambria" w:eastAsia="Times New Roman" w:hAnsi="Cambria" w:cs="Times New Roman" w:hint="eastAsia"/>
      <w:sz w:val="22"/>
      <w:szCs w:val="22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ind w:left="3960"/>
    </w:pPr>
    <w:rPr>
      <w:rFonts w:ascii="Times New Roman" w:hAnsi="Times New Roman" w:cs="Times New Roman"/>
    </w:r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2880"/>
      <w:jc w:val="both"/>
    </w:pPr>
    <w:rPr>
      <w:rFonts w:ascii="Times New Roman" w:hAnsi="Times New Roman" w:cs="Times New Roman"/>
    </w:r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rFonts w:ascii="Times New Roman" w:hAnsi="Times New Roman" w:cs="Times New Roman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styleId="BodyTextIndent3">
    <w:name w:val="Body Text Indent 3"/>
    <w:basedOn w:val="Normal"/>
    <w:link w:val="Zarkazkladnhotextu3Char"/>
    <w:uiPriority w:val="99"/>
    <w:pPr>
      <w:ind w:left="2835"/>
    </w:pPr>
    <w:rPr>
      <w:rFonts w:ascii="Times New Roman" w:hAnsi="Times New Roman" w:cs="Times New Roman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pPr>
      <w:widowControl/>
      <w:autoSpaceDE/>
      <w:autoSpaceDN/>
      <w:adjustRightInd/>
      <w:spacing w:after="120" w:line="480" w:lineRule="auto"/>
    </w:pPr>
    <w:rPr>
      <w:rFonts w:ascii="Times New Roman" w:hAnsi="Times New Roman" w:cs="Times New Roman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64FD"/>
    <w:rPr>
      <w:rFonts w:cs="Times New Roman" w:hint="cs"/>
      <w:sz w:val="24"/>
      <w:rtl w:val="0"/>
      <w:cs w:val="0"/>
      <w:lang w:val="cs-CZ" w:eastAsia="cs-CZ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uiPriority w:val="22"/>
    <w:qFormat/>
    <w:rPr>
      <w:rFonts w:cs="Times New Roman" w:hint="cs"/>
      <w:b/>
      <w:rtl w:val="0"/>
      <w:cs w:val="0"/>
    </w:rPr>
  </w:style>
  <w:style w:type="paragraph" w:styleId="BodyText3">
    <w:name w:val="Body Text 3"/>
    <w:basedOn w:val="Normal"/>
    <w:link w:val="Zkladntext3Char"/>
    <w:uiPriority w:val="9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DefaultParagraphFont"/>
    <w:link w:val="BodyText3"/>
    <w:uiPriority w:val="99"/>
    <w:semiHidden/>
    <w:locked/>
    <w:rPr>
      <w:rFonts w:ascii="Arial" w:hAnsi="Arial" w:cs="Arial" w:hint="cs"/>
      <w:sz w:val="16"/>
      <w:szCs w:val="1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 w:hint="cs"/>
      <w:sz w:val="16"/>
      <w:szCs w:val="16"/>
      <w:rtl w:val="0"/>
      <w:cs w:val="0"/>
    </w:rPr>
  </w:style>
  <w:style w:type="paragraph" w:styleId="Footer">
    <w:name w:val="footer"/>
    <w:basedOn w:val="Normal"/>
    <w:link w:val="PtaChar"/>
    <w:uiPriority w:val="99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Times New Roman" w:hAnsi="Times New Roman" w:cs="Times New Roman"/>
    </w:r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ascii="Arial" w:hAnsi="Arial" w:cs="Arial" w:hint="cs"/>
      <w:sz w:val="24"/>
      <w:szCs w:val="24"/>
      <w:rtl w:val="0"/>
      <w:cs w:val="0"/>
    </w:rPr>
  </w:style>
  <w:style w:type="paragraph" w:customStyle="1" w:styleId="odsek">
    <w:name w:val="odsek"/>
    <w:basedOn w:val="Normal"/>
    <w:pPr>
      <w:keepNext/>
      <w:widowControl/>
      <w:autoSpaceDE/>
      <w:autoSpaceDN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widowControl/>
      <w:numPr>
        <w:ilvl w:val="1"/>
        <w:numId w:val="1"/>
      </w:numPr>
      <w:tabs>
        <w:tab w:val="num" w:pos="1077"/>
      </w:tabs>
      <w:autoSpaceDE/>
      <w:autoSpaceDN/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link w:val="NzovChar"/>
    <w:uiPriority w:val="10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04759F"/>
    <w:rPr>
      <w:rFonts w:ascii="AT*Toronto" w:hAnsi="AT*Toronto" w:cs="Times New Roman" w:hint="cs"/>
      <w:b/>
      <w:sz w:val="32"/>
      <w:rtl w:val="0"/>
      <w:cs w:val="0"/>
    </w:rPr>
  </w:style>
  <w:style w:type="character" w:styleId="PageNumber">
    <w:name w:val="page number"/>
    <w:basedOn w:val="DefaultParagraphFont"/>
    <w:uiPriority w:val="99"/>
    <w:rPr>
      <w:rFonts w:cs="Times New Roman" w:hint="cs"/>
      <w:rtl w:val="0"/>
      <w:cs w:val="0"/>
    </w:rPr>
  </w:style>
  <w:style w:type="paragraph" w:customStyle="1" w:styleId="Odstavec">
    <w:name w:val="Odstavec"/>
    <w:basedOn w:val="Normal"/>
    <w:rsid w:val="0084768B"/>
    <w:pPr>
      <w:widowControl/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  <w:lang w:eastAsia="cs-CZ"/>
    </w:rPr>
  </w:style>
  <w:style w:type="paragraph" w:styleId="NormalWeb">
    <w:name w:val="Normal (Web)"/>
    <w:basedOn w:val="Normal"/>
    <w:uiPriority w:val="99"/>
    <w:rsid w:val="0084768B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aliases w:val="Odsek,Odsek zoznamu1,Odsek zoznamu2,Odsek zákon,body"/>
    <w:basedOn w:val="Normal"/>
    <w:link w:val="OdsekzoznamuChar"/>
    <w:uiPriority w:val="34"/>
    <w:qFormat/>
    <w:rsid w:val="00E5463F"/>
    <w:pPr>
      <w:widowControl/>
      <w:autoSpaceDE/>
      <w:autoSpaceDN/>
      <w:adjustRightInd/>
      <w:ind w:left="708"/>
    </w:pPr>
    <w:rPr>
      <w:rFonts w:ascii="Times New Roman" w:hAnsi="Times New Roman" w:cs="Times New Roman"/>
      <w:noProof/>
    </w:rPr>
  </w:style>
  <w:style w:type="paragraph" w:customStyle="1" w:styleId="CharCharCharCharChar">
    <w:name w:val="Char Char Char Char Char"/>
    <w:basedOn w:val="Normal"/>
    <w:rsid w:val="00272E1C"/>
    <w:pPr>
      <w:widowControl/>
      <w:autoSpaceDE/>
      <w:autoSpaceDN/>
      <w:adjustRightInd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character" w:styleId="PlaceholderText">
    <w:name w:val="Placeholder Text"/>
    <w:basedOn w:val="DefaultParagraphFont"/>
    <w:uiPriority w:val="99"/>
    <w:rsid w:val="00E73AB6"/>
    <w:rPr>
      <w:rFonts w:ascii="Times New Roman" w:hAnsi="Times New Roman" w:cs="Times New Roman" w:hint="cs"/>
      <w:color w:val="808080"/>
      <w:rtl w:val="0"/>
      <w:cs w:val="0"/>
    </w:rPr>
  </w:style>
  <w:style w:type="paragraph" w:customStyle="1" w:styleId="msolistparagraph">
    <w:name w:val="msolistparagraph"/>
    <w:basedOn w:val="Normal"/>
    <w:rsid w:val="00CB1E5A"/>
    <w:pPr>
      <w:widowControl/>
      <w:autoSpaceDE/>
      <w:autoSpaceDN/>
      <w:adjustRightInd/>
      <w:ind w:left="720"/>
    </w:pPr>
    <w:rPr>
      <w:rFonts w:ascii="Calibri" w:hAnsi="Calibri" w:cs="Times New Roman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1060EF"/>
    <w:rPr>
      <w:rFonts w:cs="Times New Roman" w:hint="cs"/>
      <w:i/>
      <w:rtl w:val="0"/>
      <w:cs w:val="0"/>
    </w:rPr>
  </w:style>
  <w:style w:type="character" w:customStyle="1" w:styleId="ppp-msummppp-box-common">
    <w:name w:val="ppp-msumm ppp-box-common"/>
    <w:basedOn w:val="DefaultParagraphFont"/>
    <w:rsid w:val="002F440F"/>
    <w:rPr>
      <w:rFonts w:cs="Times New Roman" w:hint="cs"/>
      <w:rtl w:val="0"/>
      <w:cs w:val="0"/>
    </w:rPr>
  </w:style>
  <w:style w:type="character" w:customStyle="1" w:styleId="ppp-input-value">
    <w:name w:val="ppp-input-value"/>
    <w:rsid w:val="00A14F9C"/>
  </w:style>
  <w:style w:type="paragraph" w:customStyle="1" w:styleId="tl7">
    <w:name w:val="Štýl7"/>
    <w:basedOn w:val="Normal"/>
    <w:rsid w:val="00C47C33"/>
    <w:pPr>
      <w:widowControl/>
      <w:autoSpaceDE/>
      <w:autoSpaceDN/>
      <w:adjustRightInd/>
      <w:jc w:val="both"/>
    </w:pPr>
    <w:rPr>
      <w:rFonts w:ascii="Times New Roman" w:hAnsi="Times New Roman" w:cs="Times New Roman"/>
    </w:rPr>
  </w:style>
  <w:style w:type="character" w:customStyle="1" w:styleId="Textzstupnhosymbolu1">
    <w:name w:val="Text zástupného symbolu1"/>
    <w:semiHidden/>
    <w:rsid w:val="00E64F63"/>
    <w:rPr>
      <w:rFonts w:ascii="Times New Roman" w:hAnsi="Times New Roman"/>
      <w:color w:val="808080"/>
    </w:rPr>
  </w:style>
  <w:style w:type="paragraph" w:styleId="FootnoteText">
    <w:name w:val="footnote text"/>
    <w:basedOn w:val="Normal"/>
    <w:link w:val="TextpoznmkypodiarouChar"/>
    <w:uiPriority w:val="99"/>
    <w:semiHidden/>
    <w:rsid w:val="00EE64FD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EE64FD"/>
    <w:rPr>
      <w:rFonts w:cs="Times New Roman" w:hint="cs"/>
      <w:rtl w:val="0"/>
      <w:cs w:val="0"/>
      <w:lang w:val="sk-SK" w:eastAsia="sk-SK"/>
    </w:rPr>
  </w:style>
  <w:style w:type="character" w:styleId="FootnoteReference">
    <w:name w:val="footnote reference"/>
    <w:aliases w:val="Appel note de bas de p,BVI fnr,Footnote,Footnote symbol,Nota,SUPERS"/>
    <w:basedOn w:val="DefaultParagraphFont"/>
    <w:uiPriority w:val="99"/>
    <w:semiHidden/>
    <w:rsid w:val="00EE64FD"/>
    <w:rPr>
      <w:rFonts w:cs="Times New Roman" w:hint="cs"/>
      <w:vertAlign w:val="superscript"/>
      <w:rtl w:val="0"/>
      <w:cs w:val="0"/>
    </w:rPr>
  </w:style>
  <w:style w:type="paragraph" w:styleId="NoSpacing">
    <w:name w:val="No Spacing"/>
    <w:link w:val="BezriadkovaniaChar"/>
    <w:uiPriority w:val="1"/>
    <w:qFormat/>
    <w:rsid w:val="00EE64F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 w:hint="cs"/>
      <w:sz w:val="24"/>
      <w:szCs w:val="24"/>
      <w:rtl w:val="0"/>
      <w:cs w:val="0"/>
      <w:lang w:val="sk-SK" w:eastAsia="sk-SK" w:bidi="ar-SA"/>
    </w:rPr>
  </w:style>
  <w:style w:type="character" w:customStyle="1" w:styleId="Zkladntext3Niekurzva">
    <w:name w:val="Základný text (3) + Nie kurzíva"/>
    <w:aliases w:val="Riadkovanie 0 pt"/>
    <w:rsid w:val="00ED78ED"/>
    <w:rPr>
      <w:spacing w:val="5"/>
      <w:sz w:val="19"/>
      <w:shd w:val="clear" w:color="auto" w:fill="FFFFFF"/>
    </w:rPr>
  </w:style>
  <w:style w:type="paragraph" w:styleId="PlainText">
    <w:name w:val="Plain Text"/>
    <w:basedOn w:val="Normal"/>
    <w:link w:val="ObyajntextChar"/>
    <w:uiPriority w:val="99"/>
    <w:rsid w:val="00313A2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313A20"/>
    <w:rPr>
      <w:rFonts w:ascii="Courier New" w:hAnsi="Courier New" w:cs="Courier New" w:hint="cs"/>
      <w:rtl w:val="0"/>
      <w:cs w:val="0"/>
    </w:rPr>
  </w:style>
  <w:style w:type="character" w:customStyle="1" w:styleId="Znakyprepoznmkupodiarou">
    <w:name w:val="Znaky pre poznámku pod čiarou"/>
    <w:rsid w:val="00313A20"/>
    <w:rPr>
      <w:vertAlign w:val="superscript"/>
    </w:rPr>
  </w:style>
  <w:style w:type="paragraph" w:customStyle="1" w:styleId="Textkomentra1">
    <w:name w:val="Text komentára1"/>
    <w:basedOn w:val="Normal"/>
    <w:rsid w:val="00313A20"/>
    <w:pPr>
      <w:widowControl/>
      <w:suppressAutoHyphens/>
      <w:autoSpaceDE/>
      <w:autoSpaceDN/>
      <w:adjustRightInd/>
      <w:spacing w:after="160" w:line="256" w:lineRule="auto"/>
    </w:pPr>
    <w:rPr>
      <w:rFonts w:ascii="Calibri" w:hAnsi="Calibri" w:cs="Times New Roman"/>
      <w:sz w:val="20"/>
      <w:szCs w:val="20"/>
      <w:lang w:eastAsia="ar-SA"/>
    </w:rPr>
  </w:style>
  <w:style w:type="paragraph" w:customStyle="1" w:styleId="Nzovvyhlky">
    <w:name w:val="Názov vyhlášky"/>
    <w:basedOn w:val="Normal"/>
    <w:rsid w:val="00313A20"/>
    <w:pPr>
      <w:widowControl/>
      <w:autoSpaceDE/>
      <w:autoSpaceDN/>
      <w:adjustRightInd/>
      <w:spacing w:after="200" w:afterLines="100"/>
      <w:jc w:val="center"/>
    </w:pPr>
    <w:rPr>
      <w:rFonts w:ascii="Times New Roman" w:hAnsi="Times New Roman" w:cs="Times New Roman"/>
      <w:b/>
      <w:lang w:val="cs-CZ" w:eastAsia="cs-CZ"/>
    </w:rPr>
  </w:style>
  <w:style w:type="character" w:styleId="CommentReference">
    <w:name w:val="annotation reference"/>
    <w:basedOn w:val="DefaultParagraphFont"/>
    <w:uiPriority w:val="99"/>
    <w:rsid w:val="00F25130"/>
    <w:rPr>
      <w:rFonts w:cs="Times New Roman" w:hint="cs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rsid w:val="00F25130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25130"/>
    <w:rPr>
      <w:rFonts w:cs="Times New Roman" w:hint="cs"/>
      <w:rtl w:val="0"/>
      <w:cs w:val="0"/>
    </w:rPr>
  </w:style>
  <w:style w:type="paragraph" w:customStyle="1" w:styleId="Default">
    <w:name w:val="Default"/>
    <w:rsid w:val="00F25130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 w:hint="cs"/>
      <w:color w:val="000000"/>
      <w:sz w:val="24"/>
      <w:szCs w:val="24"/>
      <w:rtl w:val="0"/>
      <w:cs w:val="0"/>
      <w:lang w:val="sk-SK" w:eastAsia="sk-SK" w:bidi="ar-SA"/>
    </w:rPr>
  </w:style>
  <w:style w:type="character" w:customStyle="1" w:styleId="OdsekzoznamuChar">
    <w:name w:val="Odsek zoznamu Char"/>
    <w:aliases w:val="Odsek Char,Odsek zoznamu1 Char,Odsek zoznamu2 Char,Odsek zákon Char,body Char"/>
    <w:link w:val="ListParagraph"/>
    <w:uiPriority w:val="34"/>
    <w:locked/>
    <w:rsid w:val="00F25130"/>
    <w:rPr>
      <w:noProof/>
      <w:sz w:val="24"/>
    </w:rPr>
  </w:style>
  <w:style w:type="paragraph" w:customStyle="1" w:styleId="PSMENO">
    <w:name w:val="PÍSMENO"/>
    <w:basedOn w:val="Normal"/>
    <w:link w:val="PSMENOChar"/>
    <w:qFormat/>
    <w:rsid w:val="00D71AB1"/>
    <w:pPr>
      <w:widowControl/>
      <w:numPr>
        <w:numId w:val="25"/>
      </w:numPr>
      <w:autoSpaceDE/>
      <w:autoSpaceDN/>
      <w:adjustRightInd/>
      <w:ind w:left="1211" w:hanging="360"/>
    </w:pPr>
    <w:rPr>
      <w:rFonts w:ascii="Calibri" w:hAnsi="Calibri" w:cs="Times New Roman"/>
      <w:sz w:val="22"/>
      <w:szCs w:val="22"/>
      <w:lang w:eastAsia="en-US"/>
    </w:rPr>
  </w:style>
  <w:style w:type="character" w:customStyle="1" w:styleId="PSMENOChar">
    <w:name w:val="PÍSMENO Char"/>
    <w:link w:val="PSMENO"/>
    <w:locked/>
    <w:rsid w:val="00D71AB1"/>
    <w:rPr>
      <w:rFonts w:ascii="Calibri" w:hAnsi="Calibri"/>
      <w:sz w:val="22"/>
      <w:lang w:eastAsia="en-US"/>
    </w:rPr>
  </w:style>
  <w:style w:type="paragraph" w:customStyle="1" w:styleId="gmail-msolistparagraph">
    <w:name w:val="gmail-msolistparagraph"/>
    <w:basedOn w:val="Normal"/>
    <w:rsid w:val="00EE557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Odstavecseseznamem">
    <w:name w:val="Odstavec se seznamem"/>
    <w:basedOn w:val="Normal"/>
    <w:uiPriority w:val="99"/>
    <w:rsid w:val="000E5DAA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rsid w:val="00B346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locked/>
    <w:rsid w:val="00B346E0"/>
    <w:rPr>
      <w:rFonts w:ascii="Arial" w:hAnsi="Arial" w:cs="Arial"/>
      <w:b/>
      <w:bCs/>
    </w:rPr>
  </w:style>
  <w:style w:type="paragraph" w:customStyle="1" w:styleId="Abecednzoznam">
    <w:name w:val="Abecedný zoznam"/>
    <w:basedOn w:val="ListParagraph"/>
    <w:uiPriority w:val="99"/>
    <w:rsid w:val="00B122BB"/>
    <w:pPr>
      <w:numPr>
        <w:numId w:val="29"/>
      </w:numPr>
      <w:tabs>
        <w:tab w:val="left" w:pos="1134"/>
      </w:tabs>
      <w:spacing w:before="120" w:after="120"/>
      <w:ind w:left="360" w:hanging="360"/>
      <w:jc w:val="both"/>
    </w:pPr>
    <w:rPr>
      <w:rFonts w:ascii="Times New Roman" w:hAnsi="Times New Roman"/>
      <w:noProof w:val="0"/>
      <w:szCs w:val="20"/>
    </w:rPr>
  </w:style>
  <w:style w:type="character" w:customStyle="1" w:styleId="BezriadkovaniaChar">
    <w:name w:val="Bez riadkovania Char"/>
    <w:link w:val="NoSpacing"/>
    <w:uiPriority w:val="1"/>
    <w:locked/>
    <w:rsid w:val="00B122BB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</TotalTime>
  <Pages>5</Pages>
  <Words>1466</Words>
  <Characters>8362</Characters>
  <Application>Microsoft Office Word</Application>
  <DocSecurity>0</DocSecurity>
  <Lines>0</Lines>
  <Paragraphs>0</Paragraphs>
  <ScaleCrop>false</ScaleCrop>
  <Company>Kancelária NR SR</Company>
  <LinksUpToDate>false</LinksUpToDate>
  <CharactersWithSpaces>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Egyenesová, Eva</cp:lastModifiedBy>
  <cp:revision>8</cp:revision>
  <cp:lastPrinted>2018-05-07T11:14:00Z</cp:lastPrinted>
  <dcterms:created xsi:type="dcterms:W3CDTF">2019-06-12T10:58:00Z</dcterms:created>
  <dcterms:modified xsi:type="dcterms:W3CDTF">2019-06-18T14:08:00Z</dcterms:modified>
</cp:coreProperties>
</file>