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98" w:rsidRDefault="00537098" w:rsidP="00537098">
      <w:pPr>
        <w:pStyle w:val="Nadpis2"/>
        <w:ind w:hanging="3649"/>
        <w:jc w:val="left"/>
      </w:pPr>
      <w:r>
        <w:t>ÚSTAVNOPRÁVNY VÝBOR</w:t>
      </w:r>
    </w:p>
    <w:p w:rsidR="00537098" w:rsidRDefault="00537098" w:rsidP="00537098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537098" w:rsidRDefault="00537098" w:rsidP="005370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9C558B">
        <w:t>100</w:t>
      </w:r>
      <w:r>
        <w:t>. schôdza</w:t>
      </w:r>
    </w:p>
    <w:p w:rsidR="00537098" w:rsidRDefault="00537098" w:rsidP="00537098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250732">
        <w:t>554</w:t>
      </w:r>
      <w:r w:rsidRPr="00F607F2">
        <w:t>/</w:t>
      </w:r>
      <w:r>
        <w:t>2019</w:t>
      </w:r>
    </w:p>
    <w:p w:rsidR="00537098" w:rsidRDefault="00537098" w:rsidP="00537098"/>
    <w:p w:rsidR="00537098" w:rsidRDefault="007A1877" w:rsidP="0053709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636</w:t>
      </w:r>
    </w:p>
    <w:p w:rsidR="00537098" w:rsidRDefault="00537098" w:rsidP="00537098">
      <w:pPr>
        <w:jc w:val="center"/>
        <w:rPr>
          <w:b/>
        </w:rPr>
      </w:pPr>
      <w:r>
        <w:rPr>
          <w:b/>
        </w:rPr>
        <w:t>U z n e s e n i e</w:t>
      </w:r>
    </w:p>
    <w:p w:rsidR="00537098" w:rsidRDefault="00537098" w:rsidP="0053709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537098" w:rsidRPr="00F2271F" w:rsidRDefault="00537098" w:rsidP="00537098">
      <w:pPr>
        <w:jc w:val="center"/>
        <w:rPr>
          <w:b/>
        </w:rPr>
      </w:pPr>
      <w:r w:rsidRPr="00F2271F">
        <w:rPr>
          <w:b/>
        </w:rPr>
        <w:t>z 11. júna 2019</w:t>
      </w:r>
    </w:p>
    <w:p w:rsidR="00537098" w:rsidRPr="00250732" w:rsidRDefault="00537098" w:rsidP="005370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537098" w:rsidRPr="00250732" w:rsidRDefault="00537098" w:rsidP="006A7105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proofErr w:type="gramStart"/>
      <w:r w:rsidRPr="00250732">
        <w:rPr>
          <w:color w:val="333333"/>
          <w:sz w:val="24"/>
        </w:rPr>
        <w:t>k </w:t>
      </w:r>
      <w:proofErr w:type="spellStart"/>
      <w:r w:rsidR="006A7105" w:rsidRPr="00250732">
        <w:rPr>
          <w:rStyle w:val="awspan1"/>
        </w:rPr>
        <w:t>návrhu</w:t>
      </w:r>
      <w:proofErr w:type="spellEnd"/>
      <w:r w:rsidR="00250732" w:rsidRPr="00250732">
        <w:rPr>
          <w:rStyle w:val="Nadpis2Char"/>
        </w:rPr>
        <w:t xml:space="preserve"> </w:t>
      </w:r>
      <w:r w:rsidR="00250732" w:rsidRPr="00250732">
        <w:rPr>
          <w:color w:val="000000"/>
          <w:sz w:val="24"/>
          <w:lang w:val="sk-SK"/>
        </w:rPr>
        <w:t>poslancov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Národnej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rady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Slovenskej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republiky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Róberta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PUCIHO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Maroša KONDRÓTA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na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vydanie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zákona,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ktorým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sa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mení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dopĺňa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č.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541/2004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Z.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z.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o mierovom využívaní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jadrovej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energie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(atómový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zákon)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o zmene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doplnení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niektorých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zákonov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v znení neskorších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predpisov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o zmene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doplnení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zákona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č.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50/1976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Zb.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o územnom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>
        <w:rPr>
          <w:color w:val="000000"/>
          <w:sz w:val="24"/>
          <w:lang w:val="sk-SK"/>
        </w:rPr>
        <w:t xml:space="preserve">plánovaní </w:t>
      </w:r>
      <w:r w:rsidR="00250732" w:rsidRPr="00250732">
        <w:rPr>
          <w:color w:val="000000"/>
          <w:sz w:val="24"/>
          <w:lang w:val="sk-SK"/>
        </w:rPr>
        <w:t xml:space="preserve">a </w:t>
      </w:r>
      <w:r w:rsidR="00250732">
        <w:rPr>
          <w:color w:val="000000"/>
          <w:sz w:val="24"/>
          <w:lang w:val="sk-SK"/>
        </w:rPr>
        <w:t> </w:t>
      </w:r>
      <w:r w:rsidR="00250732" w:rsidRPr="00250732">
        <w:rPr>
          <w:color w:val="000000"/>
          <w:sz w:val="24"/>
          <w:lang w:val="sk-SK"/>
        </w:rPr>
        <w:t>stavebnom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poriadku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(stavebný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zákon)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v znení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neskorších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predpisov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(tlač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1372)</w:t>
      </w:r>
      <w:proofErr w:type="gramEnd"/>
      <w:r w:rsidR="00250732" w:rsidRPr="00250732">
        <w:rPr>
          <w:color w:val="000000"/>
          <w:spacing w:val="15"/>
          <w:sz w:val="24"/>
          <w:lang w:val="sk-SK"/>
        </w:rPr>
        <w:t xml:space="preserve"> </w:t>
      </w:r>
    </w:p>
    <w:p w:rsidR="00BF567E" w:rsidRPr="006A7105" w:rsidRDefault="00BF567E" w:rsidP="00537098">
      <w:pPr>
        <w:tabs>
          <w:tab w:val="left" w:pos="851"/>
          <w:tab w:val="left" w:pos="993"/>
        </w:tabs>
      </w:pPr>
    </w:p>
    <w:p w:rsidR="00537098" w:rsidRPr="00A241CE" w:rsidRDefault="00537098" w:rsidP="00537098">
      <w:pPr>
        <w:tabs>
          <w:tab w:val="left" w:pos="851"/>
          <w:tab w:val="left" w:pos="993"/>
        </w:tabs>
        <w:rPr>
          <w:b/>
          <w:lang w:eastAsia="en-US"/>
        </w:rPr>
      </w:pPr>
      <w:r w:rsidRPr="00A241CE">
        <w:tab/>
      </w:r>
      <w:r w:rsidRPr="00A241CE">
        <w:rPr>
          <w:b/>
        </w:rPr>
        <w:t>Ústavnoprávny výbor Národnej rady Slovenskej republiky</w:t>
      </w:r>
    </w:p>
    <w:p w:rsidR="00537098" w:rsidRPr="00A241CE" w:rsidRDefault="00537098" w:rsidP="00537098">
      <w:pPr>
        <w:tabs>
          <w:tab w:val="left" w:pos="851"/>
          <w:tab w:val="left" w:pos="993"/>
        </w:tabs>
        <w:jc w:val="both"/>
        <w:rPr>
          <w:b/>
        </w:rPr>
      </w:pPr>
    </w:p>
    <w:p w:rsidR="00537098" w:rsidRPr="00A241CE" w:rsidRDefault="00537098" w:rsidP="005370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241CE">
        <w:rPr>
          <w:b/>
        </w:rPr>
        <w:tab/>
        <w:t>A.  s ú h l a s í</w:t>
      </w:r>
      <w:r w:rsidRPr="00A241CE">
        <w:t xml:space="preserve"> </w:t>
      </w:r>
    </w:p>
    <w:p w:rsidR="00537098" w:rsidRPr="006A7105" w:rsidRDefault="00537098" w:rsidP="00537098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50732" w:rsidRPr="00250732" w:rsidRDefault="00537098" w:rsidP="00250732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6A7105">
        <w:rPr>
          <w:sz w:val="24"/>
        </w:rPr>
        <w:tab/>
      </w:r>
      <w:r w:rsidRPr="006A7105">
        <w:rPr>
          <w:sz w:val="24"/>
        </w:rPr>
        <w:tab/>
        <w:t xml:space="preserve">        </w:t>
      </w:r>
      <w:proofErr w:type="gramStart"/>
      <w:r w:rsidRPr="006A7105">
        <w:rPr>
          <w:sz w:val="24"/>
        </w:rPr>
        <w:t xml:space="preserve">s </w:t>
      </w:r>
      <w:proofErr w:type="spellStart"/>
      <w:r w:rsidR="006A7105" w:rsidRPr="006A7105">
        <w:rPr>
          <w:sz w:val="24"/>
        </w:rPr>
        <w:t>n</w:t>
      </w:r>
      <w:r w:rsidRPr="006A7105">
        <w:rPr>
          <w:rFonts w:cs="Arial"/>
          <w:noProof/>
          <w:sz w:val="24"/>
        </w:rPr>
        <w:t>ávrhom</w:t>
      </w:r>
      <w:proofErr w:type="spellEnd"/>
      <w:r w:rsidRPr="006A7105">
        <w:rPr>
          <w:rFonts w:cs="Arial"/>
          <w:noProof/>
          <w:sz w:val="24"/>
        </w:rPr>
        <w:t xml:space="preserve"> </w:t>
      </w:r>
      <w:r w:rsidR="00250732" w:rsidRPr="00250732">
        <w:rPr>
          <w:color w:val="000000"/>
          <w:sz w:val="24"/>
          <w:lang w:val="sk-SK"/>
        </w:rPr>
        <w:t>poslancov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Národnej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rady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Slovenskej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republiky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Róberta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PUCIHO</w:t>
      </w:r>
      <w:r w:rsid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 xml:space="preserve">a </w:t>
      </w:r>
      <w:r w:rsidR="00250732">
        <w:rPr>
          <w:color w:val="000000"/>
          <w:sz w:val="24"/>
          <w:lang w:val="sk-SK"/>
        </w:rPr>
        <w:t> </w:t>
      </w:r>
      <w:r w:rsidR="00250732" w:rsidRPr="00250732">
        <w:rPr>
          <w:color w:val="000000"/>
          <w:sz w:val="24"/>
          <w:lang w:val="sk-SK"/>
        </w:rPr>
        <w:t>Maroša KONDRÓTA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na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vydanie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zákona,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ktorým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sa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mení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dopĺňa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č.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541/2004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Z.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z.</w:t>
      </w:r>
      <w:r w:rsid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 xml:space="preserve">o </w:t>
      </w:r>
      <w:r w:rsidR="00250732">
        <w:rPr>
          <w:color w:val="000000"/>
          <w:sz w:val="24"/>
          <w:lang w:val="sk-SK"/>
        </w:rPr>
        <w:t> </w:t>
      </w:r>
      <w:r w:rsidR="00250732" w:rsidRPr="00250732">
        <w:rPr>
          <w:color w:val="000000"/>
          <w:sz w:val="24"/>
          <w:lang w:val="sk-SK"/>
        </w:rPr>
        <w:t>mierovom využívaní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jadrovej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energie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(atómový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zákon)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o zmene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doplnení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niektorých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zákonov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v znení neskorších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predpisov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o zmene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doplnení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zákona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č.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50/1976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Zb.</w:t>
      </w:r>
      <w:r w:rsid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 xml:space="preserve">o </w:t>
      </w:r>
      <w:r w:rsidR="00250732">
        <w:rPr>
          <w:color w:val="000000"/>
          <w:sz w:val="24"/>
          <w:lang w:val="sk-SK"/>
        </w:rPr>
        <w:t> </w:t>
      </w:r>
      <w:r w:rsidR="00250732" w:rsidRPr="00250732">
        <w:rPr>
          <w:color w:val="000000"/>
          <w:sz w:val="24"/>
          <w:lang w:val="sk-SK"/>
        </w:rPr>
        <w:t>územnom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>
        <w:rPr>
          <w:color w:val="000000"/>
          <w:sz w:val="24"/>
          <w:lang w:val="sk-SK"/>
        </w:rPr>
        <w:t xml:space="preserve">plánovaní </w:t>
      </w:r>
      <w:r w:rsidR="00250732" w:rsidRPr="00250732">
        <w:rPr>
          <w:color w:val="000000"/>
          <w:sz w:val="24"/>
          <w:lang w:val="sk-SK"/>
        </w:rPr>
        <w:t xml:space="preserve">a </w:t>
      </w:r>
      <w:r w:rsidR="00250732">
        <w:rPr>
          <w:color w:val="000000"/>
          <w:sz w:val="24"/>
          <w:lang w:val="sk-SK"/>
        </w:rPr>
        <w:t> </w:t>
      </w:r>
      <w:r w:rsidR="00250732" w:rsidRPr="00250732">
        <w:rPr>
          <w:color w:val="000000"/>
          <w:sz w:val="24"/>
          <w:lang w:val="sk-SK"/>
        </w:rPr>
        <w:t>stavebnom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poriadku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(stavebný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zákon)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v znení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neskorších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predpisov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(tlač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1372)</w:t>
      </w:r>
      <w:r w:rsidR="00250732">
        <w:rPr>
          <w:color w:val="000000"/>
          <w:sz w:val="24"/>
          <w:lang w:val="sk-SK"/>
        </w:rPr>
        <w:t>;</w:t>
      </w:r>
      <w:proofErr w:type="gramEnd"/>
      <w:r w:rsidR="00250732" w:rsidRPr="00250732">
        <w:rPr>
          <w:color w:val="000000"/>
          <w:spacing w:val="15"/>
          <w:sz w:val="24"/>
          <w:lang w:val="sk-SK"/>
        </w:rPr>
        <w:t xml:space="preserve"> </w:t>
      </w:r>
    </w:p>
    <w:p w:rsidR="00BF567E" w:rsidRPr="006A7105" w:rsidRDefault="00BF567E" w:rsidP="00537098">
      <w:pPr>
        <w:tabs>
          <w:tab w:val="left" w:pos="851"/>
          <w:tab w:val="left" w:pos="993"/>
        </w:tabs>
      </w:pPr>
    </w:p>
    <w:p w:rsidR="00537098" w:rsidRPr="00A241CE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241CE">
        <w:rPr>
          <w:b/>
        </w:rPr>
        <w:tab/>
        <w:t>  B.  o d p o r ú č a</w:t>
      </w:r>
    </w:p>
    <w:p w:rsidR="00537098" w:rsidRPr="00A241CE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537098" w:rsidRPr="00A241CE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241CE">
        <w:rPr>
          <w:b/>
        </w:rPr>
        <w:tab/>
      </w:r>
      <w:r w:rsidRPr="00A241CE">
        <w:rPr>
          <w:b/>
        </w:rPr>
        <w:tab/>
      </w:r>
      <w:r w:rsidRPr="00A241CE">
        <w:rPr>
          <w:b/>
        </w:rPr>
        <w:tab/>
        <w:t xml:space="preserve">    </w:t>
      </w:r>
      <w:r w:rsidRPr="00A241CE">
        <w:t>Národnej rade Slovenskej republiky</w:t>
      </w:r>
    </w:p>
    <w:p w:rsidR="00537098" w:rsidRPr="006A7105" w:rsidRDefault="00537098" w:rsidP="00537098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A241CE">
        <w:rPr>
          <w:rFonts w:cs="Arial"/>
          <w:noProof/>
          <w:sz w:val="24"/>
        </w:rPr>
        <w:tab/>
      </w:r>
      <w:r w:rsidRPr="00A241CE">
        <w:rPr>
          <w:rFonts w:cs="Arial"/>
          <w:noProof/>
          <w:sz w:val="24"/>
        </w:rPr>
        <w:tab/>
        <w:t xml:space="preserve">         </w:t>
      </w:r>
      <w:r w:rsidR="006A7105" w:rsidRPr="006A7105">
        <w:rPr>
          <w:color w:val="000000"/>
          <w:sz w:val="24"/>
          <w:lang w:val="sk-SK"/>
        </w:rPr>
        <w:t>návrh</w:t>
      </w:r>
      <w:r w:rsidR="006A7105" w:rsidRPr="006A7105">
        <w:rPr>
          <w:color w:val="000000"/>
          <w:spacing w:val="73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poslancov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Národnej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rady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Slovenskej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republiky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Róberta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PUCIHO</w:t>
      </w:r>
      <w:r w:rsid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 xml:space="preserve">a </w:t>
      </w:r>
      <w:r w:rsidR="00250732">
        <w:rPr>
          <w:color w:val="000000"/>
          <w:sz w:val="24"/>
          <w:lang w:val="sk-SK"/>
        </w:rPr>
        <w:t> </w:t>
      </w:r>
      <w:r w:rsidR="00250732" w:rsidRPr="00250732">
        <w:rPr>
          <w:color w:val="000000"/>
          <w:sz w:val="24"/>
          <w:lang w:val="sk-SK"/>
        </w:rPr>
        <w:t>Maroša KONDRÓTA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na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vydanie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zákona,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ktorým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sa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mení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dopĺňa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č.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541/2004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Z.</w:t>
      </w:r>
      <w:r w:rsidR="00250732" w:rsidRP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z.</w:t>
      </w:r>
      <w:r w:rsidR="00250732">
        <w:rPr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 xml:space="preserve">o </w:t>
      </w:r>
      <w:r w:rsidR="00250732">
        <w:rPr>
          <w:color w:val="000000"/>
          <w:sz w:val="24"/>
          <w:lang w:val="sk-SK"/>
        </w:rPr>
        <w:t> </w:t>
      </w:r>
      <w:r w:rsidR="00250732" w:rsidRPr="00250732">
        <w:rPr>
          <w:color w:val="000000"/>
          <w:sz w:val="24"/>
          <w:lang w:val="sk-SK"/>
        </w:rPr>
        <w:t>mierovom využívaní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jadrovej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energie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(atómový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zákon)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o zmene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doplnení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niektorých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zákonov</w:t>
      </w:r>
      <w:r w:rsidR="00250732" w:rsidRPr="00250732">
        <w:rPr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v znení neskorších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predpisov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o zmene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a doplnení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zákona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č.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50/1976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Zb.</w:t>
      </w:r>
      <w:r w:rsidR="00250732">
        <w:rPr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 xml:space="preserve">o </w:t>
      </w:r>
      <w:r w:rsidR="00250732">
        <w:rPr>
          <w:color w:val="000000"/>
          <w:sz w:val="24"/>
          <w:lang w:val="sk-SK"/>
        </w:rPr>
        <w:t> </w:t>
      </w:r>
      <w:r w:rsidR="00250732" w:rsidRPr="00250732">
        <w:rPr>
          <w:color w:val="000000"/>
          <w:sz w:val="24"/>
          <w:lang w:val="sk-SK"/>
        </w:rPr>
        <w:t>územnom</w:t>
      </w:r>
      <w:r w:rsidR="00250732" w:rsidRPr="00250732">
        <w:rPr>
          <w:color w:val="000000"/>
          <w:spacing w:val="39"/>
          <w:sz w:val="24"/>
          <w:lang w:val="sk-SK"/>
        </w:rPr>
        <w:t xml:space="preserve"> </w:t>
      </w:r>
      <w:r w:rsidR="00250732">
        <w:rPr>
          <w:color w:val="000000"/>
          <w:sz w:val="24"/>
          <w:lang w:val="sk-SK"/>
        </w:rPr>
        <w:t xml:space="preserve">plánovaní </w:t>
      </w:r>
      <w:r w:rsidR="00250732" w:rsidRPr="00250732">
        <w:rPr>
          <w:color w:val="000000"/>
          <w:sz w:val="24"/>
          <w:lang w:val="sk-SK"/>
        </w:rPr>
        <w:t xml:space="preserve">a </w:t>
      </w:r>
      <w:r w:rsidR="00250732">
        <w:rPr>
          <w:color w:val="000000"/>
          <w:sz w:val="24"/>
          <w:lang w:val="sk-SK"/>
        </w:rPr>
        <w:t> </w:t>
      </w:r>
      <w:r w:rsidR="00250732" w:rsidRPr="00250732">
        <w:rPr>
          <w:color w:val="000000"/>
          <w:sz w:val="24"/>
          <w:lang w:val="sk-SK"/>
        </w:rPr>
        <w:t>stavebnom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poriadku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(stavebný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zákon)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v znení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neskorších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predpisov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(tlač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1372)</w:t>
      </w:r>
      <w:r w:rsidR="00250732" w:rsidRPr="00250732">
        <w:rPr>
          <w:color w:val="000000"/>
          <w:spacing w:val="15"/>
          <w:sz w:val="24"/>
          <w:lang w:val="sk-SK"/>
        </w:rPr>
        <w:t xml:space="preserve"> </w:t>
      </w:r>
      <w:proofErr w:type="spellStart"/>
      <w:r w:rsidRPr="006A7105">
        <w:rPr>
          <w:b/>
          <w:bCs/>
          <w:sz w:val="24"/>
        </w:rPr>
        <w:t>schváliť</w:t>
      </w:r>
      <w:proofErr w:type="spellEnd"/>
      <w:r w:rsidRPr="006A7105">
        <w:rPr>
          <w:b/>
          <w:bCs/>
          <w:sz w:val="24"/>
        </w:rPr>
        <w:t xml:space="preserve"> </w:t>
      </w:r>
      <w:r w:rsidRPr="006A7105">
        <w:rPr>
          <w:bCs/>
          <w:sz w:val="24"/>
        </w:rPr>
        <w:t>so </w:t>
      </w:r>
      <w:proofErr w:type="spellStart"/>
      <w:r w:rsidRPr="006A7105">
        <w:rPr>
          <w:bCs/>
          <w:sz w:val="24"/>
        </w:rPr>
        <w:t>zmenami</w:t>
      </w:r>
      <w:proofErr w:type="spellEnd"/>
      <w:r w:rsidRPr="006A7105">
        <w:rPr>
          <w:bCs/>
          <w:sz w:val="24"/>
        </w:rPr>
        <w:t xml:space="preserve"> a </w:t>
      </w:r>
      <w:proofErr w:type="spellStart"/>
      <w:r w:rsidRPr="006A7105">
        <w:rPr>
          <w:bCs/>
          <w:sz w:val="24"/>
        </w:rPr>
        <w:t>doplnkami</w:t>
      </w:r>
      <w:proofErr w:type="spellEnd"/>
      <w:r w:rsidRPr="006A7105">
        <w:rPr>
          <w:bCs/>
          <w:sz w:val="24"/>
        </w:rPr>
        <w:t xml:space="preserve"> </w:t>
      </w:r>
      <w:proofErr w:type="spellStart"/>
      <w:r w:rsidRPr="006A7105">
        <w:rPr>
          <w:bCs/>
          <w:sz w:val="24"/>
        </w:rPr>
        <w:t>uvedenými</w:t>
      </w:r>
      <w:proofErr w:type="spellEnd"/>
      <w:r w:rsidRPr="006A7105">
        <w:rPr>
          <w:bCs/>
          <w:sz w:val="24"/>
        </w:rPr>
        <w:t xml:space="preserve"> v </w:t>
      </w:r>
      <w:proofErr w:type="spellStart"/>
      <w:r w:rsidRPr="006A7105">
        <w:rPr>
          <w:bCs/>
          <w:sz w:val="24"/>
        </w:rPr>
        <w:t>prílohe</w:t>
      </w:r>
      <w:proofErr w:type="spellEnd"/>
      <w:r w:rsidRPr="006A7105">
        <w:rPr>
          <w:bCs/>
          <w:sz w:val="24"/>
        </w:rPr>
        <w:t xml:space="preserve"> </w:t>
      </w:r>
      <w:proofErr w:type="spellStart"/>
      <w:r w:rsidRPr="006A7105">
        <w:rPr>
          <w:bCs/>
          <w:sz w:val="24"/>
        </w:rPr>
        <w:t>tohto</w:t>
      </w:r>
      <w:proofErr w:type="spellEnd"/>
      <w:r w:rsidRPr="006A7105">
        <w:rPr>
          <w:bCs/>
          <w:sz w:val="24"/>
        </w:rPr>
        <w:t xml:space="preserve"> </w:t>
      </w:r>
      <w:proofErr w:type="spellStart"/>
      <w:r w:rsidRPr="006A7105">
        <w:rPr>
          <w:bCs/>
          <w:sz w:val="24"/>
        </w:rPr>
        <w:t>uznesenia</w:t>
      </w:r>
      <w:proofErr w:type="spellEnd"/>
      <w:r w:rsidRPr="006A7105">
        <w:rPr>
          <w:bCs/>
          <w:sz w:val="24"/>
        </w:rPr>
        <w:t xml:space="preserve">; </w:t>
      </w:r>
    </w:p>
    <w:p w:rsidR="00537098" w:rsidRPr="006A7105" w:rsidRDefault="00537098" w:rsidP="00537098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537098" w:rsidRPr="00A241CE" w:rsidRDefault="00537098" w:rsidP="00537098">
      <w:pPr>
        <w:tabs>
          <w:tab w:val="left" w:pos="1134"/>
          <w:tab w:val="left" w:pos="1276"/>
        </w:tabs>
        <w:ind w:firstLine="708"/>
        <w:rPr>
          <w:b/>
        </w:rPr>
      </w:pPr>
      <w:r w:rsidRPr="00A241CE">
        <w:rPr>
          <w:b/>
        </w:rPr>
        <w:t> C.</w:t>
      </w:r>
      <w:r w:rsidRPr="00A241CE">
        <w:rPr>
          <w:b/>
        </w:rPr>
        <w:tab/>
        <w:t>p o v e r u j e</w:t>
      </w:r>
    </w:p>
    <w:p w:rsidR="00537098" w:rsidRPr="00A241CE" w:rsidRDefault="00537098" w:rsidP="00537098">
      <w:pPr>
        <w:tabs>
          <w:tab w:val="left" w:pos="1134"/>
          <w:tab w:val="left" w:pos="1276"/>
        </w:tabs>
      </w:pPr>
      <w:r w:rsidRPr="00A241CE">
        <w:tab/>
      </w:r>
    </w:p>
    <w:p w:rsidR="00537098" w:rsidRPr="00A241CE" w:rsidRDefault="00537098" w:rsidP="00537098">
      <w:pPr>
        <w:pStyle w:val="Zkladntext"/>
        <w:tabs>
          <w:tab w:val="left" w:pos="1134"/>
          <w:tab w:val="left" w:pos="1276"/>
        </w:tabs>
      </w:pPr>
      <w:r w:rsidRPr="00A241CE">
        <w:tab/>
        <w:t xml:space="preserve">predsedu výboru </w:t>
      </w:r>
    </w:p>
    <w:p w:rsidR="00537098" w:rsidRPr="00A241CE" w:rsidRDefault="00537098" w:rsidP="00537098">
      <w:pPr>
        <w:pStyle w:val="Zkladntext"/>
        <w:tabs>
          <w:tab w:val="left" w:pos="1134"/>
          <w:tab w:val="left" w:pos="1276"/>
        </w:tabs>
      </w:pPr>
    </w:p>
    <w:p w:rsidR="00537098" w:rsidRPr="00A241CE" w:rsidRDefault="00537098" w:rsidP="00537098">
      <w:pPr>
        <w:pStyle w:val="Zkladntext"/>
        <w:tabs>
          <w:tab w:val="left" w:pos="1134"/>
          <w:tab w:val="left" w:pos="1276"/>
        </w:tabs>
        <w:ind w:firstLine="1134"/>
      </w:pPr>
      <w:r w:rsidRPr="00A241CE">
        <w:t>predložiť stanovisko výboru k uvedenému návrhu zákona predsedníčke gestorského Výboru Národnej rady Slovenskej republiky pre hospodárske záležitosti.</w:t>
      </w:r>
    </w:p>
    <w:p w:rsidR="00537098" w:rsidRDefault="00537098" w:rsidP="00537098">
      <w:pPr>
        <w:pStyle w:val="Zkladntext"/>
        <w:tabs>
          <w:tab w:val="left" w:pos="1021"/>
        </w:tabs>
        <w:rPr>
          <w:b/>
        </w:rPr>
      </w:pPr>
    </w:p>
    <w:p w:rsidR="00537098" w:rsidRDefault="00537098" w:rsidP="00537098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537098" w:rsidRDefault="00537098" w:rsidP="00537098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537098" w:rsidRDefault="00537098" w:rsidP="00537098">
      <w:pPr>
        <w:tabs>
          <w:tab w:val="left" w:pos="1021"/>
        </w:tabs>
        <w:jc w:val="both"/>
      </w:pPr>
      <w:r>
        <w:t>overovatelia výboru:</w:t>
      </w:r>
    </w:p>
    <w:p w:rsidR="00537098" w:rsidRDefault="00537098" w:rsidP="00537098">
      <w:pPr>
        <w:tabs>
          <w:tab w:val="left" w:pos="1021"/>
        </w:tabs>
        <w:jc w:val="both"/>
      </w:pPr>
      <w:r>
        <w:t>Ondrej Dostál</w:t>
      </w:r>
    </w:p>
    <w:p w:rsidR="00537098" w:rsidRDefault="00537098" w:rsidP="00537098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537098" w:rsidRPr="00EA0832" w:rsidRDefault="00537098" w:rsidP="00537098">
      <w:pPr>
        <w:rPr>
          <w:lang w:eastAsia="en-US"/>
        </w:rPr>
      </w:pPr>
    </w:p>
    <w:p w:rsidR="00537098" w:rsidRDefault="00537098" w:rsidP="00537098">
      <w:pPr>
        <w:pStyle w:val="Nadpis2"/>
        <w:ind w:left="4248" w:firstLine="708"/>
        <w:rPr>
          <w:b w:val="0"/>
          <w:bCs w:val="0"/>
        </w:rPr>
      </w:pPr>
      <w:r>
        <w:t>P r í l o h a</w:t>
      </w:r>
    </w:p>
    <w:p w:rsidR="00537098" w:rsidRDefault="00537098" w:rsidP="00537098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537098" w:rsidRDefault="00537098" w:rsidP="00537098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06208A">
        <w:rPr>
          <w:b/>
        </w:rPr>
        <w:t>636</w:t>
      </w:r>
    </w:p>
    <w:p w:rsidR="00537098" w:rsidRPr="00F2271F" w:rsidRDefault="00537098" w:rsidP="00537098">
      <w:pPr>
        <w:ind w:left="4253" w:firstLine="708"/>
        <w:jc w:val="both"/>
        <w:rPr>
          <w:b/>
        </w:rPr>
      </w:pPr>
      <w:r w:rsidRPr="00F2271F">
        <w:rPr>
          <w:b/>
        </w:rPr>
        <w:t>z 11. júna 2019</w:t>
      </w:r>
    </w:p>
    <w:p w:rsidR="00537098" w:rsidRDefault="00537098" w:rsidP="00537098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537098" w:rsidRDefault="00537098" w:rsidP="00537098">
      <w:pPr>
        <w:jc w:val="center"/>
        <w:rPr>
          <w:lang w:eastAsia="en-US"/>
        </w:rPr>
      </w:pPr>
    </w:p>
    <w:p w:rsidR="00537098" w:rsidRDefault="00537098" w:rsidP="00537098">
      <w:pPr>
        <w:jc w:val="center"/>
        <w:rPr>
          <w:lang w:eastAsia="en-US"/>
        </w:rPr>
      </w:pPr>
    </w:p>
    <w:p w:rsidR="00537098" w:rsidRDefault="00537098" w:rsidP="00537098">
      <w:pPr>
        <w:jc w:val="center"/>
        <w:rPr>
          <w:lang w:eastAsia="en-US"/>
        </w:rPr>
      </w:pPr>
    </w:p>
    <w:p w:rsidR="00537098" w:rsidRDefault="00537098" w:rsidP="00537098">
      <w:pPr>
        <w:rPr>
          <w:lang w:eastAsia="en-US"/>
        </w:rPr>
      </w:pPr>
    </w:p>
    <w:p w:rsidR="00537098" w:rsidRDefault="00537098" w:rsidP="00537098">
      <w:pPr>
        <w:jc w:val="center"/>
        <w:rPr>
          <w:b/>
        </w:rPr>
      </w:pPr>
      <w:r>
        <w:rPr>
          <w:b/>
        </w:rPr>
        <w:t>Pozmeňujúce a doplňujúce návrhy</w:t>
      </w:r>
    </w:p>
    <w:p w:rsidR="00537098" w:rsidRPr="008B74FF" w:rsidRDefault="00537098" w:rsidP="00537098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</w:rPr>
      </w:pPr>
    </w:p>
    <w:p w:rsidR="00250732" w:rsidRPr="00250732" w:rsidRDefault="00537098" w:rsidP="00250732">
      <w:pPr>
        <w:pStyle w:val="TxBrp9"/>
        <w:tabs>
          <w:tab w:val="clear" w:pos="204"/>
          <w:tab w:val="left" w:pos="426"/>
        </w:tabs>
        <w:spacing w:line="240" w:lineRule="auto"/>
        <w:rPr>
          <w:b/>
          <w:sz w:val="24"/>
        </w:rPr>
      </w:pPr>
      <w:r w:rsidRPr="008B74FF">
        <w:rPr>
          <w:b/>
          <w:color w:val="333333"/>
          <w:sz w:val="24"/>
        </w:rPr>
        <w:t xml:space="preserve">k </w:t>
      </w:r>
      <w:r w:rsidR="008B74FF" w:rsidRPr="008B74FF">
        <w:rPr>
          <w:b/>
          <w:color w:val="000000"/>
          <w:sz w:val="24"/>
          <w:lang w:val="sk-SK"/>
        </w:rPr>
        <w:t>návrhu</w:t>
      </w:r>
      <w:r w:rsidR="008B74FF" w:rsidRPr="008B74FF">
        <w:rPr>
          <w:b/>
          <w:color w:val="000000"/>
          <w:spacing w:val="73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poslancov</w:t>
      </w:r>
      <w:r w:rsidR="00250732" w:rsidRPr="00250732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Národnej</w:t>
      </w:r>
      <w:r w:rsidR="00250732" w:rsidRPr="00250732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rady</w:t>
      </w:r>
      <w:r w:rsidR="00250732" w:rsidRPr="00250732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Slovenskej</w:t>
      </w:r>
      <w:r w:rsidR="00250732" w:rsidRPr="00250732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republiky</w:t>
      </w:r>
      <w:r w:rsidR="00250732" w:rsidRPr="00250732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Róberta</w:t>
      </w:r>
      <w:r w:rsidR="00250732" w:rsidRPr="00250732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PUCIHO</w:t>
      </w:r>
      <w:r w:rsidR="00250732" w:rsidRPr="00250732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a Maroša KONDRÓTA</w:t>
      </w:r>
      <w:r w:rsidR="00250732" w:rsidRPr="00250732">
        <w:rPr>
          <w:b/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na</w:t>
      </w:r>
      <w:r w:rsidR="00250732" w:rsidRPr="00250732">
        <w:rPr>
          <w:b/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vydanie</w:t>
      </w:r>
      <w:r w:rsidR="00250732" w:rsidRPr="00250732">
        <w:rPr>
          <w:b/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zákona,</w:t>
      </w:r>
      <w:r w:rsidR="00250732" w:rsidRPr="00250732">
        <w:rPr>
          <w:b/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ktorým</w:t>
      </w:r>
      <w:r w:rsidR="00250732" w:rsidRPr="00250732">
        <w:rPr>
          <w:b/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sa</w:t>
      </w:r>
      <w:r w:rsidR="00250732" w:rsidRPr="00250732">
        <w:rPr>
          <w:b/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mení</w:t>
      </w:r>
      <w:r w:rsidR="00250732" w:rsidRPr="00250732">
        <w:rPr>
          <w:b/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a dopĺňa</w:t>
      </w:r>
      <w:r w:rsidR="00250732" w:rsidRPr="00250732">
        <w:rPr>
          <w:b/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zákon</w:t>
      </w:r>
      <w:r w:rsidR="00250732" w:rsidRPr="00250732">
        <w:rPr>
          <w:b/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č.</w:t>
      </w:r>
      <w:r w:rsidR="00250732" w:rsidRPr="00250732">
        <w:rPr>
          <w:b/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541/2004</w:t>
      </w:r>
      <w:r w:rsidR="00250732" w:rsidRPr="00250732">
        <w:rPr>
          <w:b/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Z.</w:t>
      </w:r>
      <w:r w:rsidR="00250732" w:rsidRPr="00250732">
        <w:rPr>
          <w:b/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z.</w:t>
      </w:r>
      <w:r w:rsidR="00250732">
        <w:rPr>
          <w:b/>
          <w:color w:val="000000"/>
          <w:spacing w:val="-12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 xml:space="preserve">o </w:t>
      </w:r>
      <w:r w:rsidR="00250732">
        <w:rPr>
          <w:b/>
          <w:color w:val="000000"/>
          <w:sz w:val="24"/>
          <w:lang w:val="sk-SK"/>
        </w:rPr>
        <w:t> </w:t>
      </w:r>
      <w:r w:rsidR="00250732" w:rsidRPr="00250732">
        <w:rPr>
          <w:b/>
          <w:color w:val="000000"/>
          <w:sz w:val="24"/>
          <w:lang w:val="sk-SK"/>
        </w:rPr>
        <w:t>mierovom využívaní</w:t>
      </w:r>
      <w:r w:rsidR="00250732" w:rsidRPr="00250732">
        <w:rPr>
          <w:b/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jadrovej</w:t>
      </w:r>
      <w:r w:rsidR="00250732" w:rsidRPr="00250732">
        <w:rPr>
          <w:b/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energie</w:t>
      </w:r>
      <w:r w:rsidR="00250732" w:rsidRPr="00250732">
        <w:rPr>
          <w:b/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(atómový</w:t>
      </w:r>
      <w:r w:rsidR="00250732" w:rsidRPr="00250732">
        <w:rPr>
          <w:b/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zákon)</w:t>
      </w:r>
      <w:r w:rsidR="00250732" w:rsidRPr="00250732">
        <w:rPr>
          <w:b/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a o zmene</w:t>
      </w:r>
      <w:r w:rsidR="00250732" w:rsidRPr="00250732">
        <w:rPr>
          <w:b/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a doplnení</w:t>
      </w:r>
      <w:r w:rsidR="00250732" w:rsidRPr="00250732">
        <w:rPr>
          <w:b/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niektorých</w:t>
      </w:r>
      <w:r w:rsidR="00250732" w:rsidRPr="00250732">
        <w:rPr>
          <w:b/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zákonov</w:t>
      </w:r>
      <w:r w:rsidR="00250732" w:rsidRPr="00250732">
        <w:rPr>
          <w:b/>
          <w:color w:val="000000"/>
          <w:spacing w:val="-7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v znení neskorších</w:t>
      </w:r>
      <w:r w:rsidR="00250732" w:rsidRPr="00250732">
        <w:rPr>
          <w:b/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predpisov</w:t>
      </w:r>
      <w:r w:rsidR="00250732" w:rsidRPr="00250732">
        <w:rPr>
          <w:b/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a o zmene</w:t>
      </w:r>
      <w:r w:rsidR="00250732" w:rsidRPr="00250732">
        <w:rPr>
          <w:b/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a doplnení</w:t>
      </w:r>
      <w:r w:rsidR="00250732" w:rsidRPr="00250732">
        <w:rPr>
          <w:b/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zákona</w:t>
      </w:r>
      <w:r w:rsidR="00250732" w:rsidRPr="00250732">
        <w:rPr>
          <w:b/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č.</w:t>
      </w:r>
      <w:r w:rsidR="00250732" w:rsidRPr="00250732">
        <w:rPr>
          <w:b/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50/1976</w:t>
      </w:r>
      <w:r w:rsidR="00250732" w:rsidRPr="00250732">
        <w:rPr>
          <w:b/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Zb.</w:t>
      </w:r>
      <w:r w:rsidR="00250732">
        <w:rPr>
          <w:b/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 xml:space="preserve">o </w:t>
      </w:r>
      <w:r w:rsidR="00250732">
        <w:rPr>
          <w:b/>
          <w:color w:val="000000"/>
          <w:sz w:val="24"/>
          <w:lang w:val="sk-SK"/>
        </w:rPr>
        <w:t> </w:t>
      </w:r>
      <w:r w:rsidR="00250732" w:rsidRPr="00250732">
        <w:rPr>
          <w:b/>
          <w:color w:val="000000"/>
          <w:sz w:val="24"/>
          <w:lang w:val="sk-SK"/>
        </w:rPr>
        <w:t>územnom</w:t>
      </w:r>
      <w:r w:rsidR="00250732" w:rsidRPr="00250732">
        <w:rPr>
          <w:b/>
          <w:color w:val="000000"/>
          <w:spacing w:val="39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plánovaní a  stavebnom</w:t>
      </w:r>
      <w:r w:rsidR="00250732" w:rsidRPr="00250732">
        <w:rPr>
          <w:b/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poriadku</w:t>
      </w:r>
      <w:r w:rsidR="00250732" w:rsidRPr="00250732">
        <w:rPr>
          <w:b/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(stavebný</w:t>
      </w:r>
      <w:r w:rsidR="00250732" w:rsidRPr="00250732">
        <w:rPr>
          <w:b/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zákon)</w:t>
      </w:r>
      <w:r w:rsidR="00250732" w:rsidRPr="00250732">
        <w:rPr>
          <w:b/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v znení</w:t>
      </w:r>
      <w:r w:rsidR="00250732" w:rsidRPr="00250732">
        <w:rPr>
          <w:b/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neskorších</w:t>
      </w:r>
      <w:r w:rsidR="00250732" w:rsidRPr="00250732">
        <w:rPr>
          <w:b/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predpisov</w:t>
      </w:r>
      <w:r w:rsidR="00250732" w:rsidRPr="00250732">
        <w:rPr>
          <w:b/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(tlač</w:t>
      </w:r>
      <w:r w:rsidR="00250732" w:rsidRPr="00250732">
        <w:rPr>
          <w:b/>
          <w:color w:val="000000"/>
          <w:spacing w:val="15"/>
          <w:sz w:val="24"/>
          <w:lang w:val="sk-SK"/>
        </w:rPr>
        <w:t xml:space="preserve"> </w:t>
      </w:r>
      <w:r w:rsidR="00250732" w:rsidRPr="00250732">
        <w:rPr>
          <w:b/>
          <w:color w:val="000000"/>
          <w:sz w:val="24"/>
          <w:lang w:val="sk-SK"/>
        </w:rPr>
        <w:t>1372)</w:t>
      </w:r>
      <w:r w:rsidR="00250732" w:rsidRPr="00250732">
        <w:rPr>
          <w:b/>
          <w:color w:val="000000"/>
          <w:spacing w:val="15"/>
          <w:sz w:val="24"/>
          <w:lang w:val="sk-SK"/>
        </w:rPr>
        <w:t xml:space="preserve"> </w:t>
      </w:r>
    </w:p>
    <w:p w:rsidR="00537098" w:rsidRDefault="00537098" w:rsidP="00537098">
      <w:pPr>
        <w:jc w:val="both"/>
        <w:rPr>
          <w:b/>
        </w:rPr>
      </w:pPr>
      <w:r>
        <w:rPr>
          <w:b/>
        </w:rPr>
        <w:t>__________________________________________________</w:t>
      </w:r>
      <w:r w:rsidR="008B74FF">
        <w:rPr>
          <w:b/>
        </w:rPr>
        <w:t>_________________________</w:t>
      </w:r>
    </w:p>
    <w:p w:rsidR="00537098" w:rsidRDefault="00537098"/>
    <w:p w:rsidR="00537098" w:rsidRDefault="00537098"/>
    <w:p w:rsidR="008B41C8" w:rsidRPr="00AC3A31" w:rsidRDefault="008B41C8" w:rsidP="008B41C8">
      <w:pPr>
        <w:suppressAutoHyphens/>
        <w:ind w:firstLine="708"/>
        <w:jc w:val="both"/>
        <w:rPr>
          <w:sz w:val="44"/>
          <w:lang w:eastAsia="ar-SA"/>
        </w:rPr>
      </w:pPr>
    </w:p>
    <w:p w:rsidR="008B41C8" w:rsidRPr="00D7797E" w:rsidRDefault="008B41C8" w:rsidP="008B41C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/>
        </w:rPr>
      </w:pPr>
      <w:r w:rsidRPr="00D7797E">
        <w:rPr>
          <w:rFonts w:eastAsia="Calibri"/>
        </w:rPr>
        <w:t>V čl. I, bode 3 § 8 ods. 10 sa slová „osobitného predpisu</w:t>
      </w:r>
      <w:r w:rsidRPr="00D7797E">
        <w:rPr>
          <w:rFonts w:eastAsia="Calibri"/>
          <w:vertAlign w:val="superscript"/>
        </w:rPr>
        <w:t>11b</w:t>
      </w:r>
      <w:r w:rsidRPr="00D7797E">
        <w:rPr>
          <w:rFonts w:eastAsia="Calibri"/>
        </w:rPr>
        <w:t>)“ nahrádzajú slovami „medzinárodnej zmluvy, ktorou je Slovenská republika viazaná,</w:t>
      </w:r>
      <w:r w:rsidRPr="00D7797E">
        <w:rPr>
          <w:rFonts w:eastAsia="Calibri"/>
          <w:vertAlign w:val="superscript"/>
        </w:rPr>
        <w:t>11b</w:t>
      </w:r>
      <w:r w:rsidRPr="00D7797E">
        <w:rPr>
          <w:rFonts w:eastAsia="Calibri"/>
        </w:rPr>
        <w:t>) alebo účastníkovi konania podľa osobitného predpisu</w:t>
      </w:r>
      <w:r w:rsidRPr="00D7797E">
        <w:rPr>
          <w:rFonts w:eastAsia="Calibri"/>
          <w:vertAlign w:val="superscript"/>
        </w:rPr>
        <w:t>11c</w:t>
      </w:r>
      <w:r w:rsidRPr="00D7797E">
        <w:rPr>
          <w:rFonts w:eastAsia="Calibri"/>
        </w:rPr>
        <w:t>)</w:t>
      </w:r>
      <w:r w:rsidRPr="00D7797E">
        <w:rPr>
          <w:rFonts w:eastAsia="Calibri"/>
          <w:vertAlign w:val="superscript"/>
        </w:rPr>
        <w:t>“</w:t>
      </w:r>
      <w:r w:rsidRPr="00D7797E">
        <w:rPr>
          <w:rFonts w:eastAsia="Calibri"/>
        </w:rPr>
        <w:t>, doterajší odkaz 11c nad slovom „predpisu,“ sa nahrádza odkazom  11d a doterajšia poznámka pod čiarou k odkazu 11c sa označuje ako poznámka pod čiarou k odkazu 11d.</w:t>
      </w:r>
    </w:p>
    <w:p w:rsidR="008B41C8" w:rsidRPr="00D7797E" w:rsidRDefault="008B41C8" w:rsidP="008B41C8">
      <w:pPr>
        <w:ind w:left="284"/>
        <w:jc w:val="both"/>
        <w:rPr>
          <w:rFonts w:eastAsia="Calibri"/>
        </w:rPr>
      </w:pPr>
    </w:p>
    <w:p w:rsidR="008B41C8" w:rsidRPr="00D7797E" w:rsidRDefault="008B41C8" w:rsidP="008B41C8">
      <w:pPr>
        <w:spacing w:after="120" w:line="360" w:lineRule="auto"/>
        <w:ind w:left="284"/>
        <w:jc w:val="both"/>
        <w:rPr>
          <w:rFonts w:eastAsia="Calibri"/>
        </w:rPr>
      </w:pPr>
      <w:r w:rsidRPr="00D7797E">
        <w:rPr>
          <w:rFonts w:eastAsia="Calibri"/>
        </w:rPr>
        <w:t>Poznámky pod čiarou k odkazom 11b a 11c znejú:</w:t>
      </w:r>
    </w:p>
    <w:p w:rsidR="008B41C8" w:rsidRPr="00D7797E" w:rsidRDefault="008B41C8" w:rsidP="008B41C8">
      <w:pPr>
        <w:spacing w:after="120" w:line="360" w:lineRule="auto"/>
        <w:ind w:left="993" w:hanging="709"/>
        <w:jc w:val="both"/>
        <w:rPr>
          <w:rFonts w:eastAsia="Calibri"/>
        </w:rPr>
      </w:pPr>
      <w:r w:rsidRPr="00D7797E">
        <w:rPr>
          <w:rFonts w:eastAsia="Calibri"/>
        </w:rPr>
        <w:t>„11b) Dohovor o prístupe k informáciám, účasti verejnosti na rozhodovacom procese a prístupe k spravodlivosti v záležitostiach životného prostredia (oznámenie Ministerstva zahraničných vecí Slovenskej republiky č. 43/2006 Z. z.).“.</w:t>
      </w:r>
    </w:p>
    <w:p w:rsidR="008B41C8" w:rsidRPr="00D7797E" w:rsidRDefault="008B41C8" w:rsidP="008B41C8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D7797E">
        <w:rPr>
          <w:rFonts w:eastAsia="Calibri"/>
        </w:rPr>
        <w:t xml:space="preserve">     11c)  § 24 a 25 zákona č. 24/2006 Z. z. v znení neskorších predpisov.“.</w:t>
      </w:r>
    </w:p>
    <w:p w:rsidR="008B41C8" w:rsidRDefault="008B41C8" w:rsidP="008B41C8">
      <w:pPr>
        <w:autoSpaceDE w:val="0"/>
        <w:autoSpaceDN w:val="0"/>
        <w:adjustRightInd w:val="0"/>
        <w:ind w:left="3538"/>
        <w:jc w:val="both"/>
        <w:rPr>
          <w:rFonts w:eastAsia="Calibri"/>
        </w:rPr>
      </w:pPr>
    </w:p>
    <w:p w:rsidR="008B41C8" w:rsidRPr="006E4DE7" w:rsidRDefault="008B41C8" w:rsidP="008B41C8">
      <w:pPr>
        <w:autoSpaceDE w:val="0"/>
        <w:autoSpaceDN w:val="0"/>
        <w:adjustRightInd w:val="0"/>
        <w:spacing w:line="276" w:lineRule="auto"/>
        <w:ind w:left="3402"/>
        <w:jc w:val="both"/>
        <w:rPr>
          <w:rFonts w:eastAsia="Calibri"/>
        </w:rPr>
      </w:pPr>
      <w:r w:rsidRPr="006E4DE7">
        <w:rPr>
          <w:rFonts w:eastAsia="Calibri"/>
        </w:rPr>
        <w:t xml:space="preserve">Ide o legislatívno-technickú </w:t>
      </w:r>
      <w:r>
        <w:rPr>
          <w:rFonts w:eastAsia="Calibri"/>
        </w:rPr>
        <w:t>úpravu;</w:t>
      </w:r>
      <w:r w:rsidRPr="006E4DE7">
        <w:rPr>
          <w:rFonts w:eastAsia="Calibri"/>
        </w:rPr>
        <w:t xml:space="preserve"> </w:t>
      </w:r>
      <w:proofErr w:type="spellStart"/>
      <w:r w:rsidRPr="006E4DE7">
        <w:rPr>
          <w:rFonts w:eastAsia="Calibri"/>
        </w:rPr>
        <w:t>Aarhuský</w:t>
      </w:r>
      <w:proofErr w:type="spellEnd"/>
      <w:r w:rsidRPr="006E4DE7">
        <w:rPr>
          <w:rFonts w:eastAsia="Calibri"/>
        </w:rPr>
        <w:t xml:space="preserve"> dohovor je medzinárod</w:t>
      </w:r>
      <w:r>
        <w:rPr>
          <w:rFonts w:eastAsia="Calibri"/>
        </w:rPr>
        <w:t>nou zmluvou</w:t>
      </w:r>
      <w:r w:rsidRPr="006E4DE7">
        <w:rPr>
          <w:rFonts w:eastAsia="Calibri"/>
        </w:rPr>
        <w:t xml:space="preserve"> a</w:t>
      </w:r>
      <w:r>
        <w:rPr>
          <w:rFonts w:eastAsia="Calibri"/>
        </w:rPr>
        <w:t> </w:t>
      </w:r>
      <w:r w:rsidRPr="006E4DE7">
        <w:rPr>
          <w:rFonts w:eastAsia="Calibri"/>
        </w:rPr>
        <w:t>nie</w:t>
      </w:r>
      <w:r>
        <w:rPr>
          <w:rFonts w:eastAsia="Calibri"/>
        </w:rPr>
        <w:t xml:space="preserve"> je</w:t>
      </w:r>
      <w:r w:rsidRPr="006E4DE7">
        <w:rPr>
          <w:rFonts w:eastAsia="Calibri"/>
        </w:rPr>
        <w:t xml:space="preserve"> osobitný</w:t>
      </w:r>
      <w:r>
        <w:rPr>
          <w:rFonts w:eastAsia="Calibri"/>
        </w:rPr>
        <w:t>m</w:t>
      </w:r>
      <w:r w:rsidRPr="006E4DE7">
        <w:rPr>
          <w:rFonts w:eastAsia="Calibri"/>
        </w:rPr>
        <w:t xml:space="preserve"> predpis</w:t>
      </w:r>
      <w:r>
        <w:rPr>
          <w:rFonts w:eastAsia="Calibri"/>
        </w:rPr>
        <w:t>om</w:t>
      </w:r>
      <w:r w:rsidRPr="006E4DE7">
        <w:rPr>
          <w:rFonts w:eastAsia="Calibri"/>
        </w:rPr>
        <w:t xml:space="preserve"> </w:t>
      </w:r>
      <w:r w:rsidRPr="006E4DE7">
        <w:rPr>
          <w:rFonts w:eastAsia="Calibri"/>
          <w:i/>
        </w:rPr>
        <w:t>(hierarchicky je nadradená osobitnému predpisu)</w:t>
      </w:r>
      <w:r>
        <w:rPr>
          <w:rFonts w:eastAsia="Calibri"/>
          <w:i/>
        </w:rPr>
        <w:t xml:space="preserve">, </w:t>
      </w:r>
      <w:r w:rsidRPr="00F10808">
        <w:rPr>
          <w:rFonts w:eastAsia="Calibri"/>
        </w:rPr>
        <w:t>a p</w:t>
      </w:r>
      <w:r w:rsidRPr="006E4DE7">
        <w:rPr>
          <w:rFonts w:eastAsia="Calibri"/>
        </w:rPr>
        <w:t>reto je potrebné túto skutočnosť v texte zákona zohľadniť.</w:t>
      </w:r>
    </w:p>
    <w:p w:rsidR="008B41C8" w:rsidRPr="00AC3A31" w:rsidRDefault="008B41C8" w:rsidP="008B41C8">
      <w:pPr>
        <w:autoSpaceDE w:val="0"/>
        <w:autoSpaceDN w:val="0"/>
        <w:adjustRightInd w:val="0"/>
        <w:spacing w:line="276" w:lineRule="auto"/>
        <w:ind w:left="4258"/>
        <w:jc w:val="both"/>
        <w:rPr>
          <w:rFonts w:eastAsia="Calibri"/>
          <w:sz w:val="36"/>
        </w:rPr>
      </w:pPr>
    </w:p>
    <w:p w:rsidR="008B41C8" w:rsidRPr="00D13854" w:rsidRDefault="008B41C8" w:rsidP="008B41C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/>
        </w:rPr>
      </w:pPr>
      <w:r w:rsidRPr="00512A24">
        <w:rPr>
          <w:rFonts w:eastAsia="Calibri"/>
        </w:rPr>
        <w:t xml:space="preserve">V čl. I, bode 4 § 8 ods. 12 sa slová </w:t>
      </w:r>
      <w:r>
        <w:t xml:space="preserve">„že môže označiť“ nahrádzajú slovami „aby označil“ a slová </w:t>
      </w:r>
      <w:r w:rsidRPr="00512A24">
        <w:rPr>
          <w:rFonts w:eastAsia="Calibri"/>
        </w:rPr>
        <w:t>„obchodného tajomstva“</w:t>
      </w:r>
      <w:r>
        <w:rPr>
          <w:rFonts w:eastAsia="Calibri"/>
        </w:rPr>
        <w:t xml:space="preserve"> </w:t>
      </w:r>
      <w:r w:rsidRPr="00D13854">
        <w:rPr>
          <w:rFonts w:eastAsia="Calibri"/>
        </w:rPr>
        <w:t xml:space="preserve">sa nahrádzajú slovami „utajovanej skutočnosti, bankového </w:t>
      </w:r>
      <w:r w:rsidRPr="00D13854">
        <w:rPr>
          <w:rFonts w:eastAsia="Calibri"/>
        </w:rPr>
        <w:lastRenderedPageBreak/>
        <w:t>tajomstva, daňového tajomstva, obchodného tajomstva, telekomunikačného tajomstva, poštového tajomstva,“.</w:t>
      </w:r>
    </w:p>
    <w:p w:rsidR="008B41C8" w:rsidRDefault="008B41C8" w:rsidP="008B41C8">
      <w:pPr>
        <w:spacing w:line="276" w:lineRule="auto"/>
        <w:ind w:left="3402"/>
        <w:jc w:val="both"/>
        <w:rPr>
          <w:rFonts w:eastAsia="Calibri"/>
        </w:rPr>
      </w:pPr>
      <w:r w:rsidRPr="00D13854">
        <w:rPr>
          <w:rFonts w:eastAsia="Calibri"/>
        </w:rPr>
        <w:t xml:space="preserve">Ide o legislatívno-technickú úpravu. Utajovaná skutočnosť, bankové tajomstvo, daňové tajomstvo, obchodné tajomstvo, telekomunikačné tajomstvo a poštové tajomstvo nie sú zahrnuté v pojme citlivá informácia. Z uvedeného dôvodu sa navrhovaný odsek 12 </w:t>
      </w:r>
      <w:r w:rsidRPr="00D13854">
        <w:rPr>
          <w:rFonts w:eastAsia="Calibri"/>
          <w:i/>
        </w:rPr>
        <w:t>(§ 8)</w:t>
      </w:r>
      <w:r w:rsidRPr="00D13854">
        <w:rPr>
          <w:rFonts w:eastAsia="Calibri"/>
        </w:rPr>
        <w:t xml:space="preserve"> zosúlaďuje s navrhovaným znením odseku 11</w:t>
      </w:r>
      <w:r w:rsidRPr="00D13854">
        <w:rPr>
          <w:rFonts w:eastAsia="Calibri"/>
          <w:i/>
        </w:rPr>
        <w:t xml:space="preserve">  (§ 8),</w:t>
      </w:r>
      <w:r w:rsidRPr="00D13854">
        <w:rPr>
          <w:rFonts w:eastAsia="Calibri"/>
        </w:rPr>
        <w:t xml:space="preserve"> ktorý vymenúva „utajovanú skutočnosť, bankové tajomstvo, daňové tajomstvo, obchodné tajomstvo, telekomunikačné tajomstvo, poštové tajomstvo,“.</w:t>
      </w:r>
    </w:p>
    <w:p w:rsidR="008B41C8" w:rsidRPr="00AC3A31" w:rsidRDefault="008B41C8" w:rsidP="008B41C8">
      <w:pPr>
        <w:spacing w:line="276" w:lineRule="auto"/>
        <w:ind w:left="3540"/>
        <w:jc w:val="both"/>
        <w:rPr>
          <w:rFonts w:eastAsia="Calibri"/>
          <w:sz w:val="36"/>
        </w:rPr>
      </w:pPr>
    </w:p>
    <w:p w:rsidR="008B41C8" w:rsidRPr="00D13854" w:rsidRDefault="008B41C8" w:rsidP="008B41C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/>
        </w:rPr>
      </w:pPr>
      <w:r w:rsidRPr="00D13854">
        <w:rPr>
          <w:rFonts w:eastAsia="Calibri"/>
        </w:rPr>
        <w:t>V čl. I, bode 4 § 8 ods. 13 v prvej a druhej vete sa slová „obchodné tajomstvo“ vo všetkých gramatických tvaroch nahrádzajú slovami „utajovaná skutočnosť, bankové tajomstvo, daňové tajomstvo, obchodné tajomstvo, telekomunikačné tajomstvo, poštové tajomstvo“</w:t>
      </w:r>
      <w:r>
        <w:rPr>
          <w:rFonts w:eastAsia="Calibri"/>
        </w:rPr>
        <w:t xml:space="preserve"> </w:t>
      </w:r>
      <w:r w:rsidRPr="00D13854">
        <w:rPr>
          <w:rFonts w:eastAsia="Calibri"/>
        </w:rPr>
        <w:t xml:space="preserve">v </w:t>
      </w:r>
      <w:r>
        <w:rPr>
          <w:rFonts w:eastAsia="Calibri"/>
        </w:rPr>
        <w:t> </w:t>
      </w:r>
      <w:r w:rsidRPr="00D13854">
        <w:rPr>
          <w:rFonts w:eastAsia="Calibri"/>
        </w:rPr>
        <w:t>príslušnom gramatickom tvare.</w:t>
      </w:r>
    </w:p>
    <w:p w:rsidR="008B41C8" w:rsidRDefault="008B41C8" w:rsidP="008B41C8">
      <w:pPr>
        <w:spacing w:line="276" w:lineRule="auto"/>
        <w:ind w:left="3402"/>
        <w:jc w:val="both"/>
        <w:rPr>
          <w:rFonts w:eastAsia="Calibri"/>
        </w:rPr>
      </w:pPr>
    </w:p>
    <w:p w:rsidR="008B41C8" w:rsidRPr="00CB7628" w:rsidRDefault="008B41C8" w:rsidP="008B41C8">
      <w:pPr>
        <w:spacing w:line="276" w:lineRule="auto"/>
        <w:ind w:left="3402"/>
        <w:jc w:val="both"/>
        <w:rPr>
          <w:rFonts w:eastAsia="Calibri"/>
        </w:rPr>
      </w:pPr>
      <w:r w:rsidRPr="00D13854">
        <w:rPr>
          <w:rFonts w:eastAsia="Calibri"/>
        </w:rPr>
        <w:t xml:space="preserve">Ide  o  legislatívno-technickú  úpravu.  Utajovaná skutočnosť, bankové tajomstvo, daňové tajomstvo, obchodné tajomstvo, telekomunikačné tajomstvo a poštové tajomstvo nie sú zahrnuté v pojme citlivá informácia. Z uvedeného dôvodu sa navrhovaný odsek 13 </w:t>
      </w:r>
      <w:r w:rsidRPr="00D13854">
        <w:rPr>
          <w:rFonts w:eastAsia="Calibri"/>
          <w:i/>
        </w:rPr>
        <w:t>(§ 8)</w:t>
      </w:r>
      <w:r w:rsidRPr="00D13854">
        <w:rPr>
          <w:rFonts w:eastAsia="Calibri"/>
        </w:rPr>
        <w:t xml:space="preserve"> zosúlaďuje s navrhovaným znením odseku 11 </w:t>
      </w:r>
      <w:r w:rsidRPr="00D13854">
        <w:rPr>
          <w:rFonts w:eastAsia="Calibri"/>
          <w:i/>
        </w:rPr>
        <w:t>(§ 8)</w:t>
      </w:r>
      <w:r w:rsidRPr="00D13854">
        <w:rPr>
          <w:rFonts w:eastAsia="Calibri"/>
        </w:rPr>
        <w:t>, ktorý vymenúva „utajovanú skutočnosť, bankové tajomstvo, daňové tajomstvo, obchodné tajomstvo, telekomunikačné tajomstvo, poštové tajomstvo,“.</w:t>
      </w:r>
    </w:p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>
      <w:bookmarkStart w:id="0" w:name="_GoBack"/>
      <w:bookmarkEnd w:id="0"/>
    </w:p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D61DC"/>
    <w:multiLevelType w:val="hybridMultilevel"/>
    <w:tmpl w:val="128281C4"/>
    <w:lvl w:ilvl="0" w:tplc="A33EF03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6208A"/>
    <w:rsid w:val="001025EA"/>
    <w:rsid w:val="001E02CC"/>
    <w:rsid w:val="00250732"/>
    <w:rsid w:val="00275707"/>
    <w:rsid w:val="0035597B"/>
    <w:rsid w:val="003A4B06"/>
    <w:rsid w:val="00411D8E"/>
    <w:rsid w:val="004A40A5"/>
    <w:rsid w:val="004A6B5E"/>
    <w:rsid w:val="00537098"/>
    <w:rsid w:val="005C46FD"/>
    <w:rsid w:val="006A7105"/>
    <w:rsid w:val="00774578"/>
    <w:rsid w:val="007A1877"/>
    <w:rsid w:val="007B411C"/>
    <w:rsid w:val="007D2D4E"/>
    <w:rsid w:val="008250CB"/>
    <w:rsid w:val="008B41C8"/>
    <w:rsid w:val="008B74FF"/>
    <w:rsid w:val="0090471E"/>
    <w:rsid w:val="00980C1E"/>
    <w:rsid w:val="009C558B"/>
    <w:rsid w:val="00A20894"/>
    <w:rsid w:val="00A241CE"/>
    <w:rsid w:val="00A4055A"/>
    <w:rsid w:val="00A62C1E"/>
    <w:rsid w:val="00A873F8"/>
    <w:rsid w:val="00AA0A6A"/>
    <w:rsid w:val="00BF567E"/>
    <w:rsid w:val="00CB75D8"/>
    <w:rsid w:val="00E70C4E"/>
    <w:rsid w:val="00E80DC0"/>
    <w:rsid w:val="00E87DEF"/>
    <w:rsid w:val="00E95AF9"/>
    <w:rsid w:val="00EA0832"/>
    <w:rsid w:val="00F2271F"/>
    <w:rsid w:val="00F6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7D2D4E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0A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A6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36</cp:revision>
  <cp:lastPrinted>2019-06-11T12:23:00Z</cp:lastPrinted>
  <dcterms:created xsi:type="dcterms:W3CDTF">2019-03-26T11:39:00Z</dcterms:created>
  <dcterms:modified xsi:type="dcterms:W3CDTF">2019-06-11T12:23:00Z</dcterms:modified>
</cp:coreProperties>
</file>