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ECE" w:rsidRDefault="00C56ECE" w:rsidP="00C56ECE">
      <w:pPr>
        <w:keepNext/>
        <w:spacing w:after="0" w:line="240" w:lineRule="auto"/>
        <w:outlineLvl w:val="5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>Výbor Národnej rady Slovenskej republiky</w:t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  <w:r>
        <w:rPr>
          <w:b/>
          <w:i/>
          <w:sz w:val="32"/>
          <w:szCs w:val="24"/>
          <w:lang w:eastAsia="sk-SK"/>
        </w:rPr>
        <w:tab/>
      </w:r>
    </w:p>
    <w:p w:rsidR="00C56ECE" w:rsidRDefault="00C56ECE" w:rsidP="00C56ECE">
      <w:pPr>
        <w:spacing w:after="0" w:line="240" w:lineRule="auto"/>
        <w:rPr>
          <w:b/>
          <w:i/>
          <w:sz w:val="32"/>
          <w:szCs w:val="24"/>
          <w:lang w:eastAsia="sk-SK"/>
        </w:rPr>
      </w:pPr>
      <w:r>
        <w:rPr>
          <w:b/>
          <w:i/>
          <w:sz w:val="32"/>
          <w:szCs w:val="24"/>
          <w:lang w:eastAsia="sk-SK"/>
        </w:rPr>
        <w:t xml:space="preserve">             pre obranu a bezpečnosť</w:t>
      </w:r>
    </w:p>
    <w:p w:rsidR="00C56ECE" w:rsidRDefault="00E41AF9" w:rsidP="00C56ECE">
      <w:pPr>
        <w:spacing w:after="0" w:line="240" w:lineRule="auto"/>
        <w:ind w:left="360"/>
        <w:jc w:val="right"/>
        <w:rPr>
          <w:b/>
          <w:szCs w:val="24"/>
          <w:lang w:eastAsia="sk-SK"/>
        </w:rPr>
      </w:pPr>
      <w:r>
        <w:rPr>
          <w:b/>
          <w:szCs w:val="24"/>
          <w:lang w:eastAsia="sk-SK"/>
        </w:rPr>
        <w:t>75</w:t>
      </w:r>
      <w:r w:rsidR="00C56ECE">
        <w:rPr>
          <w:b/>
          <w:szCs w:val="24"/>
          <w:lang w:eastAsia="sk-SK"/>
        </w:rPr>
        <w:t>.  schôdza výboru</w:t>
      </w:r>
    </w:p>
    <w:p w:rsidR="00C56ECE" w:rsidRDefault="00C56ECE" w:rsidP="00C56ECE">
      <w:pPr>
        <w:spacing w:after="0" w:line="240" w:lineRule="auto"/>
        <w:jc w:val="center"/>
        <w:rPr>
          <w:szCs w:val="24"/>
          <w:lang w:eastAsia="sk-SK"/>
        </w:rPr>
      </w:pP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</w:t>
      </w:r>
      <w:r>
        <w:rPr>
          <w:b/>
          <w:sz w:val="28"/>
          <w:szCs w:val="24"/>
          <w:lang w:eastAsia="sk-SK"/>
        </w:rPr>
        <w:tab/>
      </w:r>
      <w:r>
        <w:rPr>
          <w:b/>
          <w:sz w:val="28"/>
          <w:szCs w:val="24"/>
          <w:lang w:eastAsia="sk-SK"/>
        </w:rPr>
        <w:tab/>
        <w:t xml:space="preserve">   </w:t>
      </w:r>
      <w:r>
        <w:rPr>
          <w:szCs w:val="24"/>
          <w:lang w:eastAsia="sk-SK"/>
        </w:rPr>
        <w:t>CRD-926/2019</w:t>
      </w:r>
    </w:p>
    <w:p w:rsidR="00C56ECE" w:rsidRDefault="00892FBC" w:rsidP="00C56ECE">
      <w:pPr>
        <w:spacing w:after="0" w:line="240" w:lineRule="auto"/>
        <w:jc w:val="center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19</w:t>
      </w:r>
      <w:bookmarkStart w:id="0" w:name="_GoBack"/>
      <w:bookmarkEnd w:id="0"/>
      <w:r w:rsidR="00C56ECE">
        <w:rPr>
          <w:b/>
          <w:sz w:val="28"/>
          <w:szCs w:val="24"/>
          <w:lang w:eastAsia="sk-SK"/>
        </w:rPr>
        <w:t>5</w:t>
      </w:r>
    </w:p>
    <w:p w:rsidR="00C56ECE" w:rsidRDefault="00C56ECE" w:rsidP="00C56ECE">
      <w:pPr>
        <w:keepNext/>
        <w:spacing w:after="0" w:line="240" w:lineRule="auto"/>
        <w:jc w:val="center"/>
        <w:outlineLvl w:val="0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>Uznesenie</w:t>
      </w:r>
    </w:p>
    <w:p w:rsidR="00C56ECE" w:rsidRDefault="00C56ECE" w:rsidP="00C56ECE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Výboru Národnej rady Slovenskej republiky</w:t>
      </w:r>
    </w:p>
    <w:p w:rsidR="00C56ECE" w:rsidRDefault="00C56ECE" w:rsidP="00C56ECE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pre obranu a bezpečnosť</w:t>
      </w:r>
    </w:p>
    <w:p w:rsidR="00C56ECE" w:rsidRDefault="00C56ECE" w:rsidP="00C56ECE">
      <w:pPr>
        <w:spacing w:after="0" w:line="240" w:lineRule="auto"/>
        <w:jc w:val="center"/>
        <w:rPr>
          <w:szCs w:val="24"/>
          <w:lang w:eastAsia="sk-SK"/>
        </w:rPr>
      </w:pPr>
      <w:r>
        <w:rPr>
          <w:szCs w:val="24"/>
          <w:lang w:eastAsia="sk-SK"/>
        </w:rPr>
        <w:t>z 11. júna 2019</w:t>
      </w:r>
    </w:p>
    <w:p w:rsidR="00C56ECE" w:rsidRDefault="00C56ECE" w:rsidP="00C56ECE">
      <w:pPr>
        <w:spacing w:after="0" w:line="240" w:lineRule="auto"/>
        <w:jc w:val="center"/>
        <w:rPr>
          <w:szCs w:val="24"/>
          <w:lang w:eastAsia="sk-SK"/>
        </w:rPr>
      </w:pPr>
    </w:p>
    <w:p w:rsidR="00C56ECE" w:rsidRDefault="00C56ECE" w:rsidP="00C56ECE">
      <w:pPr>
        <w:ind w:firstLine="708"/>
        <w:jc w:val="both"/>
        <w:rPr>
          <w:b/>
          <w:szCs w:val="24"/>
        </w:rPr>
      </w:pPr>
      <w:r>
        <w:rPr>
          <w:szCs w:val="24"/>
          <w:lang w:eastAsia="sk-SK"/>
        </w:rPr>
        <w:t>Výbor Národnej rady Slovenskej republiky pre obranu a bezpečnosť prerokoval</w:t>
      </w:r>
      <w:r w:rsidRPr="00C56ECE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</w:t>
      </w:r>
      <w:r w:rsidRPr="00E714F6">
        <w:rPr>
          <w:rFonts w:cs="Arial"/>
          <w:noProof/>
          <w:szCs w:val="24"/>
        </w:rPr>
        <w:t xml:space="preserve">ládny návrh zákona, ktorým sa mení a dopĺňa zákon č. 300/2005 Z. z. Trestný zákon v znení neskorších predpisov a ktorým sa menia a dopĺňajú niektoré zákony </w:t>
      </w:r>
      <w:r w:rsidRPr="00E714F6">
        <w:rPr>
          <w:rFonts w:cs="Arial"/>
          <w:b/>
          <w:szCs w:val="24"/>
        </w:rPr>
        <w:t>(tlač 1427)</w:t>
      </w:r>
      <w:r>
        <w:rPr>
          <w:rFonts w:cs="Arial"/>
          <w:b/>
          <w:szCs w:val="24"/>
        </w:rPr>
        <w:t xml:space="preserve">  </w:t>
      </w:r>
      <w:r>
        <w:rPr>
          <w:szCs w:val="24"/>
        </w:rPr>
        <w:t xml:space="preserve">– </w:t>
      </w:r>
      <w:r>
        <w:rPr>
          <w:b/>
          <w:szCs w:val="24"/>
        </w:rPr>
        <w:t xml:space="preserve">druhé čítanie </w:t>
      </w:r>
      <w:r>
        <w:rPr>
          <w:bCs/>
          <w:szCs w:val="24"/>
          <w:lang w:eastAsia="sk-SK"/>
        </w:rPr>
        <w:t>a</w:t>
      </w:r>
    </w:p>
    <w:p w:rsidR="00C56ECE" w:rsidRDefault="00C56ECE" w:rsidP="00C56ECE">
      <w:pPr>
        <w:tabs>
          <w:tab w:val="left" w:pos="5580"/>
        </w:tabs>
        <w:spacing w:after="0" w:line="240" w:lineRule="auto"/>
        <w:jc w:val="both"/>
        <w:rPr>
          <w:bCs/>
          <w:szCs w:val="24"/>
          <w:lang w:eastAsia="sk-SK"/>
        </w:rPr>
      </w:pPr>
    </w:p>
    <w:p w:rsidR="00C56ECE" w:rsidRDefault="00C56ECE" w:rsidP="00C56ECE">
      <w:pPr>
        <w:pStyle w:val="Odsekzoznamu"/>
        <w:keepNext/>
        <w:numPr>
          <w:ilvl w:val="0"/>
          <w:numId w:val="1"/>
        </w:numPr>
        <w:spacing w:after="0" w:line="240" w:lineRule="auto"/>
        <w:jc w:val="both"/>
        <w:outlineLvl w:val="2"/>
        <w:rPr>
          <w:b/>
          <w:sz w:val="28"/>
          <w:szCs w:val="24"/>
          <w:lang w:eastAsia="sk-SK"/>
        </w:rPr>
      </w:pPr>
      <w:r>
        <w:rPr>
          <w:b/>
          <w:sz w:val="28"/>
          <w:szCs w:val="24"/>
          <w:lang w:eastAsia="sk-SK"/>
        </w:rPr>
        <w:t>súhlasí</w:t>
      </w:r>
    </w:p>
    <w:p w:rsidR="00C56ECE" w:rsidRDefault="00C56ECE" w:rsidP="00C56ECE">
      <w:pPr>
        <w:pStyle w:val="Odsekzoznamu"/>
        <w:keepNext/>
        <w:spacing w:after="0" w:line="240" w:lineRule="auto"/>
        <w:ind w:left="1068"/>
        <w:jc w:val="both"/>
        <w:outlineLvl w:val="2"/>
        <w:rPr>
          <w:b/>
          <w:sz w:val="28"/>
          <w:szCs w:val="24"/>
          <w:lang w:eastAsia="sk-SK"/>
        </w:rPr>
      </w:pPr>
    </w:p>
    <w:p w:rsidR="00C56ECE" w:rsidRDefault="00C56ECE" w:rsidP="00C56ECE">
      <w:pPr>
        <w:jc w:val="both"/>
        <w:rPr>
          <w:b/>
          <w:szCs w:val="24"/>
        </w:rPr>
      </w:pPr>
      <w:r>
        <w:rPr>
          <w:bCs/>
          <w:szCs w:val="24"/>
          <w:lang w:eastAsia="sk-SK"/>
        </w:rPr>
        <w:t xml:space="preserve">                 s</w:t>
      </w:r>
      <w:r w:rsidRPr="00C56ECE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</w:t>
      </w:r>
      <w:r w:rsidRPr="00E714F6">
        <w:rPr>
          <w:rFonts w:cs="Arial"/>
          <w:noProof/>
          <w:szCs w:val="24"/>
        </w:rPr>
        <w:t>ládny</w:t>
      </w:r>
      <w:r>
        <w:rPr>
          <w:rFonts w:cs="Arial"/>
          <w:noProof/>
          <w:szCs w:val="24"/>
        </w:rPr>
        <w:t>m</w:t>
      </w:r>
      <w:r w:rsidRPr="00E714F6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om</w:t>
      </w:r>
      <w:r w:rsidRPr="00E714F6">
        <w:rPr>
          <w:rFonts w:cs="Arial"/>
          <w:noProof/>
          <w:szCs w:val="24"/>
        </w:rPr>
        <w:t xml:space="preserve"> zákona, ktorým sa mení a dopĺňa zákon č. 300/2005 Z. z. Trestný zákon v znení neskorších predpisov a ktorým sa menia a dopĺňajú niektoré zákony </w:t>
      </w:r>
      <w:r w:rsidRPr="00E714F6">
        <w:rPr>
          <w:rFonts w:cs="Arial"/>
          <w:b/>
          <w:szCs w:val="24"/>
        </w:rPr>
        <w:t>(tlač 1427)</w:t>
      </w:r>
      <w:r>
        <w:rPr>
          <w:rFonts w:cs="Arial"/>
          <w:b/>
          <w:szCs w:val="24"/>
        </w:rPr>
        <w:t>;</w:t>
      </w:r>
    </w:p>
    <w:p w:rsidR="00C56ECE" w:rsidRDefault="00C56ECE" w:rsidP="00C56ECE">
      <w:pPr>
        <w:spacing w:after="0" w:line="240" w:lineRule="auto"/>
        <w:jc w:val="both"/>
        <w:rPr>
          <w:szCs w:val="24"/>
          <w:lang w:eastAsia="sk-SK"/>
        </w:rPr>
      </w:pPr>
    </w:p>
    <w:p w:rsidR="00C56ECE" w:rsidRDefault="00C56ECE" w:rsidP="00C56ECE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B. odporúča</w:t>
      </w:r>
    </w:p>
    <w:p w:rsidR="00C56ECE" w:rsidRDefault="00C56ECE" w:rsidP="00C56EC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</w:t>
      </w:r>
      <w:r>
        <w:rPr>
          <w:szCs w:val="24"/>
          <w:lang w:eastAsia="sk-SK"/>
        </w:rPr>
        <w:t xml:space="preserve"> Národnej rade Slovenskej republiky</w:t>
      </w:r>
    </w:p>
    <w:p w:rsidR="00C56ECE" w:rsidRDefault="00C56ECE" w:rsidP="00C56ECE">
      <w:pPr>
        <w:rPr>
          <w:szCs w:val="24"/>
          <w:lang w:eastAsia="sk-SK"/>
        </w:rPr>
      </w:pPr>
      <w:r>
        <w:rPr>
          <w:szCs w:val="24"/>
          <w:lang w:eastAsia="sk-SK"/>
        </w:rPr>
        <w:t xml:space="preserve"> </w:t>
      </w:r>
    </w:p>
    <w:p w:rsidR="00C56ECE" w:rsidRDefault="00C56ECE" w:rsidP="00C56ECE">
      <w:pPr>
        <w:rPr>
          <w:b/>
          <w:szCs w:val="24"/>
        </w:rPr>
      </w:pPr>
      <w:r>
        <w:rPr>
          <w:szCs w:val="24"/>
          <w:lang w:eastAsia="sk-SK"/>
        </w:rPr>
        <w:t xml:space="preserve">                </w:t>
      </w:r>
      <w:r>
        <w:rPr>
          <w:rFonts w:cs="Arial"/>
          <w:noProof/>
          <w:szCs w:val="24"/>
        </w:rPr>
        <w:t>v</w:t>
      </w:r>
      <w:r w:rsidRPr="00E714F6">
        <w:rPr>
          <w:rFonts w:cs="Arial"/>
          <w:noProof/>
          <w:szCs w:val="24"/>
        </w:rPr>
        <w:t xml:space="preserve">ládny návrh zákona, ktorým sa mení a dopĺňa zákon č. 300/2005 Z. z. Trestný zákon v znení neskorších predpisov a ktorým sa menia a dopĺňajú niektoré zákony </w:t>
      </w:r>
      <w:r w:rsidRPr="00E714F6">
        <w:rPr>
          <w:rFonts w:cs="Arial"/>
          <w:b/>
          <w:szCs w:val="24"/>
        </w:rPr>
        <w:t>(tlač 1427)</w:t>
      </w:r>
      <w:r>
        <w:rPr>
          <w:rFonts w:cs="Arial"/>
          <w:b/>
          <w:szCs w:val="24"/>
        </w:rPr>
        <w:t xml:space="preserve">  </w:t>
      </w:r>
      <w:r>
        <w:rPr>
          <w:rFonts w:cs="Arial"/>
          <w:szCs w:val="24"/>
        </w:rPr>
        <w:t xml:space="preserve"> schváliť s pripomienkami uvedenými v prílohe uznesenia;</w:t>
      </w:r>
    </w:p>
    <w:p w:rsidR="00C56ECE" w:rsidRDefault="00C56ECE" w:rsidP="00C56ECE">
      <w:pPr>
        <w:spacing w:after="0" w:line="240" w:lineRule="auto"/>
        <w:jc w:val="both"/>
        <w:rPr>
          <w:szCs w:val="24"/>
          <w:lang w:eastAsia="sk-SK"/>
        </w:rPr>
      </w:pPr>
    </w:p>
    <w:p w:rsidR="00C56ECE" w:rsidRDefault="00C56ECE" w:rsidP="00C56ECE">
      <w:pPr>
        <w:spacing w:after="0" w:line="240" w:lineRule="auto"/>
        <w:ind w:firstLine="708"/>
        <w:jc w:val="both"/>
        <w:rPr>
          <w:b/>
          <w:bCs/>
          <w:sz w:val="28"/>
          <w:szCs w:val="24"/>
          <w:lang w:eastAsia="sk-SK"/>
        </w:rPr>
      </w:pPr>
      <w:r>
        <w:rPr>
          <w:szCs w:val="24"/>
          <w:lang w:eastAsia="sk-SK"/>
        </w:rPr>
        <w:t xml:space="preserve">     </w:t>
      </w:r>
      <w:r>
        <w:rPr>
          <w:b/>
          <w:bCs/>
          <w:sz w:val="28"/>
          <w:szCs w:val="24"/>
          <w:lang w:eastAsia="sk-SK"/>
        </w:rPr>
        <w:t>C. ukladá</w:t>
      </w:r>
    </w:p>
    <w:p w:rsidR="00C56ECE" w:rsidRDefault="00C56ECE" w:rsidP="00C56EC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b/>
          <w:bCs/>
          <w:sz w:val="28"/>
          <w:szCs w:val="24"/>
          <w:lang w:eastAsia="sk-SK"/>
        </w:rPr>
        <w:t xml:space="preserve">         </w:t>
      </w:r>
      <w:r>
        <w:rPr>
          <w:szCs w:val="24"/>
          <w:lang w:eastAsia="sk-SK"/>
        </w:rPr>
        <w:t>predsedovi výboru</w:t>
      </w:r>
    </w:p>
    <w:p w:rsidR="00C56ECE" w:rsidRDefault="00C56ECE" w:rsidP="00C56ECE">
      <w:pPr>
        <w:spacing w:after="0" w:line="240" w:lineRule="auto"/>
        <w:ind w:firstLine="708"/>
        <w:jc w:val="both"/>
        <w:rPr>
          <w:szCs w:val="24"/>
          <w:lang w:eastAsia="sk-SK"/>
        </w:rPr>
      </w:pPr>
      <w:r>
        <w:rPr>
          <w:szCs w:val="24"/>
          <w:lang w:eastAsia="sk-SK"/>
        </w:rPr>
        <w:t xml:space="preserve">           informovať gestorský Ústavnoprávny výbor Národnej rady Slovenskej republiky o výsledku prerokovania uvedeného návrhu zákona vo výbore. </w:t>
      </w:r>
    </w:p>
    <w:p w:rsidR="00C56ECE" w:rsidRDefault="00C56ECE" w:rsidP="00C56ECE">
      <w:pPr>
        <w:spacing w:after="0" w:line="240" w:lineRule="auto"/>
        <w:ind w:firstLine="708"/>
        <w:jc w:val="both"/>
        <w:rPr>
          <w:szCs w:val="24"/>
          <w:lang w:eastAsia="sk-SK"/>
        </w:rPr>
      </w:pPr>
    </w:p>
    <w:p w:rsidR="00C56ECE" w:rsidRDefault="00C56ECE" w:rsidP="00C56ECE">
      <w:pPr>
        <w:spacing w:after="0" w:line="240" w:lineRule="auto"/>
        <w:jc w:val="both"/>
        <w:rPr>
          <w:szCs w:val="24"/>
          <w:lang w:eastAsia="sk-SK"/>
        </w:rPr>
      </w:pPr>
    </w:p>
    <w:p w:rsidR="00C56ECE" w:rsidRDefault="00C56ECE" w:rsidP="00C56ECE">
      <w:pPr>
        <w:spacing w:after="0" w:line="240" w:lineRule="auto"/>
        <w:jc w:val="both"/>
        <w:rPr>
          <w:szCs w:val="24"/>
          <w:lang w:eastAsia="sk-SK"/>
        </w:rPr>
      </w:pPr>
    </w:p>
    <w:p w:rsidR="00C56ECE" w:rsidRDefault="00C56ECE" w:rsidP="00C56ECE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</w:r>
      <w:r>
        <w:rPr>
          <w:b/>
          <w:i/>
          <w:sz w:val="22"/>
          <w:lang w:eastAsia="sk-SK"/>
        </w:rPr>
        <w:tab/>
        <w:t xml:space="preserve">                                                   </w:t>
      </w:r>
      <w:r>
        <w:rPr>
          <w:b/>
          <w:i/>
          <w:sz w:val="28"/>
          <w:szCs w:val="28"/>
          <w:lang w:eastAsia="sk-SK"/>
        </w:rPr>
        <w:t xml:space="preserve">  Anton HRNKO</w:t>
      </w:r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</w:r>
      <w:r>
        <w:rPr>
          <w:sz w:val="22"/>
          <w:lang w:eastAsia="sk-SK"/>
        </w:rPr>
        <w:tab/>
        <w:t xml:space="preserve">                  predseda výboru</w:t>
      </w:r>
    </w:p>
    <w:p w:rsidR="00C56ECE" w:rsidRDefault="00C56ECE" w:rsidP="00C56ECE">
      <w:pPr>
        <w:keepNext/>
        <w:spacing w:after="0" w:line="240" w:lineRule="auto"/>
        <w:outlineLvl w:val="1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>Jozef BUČEK</w:t>
      </w:r>
    </w:p>
    <w:p w:rsidR="00C56ECE" w:rsidRDefault="00C56ECE" w:rsidP="00C56ECE">
      <w:pPr>
        <w:keepNext/>
        <w:spacing w:after="0" w:line="240" w:lineRule="auto"/>
        <w:outlineLvl w:val="1"/>
        <w:rPr>
          <w:sz w:val="22"/>
          <w:lang w:eastAsia="sk-SK"/>
        </w:rPr>
      </w:pPr>
      <w:r>
        <w:rPr>
          <w:sz w:val="22"/>
          <w:lang w:eastAsia="sk-SK"/>
        </w:rPr>
        <w:t>overovateľ výboru</w:t>
      </w:r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</w:p>
    <w:p w:rsidR="00C56ECE" w:rsidRDefault="00C56ECE" w:rsidP="00C56ECE">
      <w:pPr>
        <w:spacing w:after="0" w:line="240" w:lineRule="auto"/>
        <w:rPr>
          <w:b/>
          <w:i/>
          <w:sz w:val="28"/>
          <w:szCs w:val="28"/>
          <w:lang w:eastAsia="sk-SK"/>
        </w:rPr>
      </w:pPr>
    </w:p>
    <w:p w:rsidR="00C56ECE" w:rsidRDefault="00C56ECE" w:rsidP="00C56ECE">
      <w:pPr>
        <w:spacing w:after="0" w:line="240" w:lineRule="auto"/>
        <w:rPr>
          <w:b/>
          <w:i/>
          <w:sz w:val="28"/>
          <w:szCs w:val="28"/>
          <w:lang w:eastAsia="sk-SK"/>
        </w:rPr>
      </w:pPr>
      <w:r>
        <w:rPr>
          <w:b/>
          <w:i/>
          <w:sz w:val="28"/>
          <w:szCs w:val="28"/>
          <w:lang w:eastAsia="sk-SK"/>
        </w:rPr>
        <w:t xml:space="preserve">Milan </w:t>
      </w:r>
      <w:proofErr w:type="spellStart"/>
      <w:r>
        <w:rPr>
          <w:b/>
          <w:i/>
          <w:sz w:val="28"/>
          <w:szCs w:val="28"/>
          <w:lang w:eastAsia="sk-SK"/>
        </w:rPr>
        <w:t>LAURENČÍK</w:t>
      </w:r>
      <w:proofErr w:type="spellEnd"/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  <w:r>
        <w:rPr>
          <w:sz w:val="22"/>
          <w:lang w:eastAsia="sk-SK"/>
        </w:rPr>
        <w:t>overovateľ výbor</w:t>
      </w:r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</w:p>
    <w:p w:rsidR="00C56ECE" w:rsidRDefault="00C56ECE" w:rsidP="00C56ECE">
      <w:pPr>
        <w:spacing w:after="0" w:line="240" w:lineRule="auto"/>
        <w:jc w:val="right"/>
        <w:rPr>
          <w:sz w:val="22"/>
          <w:lang w:eastAsia="sk-SK"/>
        </w:rPr>
      </w:pPr>
      <w:r>
        <w:rPr>
          <w:sz w:val="22"/>
          <w:lang w:eastAsia="sk-SK"/>
        </w:rPr>
        <w:t>Príloha k </w:t>
      </w:r>
      <w:proofErr w:type="spellStart"/>
      <w:r>
        <w:rPr>
          <w:sz w:val="22"/>
          <w:lang w:eastAsia="sk-SK"/>
        </w:rPr>
        <w:t>uzn</w:t>
      </w:r>
      <w:proofErr w:type="spellEnd"/>
      <w:r>
        <w:rPr>
          <w:sz w:val="22"/>
          <w:lang w:eastAsia="sk-SK"/>
        </w:rPr>
        <w:t>. č. 195</w:t>
      </w:r>
    </w:p>
    <w:p w:rsidR="00C56ECE" w:rsidRDefault="00C56ECE" w:rsidP="00C56ECE">
      <w:pPr>
        <w:spacing w:after="0" w:line="240" w:lineRule="auto"/>
        <w:jc w:val="center"/>
        <w:rPr>
          <w:b/>
          <w:sz w:val="28"/>
          <w:szCs w:val="28"/>
          <w:lang w:eastAsia="sk-SK"/>
        </w:rPr>
      </w:pPr>
      <w:r>
        <w:rPr>
          <w:b/>
          <w:sz w:val="28"/>
          <w:szCs w:val="28"/>
          <w:lang w:eastAsia="sk-SK"/>
        </w:rPr>
        <w:t>Pripomienky</w:t>
      </w:r>
    </w:p>
    <w:p w:rsidR="00C56ECE" w:rsidRDefault="00C56ECE" w:rsidP="00C56ECE">
      <w:pPr>
        <w:spacing w:after="0" w:line="240" w:lineRule="auto"/>
        <w:rPr>
          <w:sz w:val="22"/>
          <w:lang w:eastAsia="sk-SK"/>
        </w:rPr>
      </w:pPr>
    </w:p>
    <w:p w:rsidR="00C56ECE" w:rsidRDefault="00C56ECE" w:rsidP="00C56ECE">
      <w:pPr>
        <w:pBdr>
          <w:bottom w:val="single" w:sz="12" w:space="1" w:color="auto"/>
        </w:pBdr>
        <w:jc w:val="both"/>
        <w:rPr>
          <w:rFonts w:cs="Arial"/>
          <w:b/>
          <w:szCs w:val="24"/>
        </w:rPr>
      </w:pPr>
      <w:r>
        <w:rPr>
          <w:sz w:val="22"/>
          <w:lang w:eastAsia="sk-SK"/>
        </w:rPr>
        <w:t>k</w:t>
      </w:r>
      <w:r w:rsidRPr="0031657B">
        <w:rPr>
          <w:rFonts w:cs="Arial"/>
          <w:noProof/>
          <w:szCs w:val="24"/>
        </w:rPr>
        <w:t xml:space="preserve"> </w:t>
      </w:r>
      <w:r>
        <w:rPr>
          <w:rFonts w:cs="Arial"/>
          <w:noProof/>
          <w:szCs w:val="24"/>
        </w:rPr>
        <w:t>vládnemu</w:t>
      </w:r>
      <w:r w:rsidRPr="00E714F6">
        <w:rPr>
          <w:rFonts w:cs="Arial"/>
          <w:noProof/>
          <w:szCs w:val="24"/>
        </w:rPr>
        <w:t xml:space="preserve"> návrh</w:t>
      </w:r>
      <w:r>
        <w:rPr>
          <w:rFonts w:cs="Arial"/>
          <w:noProof/>
          <w:szCs w:val="24"/>
        </w:rPr>
        <w:t>u</w:t>
      </w:r>
      <w:r w:rsidRPr="00E714F6">
        <w:rPr>
          <w:rFonts w:cs="Arial"/>
          <w:noProof/>
          <w:szCs w:val="24"/>
        </w:rPr>
        <w:t xml:space="preserve"> zákona, ktorým sa mení a dopĺňa zákon č. 300/2005 Z. z. Trestný zákon v znení neskorších predpisov a ktorým sa menia a dopĺňajú niektoré zákony </w:t>
      </w:r>
      <w:r w:rsidRPr="00E714F6">
        <w:rPr>
          <w:rFonts w:cs="Arial"/>
          <w:b/>
          <w:szCs w:val="24"/>
        </w:rPr>
        <w:t>(tlač 1427)</w:t>
      </w:r>
    </w:p>
    <w:p w:rsidR="008F5431" w:rsidRDefault="008F5431" w:rsidP="008F5431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</w:t>
      </w:r>
    </w:p>
    <w:p w:rsidR="008F5431" w:rsidRPr="008F5431" w:rsidRDefault="008F5431" w:rsidP="008F5431">
      <w:pPr>
        <w:pStyle w:val="Odsekzoznamu"/>
        <w:numPr>
          <w:ilvl w:val="0"/>
          <w:numId w:val="6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8F5431">
        <w:rPr>
          <w:szCs w:val="24"/>
          <w:lang w:eastAsia="sk-SK"/>
        </w:rPr>
        <w:t>V čl. I 1. bod (§ 34 ods. 6) sa slová „</w:t>
      </w:r>
      <w:r w:rsidRPr="008F5431">
        <w:rPr>
          <w:szCs w:val="24"/>
        </w:rPr>
        <w:t>sa na konci vkladá čiarka a pripájajú sa tieto slová: „ak tento zákon neustanovuje inak“</w:t>
      </w:r>
      <w:r w:rsidRPr="008F5431">
        <w:rPr>
          <w:szCs w:val="24"/>
          <w:lang w:eastAsia="sk-SK"/>
        </w:rPr>
        <w:t>“ nahrádzajú slovami „sa na konci bodka nahrádza čiarkou a pripájajú sa tieto slová</w:t>
      </w:r>
      <w:r w:rsidRPr="008F5431">
        <w:rPr>
          <w:szCs w:val="24"/>
        </w:rPr>
        <w:t>: „ak tento zákon neustanovuje inak.“</w:t>
      </w:r>
      <w:r w:rsidRPr="008F5431">
        <w:rPr>
          <w:szCs w:val="24"/>
          <w:lang w:eastAsia="sk-SK"/>
        </w:rPr>
        <w:t>“.</w:t>
      </w: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úpravu.</w:t>
      </w:r>
    </w:p>
    <w:p w:rsidR="008F5431" w:rsidRPr="008F5431" w:rsidRDefault="008F5431" w:rsidP="008F5431">
      <w:pPr>
        <w:pStyle w:val="Odsekzoznamu"/>
        <w:numPr>
          <w:ilvl w:val="0"/>
          <w:numId w:val="6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8F5431">
        <w:rPr>
          <w:szCs w:val="24"/>
          <w:lang w:eastAsia="sk-SK"/>
        </w:rPr>
        <w:t>V čl. I  13. bod (§ 67 ods. 2) sa slová „</w:t>
      </w:r>
      <w:r w:rsidRPr="008F5431">
        <w:rPr>
          <w:szCs w:val="24"/>
        </w:rPr>
        <w:t>sa na konci vkladá čiarka a pripájajú sa tieto slová</w:t>
      </w:r>
      <w:r w:rsidRPr="008F5431">
        <w:rPr>
          <w:szCs w:val="24"/>
          <w:lang w:eastAsia="sk-SK"/>
        </w:rPr>
        <w:t>“ nahrádzajú slovami „sa na konci bodka nahrádza čiarkou a pripájajú sa tieto slová“.</w:t>
      </w: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úpravu.</w:t>
      </w: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8F5431" w:rsidRPr="008F5431" w:rsidRDefault="008F5431" w:rsidP="008F5431">
      <w:pPr>
        <w:spacing w:before="120" w:line="240" w:lineRule="auto"/>
        <w:jc w:val="both"/>
        <w:rPr>
          <w:b/>
          <w:szCs w:val="24"/>
          <w:u w:val="single"/>
          <w:lang w:eastAsia="sk-SK"/>
        </w:rPr>
      </w:pPr>
      <w:r>
        <w:rPr>
          <w:b/>
          <w:szCs w:val="24"/>
          <w:u w:val="single"/>
          <w:lang w:eastAsia="sk-SK"/>
        </w:rPr>
        <w:t>K čl. II</w:t>
      </w:r>
    </w:p>
    <w:p w:rsidR="008F5431" w:rsidRPr="008F5431" w:rsidRDefault="008F5431" w:rsidP="008F5431">
      <w:pPr>
        <w:pStyle w:val="Odsekzoznamu"/>
        <w:numPr>
          <w:ilvl w:val="0"/>
          <w:numId w:val="6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8F5431">
        <w:rPr>
          <w:szCs w:val="24"/>
          <w:lang w:eastAsia="sk-SK"/>
        </w:rPr>
        <w:t>V čl. II 4. bod § 61b ods. 2 sa za slová „vo výkone trestu“ vkladajú slová „odňatia slobody“.</w:t>
      </w: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ktorou sa precizuje znenie navrhovaného ustanovenia, z ktorého bude zrejmé, že príslušník Zboru väzenskej a justičnej stráže môže overiť totožnosť vypočúvanej osoby, ktorá sa nachádza v niektorom z  Ústavov na výkon trestu odňatia slobody.</w:t>
      </w: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</w:p>
    <w:p w:rsidR="008F5431" w:rsidRPr="008F5431" w:rsidRDefault="008F5431" w:rsidP="008F5431">
      <w:pPr>
        <w:pStyle w:val="Odsekzoznamu"/>
        <w:numPr>
          <w:ilvl w:val="0"/>
          <w:numId w:val="6"/>
        </w:numPr>
        <w:spacing w:before="100" w:beforeAutospacing="1" w:after="0" w:line="360" w:lineRule="auto"/>
        <w:jc w:val="both"/>
        <w:rPr>
          <w:szCs w:val="24"/>
          <w:lang w:eastAsia="sk-SK"/>
        </w:rPr>
      </w:pPr>
      <w:r w:rsidRPr="008F5431">
        <w:rPr>
          <w:szCs w:val="24"/>
          <w:lang w:eastAsia="sk-SK"/>
        </w:rPr>
        <w:t>V čl. II 20. bod § 263 ods. 5 sa slová „zápisnice o výsluchu“ nahrádzajú slovami „zápisnice o výpovedi“</w:t>
      </w:r>
    </w:p>
    <w:p w:rsidR="008F5431" w:rsidRDefault="008F5431" w:rsidP="008F5431">
      <w:pPr>
        <w:spacing w:before="100" w:beforeAutospacing="1" w:line="240" w:lineRule="auto"/>
        <w:ind w:left="4247"/>
        <w:contextualSpacing/>
        <w:jc w:val="both"/>
        <w:rPr>
          <w:szCs w:val="24"/>
          <w:lang w:eastAsia="sk-SK"/>
        </w:rPr>
      </w:pPr>
      <w:r>
        <w:rPr>
          <w:szCs w:val="24"/>
          <w:lang w:eastAsia="sk-SK"/>
        </w:rPr>
        <w:t>Ide o legislatívno-technickú úpravu, ktorej cieľom je zjednotenie terminológie v rámci ustanovenia    § 263 ods. 1 až 4 Trestného poriadku, ktorý obsahuje úpravu týkajúcu sa čítania zápisnice o výpovedi svedka resp. spoluobžalovaného.</w:t>
      </w:r>
    </w:p>
    <w:p w:rsidR="008F5431" w:rsidRDefault="008F5431" w:rsidP="008F5431">
      <w:pPr>
        <w:autoSpaceDE w:val="0"/>
        <w:autoSpaceDN w:val="0"/>
        <w:spacing w:after="0"/>
        <w:jc w:val="both"/>
        <w:rPr>
          <w:rFonts w:eastAsia="Calibri"/>
          <w:szCs w:val="24"/>
          <w:lang w:eastAsia="sk-SK"/>
        </w:rPr>
      </w:pPr>
    </w:p>
    <w:p w:rsidR="008F5431" w:rsidRDefault="008F5431" w:rsidP="008F5431">
      <w:pPr>
        <w:autoSpaceDE w:val="0"/>
        <w:autoSpaceDN w:val="0"/>
        <w:spacing w:after="0"/>
        <w:jc w:val="both"/>
        <w:rPr>
          <w:rFonts w:eastAsia="Calibri"/>
          <w:szCs w:val="24"/>
          <w:lang w:eastAsia="sk-SK"/>
        </w:rPr>
      </w:pPr>
    </w:p>
    <w:p w:rsidR="007F51A4" w:rsidRDefault="007F51A4"/>
    <w:sectPr w:rsidR="007F51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3FB8"/>
    <w:multiLevelType w:val="hybridMultilevel"/>
    <w:tmpl w:val="56C8908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F5189"/>
    <w:multiLevelType w:val="hybridMultilevel"/>
    <w:tmpl w:val="863ACD32"/>
    <w:lvl w:ilvl="0" w:tplc="E8801AD4">
      <w:start w:val="1"/>
      <w:numFmt w:val="upperLetter"/>
      <w:lvlText w:val="%1."/>
      <w:lvlJc w:val="left"/>
      <w:pPr>
        <w:ind w:left="1068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" w15:restartNumberingAfterBreak="0">
    <w:nsid w:val="75994B0A"/>
    <w:multiLevelType w:val="hybridMultilevel"/>
    <w:tmpl w:val="53BEFA66"/>
    <w:lvl w:ilvl="0" w:tplc="8848AB0C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A90EBC"/>
    <w:multiLevelType w:val="hybridMultilevel"/>
    <w:tmpl w:val="48B0E9C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ECE"/>
    <w:rsid w:val="007F51A4"/>
    <w:rsid w:val="00892FBC"/>
    <w:rsid w:val="008F5431"/>
    <w:rsid w:val="00C56ECE"/>
    <w:rsid w:val="00E41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57105"/>
  <w15:chartTrackingRefBased/>
  <w15:docId w15:val="{F1EC58BF-9AE4-4CE6-8C05-0036D4019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56ECE"/>
    <w:pPr>
      <w:spacing w:after="120" w:line="276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56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Mazuráková, Vladislava</dc:creator>
  <cp:keywords/>
  <dc:description/>
  <cp:lastModifiedBy>Mazuráková, Vladislava</cp:lastModifiedBy>
  <cp:revision>4</cp:revision>
  <dcterms:created xsi:type="dcterms:W3CDTF">2019-05-06T06:02:00Z</dcterms:created>
  <dcterms:modified xsi:type="dcterms:W3CDTF">2019-06-11T12:11:00Z</dcterms:modified>
</cp:coreProperties>
</file>