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511C71">
        <w:rPr>
          <w:sz w:val="22"/>
          <w:szCs w:val="22"/>
        </w:rPr>
        <w:t>7</w:t>
      </w:r>
      <w:r w:rsidR="00175A28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175A28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75A28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6C29D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75A28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75A28">
        <w:rPr>
          <w:rFonts w:cs="Arial"/>
          <w:szCs w:val="22"/>
        </w:rPr>
        <w:t xml:space="preserve"> Irén SÁRKÖZY</w:t>
      </w:r>
      <w:r w:rsidR="00A13383">
        <w:rPr>
          <w:rFonts w:cs="Arial"/>
          <w:szCs w:val="22"/>
        </w:rPr>
        <w:t xml:space="preserve"> na vydanie zákona, ktorým sa dopĺňa zákon </w:t>
      </w:r>
      <w:r w:rsidR="00175A28">
        <w:rPr>
          <w:rFonts w:cs="Arial"/>
          <w:szCs w:val="22"/>
        </w:rPr>
        <w:t>č. 530/2003 Z. z. o obchodnom registri a o zmene a doplnení niektorých zákonov v znení neskorších predpisov</w:t>
      </w:r>
      <w:r w:rsidR="00A1338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175A28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C6057A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6057A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 xml:space="preserve">b) lehotu na prerokovanie návrhu zákona v druhom čítaní v gestorskom výbore </w:t>
      </w:r>
      <w:r w:rsidR="00C6057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5A28"/>
    <w:rsid w:val="00177F9B"/>
    <w:rsid w:val="00192D80"/>
    <w:rsid w:val="001B0176"/>
    <w:rsid w:val="001D3570"/>
    <w:rsid w:val="001D7F32"/>
    <w:rsid w:val="001F263C"/>
    <w:rsid w:val="002105CA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4701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58F9"/>
    <w:rsid w:val="00650056"/>
    <w:rsid w:val="00671C99"/>
    <w:rsid w:val="0069489D"/>
    <w:rsid w:val="006C29D9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F73C2"/>
    <w:rsid w:val="00C11306"/>
    <w:rsid w:val="00C6057A"/>
    <w:rsid w:val="00C649B2"/>
    <w:rsid w:val="00C87421"/>
    <w:rsid w:val="00C90136"/>
    <w:rsid w:val="00D0595A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E45A9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2019-06-03T12:25:00Z</cp:lastPrinted>
  <dcterms:created xsi:type="dcterms:W3CDTF">2019-06-03T08:31:00Z</dcterms:created>
  <dcterms:modified xsi:type="dcterms:W3CDTF">2019-06-03T12:31:00Z</dcterms:modified>
</cp:coreProperties>
</file>