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12" w:space="1" w:color="00000A"/>
        </w:pBdr>
        <w:spacing w:lineRule="auto" w:line="276" w:before="120" w:after="0"/>
        <w:ind w:firstLine="708"/>
        <w:jc w:val="center"/>
        <w:rPr>
          <w:rFonts w:ascii="Book Antiqua" w:hAnsi="Book Antiqua"/>
          <w:b/>
          <w:b/>
          <w:spacing w:val="20"/>
        </w:rPr>
      </w:pPr>
      <w:r>
        <w:rPr>
          <w:rFonts w:ascii="Book Antiqua" w:hAnsi="Book Antiqua"/>
          <w:b/>
          <w:spacing w:val="20"/>
        </w:rPr>
        <w:t>NÁRODNÁ  RADA  SLOVENSKEJ  REPUBLIKY</w:t>
      </w:r>
    </w:p>
    <w:p>
      <w:pPr>
        <w:pStyle w:val="Normal"/>
        <w:spacing w:lineRule="auto" w:line="276" w:before="120" w:after="0"/>
        <w:jc w:val="center"/>
        <w:rPr>
          <w:rFonts w:ascii="Book Antiqua" w:hAnsi="Book Antiqua"/>
          <w:spacing w:val="20"/>
        </w:rPr>
      </w:pPr>
      <w:r>
        <w:rPr>
          <w:rFonts w:ascii="Book Antiqua" w:hAnsi="Book Antiqua"/>
          <w:spacing w:val="20"/>
        </w:rPr>
      </w:r>
    </w:p>
    <w:p>
      <w:pPr>
        <w:pStyle w:val="Normal"/>
        <w:spacing w:lineRule="auto" w:line="276" w:before="120" w:after="0"/>
        <w:jc w:val="center"/>
        <w:rPr>
          <w:rFonts w:ascii="Book Antiqua" w:hAnsi="Book Antiqua"/>
          <w:spacing w:val="20"/>
        </w:rPr>
      </w:pPr>
      <w:r>
        <w:rPr>
          <w:rFonts w:ascii="Book Antiqua" w:hAnsi="Book Antiqua"/>
          <w:spacing w:val="20"/>
        </w:rPr>
        <w:t>VII. volebné obdobie</w:t>
      </w:r>
    </w:p>
    <w:p>
      <w:pPr>
        <w:pStyle w:val="Normal"/>
        <w:spacing w:lineRule="auto" w:line="276" w:before="120" w:after="0"/>
        <w:jc w:val="center"/>
        <w:rPr>
          <w:rFonts w:ascii="Book Antiqua" w:hAnsi="Book Antiqua"/>
          <w:b/>
          <w:b/>
          <w:spacing w:val="30"/>
        </w:rPr>
      </w:pPr>
      <w:r>
        <w:rPr>
          <w:rFonts w:ascii="Book Antiqua" w:hAnsi="Book Antiqua"/>
          <w:b/>
          <w:spacing w:val="30"/>
        </w:rPr>
      </w:r>
    </w:p>
    <w:p>
      <w:pPr>
        <w:pStyle w:val="Normal"/>
        <w:spacing w:lineRule="auto" w:line="276" w:before="120" w:after="0"/>
        <w:jc w:val="center"/>
        <w:rPr>
          <w:rFonts w:ascii="Book Antiqua" w:hAnsi="Book Antiqua"/>
          <w:spacing w:val="30"/>
        </w:rPr>
      </w:pPr>
      <w:r>
        <w:rPr>
          <w:rFonts w:ascii="Book Antiqua" w:hAnsi="Book Antiqua"/>
          <w:spacing w:val="30"/>
        </w:rPr>
        <w:t>Návrh</w:t>
      </w:r>
    </w:p>
    <w:p>
      <w:pPr>
        <w:pStyle w:val="Normal"/>
        <w:spacing w:lineRule="auto" w:line="276" w:before="120" w:after="0"/>
        <w:jc w:val="center"/>
        <w:rPr>
          <w:rFonts w:ascii="Book Antiqua" w:hAnsi="Book Antiqua"/>
          <w:b/>
          <w:b/>
          <w:spacing w:val="30"/>
        </w:rPr>
      </w:pPr>
      <w:r>
        <w:rPr>
          <w:rFonts w:ascii="Book Antiqua" w:hAnsi="Book Antiqua"/>
          <w:b/>
          <w:spacing w:val="30"/>
        </w:rPr>
      </w:r>
    </w:p>
    <w:p>
      <w:pPr>
        <w:pStyle w:val="Normal"/>
        <w:spacing w:lineRule="auto" w:line="276" w:before="120" w:after="0"/>
        <w:jc w:val="center"/>
        <w:rPr>
          <w:rFonts w:ascii="Book Antiqua" w:hAnsi="Book Antiqua"/>
          <w:b/>
          <w:b/>
          <w:caps/>
          <w:spacing w:val="30"/>
        </w:rPr>
      </w:pPr>
      <w:r>
        <w:rPr>
          <w:rFonts w:ascii="Book Antiqua" w:hAnsi="Book Antiqua"/>
          <w:b/>
          <w:caps/>
          <w:spacing w:val="30"/>
        </w:rPr>
        <w:t>zákon</w:t>
      </w:r>
    </w:p>
    <w:p>
      <w:pPr>
        <w:pStyle w:val="Normal"/>
        <w:spacing w:lineRule="auto" w:line="276" w:before="120" w:after="0"/>
        <w:jc w:val="center"/>
        <w:rPr>
          <w:rFonts w:ascii="Book Antiqua" w:hAnsi="Book Antiqua"/>
        </w:rPr>
      </w:pPr>
      <w:r>
        <w:rPr>
          <w:rFonts w:ascii="Book Antiqua" w:hAnsi="Book Antiqua"/>
        </w:rPr>
      </w:r>
    </w:p>
    <w:p>
      <w:pPr>
        <w:pStyle w:val="Normal"/>
        <w:spacing w:lineRule="auto" w:line="276" w:before="120" w:after="0"/>
        <w:jc w:val="center"/>
        <w:rPr>
          <w:rFonts w:ascii="Book Antiqua" w:hAnsi="Book Antiqua"/>
        </w:rPr>
      </w:pPr>
      <w:r>
        <w:rPr>
          <w:rFonts w:ascii="Book Antiqua" w:hAnsi="Book Antiqua"/>
        </w:rPr>
        <w:t>z ... 2019,</w:t>
      </w:r>
    </w:p>
    <w:p>
      <w:pPr>
        <w:pStyle w:val="Normal"/>
        <w:spacing w:lineRule="auto" w:line="276" w:before="120" w:after="0"/>
        <w:rPr>
          <w:rFonts w:ascii="Book Antiqua" w:hAnsi="Book Antiqua"/>
        </w:rPr>
      </w:pPr>
      <w:r>
        <w:rPr>
          <w:rFonts w:ascii="Book Antiqua" w:hAnsi="Book Antiqua"/>
        </w:rPr>
      </w:r>
    </w:p>
    <w:p>
      <w:pPr>
        <w:pStyle w:val="Normal"/>
        <w:spacing w:lineRule="auto" w:line="276" w:before="120" w:after="0"/>
        <w:jc w:val="center"/>
        <w:rPr>
          <w:rFonts w:ascii="Book Antiqua" w:hAnsi="Book Antiqua"/>
          <w:b/>
          <w:b/>
          <w:bCs/>
        </w:rPr>
      </w:pPr>
      <w:r>
        <w:rPr>
          <w:rFonts w:ascii="Book Antiqua" w:hAnsi="Book Antiqua"/>
          <w:b/>
        </w:rPr>
        <w:t xml:space="preserve">ktorým sa mení a dopĺňa č. 447/2008 Z. z. o peňažných príspevkoch na kompenzáciu ťažkého zdravotného postihnutia a o zmene a doplnení niektorých zákonov v znení neskorších predpisov </w:t>
      </w:r>
    </w:p>
    <w:p>
      <w:pPr>
        <w:pStyle w:val="Normal"/>
        <w:spacing w:lineRule="auto" w:line="276" w:before="120" w:after="0"/>
        <w:jc w:val="both"/>
        <w:rPr>
          <w:rFonts w:ascii="Book Antiqua" w:hAnsi="Book Antiqua"/>
        </w:rPr>
      </w:pPr>
      <w:r>
        <w:rPr>
          <w:rFonts w:ascii="Book Antiqua" w:hAnsi="Book Antiqua"/>
        </w:rPr>
      </w:r>
    </w:p>
    <w:p>
      <w:pPr>
        <w:pStyle w:val="Normal"/>
        <w:spacing w:lineRule="auto" w:line="276" w:before="120" w:after="0"/>
        <w:ind w:firstLine="708"/>
        <w:jc w:val="both"/>
        <w:rPr>
          <w:rFonts w:ascii="Book Antiqua" w:hAnsi="Book Antiqua"/>
        </w:rPr>
      </w:pPr>
      <w:r>
        <w:rPr>
          <w:rFonts w:ascii="Book Antiqua" w:hAnsi="Book Antiqua"/>
        </w:rPr>
        <w:t>Národná rada Slovenskej republiky sa uzniesla na tomto zákone:</w:t>
      </w:r>
    </w:p>
    <w:p>
      <w:pPr>
        <w:pStyle w:val="Normal"/>
        <w:spacing w:lineRule="auto" w:line="276" w:before="120" w:after="0"/>
        <w:jc w:val="both"/>
        <w:rPr>
          <w:rFonts w:ascii="Book Antiqua" w:hAnsi="Book Antiqua"/>
        </w:rPr>
      </w:pPr>
      <w:r>
        <w:rPr>
          <w:rFonts w:ascii="Book Antiqua" w:hAnsi="Book Antiqua"/>
        </w:rPr>
      </w:r>
    </w:p>
    <w:p>
      <w:pPr>
        <w:pStyle w:val="Normal"/>
        <w:spacing w:lineRule="auto" w:line="276" w:before="120" w:after="0"/>
        <w:jc w:val="center"/>
        <w:rPr>
          <w:rFonts w:ascii="Book Antiqua" w:hAnsi="Book Antiqua"/>
          <w:b/>
          <w:b/>
        </w:rPr>
      </w:pPr>
      <w:r>
        <w:rPr>
          <w:rFonts w:ascii="Book Antiqua" w:hAnsi="Book Antiqua"/>
          <w:b/>
        </w:rPr>
        <w:t>Čl. I</w:t>
      </w:r>
    </w:p>
    <w:p>
      <w:pPr>
        <w:pStyle w:val="Normal"/>
        <w:spacing w:lineRule="auto" w:line="276" w:before="120" w:after="0"/>
        <w:ind w:firstLine="708"/>
        <w:jc w:val="both"/>
        <w:rPr>
          <w:rFonts w:ascii="Book Antiqua" w:hAnsi="Book Antiqua"/>
          <w:lang w:eastAsia="sk-SK"/>
        </w:rPr>
      </w:pPr>
      <w:r>
        <w:rPr>
          <w:rFonts w:ascii="Book Antiqua" w:hAnsi="Book Antiqua"/>
        </w:rPr>
        <w:t>Z</w:t>
      </w:r>
      <w:r>
        <w:rPr>
          <w:rFonts w:ascii="Book Antiqua" w:hAnsi="Book Antiqua"/>
          <w:lang w:eastAsia="sk-SK"/>
        </w:rPr>
        <w:t xml:space="preserve">ákon č. 447/2008 Z. z. o peňažných príspevkoch na kompenzáciu ťažkého zdravotného postihnutia a o zmene a doplnení niektorých zákonov </w:t>
      </w:r>
      <w:r>
        <w:rPr>
          <w:rFonts w:ascii="Book Antiqua" w:hAnsi="Book Antiqua"/>
        </w:rPr>
        <w:t xml:space="preserve">v znení zákona                 č. 551/2010 Z. z., zákona č. 180/2011 Z. z., zákona č. 468/2011 Z. z., zákona č. 136/2013 Z. z., zákona č. 219/2014 Z. z., zákona č. 263/2014 Z. z., zákona č. 375/2014 Z. z., zákona                 č. 353/2015 Z. z., zákona č. 378/2015 Z. z., zákona č. 125/2016 Z. z., zákona č. 355/2016 Z. z. a zákona č. 191/2018 Z. z. </w:t>
      </w:r>
      <w:r>
        <w:rPr>
          <w:rFonts w:ascii="Book Antiqua" w:hAnsi="Book Antiqua"/>
          <w:lang w:eastAsia="sk-SK"/>
        </w:rPr>
        <w:t xml:space="preserve">sa mení a dopĺňa takto: </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38 ods. 9 písm. a) sa za slová „trvalého pobytu“ vkladá čiarka a slová „a podmienka využívania osobného motorového vozidla na vzdelávacie aktivity je splnená aj vtedy, ak fyzická osoba s ťažkým zdravotným postihnutím má určený individuálny študijný plán“.</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38 sa za odsek 11 vkladá nový odsek 12, ktorý znie:</w:t>
      </w:r>
    </w:p>
    <w:p>
      <w:pPr>
        <w:pStyle w:val="Normal"/>
        <w:spacing w:lineRule="auto" w:line="276" w:before="120" w:after="0"/>
        <w:ind w:left="1418" w:hanging="567"/>
        <w:jc w:val="both"/>
        <w:rPr>
          <w:rFonts w:ascii="Book Antiqua" w:hAnsi="Book Antiqua"/>
        </w:rPr>
      </w:pPr>
      <w:r>
        <w:rPr>
          <w:rFonts w:ascii="Book Antiqua" w:hAnsi="Book Antiqua"/>
        </w:rPr>
        <w:t>„</w:t>
      </w:r>
      <w:r>
        <w:rPr>
          <w:rFonts w:ascii="Book Antiqua" w:hAnsi="Book Antiqua"/>
        </w:rPr>
        <w:t>(12)</w:t>
        <w:tab/>
        <w:t>Zvýšené výdavky  súvisiace so zabezpečením prevádzky osobného motorového vozidla na vzdelávacie aktivity podľa odseku 9 písm. a) sa v prípade fyzickej osoby s ťažkým zdravotným postihnutím, ktorá má určený individuálny študijný plán, preukazujú len dokladom školy potvrdzujúcim individuálne vzdelávanie a jeho rozsah.</w:t>
      </w:r>
      <w:r>
        <w:rPr>
          <w:rFonts w:ascii="Book Antiqua" w:hAnsi="Book Antiqua"/>
          <w:vertAlign w:val="superscript"/>
        </w:rPr>
        <w:t>40a</w:t>
      </w:r>
      <w:r>
        <w:rPr>
          <w:rFonts w:ascii="Book Antiqua" w:hAnsi="Book Antiqua"/>
        </w:rPr>
        <w:t>)“.</w:t>
      </w:r>
    </w:p>
    <w:p>
      <w:pPr>
        <w:pStyle w:val="Normal"/>
        <w:spacing w:lineRule="auto" w:line="276" w:before="120" w:after="0"/>
        <w:ind w:left="851" w:hanging="0"/>
        <w:jc w:val="both"/>
        <w:rPr>
          <w:rFonts w:ascii="Book Antiqua" w:hAnsi="Book Antiqua"/>
        </w:rPr>
      </w:pPr>
      <w:r>
        <w:rPr>
          <w:rFonts w:ascii="Book Antiqua" w:hAnsi="Book Antiqua"/>
        </w:rPr>
        <w:t>Poznámka pod čiarou k odkazu 40a znie:</w:t>
      </w:r>
    </w:p>
    <w:p>
      <w:pPr>
        <w:pStyle w:val="Normal"/>
        <w:spacing w:lineRule="auto" w:line="276" w:before="120" w:after="0"/>
        <w:ind w:left="851" w:hanging="0"/>
        <w:jc w:val="both"/>
        <w:rPr>
          <w:rFonts w:ascii="Book Antiqua" w:hAnsi="Book Antiqua"/>
        </w:rPr>
      </w:pPr>
      <w:r>
        <w:rPr>
          <w:rFonts w:ascii="Book Antiqua" w:hAnsi="Book Antiqua"/>
        </w:rPr>
        <w:t>„</w:t>
      </w:r>
      <w:r>
        <w:rPr>
          <w:rFonts w:ascii="Book Antiqua" w:hAnsi="Book Antiqua"/>
          <w:vertAlign w:val="superscript"/>
        </w:rPr>
        <w:t>40a</w:t>
      </w:r>
      <w:r>
        <w:rPr>
          <w:rFonts w:ascii="Book Antiqua" w:hAnsi="Book Antiqua"/>
        </w:rPr>
        <w:t>) § 24 zákona č. 245/2008 Z. z. o výchove a vzdelávaní (školský zákon) a o zmene a doplnení niektorých zákonov v znení neskorších predpisov.“.</w:t>
      </w:r>
    </w:p>
    <w:p>
      <w:pPr>
        <w:pStyle w:val="Normal"/>
        <w:spacing w:lineRule="auto" w:line="276" w:before="120" w:after="0"/>
        <w:ind w:left="851" w:hanging="0"/>
        <w:jc w:val="both"/>
        <w:rPr>
          <w:rFonts w:ascii="Book Antiqua" w:hAnsi="Book Antiqua"/>
        </w:rPr>
      </w:pPr>
      <w:r>
        <w:rPr>
          <w:rFonts w:ascii="Book Antiqua" w:hAnsi="Book Antiqua"/>
        </w:rPr>
        <w:t>Doterajšie odseky 12 až 17 sa označujú ako odseky 13 až 18.</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38 ods. 17 druhej vete sa za slovo „ak“ vkladajú slová „ide o peňažný príspevok na kompenzáciu zvýšených výdavkov súvisiacich výlučne s opotrebovaním šatstva a obuvi podľa odseku 7 alebo ak“.</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39 odsek 2 znie:</w:t>
      </w:r>
    </w:p>
    <w:p>
      <w:pPr>
        <w:pStyle w:val="Normal"/>
        <w:spacing w:lineRule="auto" w:line="276" w:before="120" w:after="0"/>
        <w:ind w:left="1418" w:hanging="567"/>
        <w:jc w:val="both"/>
        <w:rPr>
          <w:rFonts w:ascii="Book Antiqua" w:hAnsi="Book Antiqua"/>
        </w:rPr>
      </w:pPr>
      <w:r>
        <w:rPr>
          <w:rFonts w:ascii="Book Antiqua" w:hAnsi="Book Antiqua"/>
        </w:rPr>
        <w:t>„</w:t>
      </w:r>
      <w:r>
        <w:rPr>
          <w:rFonts w:ascii="Book Antiqua" w:hAnsi="Book Antiqua"/>
        </w:rPr>
        <w:t xml:space="preserve">(2) </w:t>
        <w:tab/>
      </w:r>
      <w:r>
        <w:rPr>
          <w:rFonts w:cs="Segoe UI" w:ascii="Book Antiqua" w:hAnsi="Book Antiqua"/>
          <w:shd w:fill="FFFFFF" w:val="clear"/>
        </w:rPr>
        <w:t>Účelom opatrovania je zabezpečiť pomoc fyzickej osobe s ťažkým zdravotným postihnutím pri úkonoch sebaobsluhy, pri úkonoch starostlivosti o domácnosť a pri realizovaní sociálnych a vzdelávacích aktivít.“.</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40 sa vypúšťajú odseky 8 a 9.</w:t>
      </w:r>
    </w:p>
    <w:p>
      <w:pPr>
        <w:pStyle w:val="Normal"/>
        <w:spacing w:lineRule="auto" w:line="276" w:before="120" w:after="0"/>
        <w:ind w:left="851" w:hanging="0"/>
        <w:jc w:val="both"/>
        <w:rPr>
          <w:rFonts w:ascii="Book Antiqua" w:hAnsi="Book Antiqua"/>
        </w:rPr>
      </w:pPr>
      <w:r>
        <w:rPr>
          <w:rFonts w:ascii="Book Antiqua" w:hAnsi="Book Antiqua"/>
        </w:rPr>
        <w:t>Doterajšie odseky 10 až 24 sa označujú ako odseky 8 až 22.</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 xml:space="preserve">V § 40 ods. 9 sa slová „odseku 10“ nahrádzajú slovami „odseku 8“. </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40 ods. 10 sa slová „odsekov 7 až 9“ nahrádzajú slovami „odseku 7“.</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 xml:space="preserve">V § 40 ods. 11 sa slová „odsekov 7 až 9 a 12“ nahrádzajú slovami „odsekov 7 a 10“. </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 xml:space="preserve">V § 40 ods. 12 sa slová „odsekov 7 až 12“ nahrádzajú slovami „odsekov 7 až 10“. </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40 sa vypúšťa odsek 16.</w:t>
      </w:r>
    </w:p>
    <w:p>
      <w:pPr>
        <w:pStyle w:val="Normal"/>
        <w:spacing w:lineRule="auto" w:line="276" w:before="120" w:after="0"/>
        <w:ind w:left="851" w:hanging="0"/>
        <w:jc w:val="both"/>
        <w:rPr>
          <w:rFonts w:ascii="Book Antiqua" w:hAnsi="Book Antiqua"/>
        </w:rPr>
      </w:pPr>
      <w:r>
        <w:rPr>
          <w:rFonts w:ascii="Book Antiqua" w:hAnsi="Book Antiqua"/>
        </w:rPr>
        <w:t>Doterajšie odseky 17 až 22 sa označujú ako odseky 16 až 21.</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42 ods. 7 prvej vete sa slová „podľa § 40 ods. 7 až 10“ nahrádzajú slovami „podľa § 40 ods. 7 a 8“.</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42 ods. 8 sa slová „v § 40 ods. 7 až 10“ nahrádzajú slovami „v § 40 ods. 7 a 8“.</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43 ods. 2 sa slová „§ 40 ods. 16, 18 a 19“ nahrádzajú slovami „§ 40 ods. 14 a 16“.</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 43 ods. 3 sa slová „§ 40 ods. 16, 18 a 19“ nahrádzajú slovami „§ 40 ods. 14 a 16“.</w:t>
      </w:r>
      <w:r>
        <w:rPr>
          <w:rFonts w:ascii="Book Antiqua" w:hAnsi="Book Antiqua"/>
          <w:strike/>
        </w:rPr>
        <w:t xml:space="preserve"> </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 xml:space="preserve">V § 66 ods. 6 sa slová „§ 40 ods. 10“ nahrádzajú slovami „§ 40 ods. 8“. </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 xml:space="preserve">V § 67c sa slová „§ 40 ods. 10“ nahrádzajú slovami „§ 40 ods. 8“. </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Za § 67e sa vkladá § 67f, ktorý vrátane nadpisu znie:</w:t>
      </w:r>
    </w:p>
    <w:p>
      <w:pPr>
        <w:pStyle w:val="Normal"/>
        <w:spacing w:lineRule="auto" w:line="276" w:before="120" w:after="0"/>
        <w:ind w:left="143" w:firstLine="708"/>
        <w:jc w:val="center"/>
        <w:rPr>
          <w:rFonts w:ascii="Book Antiqua" w:hAnsi="Book Antiqua"/>
          <w:b/>
          <w:b/>
        </w:rPr>
      </w:pPr>
      <w:r>
        <w:rPr>
          <w:rFonts w:ascii="Book Antiqua" w:hAnsi="Book Antiqua"/>
        </w:rPr>
        <w:t>„</w:t>
      </w:r>
      <w:r>
        <w:rPr>
          <w:rFonts w:ascii="Book Antiqua" w:hAnsi="Book Antiqua"/>
          <w:b/>
        </w:rPr>
        <w:t>§ 67f</w:t>
      </w:r>
    </w:p>
    <w:p>
      <w:pPr>
        <w:pStyle w:val="Normal"/>
        <w:spacing w:lineRule="auto" w:line="276" w:before="120" w:after="0"/>
        <w:ind w:left="143" w:firstLine="708"/>
        <w:jc w:val="center"/>
        <w:rPr>
          <w:rFonts w:ascii="Book Antiqua" w:hAnsi="Book Antiqua"/>
          <w:b/>
          <w:b/>
        </w:rPr>
      </w:pPr>
      <w:r>
        <w:rPr>
          <w:rFonts w:ascii="Book Antiqua" w:hAnsi="Book Antiqua"/>
          <w:b/>
        </w:rPr>
        <w:t>Prechodné ustanovenia k úpravám účinným od 1. júla 2020</w:t>
      </w:r>
    </w:p>
    <w:p>
      <w:pPr>
        <w:pStyle w:val="ListParagraph"/>
        <w:numPr>
          <w:ilvl w:val="0"/>
          <w:numId w:val="3"/>
        </w:numPr>
        <w:spacing w:lineRule="auto" w:line="276" w:before="120" w:after="0"/>
        <w:ind w:left="1428" w:hanging="577"/>
        <w:contextualSpacing/>
        <w:jc w:val="both"/>
        <w:rPr>
          <w:rFonts w:ascii="Book Antiqua" w:hAnsi="Book Antiqua" w:cs="Arial"/>
          <w:color w:val="000000"/>
          <w:highlight w:val="white"/>
        </w:rPr>
      </w:pPr>
      <w:r>
        <w:rPr>
          <w:rFonts w:cs="Arial" w:ascii="Book Antiqua" w:hAnsi="Book Antiqua"/>
          <w:color w:val="000000"/>
          <w:shd w:fill="FFFFFF" w:val="clear"/>
        </w:rPr>
        <w:t xml:space="preserve">O zmene výšky peňažného príspevku na opatrovanie, na ktorý vznikol nárok </w:t>
      </w:r>
      <w:r>
        <w:rPr>
          <w:rFonts w:ascii="Book Antiqua" w:hAnsi="Book Antiqua"/>
        </w:rPr>
        <w:t xml:space="preserve">pred 1. júlom 2020 a trvá aj po 30. júni 2019, rozhodne príslušný </w:t>
      </w:r>
      <w:r>
        <w:rPr>
          <w:rFonts w:cs="Arial" w:ascii="Book Antiqua" w:hAnsi="Book Antiqua"/>
          <w:color w:val="000000"/>
          <w:shd w:fill="FFFFFF" w:val="clear"/>
        </w:rPr>
        <w:t>orgán do 30. septembra 2020.</w:t>
      </w:r>
    </w:p>
    <w:p>
      <w:pPr>
        <w:pStyle w:val="ListParagraph"/>
        <w:numPr>
          <w:ilvl w:val="0"/>
          <w:numId w:val="3"/>
        </w:numPr>
        <w:spacing w:lineRule="auto" w:line="276" w:before="120" w:after="0"/>
        <w:ind w:left="1428" w:hanging="577"/>
        <w:contextualSpacing/>
        <w:jc w:val="both"/>
        <w:rPr>
          <w:rFonts w:ascii="Book Antiqua" w:hAnsi="Book Antiqua" w:cs="Arial"/>
          <w:color w:val="000000"/>
          <w:highlight w:val="white"/>
        </w:rPr>
      </w:pPr>
      <w:r>
        <w:rPr>
          <w:rFonts w:cs="Arial" w:ascii="Book Antiqua" w:hAnsi="Book Antiqua"/>
          <w:color w:val="000000"/>
          <w:shd w:fill="FFFFFF" w:val="clear"/>
        </w:rPr>
        <w:t>Konania o peňažnom príspevku na kompenzáciu začaté pred 1. júlom 2020, ktoré neboli právoplatne skončené do 30. júna 2019 sa dokončia podľa predpisov účinných do 30. júna 2019.“.</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prílohe č. 3 časti IV Duševné poruchy a poruchy správania prvý bod znie:</w:t>
      </w:r>
    </w:p>
    <w:p>
      <w:pPr>
        <w:pStyle w:val="Normal"/>
        <w:spacing w:lineRule="auto" w:line="276" w:before="120" w:after="0"/>
        <w:ind w:left="1068" w:hanging="0"/>
        <w:jc w:val="both"/>
        <w:rPr>
          <w:rFonts w:ascii="Book Antiqua" w:hAnsi="Book Antiqua"/>
        </w:rPr>
      </w:pPr>
      <w:r>
        <w:rPr>
          <w:rFonts w:ascii="Book Antiqua" w:hAnsi="Book Antiqua"/>
        </w:rPr>
        <w:t>„</w:t>
      </w:r>
      <w:r>
        <w:rPr>
          <w:rFonts w:ascii="Book Antiqua" w:hAnsi="Book Antiqua"/>
        </w:rPr>
        <w:t>1. Poruchy psychického vývoja detí (poruchy hyperkinetické, poruchy správania atď.), pervazívne vývinové poruchy (napr. autizmus)</w:t>
      </w:r>
    </w:p>
    <w:p>
      <w:pPr>
        <w:pStyle w:val="ListParagraph"/>
        <w:numPr>
          <w:ilvl w:val="0"/>
          <w:numId w:val="2"/>
        </w:numPr>
        <w:spacing w:lineRule="auto" w:line="276" w:before="120" w:after="0"/>
        <w:ind w:left="1418" w:hanging="284"/>
        <w:contextualSpacing/>
        <w:jc w:val="both"/>
        <w:rPr>
          <w:rFonts w:ascii="Book Antiqua" w:hAnsi="Book Antiqua"/>
        </w:rPr>
      </w:pPr>
      <w:r>
        <w:rPr>
          <w:rFonts w:ascii="Book Antiqua" w:hAnsi="Book Antiqua"/>
        </w:rPr>
        <w:t>mierna porucha 10 - 30</w:t>
      </w:r>
    </w:p>
    <w:p>
      <w:pPr>
        <w:pStyle w:val="ListParagraph"/>
        <w:numPr>
          <w:ilvl w:val="0"/>
          <w:numId w:val="2"/>
        </w:numPr>
        <w:spacing w:lineRule="auto" w:line="276" w:before="120" w:after="0"/>
        <w:ind w:left="1418" w:hanging="284"/>
        <w:contextualSpacing/>
        <w:jc w:val="both"/>
        <w:rPr>
          <w:rFonts w:ascii="Book Antiqua" w:hAnsi="Book Antiqua"/>
        </w:rPr>
      </w:pPr>
      <w:r>
        <w:rPr>
          <w:rFonts w:ascii="Book Antiqua" w:hAnsi="Book Antiqua"/>
        </w:rPr>
        <w:t>stredná porucha 40 - 50</w:t>
      </w:r>
    </w:p>
    <w:p>
      <w:pPr>
        <w:pStyle w:val="ListParagraph"/>
        <w:numPr>
          <w:ilvl w:val="0"/>
          <w:numId w:val="2"/>
        </w:numPr>
        <w:spacing w:lineRule="auto" w:line="276" w:before="120" w:after="0"/>
        <w:ind w:left="1418" w:hanging="284"/>
        <w:contextualSpacing/>
        <w:jc w:val="both"/>
        <w:rPr>
          <w:rFonts w:ascii="Book Antiqua" w:hAnsi="Book Antiqua"/>
        </w:rPr>
      </w:pPr>
      <w:r>
        <w:rPr>
          <w:rFonts w:ascii="Book Antiqua" w:hAnsi="Book Antiqua"/>
        </w:rPr>
        <w:t>ťažká porucha 60 - 80</w:t>
      </w:r>
    </w:p>
    <w:p>
      <w:pPr>
        <w:pStyle w:val="ListParagraph"/>
        <w:numPr>
          <w:ilvl w:val="0"/>
          <w:numId w:val="2"/>
        </w:numPr>
        <w:spacing w:lineRule="auto" w:line="276" w:before="120" w:after="0"/>
        <w:ind w:left="1418" w:hanging="284"/>
        <w:contextualSpacing/>
        <w:jc w:val="both"/>
        <w:rPr>
          <w:rFonts w:ascii="Book Antiqua" w:hAnsi="Book Antiqua"/>
        </w:rPr>
      </w:pPr>
      <w:r>
        <w:rPr>
          <w:rFonts w:ascii="Book Antiqua" w:hAnsi="Book Antiqua"/>
        </w:rPr>
        <w:t>komplexná porucha (napr. Aspergerov syndróm) 90 - 100.“.</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prílohe č. 3 časti IV Duševné poruchy a poruchy správania sa v poznámke k prvému bodu 1 „(napr. autizmus)“ nahrádzajú slovami „(napr. autizmus alebo Aspergerov syndróm)“.</w:t>
        <w:tab/>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nadpise prílohy č. 7 sa za slová „v dôsledku ťažkých porúch mobility“ vkladajú slová „a iných porúch“.</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Prílohe č. 7 bode I. úvodnej vete sa za slová „v dôsledku ťažkých porúch mobility“ vkladajú slová „a iných porúch“.</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prílohe č. 7 sa bod I. dopĺňa písmenom f), ktoré znie:</w:t>
      </w:r>
    </w:p>
    <w:p>
      <w:pPr>
        <w:pStyle w:val="Normal"/>
        <w:spacing w:lineRule="auto" w:line="276" w:before="120" w:after="0"/>
        <w:ind w:left="851" w:hanging="0"/>
        <w:jc w:val="both"/>
        <w:rPr>
          <w:rFonts w:ascii="Book Antiqua" w:hAnsi="Book Antiqua"/>
        </w:rPr>
      </w:pPr>
      <w:r>
        <w:rPr>
          <w:rFonts w:ascii="Book Antiqua" w:hAnsi="Book Antiqua"/>
        </w:rPr>
        <w:t>„</w:t>
      </w:r>
      <w:r>
        <w:rPr>
          <w:rFonts w:ascii="Book Antiqua" w:hAnsi="Book Antiqua"/>
        </w:rPr>
        <w:t>f) pervazívne vývinové poruchy (napr. autizmus alebo Aspergerov syndróm).“.</w:t>
      </w:r>
    </w:p>
    <w:p>
      <w:pPr>
        <w:pStyle w:val="Normal"/>
        <w:numPr>
          <w:ilvl w:val="0"/>
          <w:numId w:val="1"/>
        </w:numPr>
        <w:spacing w:lineRule="auto" w:line="276" w:before="120" w:after="0"/>
        <w:ind w:left="851" w:hanging="425"/>
        <w:jc w:val="both"/>
        <w:rPr>
          <w:rFonts w:ascii="Book Antiqua" w:hAnsi="Book Antiqua"/>
        </w:rPr>
      </w:pPr>
      <w:r>
        <w:rPr>
          <w:rFonts w:ascii="Book Antiqua" w:hAnsi="Book Antiqua"/>
        </w:rPr>
        <w:t>V Prílohe č. 18 siedmom odseku sa slová „vrátane pervazívnych vývinových porúch stredne ťažkého alebo ťažkého stupňa“ nahrádzajú slovami „vrátane pervazívnych vývinových porúch stredne ťažkého alebo ťažkého stupňa (napr. autizmus alebo Aspergerov syndróm)“.</w:t>
      </w:r>
    </w:p>
    <w:p>
      <w:pPr>
        <w:pStyle w:val="Normal"/>
        <w:spacing w:lineRule="auto" w:line="276" w:before="120" w:after="0"/>
        <w:jc w:val="center"/>
        <w:rPr>
          <w:rFonts w:ascii="Book Antiqua" w:hAnsi="Book Antiqua"/>
          <w:b/>
          <w:b/>
        </w:rPr>
      </w:pPr>
      <w:r>
        <w:rPr>
          <w:rFonts w:ascii="Book Antiqua" w:hAnsi="Book Antiqua"/>
          <w:b/>
        </w:rPr>
      </w:r>
    </w:p>
    <w:p>
      <w:pPr>
        <w:pStyle w:val="Normal"/>
        <w:spacing w:lineRule="auto" w:line="276" w:before="120" w:after="0"/>
        <w:jc w:val="center"/>
        <w:rPr>
          <w:rFonts w:ascii="Book Antiqua" w:hAnsi="Book Antiqua"/>
          <w:b/>
          <w:b/>
        </w:rPr>
      </w:pPr>
      <w:r>
        <w:rPr>
          <w:rFonts w:ascii="Book Antiqua" w:hAnsi="Book Antiqua"/>
          <w:b/>
        </w:rPr>
        <w:t>Čl. II</w:t>
      </w:r>
    </w:p>
    <w:p>
      <w:pPr>
        <w:pStyle w:val="Normal"/>
        <w:spacing w:lineRule="auto" w:line="276" w:before="120" w:after="0"/>
        <w:ind w:firstLine="708"/>
        <w:jc w:val="both"/>
        <w:rPr>
          <w:rFonts w:ascii="Book Antiqua" w:hAnsi="Book Antiqua"/>
        </w:rPr>
      </w:pPr>
      <w:r>
        <w:rPr>
          <w:rFonts w:ascii="Book Antiqua" w:hAnsi="Book Antiqua"/>
        </w:rPr>
        <w:t>Tento zákon nadobúda účinnosť 1. júla</w:t>
      </w:r>
      <w:bookmarkStart w:id="0" w:name="_GoBack"/>
      <w:bookmarkEnd w:id="0"/>
      <w:r>
        <w:rPr>
          <w:rFonts w:ascii="Book Antiqua" w:hAnsi="Book Antiqua"/>
        </w:rPr>
        <w:t xml:space="preserve"> 2020.</w:t>
      </w:r>
    </w:p>
    <w:p>
      <w:pPr>
        <w:pStyle w:val="Normal"/>
        <w:spacing w:lineRule="auto" w:line="276" w:before="120" w:after="0"/>
        <w:rPr>
          <w:rFonts w:ascii="Book Antiqua" w:hAnsi="Book Antiqua"/>
        </w:rPr>
      </w:pPr>
      <w:r>
        <w:rPr>
          <w:rFonts w:ascii="Book Antiqua" w:hAnsi="Book Antiqua"/>
        </w:rPr>
      </w:r>
    </w:p>
    <w:p>
      <w:pPr>
        <w:pStyle w:val="Normal"/>
        <w:spacing w:lineRule="auto" w:line="276" w:before="120" w:after="0"/>
        <w:rPr/>
      </w:pPr>
      <w:r>
        <w:rPr/>
      </w:r>
    </w:p>
    <w:sectPr>
      <w:footerReference w:type="default" r:id="rId2"/>
      <w:footerReference w:type="first" r:id="rId3"/>
      <w:type w:val="nextPage"/>
      <w:pgSz w:w="11906" w:h="16838"/>
      <w:pgMar w:left="1418" w:right="1418" w:header="0" w:top="1418" w:footer="709" w:bottom="1418"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Book Antiqua">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spacing w:lineRule="auto" w:line="240" w:before="0" w:after="0"/>
      <w:jc w:val="center"/>
      <w:rPr>
        <w:rFonts w:ascii="Times New Roman" w:hAnsi="Times New Roman"/>
        <w:sz w:val="24"/>
      </w:rPr>
    </w:pPr>
    <w:r>
      <w:rPr>
        <w:rFonts w:ascii="Times New Roman" w:hAnsi="Times New Roman"/>
        <w:sz w:val="24"/>
      </w:rPr>
    </w:r>
  </w:p>
  <w:p>
    <w:pPr>
      <w:pStyle w:val="Pta"/>
      <w:tabs>
        <w:tab w:val="center" w:pos="4536" w:leader="none"/>
        <w:tab w:val="right" w:pos="9072" w:leader="none"/>
      </w:tabs>
      <w:spacing w:lineRule="auto" w:line="276"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jc w:val="right"/>
      <w:rPr/>
    </w:pPr>
    <w:r>
      <w:rPr/>
    </w:r>
  </w:p>
  <w:p>
    <w:pPr>
      <w:pStyle w:val="Pta"/>
      <w:tabs>
        <w:tab w:val="center" w:pos="4536" w:leader="none"/>
        <w:tab w:val="right" w:pos="9072" w:leader="none"/>
      </w:tabs>
      <w:spacing w:lineRule="auto" w:line="276"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8" w:hanging="360"/>
      </w:pPr>
      <w:rPr>
        <w:rFonts w:ascii="Book Antiqua" w:hAnsi="Book Antiqua"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lvl w:ilvl="0">
      <w:start w:val="1"/>
      <w:numFmt w:val="lowerLetter"/>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3">
    <w:lvl w:ilvl="0">
      <w:start w:val="1"/>
      <w:numFmt w:val="decimal"/>
      <w:lvlText w:val="(%1)"/>
      <w:lvlJc w:val="left"/>
      <w:pPr>
        <w:ind w:left="1428" w:hanging="360"/>
      </w:pPr>
      <w:rPr>
        <w:rFonts w:ascii="Book Antiqua" w:hAnsi="Book Antiqua" w:cs="Arial"/>
        <w:color w:val="00000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b610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link w:val="Pta"/>
    <w:uiPriority w:val="99"/>
    <w:qFormat/>
    <w:rsid w:val="00be4579"/>
    <w:rPr>
      <w:rFonts w:ascii="Calibri" w:hAnsi="Calibri" w:eastAsia="Times New Roman" w:cs="Times New Roman"/>
      <w:sz w:val="20"/>
      <w:szCs w:val="20"/>
      <w:lang w:eastAsia="sk-SK"/>
    </w:rPr>
  </w:style>
  <w:style w:type="character" w:styleId="Appleconvertedspace" w:customStyle="1">
    <w:name w:val="apple-converted-space"/>
    <w:basedOn w:val="DefaultParagraphFont"/>
    <w:qFormat/>
    <w:rsid w:val="00be4579"/>
    <w:rPr>
      <w:rFonts w:cs="Times New Roman"/>
    </w:rPr>
  </w:style>
  <w:style w:type="character" w:styleId="Internetovodkaz">
    <w:name w:val="Internetový odkaz"/>
    <w:basedOn w:val="DefaultParagraphFont"/>
    <w:uiPriority w:val="99"/>
    <w:semiHidden/>
    <w:unhideWhenUsed/>
    <w:rsid w:val="00ea1ef9"/>
    <w:rPr>
      <w:color w:val="0000FF"/>
      <w:u w:val="single"/>
    </w:rPr>
  </w:style>
  <w:style w:type="character" w:styleId="TextbublinyChar" w:customStyle="1">
    <w:name w:val="Text bubliny Char"/>
    <w:basedOn w:val="DefaultParagraphFont"/>
    <w:link w:val="Textbubliny"/>
    <w:uiPriority w:val="99"/>
    <w:semiHidden/>
    <w:qFormat/>
    <w:rsid w:val="00b03015"/>
    <w:rPr>
      <w:rFonts w:ascii="Segoe UI" w:hAnsi="Segoe UI" w:cs="Segoe UI"/>
      <w:sz w:val="18"/>
      <w:szCs w:val="18"/>
    </w:rPr>
  </w:style>
  <w:style w:type="character" w:styleId="OdsekzoznamuChar" w:customStyle="1">
    <w:name w:val="Odsek zoznamu Char"/>
    <w:basedOn w:val="DefaultParagraphFont"/>
    <w:link w:val="Odsekzoznamu"/>
    <w:uiPriority w:val="99"/>
    <w:qFormat/>
    <w:locked/>
    <w:rsid w:val="007c1356"/>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ascii="Book Antiqua" w:hAnsi="Book Antiqua"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ascii="Book Antiqua" w:hAnsi="Book Antiqua" w:cs="Arial"/>
      <w:color w:val="000000"/>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ta">
    <w:name w:val="Footer"/>
    <w:basedOn w:val="Normal"/>
    <w:link w:val="PtaChar"/>
    <w:uiPriority w:val="99"/>
    <w:rsid w:val="00be4579"/>
    <w:pPr>
      <w:tabs>
        <w:tab w:val="clear" w:pos="708"/>
        <w:tab w:val="center" w:pos="4536" w:leader="none"/>
        <w:tab w:val="right" w:pos="9072" w:leader="none"/>
      </w:tabs>
      <w:spacing w:lineRule="auto" w:line="276" w:before="0" w:after="200"/>
    </w:pPr>
    <w:rPr>
      <w:rFonts w:ascii="Calibri" w:hAnsi="Calibri" w:eastAsia="Times New Roman" w:cs="Times New Roman"/>
      <w:sz w:val="20"/>
      <w:szCs w:val="20"/>
      <w:lang w:eastAsia="sk-SK"/>
    </w:rPr>
  </w:style>
  <w:style w:type="paragraph" w:styleId="ListParagraph">
    <w:name w:val="List Paragraph"/>
    <w:basedOn w:val="Normal"/>
    <w:link w:val="OdsekzoznamuChar"/>
    <w:uiPriority w:val="99"/>
    <w:qFormat/>
    <w:rsid w:val="00fc0ebf"/>
    <w:pPr>
      <w:spacing w:before="0" w:after="160"/>
      <w:ind w:left="720" w:hanging="0"/>
      <w:contextualSpacing/>
    </w:pPr>
    <w:rPr/>
  </w:style>
  <w:style w:type="paragraph" w:styleId="BalloonText">
    <w:name w:val="Balloon Text"/>
    <w:basedOn w:val="Normal"/>
    <w:link w:val="TextbublinyChar"/>
    <w:uiPriority w:val="99"/>
    <w:semiHidden/>
    <w:unhideWhenUsed/>
    <w:qFormat/>
    <w:rsid w:val="00b0301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7DD9B-2B1B-470F-B76D-17C5447C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Application>LibreOffice/6.2.3.2$Windows_X86_64 LibreOffice_project/aecc05fe267cc68dde00352a451aa867b3b546ac</Application>
  <Pages>3</Pages>
  <Words>863</Words>
  <Characters>3985</Characters>
  <CharactersWithSpaces>4814</CharactersWithSpaces>
  <Paragraphs>51</Paragraphs>
  <Company>Kancelaria NRSR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2018-08-22T00:14:00Z</dcterms:created>
  <dc:creator>Vašečka, Richard (asistent)</dc:creator>
  <dc:description/>
  <dc:language>sk-SK</dc:language>
  <cp:lastModifiedBy>Milan</cp:lastModifiedBy>
  <cp:lastPrinted>2018-07-18T10:43:00Z</cp:lastPrinted>
  <dcterms:modified xsi:type="dcterms:W3CDTF">2019-05-31T11:43:00Z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