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b/>
          <w:b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>
      <w:pPr>
        <w:pStyle w:val="Normal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spacing w:val="20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spacing w:val="20"/>
        </w:rPr>
        <w:t>VII. volebné obdobie</w:t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spacing w:val="30"/>
        </w:rPr>
      </w:pPr>
      <w:r>
        <w:rPr>
          <w:rFonts w:ascii="Book Antiqua" w:hAnsi="Book Antiqua"/>
          <w:b/>
          <w:spacing w:val="30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spacing w:val="30"/>
        </w:rPr>
      </w:pPr>
      <w:r>
        <w:rPr>
          <w:rFonts w:ascii="Book Antiqua" w:hAnsi="Book Antiqua"/>
          <w:spacing w:val="30"/>
        </w:rPr>
        <w:t>Návrh</w:t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spacing w:val="30"/>
        </w:rPr>
      </w:pPr>
      <w:r>
        <w:rPr>
          <w:rFonts w:ascii="Book Antiqua" w:hAnsi="Book Antiqua"/>
          <w:b/>
          <w:spacing w:val="30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caps/>
          <w:spacing w:val="30"/>
        </w:rPr>
      </w:pPr>
      <w:r>
        <w:rPr>
          <w:rFonts w:ascii="Book Antiqua" w:hAnsi="Book Antiqua"/>
          <w:b/>
          <w:caps/>
          <w:spacing w:val="30"/>
        </w:rPr>
        <w:t>zákon</w:t>
      </w:r>
    </w:p>
    <w:p>
      <w:pPr>
        <w:pStyle w:val="Normal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>
      <w:pPr>
        <w:pStyle w:val="Normal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z ... 2019,</w:t>
      </w:r>
    </w:p>
    <w:p>
      <w:pPr>
        <w:pStyle w:val="Normal"/>
        <w:spacing w:before="120" w:after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</w:rPr>
        <w:t xml:space="preserve">ktorým sa mení a </w:t>
      </w:r>
      <w:r>
        <w:rPr>
          <w:rFonts w:ascii="Book Antiqua" w:hAnsi="Book Antiqua"/>
          <w:b/>
          <w:bCs/>
        </w:rPr>
        <w:t>dopĺňa zákon č. 461/2003 Z. z. o sociálnom poistení v znení neskorších predpisov a ktorým sa mení a dopĺňa zákon č. 571/2009 Z. z. o rodičovskom príspevku</w:t>
      </w:r>
    </w:p>
    <w:p>
      <w:pPr>
        <w:pStyle w:val="Normal"/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Národná rada Slovenskej republiky sa uzniesla na tomto zákone:</w:t>
      </w:r>
    </w:p>
    <w:p>
      <w:pPr>
        <w:pStyle w:val="Normal"/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Čl. I</w:t>
      </w:r>
    </w:p>
    <w:p>
      <w:pPr>
        <w:pStyle w:val="Normal"/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Zákon č. </w:t>
      </w:r>
      <w:r>
        <w:rPr>
          <w:rFonts w:ascii="Book Antiqua" w:hAnsi="Book Antiqua"/>
          <w:bCs/>
        </w:rPr>
        <w:t xml:space="preserve">461/2003 Z. z. o sociálnom poistení </w:t>
      </w:r>
      <w:r>
        <w:rPr>
          <w:rFonts w:ascii="Book Antiqua" w:hAnsi="Book Antiqua"/>
        </w:rPr>
        <w:t>v znení zákona č.</w:t>
      </w:r>
      <w:r>
        <w:rPr>
          <w:rFonts w:cs="Segoe UI" w:ascii="Book Antiqua" w:hAnsi="Book Antiqua"/>
          <w:shd w:fill="FFFFFF" w:val="clear"/>
        </w:rPr>
        <w:t xml:space="preserve"> 551/2003 Z. z., zákona č. 600/2003 Z. z., zákona č. 5/2004 Z. z., zákona č. 43/2004 Z. z., zákona č. 186/2004 Z. z., zákona č. 365/2004 Z. z., zákona č. 391/2004 Z. z., zákona č. 439/2004 Z. z., zákona                 č. 523/2004 Z. z., zákona č. 721/2004 Z. z., zákona č. 82/2005 Z. z., zákona č. 244/2005 Z. z., zákona č. 351/2005 Z. z., zákona č. 534/2005 Z. z., zákona č. 584/2005 Z. z., zákona                 č. 310/2006 Z. z., nálezu Ústavného súdu Slovenskej republiky č. 460/2006 Z. z., zákona       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       č. 449/2008 Z. z., zákona č. 599/2008 Z. z., zákona č. 108/2009 Z. z., zákona č. 192/2009 Z. z., zákona č. 200/2009 Z. z., zákona č. 285/2009 Z. z., zákona č. 571/2009 Z. z., zákona                 č. 572/2009 Z. z., zákona č. 52/2010 Z. z., zákona č. 151/2010 Z. z., zákona č. 403/2010 Z. z., zákona č. 543/2010 Z. z., zákona č. 125/2011 Z. z., zákona č. 223/2011 Z. z., zákona               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     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             č. 176/2015 Z. z., zákona č. 336/2015 Z. z., zákona č. 378/2015 Z. z., zákona č. 407/2015 Z. z., zákona č. 440/2015 Z. z., zákona č. 125/2016 Z. z., zákona č. 285/2016 Z. z.</w:t>
      </w:r>
      <w:r>
        <w:rPr>
          <w:rStyle w:val="Appleconvertedspace"/>
          <w:rFonts w:cs="Segoe UI" w:ascii="Book Antiqua" w:hAnsi="Book Antiqua"/>
          <w:shd w:fill="FFFFFF" w:val="clear"/>
        </w:rPr>
        <w:t xml:space="preserve">, zákona                č. 310/2016 Z. z., zákona č. 355/2016 Z. z., zákona č. 2/2017 Z. z., zákona č. 85/2017 Z. z., zákona č. 184/2017 Z. z., zákona č. 264/2017 Z. z., zákona č. 266/2017 Z. z., zákona                 č. 279/2017 Z. z., zákona č. 63/2018 Z. z., zákona č. 87/2018 Z. z., zákona č. 177/2018 Z. z., zákona č. 191/2018 Z. z., zákona č. 282/2018 Z. z., zákona č. 314/2018 Z. z., zákona                č. 317/2018 Z. z., zákona č. 366/2018 Z. z., zákona č. 368/2018 Z. z., zákona č. 35/2019 Z. z. a zákona č. 105/2019 Z. z. </w:t>
      </w:r>
      <w:r>
        <w:rPr>
          <w:rFonts w:ascii="Book Antiqua" w:hAnsi="Book Antiqua"/>
        </w:rPr>
        <w:t>sa mení a dopĺňa takto: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V § 2 písm. a) sa za slovo „zabezpečenie“ vkladajú slová „alebo zvýšenie“.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V § 13 sa odsek 1 dopĺňa písmenom e), ktoré znie: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1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„</w:t>
      </w:r>
      <w:r>
        <w:rPr>
          <w:rFonts w:ascii="Book Antiqua" w:hAnsi="Book Antiqua"/>
        </w:rPr>
        <w:t>e) tehotenský príspevok.“.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V § 30 písm. b) sa na konci čiarka mení na bodkočiarku a vkladajú sa tieto slová: „to neplatí, ak ide o tehotenský príspevok.“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Za § 53 sa vkladá § 53a, ktorý vrátane nadpisu znie: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1" w:hanging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„</w:t>
      </w:r>
      <w:r>
        <w:rPr>
          <w:rFonts w:ascii="Book Antiqua" w:hAnsi="Book Antiqua"/>
        </w:rPr>
        <w:t>ŠIESTY DIEL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1" w:hanging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TEHOTENSKÝ PRÍSPEVOK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ab/>
        <w:t>§ 53a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1" w:hanging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Podmienky nároku na tehotenský príspevok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Poistenkyňa, ktorá je tehotná, má nárok na tehotenský príspevok, ak v posledných dvoch rokoch pred ukončeným 12. týždňom tehotenstva určeným lekárom bola nemocensky poistená najmenej 270 dní. </w:t>
      </w:r>
    </w:p>
    <w:p>
      <w:pPr>
        <w:pStyle w:val="Normal"/>
        <w:numPr>
          <w:ilvl w:val="0"/>
          <w:numId w:val="2"/>
        </w:numPr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Tehotenský príspevok slúži predovšetkým na zabezpečenie zvýšených výdavkov poistenkyne spojených s jej zdravotným stavom, špeciálnymi potrebami týkajúcimi sa najmä úpravy šatníka a stravy a s prípravou na narodenie dieťaťa, ako aj na vykrytie výpadku </w:t>
      </w:r>
      <w:bookmarkStart w:id="0" w:name="_GoBack"/>
      <w:bookmarkEnd w:id="0"/>
      <w:r>
        <w:rPr>
          <w:rFonts w:ascii="Book Antiqua" w:hAnsi="Book Antiqua"/>
        </w:rPr>
        <w:t>príjmu z práce z dôvodu tehotenstva.</w:t>
      </w:r>
    </w:p>
    <w:p>
      <w:pPr>
        <w:pStyle w:val="Normal"/>
        <w:numPr>
          <w:ilvl w:val="0"/>
          <w:numId w:val="2"/>
        </w:numPr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Poistenkyni vzniká nárok na tehotenský príspevok od ukončenia 12. týždňa tehotenstva určeného lekárom.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Nárok na tehotenský príspevok zaniká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701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vznikom nároku na materské</w:t>
      </w:r>
      <w:r>
        <w:rPr>
          <w:rFonts w:ascii="Book Antiqua" w:hAnsi="Book Antiqua"/>
          <w:vertAlign w:val="superscript"/>
        </w:rPr>
        <w:t xml:space="preserve"> </w:t>
      </w:r>
      <w:r>
        <w:rPr>
          <w:rFonts w:ascii="Book Antiqua" w:hAnsi="Book Antiqua"/>
        </w:rPr>
        <w:t>alebo nároku na rodičovský príspevok po narodení dieťaťa podľa osobitného predpisu</w:t>
      </w:r>
      <w:r>
        <w:rPr>
          <w:rFonts w:ascii="Book Antiqua" w:hAnsi="Book Antiqua"/>
          <w:vertAlign w:val="superscript"/>
        </w:rPr>
        <w:t>54a)</w:t>
      </w:r>
      <w:r>
        <w:rPr>
          <w:rFonts w:ascii="Book Antiqua" w:hAnsi="Book Antiqua"/>
        </w:rPr>
        <w:t xml:space="preserve"> na dieťa, na ktoré poistenkyňa poberá tehotenský príspevok, </w:t>
      </w:r>
    </w:p>
    <w:p>
      <w:pPr>
        <w:pStyle w:val="Normal"/>
        <w:numPr>
          <w:ilvl w:val="0"/>
          <w:numId w:val="3"/>
        </w:numPr>
        <w:spacing w:before="120" w:after="0"/>
        <w:ind w:left="1701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spontánnym potratom, umelým prerušením tehotenstva alebo iným potratom,</w:t>
      </w:r>
    </w:p>
    <w:p>
      <w:pPr>
        <w:pStyle w:val="Normal"/>
        <w:numPr>
          <w:ilvl w:val="0"/>
          <w:numId w:val="3"/>
        </w:numPr>
        <w:spacing w:before="120" w:after="0"/>
        <w:ind w:left="1701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smrťou poistenkyne.“.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12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Do obdobia 270 dní sa započítava obdobie prerušenia povinného nemocenského poistenia zamestnanca z dôvodu čerpania rodičovskej dovolenky podľa osobitného predpisu</w:t>
      </w:r>
      <w:r>
        <w:rPr>
          <w:rFonts w:ascii="Book Antiqua" w:hAnsi="Book Antiqua"/>
          <w:vertAlign w:val="superscript"/>
        </w:rPr>
        <w:t>45a)</w:t>
      </w:r>
      <w:r>
        <w:rPr>
          <w:rFonts w:ascii="Book Antiqua" w:hAnsi="Book Antiqua"/>
        </w:rPr>
        <w:t xml:space="preserve">  a obdobie prerušenia povinného nemocenského poistenia samostatne zárobkovo činnej osoby, ktorá má nárok na rodičovský príspevok podľa osobitného predpisu</w:t>
      </w:r>
      <w:r>
        <w:rPr>
          <w:rFonts w:ascii="Book Antiqua" w:hAnsi="Book Antiqua"/>
          <w:vertAlign w:val="superscript"/>
        </w:rPr>
        <w:t>36)</w:t>
      </w:r>
      <w:r>
        <w:rPr>
          <w:rFonts w:ascii="Book Antiqua" w:hAnsi="Book Antiqua"/>
        </w:rPr>
        <w:t xml:space="preserve"> a nevykonáva činnosť povinne nemocensky poistenej a povinne dôchodkovo poistenej samostatne zárobkovo činnej osoby.</w:t>
      </w:r>
    </w:p>
    <w:p>
      <w:pPr>
        <w:pStyle w:val="ListParagraph"/>
        <w:numPr>
          <w:ilvl w:val="0"/>
          <w:numId w:val="2"/>
        </w:numPr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Ak poistenkyni zaniklo nemocenské poistenie v období tehotenstva, má nárok na tehotenský príspevok od ukončeného 12. týždňa tehotenstva určeného lekárom, ak jej trvala ochranná lehota ku dňu ukončenia 12. týždňa tehotenstva.</w:t>
      </w:r>
    </w:p>
    <w:p>
      <w:pPr>
        <w:pStyle w:val="Normal"/>
        <w:spacing w:before="120" w:after="0"/>
        <w:ind w:firstLine="708"/>
        <w:jc w:val="center"/>
        <w:rPr>
          <w:rFonts w:ascii="Book Antiqua" w:hAnsi="Book Antiqua"/>
          <w:b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§ 53b</w:t>
      </w:r>
    </w:p>
    <w:p>
      <w:pPr>
        <w:pStyle w:val="Normal"/>
        <w:spacing w:before="120" w:after="0"/>
        <w:ind w:firstLine="708"/>
        <w:jc w:val="center"/>
        <w:rPr>
          <w:rFonts w:ascii="Book Antiqua" w:hAnsi="Book Antiqua"/>
          <w:b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Poskytovanie tehotenského príspevku</w:t>
      </w:r>
    </w:p>
    <w:p>
      <w:pPr>
        <w:pStyle w:val="ListParagraph"/>
        <w:spacing w:before="120" w:after="120"/>
        <w:ind w:left="851" w:hanging="0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Tehotenský príspevok sa poskytuje za dni. </w:t>
      </w:r>
    </w:p>
    <w:p>
      <w:pPr>
        <w:pStyle w:val="Normal"/>
        <w:spacing w:before="120" w:after="120"/>
        <w:ind w:firstLine="708"/>
        <w:jc w:val="center"/>
        <w:rPr>
          <w:rFonts w:ascii="Book Antiqua" w:hAnsi="Book Antiqua"/>
          <w:b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§ 53c</w:t>
      </w:r>
    </w:p>
    <w:p>
      <w:pPr>
        <w:pStyle w:val="Normal"/>
        <w:spacing w:before="120" w:after="0"/>
        <w:ind w:firstLine="708"/>
        <w:jc w:val="center"/>
        <w:rPr>
          <w:rFonts w:ascii="Book Antiqua" w:hAnsi="Book Antiqua"/>
          <w:b/>
          <w:b/>
          <w:color w:val="000000" w:themeColor="text1"/>
        </w:rPr>
      </w:pPr>
      <w:r>
        <w:rPr>
          <w:rFonts w:cs="Segoe UI" w:ascii="Book Antiqua" w:hAnsi="Book Antiqua"/>
          <w:b/>
          <w:color w:val="000000" w:themeColor="text1"/>
          <w:shd w:fill="FFFFFF" w:val="clear"/>
        </w:rPr>
        <w:t>Výška tehotenského príspevku</w:t>
      </w:r>
    </w:p>
    <w:p>
      <w:pPr>
        <w:pStyle w:val="ListParagraph"/>
        <w:numPr>
          <w:ilvl w:val="0"/>
          <w:numId w:val="4"/>
        </w:numPr>
        <w:spacing w:before="120" w:after="0"/>
        <w:ind w:left="1418" w:hanging="567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Výška tehotenského príspevku je 7,12 eur na deň.</w:t>
      </w:r>
    </w:p>
    <w:p>
      <w:pPr>
        <w:pStyle w:val="ListParagraph"/>
        <w:numPr>
          <w:ilvl w:val="0"/>
          <w:numId w:val="4"/>
        </w:numPr>
        <w:spacing w:before="120" w:after="0"/>
        <w:ind w:left="1418" w:hanging="567"/>
        <w:jc w:val="both"/>
        <w:rPr>
          <w:rFonts w:ascii="Book Antiqua" w:hAnsi="Book Antiqua" w:cs="Segoe UI"/>
          <w:color w:val="000000" w:themeColor="text1"/>
          <w:highlight w:val="white"/>
        </w:rPr>
      </w:pPr>
      <w:r>
        <w:rPr>
          <w:rFonts w:cs="Segoe UI" w:ascii="Book Antiqua" w:hAnsi="Book Antiqua"/>
          <w:color w:val="000000" w:themeColor="text1"/>
          <w:shd w:fill="FFFFFF" w:val="clear"/>
        </w:rPr>
        <w:t>Ustanovenia § 54 až 58 sa nepoužijú.</w:t>
      </w:r>
    </w:p>
    <w:p>
      <w:pPr>
        <w:pStyle w:val="Normal"/>
        <w:spacing w:before="120" w:after="0"/>
        <w:ind w:left="143" w:firstLine="708"/>
        <w:jc w:val="both"/>
        <w:rPr>
          <w:rFonts w:ascii="Book Antiqua" w:hAnsi="Book Antiqua" w:cs="Segoe UI"/>
          <w:color w:val="000000" w:themeColor="text1"/>
          <w:highlight w:val="white"/>
        </w:rPr>
      </w:pPr>
      <w:r>
        <w:rPr>
          <w:rFonts w:cs="Segoe UI" w:ascii="Book Antiqua" w:hAnsi="Book Antiqua"/>
          <w:color w:val="000000" w:themeColor="text1"/>
          <w:shd w:fill="FFFFFF" w:val="clear"/>
        </w:rPr>
        <w:t>Poznámky pod čiarou k odkazom 54a a 54b znejú:</w:t>
      </w:r>
    </w:p>
    <w:p>
      <w:pPr>
        <w:pStyle w:val="Normal"/>
        <w:spacing w:before="120" w:after="0"/>
        <w:ind w:left="851" w:hanging="0"/>
        <w:jc w:val="both"/>
        <w:rPr>
          <w:rFonts w:ascii="Book Antiqua" w:hAnsi="Book Antiqua" w:cs="Segoe UI"/>
          <w:color w:val="000000" w:themeColor="text1"/>
          <w:highlight w:val="white"/>
          <w:vertAlign w:val="superscript"/>
        </w:rPr>
      </w:pPr>
      <w:r>
        <w:rPr>
          <w:rFonts w:cs="Segoe UI" w:ascii="Book Antiqua" w:hAnsi="Book Antiqua"/>
          <w:color w:val="000000" w:themeColor="text1"/>
          <w:shd w:fill="FFFFFF" w:val="clear"/>
        </w:rPr>
        <w:t>„</w:t>
      </w:r>
      <w:r>
        <w:rPr>
          <w:rFonts w:cs="Segoe UI" w:ascii="Book Antiqua" w:hAnsi="Book Antiqua"/>
          <w:color w:val="000000" w:themeColor="text1"/>
          <w:shd w:fill="FFFFFF" w:val="clear"/>
          <w:vertAlign w:val="superscript"/>
        </w:rPr>
        <w:t>54a)</w:t>
      </w:r>
      <w:r>
        <w:rPr>
          <w:rFonts w:cs="Segoe UI" w:ascii="Book Antiqua" w:hAnsi="Book Antiqua"/>
          <w:color w:val="000000" w:themeColor="text1"/>
          <w:shd w:fill="FFFFFF" w:val="clear"/>
        </w:rPr>
        <w:t xml:space="preserve">  § 3 ods. 8 zákona č. 571/2009 Z. z.</w:t>
      </w:r>
    </w:p>
    <w:p>
      <w:pPr>
        <w:pStyle w:val="Normal"/>
        <w:spacing w:before="120" w:after="0"/>
        <w:ind w:left="851" w:hanging="0"/>
        <w:jc w:val="both"/>
        <w:rPr>
          <w:rFonts w:ascii="Book Antiqua" w:hAnsi="Book Antiqua" w:cs="Segoe UI"/>
          <w:color w:val="000000" w:themeColor="text1"/>
          <w:highlight w:val="white"/>
        </w:rPr>
      </w:pPr>
      <w:r>
        <w:rPr>
          <w:rFonts w:cs="Segoe UI" w:ascii="Book Antiqua" w:hAnsi="Book Antiqua"/>
          <w:color w:val="000000" w:themeColor="text1"/>
          <w:shd w:fill="FFFFFF" w:val="clear"/>
          <w:vertAlign w:val="superscript"/>
        </w:rPr>
        <w:t>54b)</w:t>
      </w:r>
      <w:r>
        <w:rPr>
          <w:rFonts w:cs="Segoe UI" w:ascii="Book Antiqua" w:hAnsi="Book Antiqua"/>
          <w:color w:val="000000" w:themeColor="text1"/>
          <w:shd w:fill="FFFFFF" w:val="clear"/>
        </w:rPr>
        <w:t xml:space="preserve"> § 5 zákona č. 601/2003 Z. z. o životnom minime a o zmene a doplnení niektorých zákonov.“.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V nadpise nad § 54 sa slovo „ŠIESTY“ nahrádza slovom „SIEDMY“.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V nadpise nad § 58 sa slovo „SIEDMY“ nahrádza slovom „</w:t>
      </w:r>
      <w:r>
        <w:rPr>
          <w:rFonts w:ascii="Bookman Old Style" w:hAnsi="Bookman Old Style"/>
        </w:rPr>
        <w:t>Ô</w:t>
      </w:r>
      <w:r>
        <w:rPr>
          <w:rFonts w:ascii="Book Antiqua" w:hAnsi="Book Antiqua"/>
        </w:rPr>
        <w:t>SMY“.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Za § 293ej sa vkladá § 293ek, ktorý vrátane nadpisu znie: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1" w:hanging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„</w:t>
      </w:r>
      <w:r>
        <w:rPr>
          <w:rFonts w:ascii="Book Antiqua" w:hAnsi="Book Antiqua"/>
          <w:b/>
        </w:rPr>
        <w:t>§ 293ek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1" w:hanging="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Prechodné ustanovenie k úpravám účinným od 1. januára 2020</w:t>
      </w:r>
    </w:p>
    <w:p>
      <w:pPr>
        <w:pStyle w:val="Normal"/>
        <w:spacing w:before="120" w:after="0"/>
        <w:ind w:left="851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Tehotenský príspevok podľa tohto zákona sa za január 2020 prvýkrát vyplatí vo februári 2020.“.</w:t>
      </w:r>
    </w:p>
    <w:p>
      <w:pPr>
        <w:pStyle w:val="Normal"/>
        <w:spacing w:before="120" w:after="0"/>
        <w:jc w:val="both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Čl. II</w:t>
      </w:r>
    </w:p>
    <w:p>
      <w:pPr>
        <w:pStyle w:val="Normal"/>
        <w:spacing w:before="120" w:after="0"/>
        <w:ind w:left="426" w:hanging="0"/>
        <w:jc w:val="both"/>
        <w:rPr/>
      </w:pPr>
      <w:r>
        <w:rPr>
          <w:rFonts w:ascii="Book Antiqua" w:hAnsi="Book Antiqua"/>
        </w:rPr>
        <w:t>Tento zákon nadobúda účinnosť 1. januára 2020.</w:t>
      </w:r>
    </w:p>
    <w:sectPr>
      <w:footerReference w:type="default" r:id="rId2"/>
      <w:footerReference w:type="first" r:id="rId3"/>
      <w:type w:val="nextPage"/>
      <w:pgSz w:w="11906" w:h="16838"/>
      <w:pgMar w:left="1418" w:right="1418" w:header="0" w:top="1418" w:footer="709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pacing w:lineRule="auto" w:line="240" w:before="0" w:after="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Pt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jc w:val="right"/>
      <w:rPr/>
    </w:pPr>
    <w:r>
      <w:rPr/>
    </w:r>
  </w:p>
  <w:p>
    <w:pPr>
      <w:pStyle w:val="Pt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494" w:hanging="360"/>
      </w:pPr>
      <w:rPr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(%1)"/>
      <w:lvlJc w:val="left"/>
      <w:pPr>
        <w:ind w:left="1068" w:hanging="360"/>
      </w:pPr>
      <w:rPr>
        <w:b w:val="false"/>
        <w:rFonts w:ascii="Book Antiqua" w:hAnsi="Book Antiqua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sk-SK" w:eastAsia="sk-SK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Variable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5a1e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eastAsia="en-US" w:val="sk-SK" w:bidi="ar-SA"/>
    </w:rPr>
  </w:style>
  <w:style w:type="paragraph" w:styleId="Nadpis1">
    <w:name w:val="Heading 1"/>
    <w:basedOn w:val="Normal"/>
    <w:next w:val="Normal"/>
    <w:link w:val="Nadpis1Char"/>
    <w:uiPriority w:val="9"/>
    <w:qFormat/>
    <w:locked/>
    <w:rsid w:val="00bd1967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qFormat/>
    <w:locked/>
    <w:rsid w:val="003e6dd0"/>
    <w:pPr>
      <w:keepNext w:val="true"/>
      <w:spacing w:lineRule="auto" w:line="240" w:before="240" w:after="120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locked/>
    <w:rsid w:val="00bd1967"/>
    <w:rPr>
      <w:rFonts w:ascii="Cambria" w:hAnsi="Cambria" w:cs="Times New Roman"/>
      <w:b/>
      <w:kern w:val="2"/>
      <w:sz w:val="32"/>
      <w:lang w:val="x-none" w:eastAsia="en-US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styleId="PtaChar" w:customStyle="1">
    <w:name w:val="Päta Char"/>
    <w:basedOn w:val="DefaultParagraphFont"/>
    <w:link w:val="Pta"/>
    <w:uiPriority w:val="99"/>
    <w:qFormat/>
    <w:locked/>
    <w:rsid w:val="00ef5a1e"/>
    <w:rPr>
      <w:rFonts w:ascii="Calibri" w:hAnsi="Calibri" w:cs="Times New Roman"/>
    </w:rPr>
  </w:style>
  <w:style w:type="character" w:styleId="HlavikaChar" w:customStyle="1">
    <w:name w:val="Hlavička Char"/>
    <w:basedOn w:val="DefaultParagraphFont"/>
    <w:link w:val="Hlavika"/>
    <w:uiPriority w:val="99"/>
    <w:semiHidden/>
    <w:qFormat/>
    <w:locked/>
    <w:rsid w:val="0083615c"/>
    <w:rPr>
      <w:rFonts w:ascii="Calibri" w:hAnsi="Calibri" w:cs="Times New Roman"/>
    </w:rPr>
  </w:style>
  <w:style w:type="character" w:styleId="OdsekChar" w:customStyle="1">
    <w:name w:val="odsek Char"/>
    <w:link w:val="odsek"/>
    <w:qFormat/>
    <w:locked/>
    <w:rsid w:val="003e6dd0"/>
    <w:rPr>
      <w:sz w:val="24"/>
    </w:rPr>
  </w:style>
  <w:style w:type="character" w:styleId="Textzstupnhosymbolu1" w:customStyle="1">
    <w:name w:val="Text zástupného symbolu1"/>
    <w:semiHidden/>
    <w:qFormat/>
    <w:rsid w:val="003e6dd0"/>
    <w:rPr>
      <w:rFonts w:ascii="Times New Roman" w:hAnsi="Times New Roman"/>
      <w:color w:val="808080"/>
    </w:rPr>
  </w:style>
  <w:style w:type="character" w:styleId="Appleconvertedspace" w:customStyle="1">
    <w:name w:val="apple-converted-space"/>
    <w:basedOn w:val="DefaultParagraphFont"/>
    <w:qFormat/>
    <w:rsid w:val="00b707ab"/>
    <w:rPr>
      <w:rFonts w:cs="Times New Roman"/>
    </w:rPr>
  </w:style>
  <w:style w:type="character" w:styleId="Internetovodkaz">
    <w:name w:val="Internetový odkaz"/>
    <w:basedOn w:val="DefaultParagraphFont"/>
    <w:uiPriority w:val="99"/>
    <w:unhideWhenUsed/>
    <w:rsid w:val="003a3f22"/>
    <w:rPr>
      <w:rFonts w:cs="Times New Roman"/>
      <w:color w:val="0000FF"/>
      <w:u w:val="single"/>
    </w:rPr>
  </w:style>
  <w:style w:type="character" w:styleId="H1a" w:customStyle="1">
    <w:name w:val="h1a"/>
    <w:basedOn w:val="DefaultParagraphFont"/>
    <w:qFormat/>
    <w:rsid w:val="00bd1967"/>
    <w:rPr>
      <w:rFonts w:cs="Times New Roman"/>
    </w:rPr>
  </w:style>
  <w:style w:type="character" w:styleId="HTMLVariable">
    <w:name w:val="HTML Variable"/>
    <w:basedOn w:val="DefaultParagraphFont"/>
    <w:uiPriority w:val="99"/>
    <w:unhideWhenUsed/>
    <w:qFormat/>
    <w:rsid w:val="00771463"/>
    <w:rPr>
      <w:rFonts w:cs="Times New Roman"/>
      <w:i/>
    </w:rPr>
  </w:style>
  <w:style w:type="character" w:styleId="TextbublinyChar" w:customStyle="1">
    <w:name w:val="Text bubliny Char"/>
    <w:basedOn w:val="DefaultParagraphFont"/>
    <w:link w:val="Textbubliny"/>
    <w:uiPriority w:val="99"/>
    <w:qFormat/>
    <w:locked/>
    <w:rsid w:val="00f504f3"/>
    <w:rPr>
      <w:rFonts w:ascii="Segoe UI" w:hAnsi="Segoe UI" w:cs="Segoe UI"/>
      <w:sz w:val="18"/>
      <w:szCs w:val="18"/>
      <w:lang w:val="x-none" w:eastAsia="en-US"/>
    </w:rPr>
  </w:style>
  <w:style w:type="character" w:styleId="FollowedHyperlink">
    <w:name w:val="FollowedHyperlink"/>
    <w:basedOn w:val="DefaultParagraphFont"/>
    <w:qFormat/>
    <w:rsid w:val="00673c0c"/>
    <w:rPr>
      <w:color w:val="800080" w:themeColor="followed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  <w:b w:val="false"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u w:val="none"/>
      <w:effect w:val="none"/>
      <w:vertAlign w:val="baseline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  <w:i w:val="false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  <w:b w:val="false"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u w:val="none"/>
      <w:effect w:val="none"/>
      <w:vertAlign w:val="baseline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eastAsia="Times New Roman"/>
    </w:rPr>
  </w:style>
  <w:style w:type="character" w:styleId="ListLabel101">
    <w:name w:val="ListLabel 101"/>
    <w:qFormat/>
    <w:rPr>
      <w:rFonts w:cs="Times New Roman"/>
      <w:b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  <w:b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  <w:b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eastAsia="Times New Roman"/>
    </w:rPr>
  </w:style>
  <w:style w:type="character" w:styleId="ListLabel138">
    <w:name w:val="ListLabel 138"/>
    <w:qFormat/>
    <w:rPr>
      <w:rFonts w:eastAsia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ascii="Book Antiqua" w:hAnsi="Book Antiqua"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ascii="Book Antiqua" w:hAnsi="Book Antiqua"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ascii="Book Antiqua" w:hAnsi="Book Antiqua"/>
      <w:b w:val="false"/>
    </w:rPr>
  </w:style>
  <w:style w:type="character" w:styleId="ListLabel266">
    <w:name w:val="ListLabel 266"/>
    <w:qFormat/>
    <w:rPr>
      <w:b w:val="false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2">
    <w:name w:val="ListLabel 272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b w:val="false"/>
    </w:rPr>
  </w:style>
  <w:style w:type="character" w:styleId="ListLabel277">
    <w:name w:val="ListLabel 277"/>
    <w:qFormat/>
    <w:rPr>
      <w:b w:val="fals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ta">
    <w:name w:val="Footer"/>
    <w:basedOn w:val="Normal"/>
    <w:link w:val="PtaChar"/>
    <w:uiPriority w:val="99"/>
    <w:rsid w:val="00ef5a1e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  <w:lang w:eastAsia="sk-SK"/>
    </w:rPr>
  </w:style>
  <w:style w:type="paragraph" w:styleId="Hlavika">
    <w:name w:val="Header"/>
    <w:basedOn w:val="Normal"/>
    <w:link w:val="HlavikaChar"/>
    <w:uiPriority w:val="99"/>
    <w:semiHidden/>
    <w:rsid w:val="00836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fc4549"/>
    <w:pPr>
      <w:ind w:left="708" w:hanging="0"/>
    </w:pPr>
    <w:rPr/>
  </w:style>
  <w:style w:type="paragraph" w:styleId="Odsek" w:customStyle="1">
    <w:name w:val="odsek"/>
    <w:basedOn w:val="Normal"/>
    <w:link w:val="odsekChar"/>
    <w:qFormat/>
    <w:rsid w:val="003e6dd0"/>
    <w:pPr>
      <w:keepNext w:val="true"/>
      <w:spacing w:lineRule="auto" w:line="240" w:before="0" w:after="0"/>
      <w:ind w:firstLine="709"/>
      <w:jc w:val="both"/>
    </w:pPr>
    <w:rPr>
      <w:sz w:val="24"/>
      <w:szCs w:val="20"/>
      <w:lang w:eastAsia="sk-SK"/>
    </w:rPr>
  </w:style>
  <w:style w:type="paragraph" w:styleId="Odsek1" w:customStyle="1">
    <w:name w:val="odsek1"/>
    <w:basedOn w:val="Normal"/>
    <w:qFormat/>
    <w:rsid w:val="003e6dd0"/>
    <w:pPr>
      <w:keepNext w:val="true"/>
      <w:spacing w:lineRule="auto" w:line="240" w:before="120" w:after="120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unhideWhenUsed/>
    <w:qFormat/>
    <w:rsid w:val="008f5866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qFormat/>
    <w:rsid w:val="00f504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M6126919208642231807ydp5d2d9414msonormal" w:customStyle="1">
    <w:name w:val="m_6126919208642231807ydp5d2d9414msonormal"/>
    <w:basedOn w:val="Normal"/>
    <w:qFormat/>
    <w:rsid w:val="00e6733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sk-SK"/>
    </w:rPr>
  </w:style>
  <w:style w:type="paragraph" w:styleId="M6126919208642231807ydp5d2d9414msolistparagraph" w:customStyle="1">
    <w:name w:val="m_6126919208642231807ydp5d2d9414msolistparagraph"/>
    <w:basedOn w:val="Normal"/>
    <w:qFormat/>
    <w:rsid w:val="00e6733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C68AC-0AA5-4B00-AC37-DFB7C278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LibreOffice/6.2.3.2$Windows_X86_64 LibreOffice_project/aecc05fe267cc68dde00352a451aa867b3b546ac</Application>
  <Pages>3</Pages>
  <Words>946</Words>
  <Characters>4610</Characters>
  <CharactersWithSpaces>5646</CharactersWithSpaces>
  <Paragraphs>46</Paragraphs>
  <Company>Kancelaria NR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2019-05-30T06:06:00Z</dcterms:created>
  <dc:creator>Miroslav_Kaduc</dc:creator>
  <dc:description/>
  <dc:language>sk-SK</dc:language>
  <cp:lastModifiedBy>Milan</cp:lastModifiedBy>
  <cp:lastPrinted>2019-04-24T09:11:00Z</cp:lastPrinted>
  <dcterms:modified xsi:type="dcterms:W3CDTF">2019-05-31T07:26:00Z</dcterms:modified>
  <cp:revision>6</cp:revision>
  <dc:subject/>
  <dc:title>N Á R O D N Á   R A D A    S L O V E N S K E J   R E P U B L I K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