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embeddings/oleObject1.xlsx" ContentType="application/vnd.openxmlformats-officedocument.spreadsheetml.shee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pacing w:lineRule="auto" w:line="276" w:before="120" w:after="0"/>
        <w:rPr>
          <w:rFonts w:ascii="Book Antiqua" w:hAnsi="Book Antiqua" w:cs="Book Antiqua"/>
          <w:b w:val="false"/>
          <w:b w:val="false"/>
          <w:bCs w:val="false"/>
          <w:sz w:val="22"/>
          <w:szCs w:val="22"/>
        </w:rPr>
      </w:pPr>
      <w:r>
        <w:rPr>
          <w:rFonts w:cs="Book Antiqua" w:ascii="Book Antiqua" w:hAnsi="Book Antiqua"/>
          <w:b/>
          <w:bCs/>
          <w:caps/>
          <w:spacing w:val="30"/>
          <w:sz w:val="22"/>
          <w:szCs w:val="22"/>
        </w:rPr>
        <w:t>Dôvodová správa</w:t>
      </w:r>
    </w:p>
    <w:p>
      <w:pPr>
        <w:pStyle w:val="Nadpis1"/>
        <w:spacing w:lineRule="auto" w:line="276" w:before="120" w:after="0"/>
        <w:rPr>
          <w:rFonts w:ascii="Book Antiqua" w:hAnsi="Book Antiqua" w:cs="Book Antiqua"/>
          <w:sz w:val="22"/>
          <w:szCs w:val="22"/>
        </w:rPr>
      </w:pPr>
      <w:r>
        <w:rPr>
          <w:rFonts w:cs="Book Antiqua" w:ascii="Book Antiqua" w:hAnsi="Book Antiqua"/>
          <w:b w:val="false"/>
          <w:bCs w:val="false"/>
          <w:sz w:val="22"/>
          <w:szCs w:val="22"/>
        </w:rPr>
        <w:t> </w:t>
      </w:r>
    </w:p>
    <w:p>
      <w:pPr>
        <w:pStyle w:val="Nadpis1"/>
        <w:spacing w:lineRule="auto" w:line="276" w:before="120" w:after="0"/>
        <w:jc w:val="left"/>
        <w:rPr>
          <w:rFonts w:ascii="Book Antiqua" w:hAnsi="Book Antiqua" w:cs="Book Antiqua"/>
          <w:sz w:val="22"/>
          <w:szCs w:val="22"/>
        </w:rPr>
      </w:pPr>
      <w:r>
        <w:rPr>
          <w:rFonts w:cs="Book Antiqua" w:ascii="Book Antiqua" w:hAnsi="Book Antiqua"/>
          <w:sz w:val="22"/>
          <w:szCs w:val="22"/>
        </w:rPr>
        <w:t>A. Všeobecná časť</w:t>
      </w:r>
    </w:p>
    <w:p>
      <w:pPr>
        <w:pStyle w:val="NormalWeb"/>
        <w:spacing w:lineRule="auto" w:line="276" w:before="120" w:after="0"/>
        <w:ind w:left="0" w:right="0" w:firstLine="708"/>
        <w:jc w:val="both"/>
        <w:rPr>
          <w:rFonts w:ascii="Book Antiqua" w:hAnsi="Book Antiqua" w:cs="Book Antiqua"/>
          <w:b/>
          <w:b/>
          <w:sz w:val="22"/>
          <w:szCs w:val="22"/>
        </w:rPr>
      </w:pPr>
      <w:r>
        <w:rPr>
          <w:rFonts w:cs="Book Antiqua" w:ascii="Book Antiqua" w:hAnsi="Book Antiqua"/>
          <w:sz w:val="22"/>
          <w:szCs w:val="22"/>
        </w:rPr>
        <w:t xml:space="preserve">Návrh ústavného zákona o rozpočtovaní výdavkov štátu na verejné zdravotníctvo (ďalej len „návrh ústavného zákona“) </w:t>
      </w:r>
      <w:r>
        <w:rPr>
          <w:rFonts w:cs="Book Antiqua" w:ascii="Book Antiqua" w:hAnsi="Book Antiqua"/>
          <w:color w:val="000000"/>
          <w:sz w:val="22"/>
          <w:szCs w:val="22"/>
        </w:rPr>
        <w:t>predkladá poslanec Národnej rady Slovenskej republiky Marek Krajčí.</w:t>
      </w:r>
    </w:p>
    <w:p>
      <w:pPr>
        <w:pStyle w:val="NormalWeb"/>
        <w:spacing w:lineRule="auto" w:line="276" w:before="120" w:after="0"/>
        <w:ind w:left="0" w:right="0" w:firstLine="708"/>
        <w:jc w:val="both"/>
        <w:rPr>
          <w:rFonts w:ascii="Book Antiqua" w:hAnsi="Book Antiqua" w:cs="Book Antiqua"/>
          <w:b/>
          <w:b/>
          <w:sz w:val="22"/>
          <w:szCs w:val="22"/>
        </w:rPr>
      </w:pPr>
      <w:r>
        <w:rPr>
          <w:rFonts w:cs="Book Antiqua" w:ascii="Book Antiqua" w:hAnsi="Book Antiqua"/>
          <w:b/>
          <w:sz w:val="22"/>
          <w:szCs w:val="22"/>
        </w:rPr>
        <w:t>Cieľom návrhu ústavného zákona je zabezpečenie predvídateľného navyšovania výdavkov štátu na verejné zdravotníctvo. To výraznou mierou prispeje k dosiahnutiu dlhodobej udržateľnosti verejného zdravotníctva, efektívneho vynakladania verejných prostriedkov, či zvýšeniu kvality poskytovanej zdravotnej starostlivosti.</w:t>
      </w:r>
    </w:p>
    <w:p>
      <w:pPr>
        <w:pStyle w:val="NormalWeb"/>
        <w:spacing w:lineRule="auto" w:line="276" w:before="120" w:after="0"/>
        <w:jc w:val="both"/>
        <w:rPr>
          <w:rFonts w:ascii="Book Antiqua" w:hAnsi="Book Antiqua" w:cs="Book Antiqua"/>
          <w:sz w:val="22"/>
          <w:szCs w:val="22"/>
        </w:rPr>
      </w:pPr>
      <w:r>
        <w:rPr>
          <w:rFonts w:cs="Book Antiqua" w:ascii="Book Antiqua" w:hAnsi="Book Antiqua"/>
          <w:b/>
          <w:sz w:val="22"/>
          <w:szCs w:val="22"/>
        </w:rPr>
        <w:tab/>
      </w:r>
      <w:r>
        <w:rPr>
          <w:rFonts w:cs="Book Antiqua" w:ascii="Book Antiqua" w:hAnsi="Book Antiqua"/>
          <w:sz w:val="22"/>
          <w:szCs w:val="22"/>
        </w:rPr>
        <w:t xml:space="preserve">Rozpočet určený pre oblasť verejného zdravotníctva by sa mal každoročne lineárne zvyšovať, až kým Slovenská republika nebude vynakladať na verejné zdravotníctvo také percento zo svojho hrubého domáceho produktu (ďalej len „HDP“), ktoré je priemerom HDP vynakladaným na zdravotníctvo v iných členských štátoch Európskej únie. </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V zdravotníctve neustále dominuje téma financovania. Štátne nemocnice majú obrovský investičný dlh (približne 1,5 miliardy eur). Dlhy v zdravotníctve predstavujú ďalších približne 1,5 miliardy eur. Napriek uvedeným dlhom financovanie zdravotníctva v Slovenskej republike dlhodobo zaostáva za priemerom členských štátov EÚ. Kým priemer celkových výdavkov v členských štátoch Európskej únie predstavuje za rok 2017 9,6 % z ich HDP, na Slovensku je to len 7,1 % HDP štátu.</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Predvídateľnosť financovania zdravotného sektora výrazne prispeje k efektívnejšiemu plánovaniu výdavkov (vrátane miezd) a investícií, a tým pádom k zvýšeniu efektivity ako takej, čo by napomohlo aj k vyriešeniu tohto roky pretrvávajúceho problému fungovania zdravotníctva na Slovensku.</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Predkladaný návrh ústavného zákona zakladá negatívne vplyvy na rozpočet verejnej správy. Naopak od návrhu zákona možno očakávať výrazne pozitívne sociálne vplyvy. Návrh zákona nebude mať vplyv na podnikateľské prostredie, na životné prostredie a ani na informatizáciu spoločnosti.</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Návrh ústavného zákona je predkladaný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pPr>
        <w:pStyle w:val="NormalWeb"/>
        <w:spacing w:lineRule="auto" w:line="276" w:before="120" w:after="0"/>
        <w:ind w:left="0" w:right="0" w:firstLine="708"/>
        <w:jc w:val="both"/>
        <w:rPr/>
      </w:pPr>
      <w:r>
        <w:rPr/>
      </w:r>
    </w:p>
    <w:p>
      <w:pPr>
        <w:pStyle w:val="NormalWeb"/>
        <w:spacing w:lineRule="auto" w:line="276" w:before="120" w:after="0"/>
        <w:ind w:left="0" w:right="0" w:firstLine="708"/>
        <w:jc w:val="both"/>
        <w:rPr/>
      </w:pPr>
      <w:r>
        <w:rPr/>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t>B. Osobitná časť</w:t>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sz w:val="22"/>
          <w:szCs w:val="22"/>
        </w:rPr>
        <w:t> </w:t>
      </w:r>
    </w:p>
    <w:p>
      <w:pPr>
        <w:pStyle w:val="NormalWeb"/>
        <w:spacing w:lineRule="auto" w:line="276" w:before="120" w:after="0"/>
        <w:jc w:val="both"/>
        <w:rPr>
          <w:rFonts w:ascii="Book Antiqua" w:hAnsi="Book Antiqua" w:cs="Book Antiqua"/>
          <w:bCs/>
          <w:sz w:val="22"/>
          <w:szCs w:val="22"/>
          <w:u w:val="single"/>
        </w:rPr>
      </w:pPr>
      <w:r>
        <w:rPr>
          <w:rFonts w:cs="Book Antiqua" w:ascii="Book Antiqua" w:hAnsi="Book Antiqua"/>
          <w:b/>
          <w:bCs/>
          <w:sz w:val="22"/>
          <w:szCs w:val="22"/>
        </w:rPr>
        <w:t xml:space="preserve">K Čl. I </w:t>
      </w:r>
    </w:p>
    <w:p>
      <w:pPr>
        <w:pStyle w:val="NormalWeb"/>
        <w:spacing w:lineRule="auto" w:line="276" w:before="120" w:after="0"/>
        <w:jc w:val="both"/>
        <w:rPr>
          <w:rFonts w:ascii="Book Antiqua" w:hAnsi="Book Antiqua" w:cs="Book Antiqua"/>
          <w:b/>
          <w:b/>
          <w:sz w:val="22"/>
          <w:szCs w:val="22"/>
        </w:rPr>
      </w:pPr>
      <w:r>
        <w:rPr>
          <w:rFonts w:cs="Book Antiqua" w:ascii="Book Antiqua" w:hAnsi="Book Antiqua"/>
          <w:bCs/>
          <w:sz w:val="22"/>
          <w:szCs w:val="22"/>
          <w:u w:val="single"/>
        </w:rPr>
        <w:t>Čl. 1</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b/>
          <w:sz w:val="22"/>
          <w:szCs w:val="22"/>
        </w:rPr>
        <w:t>Cieľom návrhu ústavného zákona je zabezpečenie predvídateľnosti navyšovania výdavkov štátu na verejné zdravotníctvo.</w:t>
      </w:r>
      <w:r>
        <w:rPr>
          <w:rFonts w:cs="Book Antiqua" w:ascii="Book Antiqua" w:hAnsi="Book Antiqua"/>
          <w:sz w:val="22"/>
          <w:szCs w:val="22"/>
        </w:rPr>
        <w:t xml:space="preserve"> Slovenské zdravotníctvo nedopláca len na neefektivitu nakladania s finančnými prostriedkami (do istej miery zapríčinené aj neistotou vo financovaní), ale aj na obrovské dlhy. Stav slovenských nemocníc je pritom len povestnou špičkou ľadovca.</w:t>
      </w:r>
    </w:p>
    <w:p>
      <w:pPr>
        <w:pStyle w:val="NormalWeb"/>
        <w:spacing w:lineRule="auto" w:line="276" w:before="120" w:after="0"/>
        <w:ind w:left="0" w:right="0" w:firstLine="708"/>
        <w:jc w:val="both"/>
        <w:rPr>
          <w:rFonts w:ascii="Book Antiqua" w:hAnsi="Book Antiqua" w:cs="Book Antiqua"/>
          <w:bCs/>
          <w:sz w:val="22"/>
          <w:szCs w:val="22"/>
          <w:u w:val="single"/>
        </w:rPr>
      </w:pPr>
      <w:r>
        <w:rPr>
          <w:rFonts w:cs="Book Antiqua" w:ascii="Book Antiqua" w:hAnsi="Book Antiqua"/>
          <w:sz w:val="22"/>
          <w:szCs w:val="22"/>
        </w:rPr>
        <w:t>Zjednodušene možno konštatovať, že príjmy zdravotníctva sú zo 4/5 tvorené ekonomicky aktívnymi osobami a len 1/4 tvoria platby štátu za poistencov štátu na verejné zdravotné poistenie. Práve výška platieb štátu za „svojich“ poistencov, kolíše z roka na rok a neraz je korigovaná aj v priebehu rozpočtového roka. Ak má zdravotníctvo skutočne napredovať, predvídateľnosť výdavkov štátu do zdravotného systému musí byť samozrejmosťou.</w:t>
      </w:r>
    </w:p>
    <w:p>
      <w:pPr>
        <w:pStyle w:val="NormalWeb"/>
        <w:spacing w:lineRule="auto" w:line="276" w:before="120" w:after="0"/>
        <w:jc w:val="both"/>
        <w:rPr>
          <w:rFonts w:ascii="Book Antiqua" w:hAnsi="Book Antiqua" w:cs="Book Antiqua"/>
          <w:sz w:val="22"/>
          <w:szCs w:val="22"/>
        </w:rPr>
      </w:pPr>
      <w:r>
        <w:rPr>
          <w:rFonts w:cs="Book Antiqua" w:ascii="Book Antiqua" w:hAnsi="Book Antiqua"/>
          <w:bCs/>
          <w:sz w:val="22"/>
          <w:szCs w:val="22"/>
          <w:u w:val="single"/>
        </w:rPr>
        <w:t>Čl. 2</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 xml:space="preserve">V súčasnosti je platba za poistencov štátu na verejné zdravotné poistenie každoročne stanovovaná novelami zákona č. 580/2004 Z. z. o zdravotnom poistení. Sadzba poistného pre štát pritom kolíše v rozmedzí od 3,2 % z vymeriavacieho základu až po 5,85% z vymeriavacieho základu. Neraz sa pritom stanovená sadzba mení aj počas roka. </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 xml:space="preserve">Zmenu prístupu k výdavkom na verejné zdravotníctvo oproti súčasnému stavu naznačil už minuloročný návrh zákona o štátnom rozpočte na rok 2019 (parlamentná tlač 1090). Spomenutý návrh zákona presne ustanovil celkovú sumu platieb za poistencov štátu na verejné zdravotné poistenie. V schválenom zákone o štátnom rozpočte na rok 2019 (zákon č. 370/2018 Z. z.), však už táto presne stanovená suma nie je.  </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 xml:space="preserve">Predložený návrh ústavného zákona sčasti vychádza z vyššie načrtnutej myšlienky. Rozdiel je v tom, že </w:t>
      </w:r>
      <w:r>
        <w:rPr>
          <w:rFonts w:cs="Book Antiqua" w:ascii="Book Antiqua" w:hAnsi="Book Antiqua"/>
          <w:b/>
          <w:bCs/>
          <w:sz w:val="22"/>
          <w:szCs w:val="22"/>
        </w:rPr>
        <w:t>predkladaný ústavný zákon neprikáže do zákonov o štátnom rozpočte zakomponovať presne stanovenú sumu platby za poistencov štátu na verejné zdravotné poistenie, ale stanoví spôsob výpočtu sumy výdavkov na celú oblasť verejného zdravotníctva, t.j. nielen na platby na poistencov štátu na verejne zdravotné poistenie</w:t>
      </w:r>
      <w:r>
        <w:rPr>
          <w:rFonts w:cs="Book Antiqua" w:ascii="Book Antiqua" w:hAnsi="Book Antiqua"/>
          <w:sz w:val="22"/>
          <w:szCs w:val="22"/>
        </w:rPr>
        <w:t xml:space="preserve">. </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 xml:space="preserve">Výdavky štátu na verejné zdravotníctvo budú musieť byť v takej výške, aby </w:t>
      </w:r>
      <w:r>
        <w:rPr>
          <w:rFonts w:cs="Book Antiqua" w:ascii="Book Antiqua" w:hAnsi="Book Antiqua"/>
          <w:b/>
          <w:bCs/>
          <w:sz w:val="22"/>
          <w:szCs w:val="22"/>
        </w:rPr>
        <w:t>presahovali percentuálny podiel na HDP Slovenskej republiky v porovnaní s predchádzajúcim rokom aspoň o 0,1 %.</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Výdavky do zdravotného systému sa nemusia zvyšovať, ak ich percentuálny podiel na HDP dosiahne percentuálny priemer HDP, aký na svoje zdravotné systémy vynakladajú iné členské štáty Európskej únie. Pri určovaní percentuálneho priemeru HDP, aký jednotlivé členské štáty Európskej únie vynakladajú na svoje zdravotné systémy, sa vychádza z údajov zverejnených Európskou komisiou (Eurostat-om).</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V parlamentnej demokracii by sa nemalo stávať, že vláda Slovenskej republiky nedodrží povinnosť ustanovenú jej ústavným zákonom vo vzťahu k návrhu štátneho rozpočtu. Rovnako by sa vláde, ktorá sa opiera o parlamentnú väčšinu, t.j. väčšinu poslancov Národnej rady Slovenskej republiky, nemalo stať, že jej návrh štátneho rozpočtu v otázke povinných výdavkov na verejné zdravotníctvo v zmysle tohto návrhu ústavného zákona nie je parlamentnou väčšinou schválený. Ak sa tak stane, t.j. ak samotná vláda Slovenskej republiky nedodrží svoju povinnosť alebo ak jej návrh v tejto veci nie je schválený parlamentnou väčšinou, je namieste, aby vláda Slovenskej republiky v súlade s Ústavou Slovenskej republiky požiadala Národnú radu Slovenskej republiky o vyslovenie dôvery vláde. Obdobne zakotvená povinnosť nie je novinkou v slovenskom právnom systéme, pretože ju obsahuje napr. aj ústavný zákon č. 493/2011 Z. z. o rozpočtovej zodpovednosti (čl. 5 ods. 8).</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t xml:space="preserve">Pri zostavovaní štátneho rozpočtu na daný rok musí každý subjekt verejnej správy  prihliadať na povinnosť vlády vyčleniť na oblasť verejného zdravotníctva požadovaný objem finančných prostriedkov a primerane zosúladiť návrhy svojich rozpočtov s vládnym návrhom rozpočtu verejnej správy. </w:t>
      </w:r>
    </w:p>
    <w:p>
      <w:pPr>
        <w:pStyle w:val="Normal"/>
        <w:spacing w:lineRule="auto" w:line="276" w:before="120" w:after="0"/>
        <w:jc w:val="both"/>
        <w:rPr>
          <w:rFonts w:ascii="Book Antiqua" w:hAnsi="Book Antiqua" w:cs="Book Antiqua"/>
          <w:sz w:val="22"/>
          <w:szCs w:val="22"/>
        </w:rPr>
      </w:pPr>
      <w:r>
        <w:rPr>
          <w:rFonts w:cs="Book Antiqua" w:ascii="Book Antiqua" w:hAnsi="Book Antiqua"/>
          <w:sz w:val="22"/>
          <w:szCs w:val="22"/>
        </w:rPr>
        <w:tab/>
        <w:t>Povinnosť uplatňovať ustanovenia odsekov 1 až 4 sa nevzťahuje na obdobie od vypovedania vojny alebo od vyhlásenia vojnového stavu do skončenia vojny alebo do skončenia vojnového stavu.</w:t>
      </w:r>
    </w:p>
    <w:p>
      <w:pPr>
        <w:pStyle w:val="NormalWeb"/>
        <w:spacing w:lineRule="auto" w:line="276" w:before="120" w:after="0"/>
        <w:ind w:left="0" w:right="0" w:firstLine="708"/>
        <w:jc w:val="both"/>
        <w:rPr>
          <w:rFonts w:ascii="Book Antiqua" w:hAnsi="Book Antiqua" w:cs="Book Antiqua"/>
          <w:sz w:val="22"/>
          <w:szCs w:val="22"/>
        </w:rPr>
      </w:pPr>
      <w:r>
        <w:rPr>
          <w:rFonts w:cs="Book Antiqua" w:ascii="Book Antiqua" w:hAnsi="Book Antiqua"/>
          <w:sz w:val="22"/>
          <w:szCs w:val="22"/>
        </w:rPr>
      </w:r>
    </w:p>
    <w:p>
      <w:pPr>
        <w:pStyle w:val="NormalWeb"/>
        <w:spacing w:lineRule="auto" w:line="276" w:before="120" w:after="0"/>
        <w:jc w:val="both"/>
        <w:rPr>
          <w:rFonts w:ascii="Book Antiqua" w:hAnsi="Book Antiqua" w:cs="Book Antiqua"/>
          <w:sz w:val="22"/>
          <w:szCs w:val="22"/>
        </w:rPr>
      </w:pPr>
      <w:r>
        <w:rPr>
          <w:rFonts w:cs="Book Antiqua" w:ascii="Book Antiqua" w:hAnsi="Book Antiqua"/>
          <w:b/>
          <w:sz w:val="22"/>
          <w:szCs w:val="22"/>
        </w:rPr>
        <w:t>K Čl. II</w:t>
      </w:r>
    </w:p>
    <w:p>
      <w:pPr>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0946"/>
        </w:sectPr>
        <w:pStyle w:val="Pta"/>
        <w:ind w:left="0" w:right="360" w:hanging="0"/>
        <w:jc w:val="both"/>
        <w:rPr>
          <w:rFonts w:ascii="Book Antiqua" w:hAnsi="Book Antiqua" w:cs="Book Antiqua"/>
          <w:b/>
          <w:b/>
          <w:bCs/>
          <w:caps/>
          <w:spacing w:val="30"/>
          <w:sz w:val="22"/>
          <w:szCs w:val="22"/>
        </w:rPr>
      </w:pPr>
      <w:r>
        <w:rPr>
          <w:rFonts w:cs="Book Antiqua" w:ascii="Book Antiqua" w:hAnsi="Book Antiqua"/>
          <w:sz w:val="22"/>
          <w:szCs w:val="22"/>
        </w:rPr>
        <w:t>Účinnosť ústavného zákona sa zámerne navrhuje už na 1. októbra 2019, aby mohla vláda Slovenskej republiky zohľadniť ustanovenia tohto ústavného zákona už v návrhu rozpočtu verejnej správy na rok 2020.</w:t>
      </w:r>
    </w:p>
    <w:p>
      <w:pPr>
        <w:pStyle w:val="NormalWeb"/>
        <w:spacing w:lineRule="auto" w:line="276" w:before="120" w:after="0"/>
        <w:rPr>
          <w:rFonts w:ascii="Book Antiqua" w:hAnsi="Book Antiqua" w:cs="Book Antiqua"/>
          <w:b/>
          <w:b/>
          <w:bCs/>
          <w:sz w:val="22"/>
          <w:szCs w:val="22"/>
        </w:rPr>
      </w:pPr>
      <w:r>
        <w:rPr>
          <w:rFonts w:cs="Book Antiqua" w:ascii="Book Antiqua" w:hAnsi="Book Antiqua"/>
          <w:b/>
          <w:bCs/>
          <w:caps/>
          <w:spacing w:val="30"/>
          <w:sz w:val="22"/>
          <w:szCs w:val="22"/>
        </w:rPr>
        <w:t>DOLOŽKA ZLUČITEĽNOSTI</w:t>
      </w:r>
    </w:p>
    <w:p>
      <w:pPr>
        <w:pStyle w:val="NormalWeb"/>
        <w:spacing w:lineRule="auto" w:line="276" w:before="120" w:after="0"/>
        <w:rPr>
          <w:rFonts w:ascii="Book Antiqua" w:hAnsi="Book Antiqua" w:cs="Book Antiqua"/>
          <w:sz w:val="22"/>
          <w:szCs w:val="22"/>
        </w:rPr>
      </w:pPr>
      <w:r>
        <w:rPr>
          <w:rFonts w:cs="Book Antiqua" w:ascii="Book Antiqua" w:hAnsi="Book Antiqua"/>
          <w:b/>
          <w:bCs/>
          <w:sz w:val="22"/>
          <w:szCs w:val="22"/>
        </w:rPr>
        <w:t>návrhu ústavného zákona</w:t>
      </w:r>
      <w:r>
        <w:rPr>
          <w:rFonts w:cs="Book Antiqua" w:ascii="Book Antiqua" w:hAnsi="Book Antiqua"/>
          <w:sz w:val="22"/>
          <w:szCs w:val="22"/>
        </w:rPr>
        <w:t xml:space="preserve"> </w:t>
      </w:r>
      <w:r>
        <w:rPr>
          <w:rFonts w:cs="Book Antiqua" w:ascii="Book Antiqua" w:hAnsi="Book Antiqua"/>
          <w:b/>
          <w:bCs/>
          <w:sz w:val="22"/>
          <w:szCs w:val="22"/>
        </w:rPr>
        <w:t>s právom Európskej únie</w:t>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sz w:val="22"/>
          <w:szCs w:val="22"/>
        </w:rPr>
        <w:t> </w:t>
      </w:r>
    </w:p>
    <w:p>
      <w:pPr>
        <w:pStyle w:val="NormalWeb"/>
        <w:spacing w:lineRule="auto" w:line="276" w:before="120" w:after="0"/>
        <w:jc w:val="both"/>
        <w:rPr>
          <w:rFonts w:ascii="Book Antiqua" w:hAnsi="Book Antiqua" w:cs="Book Antiqua"/>
          <w:color w:val="C9211E"/>
          <w:sz w:val="22"/>
          <w:szCs w:val="22"/>
        </w:rPr>
      </w:pPr>
      <w:r>
        <w:rPr>
          <w:rFonts w:cs="Book Antiqua" w:ascii="Book Antiqua" w:hAnsi="Book Antiqua"/>
          <w:b/>
          <w:bCs/>
          <w:sz w:val="22"/>
          <w:szCs w:val="22"/>
        </w:rPr>
        <w:t>1. Navrhovateľ ústavného zákona:</w:t>
      </w:r>
      <w:r>
        <w:rPr>
          <w:rFonts w:cs="Book Antiqua" w:ascii="Book Antiqua" w:hAnsi="Book Antiqua"/>
          <w:sz w:val="22"/>
          <w:szCs w:val="22"/>
        </w:rPr>
        <w:t xml:space="preserve"> </w:t>
      </w:r>
      <w:r>
        <w:rPr>
          <w:rFonts w:cs="Book Antiqua" w:ascii="Book Antiqua" w:hAnsi="Book Antiqua"/>
          <w:color w:val="000000"/>
          <w:sz w:val="22"/>
          <w:szCs w:val="22"/>
        </w:rPr>
        <w:t>poslanec Národnej rady Slovenskej republiky Marek Krajčí</w:t>
      </w:r>
    </w:p>
    <w:p>
      <w:pPr>
        <w:pStyle w:val="NormalWeb"/>
        <w:spacing w:lineRule="auto" w:line="276" w:before="120" w:after="0"/>
        <w:jc w:val="both"/>
        <w:rPr>
          <w:rFonts w:ascii="Book Antiqua" w:hAnsi="Book Antiqua" w:cs="Book Antiqua"/>
          <w:color w:val="C9211E"/>
          <w:sz w:val="22"/>
          <w:szCs w:val="22"/>
        </w:rPr>
      </w:pPr>
      <w:r>
        <w:rPr>
          <w:rFonts w:cs="Book Antiqua" w:ascii="Book Antiqua" w:hAnsi="Book Antiqua"/>
          <w:color w:val="C9211E"/>
          <w:sz w:val="22"/>
          <w:szCs w:val="22"/>
        </w:rPr>
      </w:r>
    </w:p>
    <w:p>
      <w:pPr>
        <w:pStyle w:val="Normal"/>
        <w:spacing w:lineRule="auto" w:line="276" w:before="120" w:after="280"/>
        <w:jc w:val="both"/>
        <w:rPr>
          <w:rFonts w:ascii="Book Antiqua" w:hAnsi="Book Antiqua" w:cs="Book Antiqua"/>
          <w:sz w:val="22"/>
          <w:szCs w:val="22"/>
        </w:rPr>
      </w:pPr>
      <w:r>
        <w:rPr>
          <w:rFonts w:cs="Book Antiqua" w:ascii="Book Antiqua" w:hAnsi="Book Antiqua"/>
          <w:b/>
          <w:bCs/>
          <w:sz w:val="22"/>
          <w:szCs w:val="22"/>
        </w:rPr>
        <w:t>2. Názov návrhu ústavného zákona:</w:t>
      </w:r>
      <w:r>
        <w:rPr>
          <w:rFonts w:cs="Book Antiqua" w:ascii="Book Antiqua" w:hAnsi="Book Antiqua"/>
          <w:sz w:val="22"/>
          <w:szCs w:val="22"/>
        </w:rPr>
        <w:t xml:space="preserve"> </w:t>
      </w:r>
      <w:bookmarkStart w:id="0" w:name="__DdeLink__67868_1258658721"/>
      <w:r>
        <w:rPr>
          <w:rFonts w:cs="Book Antiqua" w:ascii="Book Antiqua" w:hAnsi="Book Antiqua"/>
          <w:color w:val="000000"/>
          <w:sz w:val="22"/>
          <w:szCs w:val="22"/>
        </w:rPr>
        <w:t>návrh ústavného zákona o rozpočtovaní výdavkov štátu na verejné zdravotníctvo</w:t>
      </w:r>
      <w:bookmarkEnd w:id="0"/>
    </w:p>
    <w:p>
      <w:pPr>
        <w:pStyle w:val="NormalWeb"/>
        <w:spacing w:lineRule="auto" w:line="276" w:before="120" w:after="0"/>
        <w:jc w:val="both"/>
        <w:rPr>
          <w:b/>
          <w:b/>
          <w:bCs/>
        </w:rPr>
      </w:pPr>
      <w:r>
        <w:rPr>
          <w:rFonts w:cs="Book Antiqua" w:ascii="Book Antiqua" w:hAnsi="Book Antiqua"/>
          <w:sz w:val="22"/>
          <w:szCs w:val="22"/>
        </w:rPr>
      </w:r>
    </w:p>
    <w:p>
      <w:pPr>
        <w:pStyle w:val="NormalWeb"/>
        <w:spacing w:lineRule="auto" w:line="276" w:before="120" w:after="0"/>
        <w:jc w:val="both"/>
        <w:rPr>
          <w:rFonts w:ascii="Book Antiqua" w:hAnsi="Book Antiqua" w:cs="Book Antiqua"/>
          <w:sz w:val="22"/>
          <w:szCs w:val="22"/>
        </w:rPr>
      </w:pPr>
      <w:r>
        <w:rPr>
          <w:rFonts w:cs="Book Antiqua" w:ascii="Book Antiqua" w:hAnsi="Book Antiqua"/>
          <w:b/>
          <w:bCs/>
          <w:sz w:val="22"/>
          <w:szCs w:val="22"/>
        </w:rPr>
        <w:t>3. Predmet návrhu ústavného zákona:</w:t>
      </w:r>
    </w:p>
    <w:p>
      <w:pPr>
        <w:pStyle w:val="NormalWeb"/>
        <w:numPr>
          <w:ilvl w:val="0"/>
          <w:numId w:val="2"/>
        </w:numPr>
        <w:spacing w:lineRule="auto" w:line="276" w:before="120" w:after="0"/>
        <w:jc w:val="both"/>
        <w:rPr>
          <w:rFonts w:ascii="Book Antiqua" w:hAnsi="Book Antiqua" w:cs="Book Antiqua"/>
          <w:sz w:val="22"/>
          <w:szCs w:val="22"/>
        </w:rPr>
      </w:pPr>
      <w:r>
        <w:rPr>
          <w:rFonts w:cs="Book Antiqua" w:ascii="Book Antiqua" w:hAnsi="Book Antiqua"/>
          <w:bCs/>
          <w:sz w:val="22"/>
          <w:szCs w:val="22"/>
        </w:rPr>
        <w:t>nie je upravený v primárnom práve Európskej únie,</w:t>
      </w:r>
    </w:p>
    <w:p>
      <w:pPr>
        <w:pStyle w:val="NormalWeb"/>
        <w:numPr>
          <w:ilvl w:val="0"/>
          <w:numId w:val="2"/>
        </w:numPr>
        <w:spacing w:lineRule="auto" w:line="276" w:before="120" w:after="0"/>
        <w:jc w:val="both"/>
        <w:rPr>
          <w:rFonts w:ascii="Book Antiqua" w:hAnsi="Book Antiqua" w:cs="Book Antiqua"/>
          <w:bCs/>
          <w:sz w:val="22"/>
          <w:szCs w:val="22"/>
        </w:rPr>
      </w:pPr>
      <w:r>
        <w:rPr>
          <w:rFonts w:cs="Book Antiqua" w:ascii="Book Antiqua" w:hAnsi="Book Antiqua"/>
          <w:sz w:val="22"/>
          <w:szCs w:val="22"/>
        </w:rPr>
        <w:t>nie je upravený v sekundárnom práve Európskej únie,</w:t>
      </w:r>
    </w:p>
    <w:p>
      <w:pPr>
        <w:pStyle w:val="NormalWeb"/>
        <w:numPr>
          <w:ilvl w:val="0"/>
          <w:numId w:val="2"/>
        </w:numPr>
        <w:spacing w:lineRule="auto" w:line="276" w:before="120" w:after="0"/>
        <w:jc w:val="both"/>
        <w:rPr>
          <w:rFonts w:ascii="Book Antiqua" w:hAnsi="Book Antiqua" w:cs="Book Antiqua"/>
          <w:b/>
          <w:b/>
          <w:bCs/>
          <w:sz w:val="22"/>
          <w:szCs w:val="22"/>
        </w:rPr>
      </w:pPr>
      <w:r>
        <w:rPr>
          <w:rFonts w:cs="Book Antiqua" w:ascii="Book Antiqua" w:hAnsi="Book Antiqua"/>
          <w:bCs/>
          <w:sz w:val="22"/>
          <w:szCs w:val="22"/>
        </w:rPr>
        <w:t>nie je obsiahnutý v judikatúre Súdneho dvora Európskej únie.</w:t>
      </w:r>
      <w:r>
        <w:rPr>
          <w:rFonts w:cs="Book Antiqua" w:ascii="Book Antiqua" w:hAnsi="Book Antiqua"/>
          <w:sz w:val="22"/>
          <w:szCs w:val="22"/>
        </w:rPr>
        <w:t> </w:t>
      </w:r>
    </w:p>
    <w:p>
      <w:pPr>
        <w:pStyle w:val="NormalWeb"/>
        <w:spacing w:lineRule="auto" w:line="276" w:before="120" w:after="0"/>
        <w:jc w:val="both"/>
        <w:rPr>
          <w:rFonts w:ascii="Book Antiqua" w:hAnsi="Book Antiqua" w:cs="Book Antiqua"/>
          <w:b/>
          <w:b/>
          <w:bCs/>
          <w:sz w:val="22"/>
          <w:szCs w:val="22"/>
        </w:rPr>
      </w:pPr>
      <w:r>
        <w:rPr>
          <w:rFonts w:cs="Book Antiqua" w:ascii="Book Antiqua" w:hAnsi="Book Antiqua"/>
          <w:b/>
          <w:bCs/>
          <w:sz w:val="22"/>
          <w:szCs w:val="22"/>
        </w:rPr>
      </w:r>
    </w:p>
    <w:p>
      <w:pPr>
        <w:pStyle w:val="NormalWeb"/>
        <w:spacing w:lineRule="auto" w:line="276" w:before="120" w:after="0"/>
        <w:jc w:val="both"/>
        <w:rPr>
          <w:rFonts w:ascii="Book Antiqua" w:hAnsi="Book Antiqua" w:cs="Book Antiqua"/>
          <w:sz w:val="22"/>
          <w:szCs w:val="22"/>
        </w:rPr>
      </w:pPr>
      <w:r>
        <w:rPr>
          <w:rFonts w:cs="Book Antiqua" w:ascii="Book Antiqua" w:hAnsi="Book Antiqua"/>
          <w:b/>
          <w:bCs/>
          <w:sz w:val="22"/>
          <w:szCs w:val="22"/>
        </w:rPr>
        <w:t>Vzhľadom na to, že predmet návrhu ústavného zákona nie je upravený v práve Európskej únie, je bezpredmetné vyjadrovať sa k bodom 4. a 5.</w:t>
      </w:r>
    </w:p>
    <w:p>
      <w:pPr>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294960946"/>
        </w:sectPr>
        <w:pStyle w:val="Pta"/>
        <w:ind w:left="0" w:right="360" w:hanging="0"/>
        <w:rPr>
          <w:rFonts w:ascii="Book Antiqua" w:hAnsi="Book Antiqua" w:cs="Book Antiqua"/>
          <w:b/>
          <w:b/>
          <w:bCs/>
          <w:caps/>
          <w:color w:val="000000"/>
          <w:spacing w:val="30"/>
          <w:sz w:val="22"/>
          <w:szCs w:val="22"/>
        </w:rPr>
      </w:pPr>
      <w:r>
        <w:rPr>
          <w:rFonts w:cs="Book Antiqua" w:ascii="Book Antiqua" w:hAnsi="Book Antiqua"/>
          <w:sz w:val="22"/>
          <w:szCs w:val="22"/>
        </w:rPr>
        <w:t> </w:t>
      </w:r>
    </w:p>
    <w:p>
      <w:pPr>
        <w:pStyle w:val="NormalWeb"/>
        <w:spacing w:lineRule="auto" w:line="276" w:before="120" w:after="0"/>
        <w:rPr>
          <w:rFonts w:ascii="Book Antiqua" w:hAnsi="Book Antiqua" w:cs="Book Antiqua"/>
          <w:b/>
          <w:b/>
          <w:bCs/>
          <w:caps/>
          <w:color w:val="000000"/>
          <w:spacing w:val="30"/>
          <w:sz w:val="22"/>
          <w:szCs w:val="22"/>
        </w:rPr>
      </w:pPr>
      <w:r>
        <w:rPr>
          <w:rFonts w:cs="Book Antiqua" w:ascii="Book Antiqua" w:hAnsi="Book Antiqua"/>
          <w:b/>
          <w:bCs/>
          <w:caps/>
          <w:color w:val="000000"/>
          <w:spacing w:val="30"/>
          <w:sz w:val="22"/>
          <w:szCs w:val="22"/>
        </w:rPr>
        <w:t>Doložka</w:t>
      </w:r>
    </w:p>
    <w:p>
      <w:pPr>
        <w:pStyle w:val="NormalWeb"/>
        <w:spacing w:lineRule="auto" w:line="276" w:before="120" w:after="0"/>
        <w:rPr>
          <w:rFonts w:ascii="Book Antiqua" w:hAnsi="Book Antiqua" w:cs="Book Antiqua"/>
          <w:color w:val="000000"/>
          <w:sz w:val="22"/>
          <w:szCs w:val="22"/>
        </w:rPr>
      </w:pPr>
      <w:r>
        <w:rPr>
          <w:rFonts w:cs="Book Antiqua" w:ascii="Book Antiqua" w:hAnsi="Book Antiqua"/>
          <w:b/>
          <w:bCs/>
          <w:color w:val="000000"/>
          <w:sz w:val="22"/>
          <w:szCs w:val="22"/>
        </w:rPr>
        <w:t>vybraných vplyvov</w:t>
      </w:r>
    </w:p>
    <w:p>
      <w:pPr>
        <w:pStyle w:val="NormalWeb"/>
        <w:spacing w:lineRule="auto" w:line="276" w:before="120" w:after="0"/>
        <w:rPr>
          <w:rFonts w:ascii="Book Antiqua" w:hAnsi="Book Antiqua" w:cs="Book Antiqua"/>
          <w:b/>
          <w:b/>
          <w:bCs/>
          <w:color w:val="000000"/>
          <w:sz w:val="22"/>
          <w:szCs w:val="22"/>
        </w:rPr>
      </w:pPr>
      <w:r>
        <w:rPr>
          <w:rFonts w:cs="Book Antiqua" w:ascii="Book Antiqua" w:hAnsi="Book Antiqua"/>
          <w:color w:val="000000"/>
          <w:sz w:val="22"/>
          <w:szCs w:val="22"/>
        </w:rPr>
        <w:t>  </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 xml:space="preserve">A.1. Názov materiálu: </w:t>
      </w:r>
      <w:r>
        <w:rPr>
          <w:rFonts w:cs="Book Antiqua" w:ascii="Book Antiqua" w:hAnsi="Book Antiqua"/>
          <w:color w:val="000000"/>
          <w:sz w:val="22"/>
          <w:szCs w:val="22"/>
        </w:rPr>
        <w:t>návrh ústavného zákona o rozpočtovaní výdavkov štátu na verejné zdravotníctvo</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       </w:t>
      </w:r>
      <w:r>
        <w:rPr>
          <w:rFonts w:eastAsia="Book Antiqua" w:cs="Book Antiqua" w:ascii="Book Antiqua" w:hAnsi="Book Antiqua"/>
          <w:b/>
          <w:bCs/>
          <w:color w:val="000000"/>
          <w:sz w:val="22"/>
          <w:szCs w:val="22"/>
        </w:rPr>
        <w:t xml:space="preserve"> </w:t>
      </w:r>
      <w:r>
        <w:rPr>
          <w:rFonts w:cs="Book Antiqua" w:ascii="Book Antiqua" w:hAnsi="Book Antiqua"/>
          <w:b/>
          <w:bCs/>
          <w:color w:val="000000"/>
          <w:sz w:val="22"/>
          <w:szCs w:val="22"/>
        </w:rPr>
        <w:t>Termín začatia a ukončenia PPK:</w:t>
      </w:r>
      <w:r>
        <w:rPr>
          <w:rFonts w:cs="Book Antiqua" w:ascii="Book Antiqua" w:hAnsi="Book Antiqua"/>
          <w:color w:val="000000"/>
          <w:sz w:val="22"/>
          <w:szCs w:val="22"/>
        </w:rPr>
        <w:t xml:space="preserve"> </w:t>
      </w:r>
      <w:r>
        <w:rPr>
          <w:rFonts w:cs="Book Antiqua" w:ascii="Book Antiqua" w:hAnsi="Book Antiqua"/>
          <w:i/>
          <w:iCs/>
          <w:color w:val="000000"/>
          <w:sz w:val="22"/>
          <w:szCs w:val="22"/>
        </w:rPr>
        <w:t>bezpredmetné</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 </w:t>
      </w:r>
    </w:p>
    <w:p>
      <w:pPr>
        <w:pStyle w:val="NormalWeb"/>
        <w:spacing w:lineRule="auto" w:line="276" w:before="120" w:after="0"/>
        <w:jc w:val="both"/>
        <w:rPr>
          <w:rFonts w:ascii="Book Antiqua" w:hAnsi="Book Antiqua" w:cs="Book Antiqua"/>
          <w:color w:val="000000"/>
          <w:sz w:val="22"/>
          <w:szCs w:val="22"/>
        </w:rPr>
      </w:pPr>
      <w:r>
        <w:rPr>
          <w:rFonts w:cs="Book Antiqua" w:ascii="Book Antiqua" w:hAnsi="Book Antiqua"/>
          <w:b/>
          <w:bCs/>
          <w:color w:val="000000"/>
          <w:sz w:val="22"/>
          <w:szCs w:val="22"/>
        </w:rPr>
        <w:t>A.2. Vplyvy:</w:t>
      </w:r>
    </w:p>
    <w:tbl>
      <w:tblPr>
        <w:tblW w:w="9128" w:type="dxa"/>
        <w:jc w:val="left"/>
        <w:tblInd w:w="-27" w:type="dxa"/>
        <w:tblCellMar>
          <w:top w:w="0" w:type="dxa"/>
          <w:left w:w="7" w:type="dxa"/>
          <w:bottom w:w="0" w:type="dxa"/>
          <w:right w:w="0" w:type="dxa"/>
        </w:tblCellMar>
      </w:tblPr>
      <w:tblGrid>
        <w:gridCol w:w="5516"/>
        <w:gridCol w:w="1192"/>
        <w:gridCol w:w="1178"/>
        <w:gridCol w:w="1242"/>
      </w:tblGrid>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r>
              <w:rPr>
                <w:rFonts w:cs="Book Antiqua" w:ascii="Book Antiqua" w:hAnsi="Book Antiqua"/>
                <w:color w:val="000000"/>
                <w:sz w:val="22"/>
                <w:szCs w:val="22"/>
              </w:rPr>
              <w:t>Pozitívne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r>
              <w:rPr>
                <w:rFonts w:cs="Book Antiqua" w:ascii="Book Antiqua" w:hAnsi="Book Antiqua"/>
                <w:color w:val="000000"/>
                <w:sz w:val="22"/>
                <w:szCs w:val="22"/>
              </w:rPr>
              <w:t>Žiadne </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pPr>
            <w:r>
              <w:rPr>
                <w:rFonts w:cs="Book Antiqua" w:ascii="Book Antiqua" w:hAnsi="Book Antiqua"/>
                <w:color w:val="000000"/>
                <w:sz w:val="22"/>
                <w:szCs w:val="22"/>
              </w:rPr>
              <w:t> </w:t>
            </w:r>
            <w:r>
              <w:rPr>
                <w:rFonts w:cs="Book Antiqua" w:ascii="Book Antiqua" w:hAnsi="Book Antiqua"/>
                <w:color w:val="000000"/>
                <w:sz w:val="22"/>
                <w:szCs w:val="22"/>
              </w:rPr>
              <w:t>Negatívne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cs="Book Antiqua" w:ascii="Book Antiqua" w:hAnsi="Book Antiqua"/>
                <w:color w:val="000000"/>
                <w:sz w:val="22"/>
                <w:szCs w:val="22"/>
              </w:rPr>
              <w:t>1. Vplyvy na rozpočet verejnej správy</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napToGrid w:val="false"/>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cs="Book Antiqua" w:ascii="Book Antiqua" w:hAnsi="Book Antiqua"/>
                <w:color w:val="000000"/>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cs="Book Antiqua" w:ascii="Book Antiqua" w:hAnsi="Book Antiqua"/>
                <w:color w:val="000000"/>
                <w:sz w:val="22"/>
                <w:szCs w:val="22"/>
              </w:rPr>
              <w:t>3. Sociálne vplyvy</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napToGrid w:val="false"/>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eastAsia="Book Antiqua"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vplyvy na hospodárenie obyvateľstva,</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eastAsia="Book Antiqua"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sociálnu exklúziu,</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eastAsia="Book Antiqua" w:cs="Book Antiqua" w:ascii="Book Antiqua" w:hAnsi="Book Antiqua"/>
                <w:color w:val="000000"/>
                <w:sz w:val="22"/>
                <w:szCs w:val="22"/>
              </w:rPr>
              <w:t>–</w:t>
            </w:r>
            <w:r>
              <w:rPr>
                <w:rFonts w:eastAsia="Book Antiqua" w:cs="Book Antiqua" w:ascii="Book Antiqua" w:hAnsi="Book Antiqua"/>
                <w:color w:val="000000"/>
                <w:sz w:val="22"/>
                <w:szCs w:val="22"/>
              </w:rPr>
              <w:t xml:space="preserve"> </w:t>
            </w:r>
            <w:r>
              <w:rPr>
                <w:rFonts w:cs="Book Antiqua" w:ascii="Book Antiqua" w:hAnsi="Book Antiqua"/>
                <w:color w:val="000000"/>
                <w:sz w:val="22"/>
                <w:szCs w:val="22"/>
              </w:rPr>
              <w:t>rovnosť príležitostí a rodovú rovnosť a vplyvy na zamestnanosť</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cs="Book Antiqua" w:ascii="Book Antiqua" w:hAnsi="Book Antiqua"/>
                <w:color w:val="000000"/>
                <w:sz w:val="22"/>
                <w:szCs w:val="22"/>
              </w:rPr>
              <w:t>4. Vplyvy na životné prostredie</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r>
        <w:trPr/>
        <w:tc>
          <w:tcPr>
            <w:tcW w:w="5516"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jc w:val="left"/>
              <w:rPr>
                <w:rFonts w:ascii="Book Antiqua" w:hAnsi="Book Antiqua" w:cs="Book Antiqua"/>
                <w:color w:val="000000"/>
                <w:sz w:val="22"/>
                <w:szCs w:val="22"/>
              </w:rPr>
            </w:pPr>
            <w:r>
              <w:rPr>
                <w:rFonts w:cs="Book Antiqua" w:ascii="Book Antiqua" w:hAnsi="Book Antiqua"/>
                <w:color w:val="000000"/>
                <w:sz w:val="22"/>
                <w:szCs w:val="22"/>
              </w:rPr>
              <w:t>5. Vplyvy na informatizáciu spoločnosti</w:t>
            </w:r>
          </w:p>
        </w:tc>
        <w:tc>
          <w:tcPr>
            <w:tcW w:w="1192"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c>
          <w:tcPr>
            <w:tcW w:w="1178" w:type="dxa"/>
            <w:tcBorders>
              <w:top w:val="single" w:sz="4" w:space="0" w:color="000000"/>
              <w:left w:val="single" w:sz="4" w:space="0" w:color="000000"/>
              <w:bottom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x</w:t>
            </w:r>
          </w:p>
        </w:tc>
        <w:tc>
          <w:tcPr>
            <w:tcW w:w="124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Web"/>
              <w:spacing w:lineRule="auto" w:line="276" w:before="120" w:after="0"/>
              <w:rPr>
                <w:rFonts w:ascii="Book Antiqua" w:hAnsi="Book Antiqua" w:cs="Book Antiqua"/>
                <w:color w:val="000000"/>
                <w:sz w:val="22"/>
                <w:szCs w:val="22"/>
              </w:rPr>
            </w:pPr>
            <w:r>
              <w:rPr>
                <w:rFonts w:cs="Book Antiqua" w:ascii="Book Antiqua" w:hAnsi="Book Antiqua"/>
                <w:color w:val="000000"/>
                <w:sz w:val="22"/>
                <w:szCs w:val="22"/>
              </w:rPr>
              <w:t> </w:t>
            </w:r>
          </w:p>
        </w:tc>
      </w:tr>
    </w:tbl>
    <w:p>
      <w:pPr>
        <w:pStyle w:val="NormalWeb"/>
        <w:spacing w:lineRule="auto" w:line="276" w:before="120" w:after="0"/>
        <w:rPr>
          <w:rFonts w:ascii="Book Antiqua" w:hAnsi="Book Antiqua" w:cs="Book Antiqua"/>
          <w:b/>
          <w:b/>
          <w:bCs/>
          <w:color w:val="000000"/>
          <w:sz w:val="22"/>
          <w:szCs w:val="22"/>
        </w:rPr>
      </w:pPr>
      <w:r>
        <w:rPr>
          <w:rFonts w:cs="Book Antiqua" w:ascii="Book Antiqua" w:hAnsi="Book Antiqua"/>
          <w:color w:val="000000"/>
          <w:sz w:val="22"/>
          <w:szCs w:val="22"/>
        </w:rPr>
        <w:t> </w:t>
      </w:r>
    </w:p>
    <w:p>
      <w:pPr>
        <w:pStyle w:val="NormalWeb"/>
        <w:spacing w:lineRule="auto" w:line="276" w:before="120" w:after="0"/>
        <w:jc w:val="both"/>
        <w:rPr>
          <w:rFonts w:ascii="Book Antiqua" w:hAnsi="Book Antiqua" w:cs="Book Antiqua"/>
          <w:i/>
          <w:i/>
          <w:iCs/>
          <w:color w:val="000000"/>
          <w:sz w:val="22"/>
          <w:szCs w:val="22"/>
        </w:rPr>
      </w:pPr>
      <w:r>
        <w:rPr>
          <w:rFonts w:cs="Book Antiqua" w:ascii="Book Antiqua" w:hAnsi="Book Antiqua"/>
          <w:b/>
          <w:bCs/>
          <w:color w:val="000000"/>
          <w:sz w:val="22"/>
          <w:szCs w:val="22"/>
        </w:rPr>
        <w:t>A.3. Poznámky</w:t>
      </w:r>
    </w:p>
    <w:p>
      <w:pPr>
        <w:pStyle w:val="NormalWeb"/>
        <w:spacing w:lineRule="auto" w:line="276" w:before="120" w:after="0"/>
        <w:ind w:left="0" w:right="0" w:firstLine="708"/>
        <w:jc w:val="both"/>
        <w:rPr>
          <w:rFonts w:ascii="Book Antiqua" w:hAnsi="Book Antiqua" w:cs="Book Antiqua"/>
          <w:i/>
          <w:i/>
          <w:iCs/>
          <w:color w:val="000000"/>
          <w:sz w:val="22"/>
          <w:szCs w:val="22"/>
        </w:rPr>
      </w:pPr>
      <w:r>
        <w:rPr>
          <w:rFonts w:cs="Book Antiqua" w:ascii="Book Antiqua" w:hAnsi="Book Antiqua"/>
          <w:i/>
          <w:iCs/>
          <w:color w:val="000000"/>
          <w:sz w:val="22"/>
          <w:szCs w:val="22"/>
        </w:rPr>
        <w:t>Vzhľadom na prognózu, že HDP Slovenska bude v roku 2020 na úrovni 102,2 mld. €, by navýšenie príjmov do zdravotníctva na rok 2020 predstavovalo nárast o 102,2 mil. €. Nakoľko však rozpočet pre zdravotníctvo na rok 2020 nepočíta ani so zachovaním súčasného podielu výdavkov na zdravotníctvo voči HDP Slovenska, reálne bude voči plánovanému rozpočtu na rok 2020 navýšenie príjmov do zdravotníctva vyššie o 374 mil. €. V roku 2021 vzhľadom na prognózu HDP, by sa rozpočet zdravotníctva mal oproti roku 2020 zvýšiť o sumu 424 mil. €. Avšak voči plánovanému rozpočtu na rok 2021 bude navýšenie príjmov do zdravotníctva o 706 mil. € vyššie. V roku 2022 vzhľadom na prognózu HDP, by sa rozpočet zdravotníctva mal oproti roku 2021 navýšiť o sumu 419 mil. €. Tent</w:t>
      </w:r>
      <w:bookmarkStart w:id="1" w:name="_GoBack1"/>
      <w:bookmarkEnd w:id="1"/>
      <w:r>
        <w:rPr>
          <w:rFonts w:cs="Book Antiqua" w:ascii="Book Antiqua" w:hAnsi="Book Antiqua"/>
          <w:i/>
          <w:iCs/>
          <w:color w:val="000000"/>
          <w:sz w:val="22"/>
          <w:szCs w:val="22"/>
        </w:rPr>
        <w:t xml:space="preserve">o negatívny dopad na rozpočet verejnej správy </w:t>
      </w:r>
      <w:r>
        <w:rPr>
          <w:rFonts w:cs="Book Antiqua" w:ascii="Book Antiqua" w:hAnsi="Book Antiqua"/>
          <w:bCs/>
          <w:i/>
          <w:iCs/>
          <w:color w:val="000000"/>
          <w:sz w:val="22"/>
          <w:szCs w:val="22"/>
        </w:rPr>
        <w:t>by sa mal v roku 2020</w:t>
      </w:r>
      <w:r>
        <w:rPr>
          <w:rFonts w:cs="Book Antiqua" w:ascii="Book Antiqua" w:hAnsi="Book Antiqua"/>
          <w:i/>
          <w:iCs/>
          <w:color w:val="000000"/>
          <w:sz w:val="22"/>
          <w:szCs w:val="22"/>
        </w:rPr>
        <w:t>, ako aj v ďalších rozpočtových rokoch pokryť z efektívnejšieho výberu dane z pridanej hodnoty. V neposlednom rade možno zapojiť aj zdroje z rozpočtovej kapitoly Všeobecná pokladničná správa, v ktorej</w:t>
      </w:r>
      <w:r>
        <w:rPr>
          <w:rFonts w:cs="Book Antiqua" w:ascii="Book Antiqua" w:hAnsi="Book Antiqua"/>
          <w:b/>
          <w:i/>
          <w:iCs/>
          <w:color w:val="000000"/>
          <w:sz w:val="22"/>
          <w:szCs w:val="22"/>
        </w:rPr>
        <w:t xml:space="preserve"> </w:t>
      </w:r>
      <w:r>
        <w:rPr>
          <w:rFonts w:cs="Book Antiqua" w:ascii="Book Antiqua" w:hAnsi="Book Antiqua"/>
          <w:i/>
          <w:iCs/>
          <w:color w:val="000000"/>
          <w:sz w:val="22"/>
          <w:szCs w:val="22"/>
        </w:rPr>
        <w:t>je napr. na rok 2019 vyčlenených 2 mld. eur na bližšie nešpecifikované účely a podobnú suma bude pravdepodobne vyčlenená pre túto rozpočtovú kapitolu aj v ďalších rokoch</w:t>
      </w:r>
      <w:r>
        <w:rPr>
          <w:rFonts w:cs="Book Antiqua" w:ascii="Book Antiqua" w:hAnsi="Book Antiqua"/>
          <w:b/>
          <w:i/>
          <w:iCs/>
          <w:color w:val="000000"/>
          <w:sz w:val="22"/>
          <w:szCs w:val="22"/>
        </w:rPr>
        <w:t>.</w:t>
      </w:r>
    </w:p>
    <w:p>
      <w:pPr>
        <w:pStyle w:val="NormalWeb"/>
        <w:spacing w:lineRule="auto" w:line="276" w:before="120" w:after="0"/>
        <w:ind w:left="0" w:right="0" w:firstLine="708"/>
        <w:jc w:val="both"/>
        <w:rPr>
          <w:rFonts w:ascii="Book Antiqua" w:hAnsi="Book Antiqua" w:cs="Book Antiqua"/>
          <w:i/>
          <w:i/>
          <w:iCs/>
          <w:color w:val="000000"/>
          <w:sz w:val="22"/>
          <w:szCs w:val="22"/>
        </w:rPr>
      </w:pPr>
      <w:r>
        <w:rPr>
          <w:rFonts w:cs="Book Antiqua" w:ascii="Book Antiqua" w:hAnsi="Book Antiqua"/>
          <w:i/>
          <w:iCs/>
          <w:color w:val="000000"/>
          <w:sz w:val="22"/>
          <w:szCs w:val="22"/>
        </w:rPr>
      </w:r>
    </w:p>
    <w:p>
      <w:pPr>
        <w:pStyle w:val="NormalWeb"/>
        <w:spacing w:lineRule="auto" w:line="276" w:before="120" w:after="0"/>
        <w:ind w:left="0" w:right="0" w:firstLine="708"/>
        <w:jc w:val="both"/>
        <w:rPr>
          <w:rFonts w:ascii="Book Antiqua" w:hAnsi="Book Antiqua" w:cs="Book Antiqua"/>
          <w:i/>
          <w:i/>
          <w:iCs/>
          <w:color w:val="000000"/>
          <w:sz w:val="22"/>
          <w:szCs w:val="22"/>
        </w:rPr>
      </w:pPr>
      <w:r>
        <w:rPr>
          <w:rFonts w:cs="Book Antiqua" w:ascii="Book Antiqua" w:hAnsi="Book Antiqua"/>
          <w:i/>
          <w:iCs/>
          <w:color w:val="000000"/>
          <w:sz w:val="22"/>
          <w:szCs w:val="22"/>
        </w:rPr>
        <w:object w:dxaOrig="11703" w:dyaOrig="4631">
          <v:shape id="ole_rId4" style="width:452.55pt;height:210.15pt" o:ole="">
            <v:imagedata r:id="rId5" o:title=""/>
          </v:shape>
          <o:OLEObject Type="Embed" ProgID="Excel.Sheet.12" ShapeID="ole_rId4" DrawAspect="Content" ObjectID="_310064603" r:id="rId4"/>
        </w:object>
      </w:r>
    </w:p>
    <w:p>
      <w:pPr>
        <w:pStyle w:val="NormalWeb"/>
        <w:spacing w:lineRule="auto" w:line="276" w:before="120" w:after="0"/>
        <w:jc w:val="both"/>
        <w:rPr/>
      </w:pPr>
      <w:r>
        <w:rPr>
          <w:rFonts w:cs="Book Antiqua" w:ascii="Book Antiqua" w:hAnsi="Book Antiqua"/>
          <w:i/>
          <w:iCs/>
          <w:color w:val="000000"/>
          <w:sz w:val="22"/>
          <w:szCs w:val="22"/>
        </w:rPr>
        <w:t>     </w:t>
      </w:r>
      <w:r>
        <w:rPr>
          <w:rFonts w:eastAsia="Book Antiqua" w:cs="Book Antiqua" w:ascii="Book Antiqua" w:hAnsi="Book Antiqua"/>
          <w:i/>
          <w:iCs/>
          <w:color w:val="000000"/>
          <w:sz w:val="22"/>
          <w:szCs w:val="22"/>
        </w:rPr>
        <w:t xml:space="preserve"> </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A.4. Alternatívne riešenia</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i/>
          <w:iCs/>
          <w:color w:val="000000"/>
          <w:sz w:val="22"/>
          <w:szCs w:val="22"/>
        </w:rPr>
        <w:t>bezpredmetné</w:t>
      </w:r>
    </w:p>
    <w:p>
      <w:pPr>
        <w:pStyle w:val="NormalWeb"/>
        <w:spacing w:lineRule="auto" w:line="276" w:before="120" w:after="0"/>
        <w:jc w:val="both"/>
        <w:rPr>
          <w:rFonts w:ascii="Book Antiqua" w:hAnsi="Book Antiqua" w:cs="Book Antiqua"/>
          <w:b/>
          <w:b/>
          <w:bCs/>
          <w:color w:val="000000"/>
          <w:sz w:val="22"/>
          <w:szCs w:val="22"/>
        </w:rPr>
      </w:pPr>
      <w:r>
        <w:rPr>
          <w:rFonts w:cs="Book Antiqua" w:ascii="Book Antiqua" w:hAnsi="Book Antiqua"/>
          <w:b/>
          <w:bCs/>
          <w:color w:val="000000"/>
          <w:sz w:val="22"/>
          <w:szCs w:val="22"/>
        </w:rPr>
        <w:t> </w:t>
      </w:r>
    </w:p>
    <w:p>
      <w:pPr>
        <w:pStyle w:val="NormalWeb"/>
        <w:spacing w:lineRule="auto" w:line="276" w:before="120" w:after="0"/>
        <w:jc w:val="both"/>
        <w:rPr>
          <w:rFonts w:ascii="Book Antiqua" w:hAnsi="Book Antiqua" w:cs="Book Antiqua"/>
          <w:i/>
          <w:i/>
          <w:iCs/>
          <w:color w:val="000000"/>
          <w:sz w:val="22"/>
          <w:szCs w:val="22"/>
        </w:rPr>
      </w:pPr>
      <w:r>
        <w:rPr>
          <w:rFonts w:cs="Book Antiqua" w:ascii="Book Antiqua" w:hAnsi="Book Antiqua"/>
          <w:b/>
          <w:bCs/>
          <w:color w:val="000000"/>
          <w:sz w:val="22"/>
          <w:szCs w:val="22"/>
        </w:rPr>
        <w:t>A.5. Stanovisko gestorov</w:t>
      </w:r>
    </w:p>
    <w:p>
      <w:pPr>
        <w:pStyle w:val="NormalWeb"/>
        <w:spacing w:lineRule="auto" w:line="276" w:before="120" w:after="0"/>
        <w:jc w:val="both"/>
        <w:rPr>
          <w:rFonts w:ascii="Book Antiqua" w:hAnsi="Book Antiqua" w:cs="Book Antiqua"/>
          <w:i/>
          <w:i/>
          <w:iCs/>
          <w:color w:val="000000"/>
          <w:sz w:val="22"/>
          <w:szCs w:val="22"/>
        </w:rPr>
      </w:pPr>
      <w:r>
        <w:rPr>
          <w:rFonts w:cs="Book Antiqua" w:ascii="Book Antiqua" w:hAnsi="Book Antiqua"/>
          <w:i/>
          <w:iCs/>
          <w:color w:val="000000"/>
          <w:sz w:val="22"/>
          <w:szCs w:val="22"/>
        </w:rPr>
        <w:t>Návrh ústavného zákona bol zaslaný na vyjadrenie Ministerstvu financií SR a stanovisko tohto ministerstva tvorí súčasť predkladaného materiálu.</w:t>
      </w:r>
    </w:p>
    <w:p>
      <w:pPr>
        <w:pStyle w:val="NormalWeb"/>
        <w:spacing w:lineRule="auto" w:line="276" w:before="120" w:after="0"/>
        <w:jc w:val="both"/>
        <w:rPr/>
      </w:pPr>
      <w:r>
        <w:rPr/>
      </w:r>
    </w:p>
    <w:sectPr>
      <w:footerReference w:type="default" r:id="rId6"/>
      <w:type w:val="nextPage"/>
      <w:pgSz w:w="11906" w:h="16838"/>
      <w:pgMar w:left="1417" w:right="1417" w:header="0" w:top="1417" w:footer="537" w:bottom="1246"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80"/>
    <w:family w:val="roman"/>
    <w:pitch w:val="variable"/>
  </w:font>
  <w:font w:name="Cambria">
    <w:charset w:val="80"/>
    <w:family w:val="roman"/>
    <w:pitch w:val="variable"/>
  </w:font>
  <w:font w:name="Book Antiqua">
    <w:charset w:val="80"/>
    <w:family w:val="roman"/>
    <w:pitch w:val="variable"/>
  </w:font>
  <w:font w:name="Tahoma">
    <w:charset w:val="80"/>
    <w:family w:val="roman"/>
    <w:pitch w:val="variable"/>
  </w:font>
  <w:font w:name="Liberation Sans">
    <w:altName w:val="Arial"/>
    <w:charset w:val="80"/>
    <w:family w:val="swiss"/>
    <w:pitch w:val="variable"/>
  </w:font>
  <w:font w:name="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left="0"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left="0"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left="0" w:right="36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432" w:hanging="432"/>
      </w:pPr>
      <w:rPr>
        <w:rFonts w:cs="Times New Roman"/>
      </w:rPr>
    </w:lvl>
    <w:lvl w:ilvl="1">
      <w:start w:val="1"/>
      <w:pStyle w:val="Nadpis2"/>
      <w:numFmt w:val="none"/>
      <w:suff w:val="nothing"/>
      <w:lvlText w:val=""/>
      <w:lvlJc w:val="left"/>
      <w:pPr>
        <w:ind w:left="576" w:hanging="576"/>
      </w:pPr>
      <w:rPr>
        <w:rFonts w:cs="Times New Roman"/>
      </w:rPr>
    </w:lvl>
    <w:lvl w:ilvl="2">
      <w:start w:val="1"/>
      <w:pStyle w:val="Nadpis3"/>
      <w:numFmt w:val="none"/>
      <w:suff w:val="nothing"/>
      <w:lvlText w:val=""/>
      <w:lvlJc w:val="left"/>
      <w:pPr>
        <w:ind w:left="720" w:hanging="720"/>
      </w:pPr>
      <w:rPr>
        <w:rFonts w:cs="Times New Roman"/>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rPr>
        <w:sz w:val="22"/>
        <w:b/>
        <w:szCs w:val="22"/>
        <w:bCs/>
        <w:rFonts w:ascii="Book Antiqua" w:hAnsi="Book Antiqua" w:cs="Times New Roman"/>
      </w:rPr>
    </w:lvl>
    <w:lvl w:ilvl="1">
      <w:start w:val="1"/>
      <w:numFmt w:val="decimal"/>
      <w:lvlText w:val="%2."/>
      <w:lvlJc w:val="left"/>
      <w:pPr>
        <w:tabs>
          <w:tab w:val="num" w:pos="1080"/>
        </w:tabs>
        <w:ind w:left="1080" w:hanging="360"/>
      </w:pPr>
      <w:rPr/>
    </w:lvl>
    <w:lvl w:ilvl="2">
      <w:start w:val="1"/>
      <w:numFmt w:val="decimal"/>
      <w:lvlText w:val="%2.%3."/>
      <w:lvlJc w:val="left"/>
      <w:pPr>
        <w:tabs>
          <w:tab w:val="num" w:pos="1440"/>
        </w:tabs>
        <w:ind w:left="1440" w:hanging="360"/>
      </w:pPr>
      <w:rPr/>
    </w:lvl>
    <w:lvl w:ilvl="3">
      <w:start w:val="1"/>
      <w:numFmt w:val="decimal"/>
      <w:lvlText w:val="%2.%3.%4."/>
      <w:lvlJc w:val="left"/>
      <w:pPr>
        <w:tabs>
          <w:tab w:val="num" w:pos="1800"/>
        </w:tabs>
        <w:ind w:left="1800" w:hanging="360"/>
      </w:pPr>
      <w:rPr/>
    </w:lvl>
    <w:lvl w:ilvl="4">
      <w:start w:val="1"/>
      <w:numFmt w:val="decimal"/>
      <w:lvlText w:val="%2.%3.%4.%5."/>
      <w:lvlJc w:val="left"/>
      <w:pPr>
        <w:tabs>
          <w:tab w:val="num" w:pos="2160"/>
        </w:tabs>
        <w:ind w:left="2160" w:hanging="360"/>
      </w:pPr>
      <w:rPr/>
    </w:lvl>
    <w:lvl w:ilvl="5">
      <w:start w:val="1"/>
      <w:numFmt w:val="decimal"/>
      <w:lvlText w:val="%2.%3.%4.%5.%6."/>
      <w:lvlJc w:val="left"/>
      <w:pPr>
        <w:tabs>
          <w:tab w:val="num" w:pos="2520"/>
        </w:tabs>
        <w:ind w:left="2520" w:hanging="360"/>
      </w:pPr>
      <w:rPr/>
    </w:lvl>
    <w:lvl w:ilvl="6">
      <w:start w:val="1"/>
      <w:numFmt w:val="decimal"/>
      <w:lvlText w:val="%2.%3.%4.%5.%6.%7."/>
      <w:lvlJc w:val="left"/>
      <w:pPr>
        <w:tabs>
          <w:tab w:val="num" w:pos="2880"/>
        </w:tabs>
        <w:ind w:left="2880" w:hanging="360"/>
      </w:pPr>
      <w:rPr/>
    </w:lvl>
    <w:lvl w:ilvl="7">
      <w:start w:val="1"/>
      <w:numFmt w:val="decimal"/>
      <w:lvlText w:val="%2.%3.%4.%5.%6.%7.%8."/>
      <w:lvlJc w:val="left"/>
      <w:pPr>
        <w:tabs>
          <w:tab w:val="num" w:pos="3240"/>
        </w:tabs>
        <w:ind w:left="3240" w:hanging="360"/>
      </w:pPr>
      <w:rPr/>
    </w:lvl>
    <w:lvl w:ilvl="8">
      <w:start w:val="1"/>
      <w:numFmt w:val="decimal"/>
      <w:lvlText w:val="%2.%3.%4.%5.%6.%7.%8.%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sk-SK" w:eastAsia="zh-CN" w:bidi="hi-IN"/>
      </w:rPr>
    </w:rPrDefault>
    <w:pPrDefault>
      <w:pPr/>
    </w:pPrDefault>
  </w:docDefaults>
  <w:style w:type="paragraph" w:styleId="Normal">
    <w:name w:val="Normal"/>
    <w:qFormat/>
    <w:pPr>
      <w:widowControl/>
      <w:numPr>
        <w:ilvl w:val="0"/>
        <w:numId w:val="0"/>
      </w:numPr>
      <w:suppressAutoHyphens w:val="true"/>
      <w:kinsoku w:val="true"/>
      <w:overflowPunct w:val="true"/>
      <w:autoSpaceDE w:val="true"/>
      <w:bidi w:val="0"/>
      <w:ind w:hanging="0"/>
      <w:jc w:val="center"/>
    </w:pPr>
    <w:rPr>
      <w:rFonts w:ascii="Times New Roman" w:hAnsi="Times New Roman" w:eastAsia="Times New Roman" w:cs="Times New Roman"/>
      <w:color w:val="00000A"/>
      <w:kern w:val="2"/>
      <w:sz w:val="24"/>
      <w:szCs w:val="24"/>
      <w:lang w:val="sk-SK" w:eastAsia="zh-CN" w:bidi="ar-SA"/>
    </w:rPr>
  </w:style>
  <w:style w:type="paragraph" w:styleId="Nadpis1">
    <w:name w:val="Heading 1"/>
    <w:basedOn w:val="Normal"/>
    <w:next w:val="Telotextu"/>
    <w:qFormat/>
    <w:pPr>
      <w:keepNext w:val="true"/>
      <w:numPr>
        <w:ilvl w:val="0"/>
        <w:numId w:val="1"/>
      </w:numPr>
      <w:outlineLvl w:val="0"/>
    </w:pPr>
    <w:rPr>
      <w:rFonts w:ascii="Cambria" w:hAnsi="Cambria" w:cs="Cambria"/>
      <w:b/>
      <w:bCs/>
      <w:kern w:val="2"/>
      <w:sz w:val="32"/>
      <w:szCs w:val="32"/>
    </w:rPr>
  </w:style>
  <w:style w:type="paragraph" w:styleId="Nadpis2">
    <w:name w:val="Heading 2"/>
    <w:basedOn w:val="Normal"/>
    <w:next w:val="Telotextu"/>
    <w:qFormat/>
    <w:pPr>
      <w:keepNext w:val="true"/>
      <w:numPr>
        <w:ilvl w:val="1"/>
        <w:numId w:val="1"/>
      </w:numPr>
      <w:spacing w:before="240" w:after="60"/>
      <w:outlineLvl w:val="1"/>
    </w:pPr>
    <w:rPr>
      <w:rFonts w:ascii="Cambria" w:hAnsi="Cambria" w:cs="Cambria"/>
      <w:b/>
      <w:bCs/>
      <w:i/>
      <w:iCs/>
      <w:sz w:val="28"/>
      <w:szCs w:val="28"/>
    </w:rPr>
  </w:style>
  <w:style w:type="paragraph" w:styleId="Nadpis3">
    <w:name w:val="Heading 3"/>
    <w:basedOn w:val="Normal"/>
    <w:next w:val="Telotextu"/>
    <w:qFormat/>
    <w:pPr>
      <w:keepNext w:val="true"/>
      <w:numPr>
        <w:ilvl w:val="2"/>
        <w:numId w:val="1"/>
      </w:numPr>
      <w:spacing w:before="240" w:after="60"/>
      <w:outlineLvl w:val="2"/>
    </w:pPr>
    <w:rPr>
      <w:rFonts w:ascii="Cambria" w:hAnsi="Cambria" w:cs="Cambria"/>
      <w:b/>
      <w:bCs/>
      <w:sz w:val="26"/>
      <w:szCs w:val="26"/>
    </w:rPr>
  </w:style>
  <w:style w:type="character" w:styleId="WW8Num1z0">
    <w:name w:val="WW8Num1z0"/>
    <w:qFormat/>
    <w:rPr>
      <w:rFonts w:cs="Times New Roman"/>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rPr>
  </w:style>
  <w:style w:type="character" w:styleId="WW8Num3z0">
    <w:name w:val="WW8Num3z0"/>
    <w:qFormat/>
    <w:rPr>
      <w:rFonts w:ascii="Book Antiqua" w:hAnsi="Book Antiqua" w:cs="Times New Roman"/>
      <w:b/>
      <w:bCs/>
      <w:sz w:val="22"/>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WW8Num1z1">
    <w:name w:val="WW8Num1z1"/>
    <w:qFormat/>
    <w:rPr/>
  </w:style>
  <w:style w:type="character" w:styleId="WW8Num1z2">
    <w:name w:val="WW8Num1z2"/>
    <w:qFormat/>
    <w:rPr/>
  </w:style>
  <w:style w:type="character" w:styleId="WW8Num2z1">
    <w:name w:val="WW8Num2z1"/>
    <w:qFormat/>
    <w:rPr/>
  </w:style>
  <w:style w:type="character" w:styleId="WW8Num4z0">
    <w:name w:val="WW8Num4z0"/>
    <w:qFormat/>
    <w:rPr>
      <w:i w:val="false"/>
    </w:rPr>
  </w:style>
  <w:style w:type="character" w:styleId="WW8Num4z1">
    <w:name w:val="WW8Num4z1"/>
    <w:qFormat/>
    <w:rPr/>
  </w:style>
  <w:style w:type="character" w:styleId="WW8Num5z0">
    <w:name w:val="WW8Num5z0"/>
    <w:qFormat/>
    <w:rPr>
      <w:rFonts w:ascii="Book Antiqua" w:hAnsi="Book Antiqua" w:cs="Book Antiqua"/>
      <w:sz w:val="22"/>
    </w:rPr>
  </w:style>
  <w:style w:type="character" w:styleId="WW8Num6z0">
    <w:name w:val="WW8Num6z0"/>
    <w:qFormat/>
    <w:rPr/>
  </w:style>
  <w:style w:type="character" w:styleId="WW8Num6z1">
    <w:name w:val="WW8Num6z1"/>
    <w:qFormat/>
    <w:rPr/>
  </w:style>
  <w:style w:type="character" w:styleId="WW8Num7z0">
    <w:name w:val="WW8Num7z0"/>
    <w:qFormat/>
    <w:rPr/>
  </w:style>
  <w:style w:type="character" w:styleId="WW8Num7z1">
    <w:name w:val="WW8Num7z1"/>
    <w:qFormat/>
    <w:rPr/>
  </w:style>
  <w:style w:type="character" w:styleId="WW8Num8z0">
    <w:name w:val="WW8Num8z0"/>
    <w:qFormat/>
    <w:rPr/>
  </w:style>
  <w:style w:type="character" w:styleId="WW8Num8z1">
    <w:name w:val="WW8Num8z1"/>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rPr>
  </w:style>
  <w:style w:type="character" w:styleId="Predvolenpsmoodseku1">
    <w:name w:val="Predvolené písmo odseku1"/>
    <w:qFormat/>
    <w:rPr/>
  </w:style>
  <w:style w:type="character" w:styleId="Nadpis1Char">
    <w:name w:val="Nadpis 1 Char"/>
    <w:qFormat/>
    <w:rPr>
      <w:rFonts w:ascii="Cambria" w:hAnsi="Cambria" w:cs="Cambria"/>
      <w:b/>
      <w:kern w:val="2"/>
      <w:sz w:val="32"/>
    </w:rPr>
  </w:style>
  <w:style w:type="character" w:styleId="Nadpis3Char">
    <w:name w:val="Nadpis 3 Char"/>
    <w:qFormat/>
    <w:rPr>
      <w:rFonts w:ascii="Cambria" w:hAnsi="Cambria" w:cs="Cambria"/>
      <w:b/>
      <w:sz w:val="26"/>
    </w:rPr>
  </w:style>
  <w:style w:type="character" w:styleId="TextbublinyChar">
    <w:name w:val="Text bubliny Char"/>
    <w:qFormat/>
    <w:rPr>
      <w:rFonts w:ascii="Tahoma" w:hAnsi="Tahoma" w:cs="Tahoma"/>
      <w:sz w:val="16"/>
    </w:rPr>
  </w:style>
  <w:style w:type="character" w:styleId="PtaChar">
    <w:name w:val="Päta Char"/>
    <w:qFormat/>
    <w:rPr>
      <w:sz w:val="24"/>
    </w:rPr>
  </w:style>
  <w:style w:type="character" w:styleId="Pagenumber">
    <w:name w:val="page number"/>
    <w:qFormat/>
    <w:rPr/>
  </w:style>
  <w:style w:type="character" w:styleId="HlavikaChar">
    <w:name w:val="Hlavička Char"/>
    <w:qFormat/>
    <w:rPr>
      <w:sz w:val="24"/>
    </w:rPr>
  </w:style>
  <w:style w:type="character" w:styleId="Internetovodkaz">
    <w:name w:val="Internetový odkaz"/>
    <w:rPr>
      <w:color w:val="0000FF"/>
      <w:u w:val="single"/>
      <w:lang w:val="zxx" w:eastAsia="zxx" w:bidi="zxx"/>
    </w:rPr>
  </w:style>
  <w:style w:type="character" w:styleId="Nadpis2Char">
    <w:name w:val="Nadpis 2 Char"/>
    <w:qFormat/>
    <w:rPr>
      <w:rFonts w:ascii="Cambria" w:hAnsi="Cambria" w:cs="Cambria"/>
      <w:b/>
      <w:i/>
      <w:sz w:val="28"/>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Book Antiqua" w:hAnsi="Book Antiqua" w:cs="Times New Roman"/>
      <w:b/>
      <w:bCs/>
      <w:sz w:val="22"/>
      <w:szCs w:val="22"/>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ascii="Book Antiqua" w:hAnsi="Book Antiqua" w:cs="Times New Roman"/>
      <w:b/>
      <w:bCs/>
      <w:sz w:val="22"/>
      <w:szCs w:val="22"/>
    </w:rPr>
  </w:style>
  <w:style w:type="character" w:styleId="ListLabel33">
    <w:name w:val="ListLabel 33"/>
    <w:qFormat/>
    <w:rPr>
      <w:rFonts w:cs="Times New Roman"/>
    </w:rPr>
  </w:style>
  <w:style w:type="character" w:styleId="ListLabel34">
    <w:name w:val="ListLabel 34"/>
    <w:qFormat/>
    <w:rPr>
      <w:rFonts w:cs="Times New Roman"/>
      <w:b/>
      <w:bCs/>
      <w:sz w:val="22"/>
      <w:szCs w:val="22"/>
    </w:rPr>
  </w:style>
  <w:style w:type="paragraph" w:styleId="Nadpis">
    <w:name w:val="Nadpis"/>
    <w:basedOn w:val="Normal"/>
    <w:next w:val="Telotextu"/>
    <w:qFormat/>
    <w:pPr>
      <w:keepNext w:val="true"/>
      <w:numPr>
        <w:ilvl w:val="0"/>
        <w:numId w:val="0"/>
      </w:numPr>
      <w:spacing w:before="240" w:after="120"/>
      <w:ind w:hanging="0"/>
    </w:pPr>
    <w:rPr>
      <w:rFonts w:ascii="Liberation Sans;Arial" w:hAnsi="Liberation Sans;Arial" w:eastAsia="Microsoft YaHei" w:cs="Arial"/>
      <w:sz w:val="28"/>
      <w:szCs w:val="28"/>
    </w:rPr>
  </w:style>
  <w:style w:type="paragraph" w:styleId="Telotextu">
    <w:name w:val="Body Text"/>
    <w:basedOn w:val="Normal"/>
    <w:pPr>
      <w:numPr>
        <w:ilvl w:val="0"/>
        <w:numId w:val="0"/>
      </w:numPr>
      <w:spacing w:lineRule="auto" w:line="288" w:before="0" w:after="140"/>
      <w:ind w:hanging="0"/>
    </w:pPr>
    <w:rPr/>
  </w:style>
  <w:style w:type="paragraph" w:styleId="Zoznam">
    <w:name w:val="List"/>
    <w:basedOn w:val="Telotextu"/>
    <w:pPr>
      <w:numPr>
        <w:ilvl w:val="0"/>
        <w:numId w:val="0"/>
      </w:numPr>
      <w:ind w:hanging="0"/>
    </w:pPr>
    <w:rPr>
      <w:rFonts w:cs="Ari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numPr>
        <w:ilvl w:val="0"/>
        <w:numId w:val="0"/>
      </w:numPr>
      <w:suppressLineNumbers/>
      <w:ind w:hanging="0"/>
    </w:pPr>
    <w:rPr>
      <w:rFonts w:cs="Arial"/>
    </w:rPr>
  </w:style>
  <w:style w:type="paragraph" w:styleId="WWNadpis">
    <w:name w:val="WW-Nadpis"/>
    <w:basedOn w:val="Nadpis"/>
    <w:next w:val="Podnadpis"/>
    <w:qFormat/>
    <w:pPr/>
    <w:rPr/>
  </w:style>
  <w:style w:type="paragraph" w:styleId="Podnadpis">
    <w:name w:val="Subtitle"/>
    <w:basedOn w:val="Nadpis"/>
    <w:next w:val="Telotextu"/>
    <w:qFormat/>
    <w:pPr>
      <w:jc w:val="center"/>
    </w:pPr>
    <w:rPr>
      <w:i/>
      <w:iCs/>
      <w:sz w:val="28"/>
      <w:szCs w:val="28"/>
    </w:rPr>
  </w:style>
  <w:style w:type="paragraph" w:styleId="Popisok">
    <w:name w:val="Popisok"/>
    <w:basedOn w:val="Normal"/>
    <w:qFormat/>
    <w:pPr>
      <w:numPr>
        <w:ilvl w:val="0"/>
        <w:numId w:val="0"/>
      </w:numPr>
      <w:suppressLineNumbers/>
      <w:spacing w:before="120" w:after="120"/>
      <w:ind w:hanging="0"/>
    </w:pPr>
    <w:rPr>
      <w:rFonts w:cs="Mangal"/>
      <w:i/>
      <w:iCs/>
      <w:sz w:val="24"/>
      <w:szCs w:val="24"/>
    </w:rPr>
  </w:style>
  <w:style w:type="paragraph" w:styleId="Caption">
    <w:name w:val="caption"/>
    <w:basedOn w:val="Normal"/>
    <w:qFormat/>
    <w:pPr>
      <w:numPr>
        <w:ilvl w:val="0"/>
        <w:numId w:val="0"/>
      </w:numPr>
      <w:suppressLineNumbers/>
      <w:spacing w:before="120" w:after="120"/>
      <w:ind w:hanging="0"/>
    </w:pPr>
    <w:rPr>
      <w:rFonts w:cs="Arial"/>
      <w:i/>
      <w:iCs/>
    </w:rPr>
  </w:style>
  <w:style w:type="paragraph" w:styleId="BalloonText">
    <w:name w:val="Balloon Text"/>
    <w:basedOn w:val="Normal"/>
    <w:qFormat/>
    <w:pPr>
      <w:numPr>
        <w:ilvl w:val="0"/>
        <w:numId w:val="0"/>
      </w:numPr>
      <w:ind w:hanging="0"/>
    </w:pPr>
    <w:rPr>
      <w:rFonts w:ascii="Tahoma" w:hAnsi="Tahoma" w:cs="Tahoma"/>
      <w:sz w:val="16"/>
      <w:szCs w:val="16"/>
    </w:rPr>
  </w:style>
  <w:style w:type="paragraph" w:styleId="Pta">
    <w:name w:val="Footer"/>
    <w:basedOn w:val="Normal"/>
    <w:pPr>
      <w:numPr>
        <w:ilvl w:val="0"/>
        <w:numId w:val="0"/>
      </w:numPr>
      <w:suppressLineNumbers/>
      <w:tabs>
        <w:tab w:val="clear" w:pos="708"/>
        <w:tab w:val="center" w:pos="4536" w:leader="none"/>
        <w:tab w:val="right" w:pos="9072" w:leader="none"/>
      </w:tabs>
      <w:ind w:hanging="0"/>
    </w:pPr>
    <w:rPr/>
  </w:style>
  <w:style w:type="paragraph" w:styleId="Titulok">
    <w:name w:val="titulok"/>
    <w:basedOn w:val="Normal"/>
    <w:qFormat/>
    <w:pPr>
      <w:numPr>
        <w:ilvl w:val="0"/>
        <w:numId w:val="0"/>
      </w:numPr>
      <w:spacing w:before="280" w:after="280"/>
      <w:ind w:hanging="0"/>
    </w:pPr>
    <w:rPr>
      <w:rFonts w:ascii="Arial" w:hAnsi="Arial" w:cs="Arial"/>
      <w:b/>
      <w:bCs/>
      <w:color w:val="007060"/>
    </w:rPr>
  </w:style>
  <w:style w:type="paragraph" w:styleId="NormalWeb">
    <w:name w:val="Normal (Web)"/>
    <w:basedOn w:val="Normal"/>
    <w:qFormat/>
    <w:pPr>
      <w:numPr>
        <w:ilvl w:val="0"/>
        <w:numId w:val="0"/>
      </w:numPr>
      <w:spacing w:before="280" w:after="280"/>
      <w:ind w:hanging="0"/>
    </w:pPr>
    <w:rPr/>
  </w:style>
  <w:style w:type="paragraph" w:styleId="Hlavika">
    <w:name w:val="Header"/>
    <w:basedOn w:val="Normal"/>
    <w:pPr>
      <w:numPr>
        <w:ilvl w:val="0"/>
        <w:numId w:val="0"/>
      </w:numPr>
      <w:suppressLineNumbers/>
      <w:tabs>
        <w:tab w:val="clear" w:pos="708"/>
        <w:tab w:val="center" w:pos="4536" w:leader="none"/>
        <w:tab w:val="right" w:pos="9072" w:leader="none"/>
      </w:tabs>
      <w:ind w:hanging="0"/>
    </w:pPr>
    <w:rPr/>
  </w:style>
  <w:style w:type="paragraph" w:styleId="Obsahtabuky">
    <w:name w:val="Obsah tabuľky"/>
    <w:basedOn w:val="Normal"/>
    <w:qFormat/>
    <w:pPr>
      <w:numPr>
        <w:ilvl w:val="0"/>
        <w:numId w:val="0"/>
      </w:numPr>
      <w:suppressLineNumbers/>
      <w:ind w:hanging="0"/>
    </w:pPr>
    <w:rPr/>
  </w:style>
  <w:style w:type="paragraph" w:styleId="Nadpistabuky">
    <w:name w:val="Nadpis tabuľky"/>
    <w:basedOn w:val="Obsahtabuky"/>
    <w:qFormat/>
    <w:pPr>
      <w:numPr>
        <w:ilvl w:val="0"/>
        <w:numId w:val="0"/>
      </w:numPr>
      <w:suppressLineNumbers/>
      <w:ind w:hanging="0"/>
      <w:jc w:val="center"/>
    </w:pPr>
    <w:rPr>
      <w:b/>
      <w:bCs/>
    </w:rPr>
  </w:style>
  <w:style w:type="paragraph" w:styleId="Obsahrmca">
    <w:name w:val="Obsah rámca"/>
    <w:basedOn w:val="Normal"/>
    <w:qFormat/>
    <w:pPr>
      <w:numPr>
        <w:ilvl w:val="0"/>
        <w:numId w:val="0"/>
      </w:numPr>
      <w:ind w:hanging="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245</TotalTime>
  <Application>LibreOffice/6.2.3.2$Windows_X86_64 LibreOffice_project/aecc05fe267cc68dde00352a451aa867b3b546ac</Application>
  <Pages>6</Pages>
  <Words>1277</Words>
  <Characters>7698</Characters>
  <CharactersWithSpaces>8967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2019-05-31T11:27:00Z</dcterms:created>
  <dc:creator>mmoravcik</dc:creator>
  <dc:description/>
  <dc:language>sk-SK</dc:language>
  <cp:lastModifiedBy/>
  <cp:lastPrinted>2013-02-14T11:36:00Z</cp:lastPrinted>
  <dcterms:modified xsi:type="dcterms:W3CDTF">2019-06-03T09:22:53Z</dcterms:modified>
  <cp:revision>5</cp:revision>
  <dc:subject/>
  <dc:title>Dôvodová správa</dc:title>
</cp:coreProperties>
</file>