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b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2019,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 rozpočtovaní výdavkov štátu na verejné zdravotníctvo</w:t>
      </w:r>
    </w:p>
    <w:p>
      <w:pPr>
        <w:pStyle w:val="Normal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>
      <w:pPr>
        <w:pStyle w:val="Normal"/>
        <w:tabs>
          <w:tab w:val="clear" w:pos="708"/>
          <w:tab w:val="left" w:pos="885" w:leader="none"/>
        </w:tabs>
        <w:spacing w:lineRule="auto" w:line="276" w:before="120" w:after="0"/>
        <w:jc w:val="center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885" w:leader="none"/>
        </w:tabs>
        <w:spacing w:lineRule="auto" w:line="276" w:before="120" w:after="0"/>
        <w:jc w:val="center"/>
        <w:rPr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Čl. I</w:t>
      </w:r>
    </w:p>
    <w:p>
      <w:pPr>
        <w:pStyle w:val="Normal"/>
        <w:tabs>
          <w:tab w:val="clear" w:pos="708"/>
          <w:tab w:val="left" w:pos="885" w:leader="none"/>
        </w:tabs>
        <w:spacing w:lineRule="auto" w:line="276" w:before="120" w:after="0"/>
        <w:jc w:val="center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885" w:leader="none"/>
        </w:tabs>
        <w:spacing w:lineRule="auto" w:line="276" w:before="120" w:after="0"/>
        <w:jc w:val="center"/>
        <w:rPr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Čl. 1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Segoe UI" w:ascii="Book Antiqua" w:hAnsi="Book Antiqua"/>
          <w:sz w:val="22"/>
          <w:szCs w:val="22"/>
          <w:shd w:fill="FFFFFF" w:val="clear"/>
        </w:rPr>
        <w:t xml:space="preserve">Tento ústavný zákon s cieľom dosiahnuť dlhodobú udržateľnosť verejného zdravotníctva Slovenskej republiky, posilniť transparentnosť a efektívnosť vynakladania verejných prostriedkov, zvýšiť kvalitu poskytovania zdravotnej starostlivosti a v snahe zabezpečiť </w:t>
      </w:r>
      <w:r>
        <w:rPr>
          <w:rFonts w:cs="Book Antiqua" w:ascii="Book Antiqua" w:hAnsi="Book Antiqua"/>
          <w:sz w:val="22"/>
          <w:szCs w:val="22"/>
        </w:rPr>
        <w:t>predvídateľné navyšovanie výdavkov na verejné zdravotníctvo</w:t>
      </w:r>
      <w:r>
        <w:rPr>
          <w:rFonts w:cs="Segoe UI" w:ascii="Book Antiqua" w:hAnsi="Book Antiqua"/>
          <w:sz w:val="22"/>
          <w:szCs w:val="22"/>
          <w:shd w:fill="FFFFFF" w:val="clear"/>
        </w:rPr>
        <w:t xml:space="preserve"> upravuje pravidlá rozpočtovania výdavkov štátu na verejné zdravotníctvo.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Čl. 2</w:t>
      </w:r>
    </w:p>
    <w:p>
      <w:pPr>
        <w:pStyle w:val="Normal"/>
        <w:spacing w:lineRule="auto" w:line="276" w:before="120" w:after="0"/>
        <w:ind w:left="426" w:hanging="426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(1)</w:t>
      </w:r>
      <w:r>
        <w:rPr>
          <w:color w:val="81D41A"/>
          <w:sz w:val="22"/>
          <w:szCs w:val="22"/>
        </w:rPr>
        <w:tab/>
      </w:r>
      <w:r>
        <w:rPr>
          <w:rFonts w:cs="Book Antiqua" w:ascii="Book Antiqua" w:hAnsi="Book Antiqua"/>
          <w:sz w:val="22"/>
          <w:szCs w:val="22"/>
        </w:rPr>
        <w:t>Vláda Slovenskej republiky je povinná každoročne v návrhu rozpočtu verejnej správy rozpočtovať výdavky na verejné zdravotníctvo tak, aby ich podiel na hrubom domácom produkte Slovenskej republiky bol minimálne o 0,1 % vyšší ako v predchádzajúcom rozpočtovom roku, a to až do dosiahnutia sumy, ktorá zodpovedá priemernému percentuálnemu podielu výdavkov členských štátov Európskej únie v ich rozpočtoch verejnej správy do verejného zdravotníctva.</w:t>
      </w:r>
    </w:p>
    <w:p>
      <w:pPr>
        <w:pStyle w:val="Normal"/>
        <w:spacing w:lineRule="auto" w:line="276" w:before="120" w:after="0"/>
        <w:ind w:left="426" w:hanging="426"/>
        <w:jc w:val="both"/>
        <w:rPr>
          <w:color w:val="81D41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(2)</w:t>
        <w:tab/>
        <w:t>Na účely zistenia priemerného percentuálneho podielu na hrubom domácom produkte podľa odseku 1 sa vychádza z údajov zistených a aktuálne zverejnených Európskou komisiou (Eurostat).</w:t>
      </w:r>
    </w:p>
    <w:p>
      <w:pPr>
        <w:pStyle w:val="Normal"/>
        <w:spacing w:lineRule="auto" w:line="276" w:before="120" w:after="0"/>
        <w:ind w:left="426" w:hanging="426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(3) </w:t>
        <w:tab/>
        <w:t>Ak dôjde k porušeniu povinnosti podľa odseku 1 alebo ak väčšina poslancov Národnej rady Slovenskej republiky neschváli v návrhu rozpočtu verejnej správy výdavky na verejné zdravotníctvom spôsobom uvedeným v odseku 1, vláda Slovenskej republiky požiada Národnú radu Slovenskej republiky o vyslovenie dôvery vláde.</w:t>
      </w:r>
    </w:p>
    <w:p>
      <w:pPr>
        <w:pStyle w:val="Normal"/>
        <w:spacing w:lineRule="auto" w:line="276" w:before="120" w:after="0"/>
        <w:ind w:left="426" w:hanging="426"/>
        <w:jc w:val="both"/>
        <w:rPr>
          <w:rFonts w:ascii="Book Antiqua" w:hAnsi="Book Antiqua" w:cs="Segoe UI"/>
          <w:sz w:val="22"/>
          <w:szCs w:val="22"/>
          <w:highlight w:val="white"/>
        </w:rPr>
      </w:pPr>
      <w:r>
        <w:rPr>
          <w:rFonts w:cs="Book Antiqua" w:ascii="Book Antiqua" w:hAnsi="Book Antiqua"/>
          <w:sz w:val="22"/>
          <w:szCs w:val="22"/>
        </w:rPr>
        <w:t>(4)</w:t>
        <w:tab/>
        <w:t xml:space="preserve">Na účely dosiahnutia cieľa uvedeného v odseku 1 </w:t>
      </w:r>
      <w:r>
        <w:rPr>
          <w:rFonts w:cs="Segoe UI" w:ascii="Book Antiqua" w:hAnsi="Book Antiqua"/>
          <w:sz w:val="22"/>
          <w:szCs w:val="22"/>
          <w:shd w:fill="FFFFFF" w:val="clear"/>
        </w:rPr>
        <w:t>sú subjekty verejnej správy, ktorých rozpočty sú súčasťou rozpočtu verejnej správy, povinné zosúladiť návrhy svojich rozpočtov s vládnym návrhom rozpočtu verejnej správy.</w:t>
      </w:r>
    </w:p>
    <w:p>
      <w:pPr>
        <w:pStyle w:val="Normal"/>
        <w:spacing w:lineRule="auto" w:line="276" w:before="120" w:after="0"/>
        <w:ind w:left="426" w:hanging="426"/>
        <w:jc w:val="both"/>
        <w:rPr>
          <w:color w:val="81D41A"/>
          <w:sz w:val="22"/>
          <w:szCs w:val="22"/>
        </w:rPr>
      </w:pPr>
      <w:r>
        <w:rPr>
          <w:rFonts w:cs="Segoe UI" w:ascii="Book Antiqua" w:hAnsi="Book Antiqua"/>
          <w:sz w:val="22"/>
          <w:szCs w:val="22"/>
          <w:shd w:fill="FFFFFF" w:val="clear"/>
        </w:rPr>
        <w:t>(5)</w:t>
        <w:tab/>
        <w:t>Povinnosť uplatňovať ustanovenia odsekov 1 až 4 sa nevzťahuje na obdobie od vypovedania vojny alebo od vyhlásenia vojnového stavu do skončenia vojny alebo do skončenia vojnového stavu.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>
      <w:pPr>
        <w:pStyle w:val="Normal"/>
        <w:spacing w:lineRule="auto" w:line="276" w:before="120" w:after="0"/>
        <w:ind w:firstLine="708"/>
        <w:rPr/>
      </w:pPr>
      <w:r>
        <w:rPr>
          <w:rFonts w:ascii="Book Antiqua" w:hAnsi="Book Antiqua"/>
          <w:sz w:val="22"/>
          <w:szCs w:val="22"/>
        </w:rPr>
        <w:t>Tento ústavný zákon nadobúda účinnosť 1. októbra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2019.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sk-SK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eastAsia="sk-SK" w:bidi="ar-SA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TextkomentraChar" w:customStyle="1">
    <w:name w:val="Text komentára Char"/>
    <w:basedOn w:val="DefaultParagraphFont"/>
    <w:qFormat/>
    <w:rPr>
      <w:rFonts w:ascii="Times New Roman" w:hAnsi="Times New Roman" w:cs="Times New Roman"/>
    </w:rPr>
  </w:style>
  <w:style w:type="character" w:styleId="PredmetkomentraChar" w:customStyle="1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styleId="TextbublinyChar" w:customStyle="1">
    <w:name w:val="Text bubliny Char"/>
    <w:basedOn w:val="DefaultParagraphFont"/>
    <w:qFormat/>
    <w:rPr>
      <w:rFonts w:ascii="Tahoma" w:hAnsi="Tahoma" w:cs="Times New Roman"/>
      <w:sz w:val="16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eastAsia="Times New Roman"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ascii="Book Antiqua" w:hAnsi="Book Antiqua" w:cs="Times New Roman"/>
      <w:b/>
      <w:sz w:val="22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41" w:customStyle="1">
    <w:name w:val="ListLabel 41"/>
    <w:qFormat/>
    <w:rPr>
      <w:rFonts w:ascii="Book Antiqua" w:hAnsi="Book Antiqua" w:cs="Times New Roman"/>
      <w:b/>
      <w:bCs/>
    </w:rPr>
  </w:style>
  <w:style w:type="character" w:styleId="Ukotveniepoznmkypodiarou" w:customStyle="1">
    <w:name w:val="Ukotvenie poznámky pod čiarou"/>
    <w:rPr>
      <w:vertAlign w:val="superscript"/>
    </w:rPr>
  </w:style>
  <w:style w:type="character" w:styleId="Znakyprepoznmkupodiarou" w:customStyle="1">
    <w:name w:val="Znaky pre poznámku pod čiarou"/>
    <w:qFormat/>
    <w:rPr/>
  </w:style>
  <w:style w:type="character" w:styleId="ListLabel42">
    <w:name w:val="ListLabel 42"/>
    <w:qFormat/>
    <w:rPr>
      <w:rFonts w:cs="Times New Roman"/>
      <w:b/>
      <w:sz w:val="22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DocumentMap" w:customStyle="1">
    <w:name w:val="DocumentMap"/>
    <w:qFormat/>
    <w:pPr>
      <w:widowControl/>
      <w:bidi w:val="0"/>
      <w:jc w:val="left"/>
    </w:pPr>
    <w:rPr>
      <w:rFonts w:ascii="Calibri" w:hAnsi="Calibri" w:eastAsia="Calibri" w:cs="Calibri"/>
      <w:color w:val="auto"/>
      <w:kern w:val="2"/>
      <w:sz w:val="24"/>
      <w:szCs w:val="20"/>
      <w:lang w:eastAsia="sk-SK" w:bidi="ar-SA" w:val="sk-SK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4go" w:customStyle="1">
    <w:name w:val="l4  go"/>
    <w:basedOn w:val="Normal"/>
    <w:qFormat/>
    <w:pPr>
      <w:spacing w:before="280" w:after="280"/>
    </w:pPr>
    <w:rPr>
      <w:lang w:bidi="si-LK"/>
    </w:rPr>
  </w:style>
  <w:style w:type="paragraph" w:styleId="Poznmkapodiarou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LibreOffice/6.2.3.2$Windows_X86_64 LibreOffice_project/aecc05fe267cc68dde00352a451aa867b3b546ac</Application>
  <Pages>2</Pages>
  <Words>278</Words>
  <Characters>1771</Characters>
  <CharactersWithSpaces>2036</CharactersWithSpaces>
  <Paragraphs>18</Paragraphs>
  <Company>Kancelaria NR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2019-05-31T08:01:00Z</dcterms:created>
  <dc:creator>Tomas Meszaros</dc:creator>
  <dc:description/>
  <dc:language>sk-SK</dc:language>
  <cp:lastModifiedBy>Milan</cp:lastModifiedBy>
  <cp:lastPrinted>2013-01-10T15:21:00Z</cp:lastPrinted>
  <dcterms:modified xsi:type="dcterms:W3CDTF">2019-05-31T10:22:00Z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perator">
    <vt:lpwstr>Lukáč, Jozef (asistent)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