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jc w:val="center"/>
        <w:rPr>
          <w:rFonts w:ascii="Book Antiqua" w:hAnsi="Book Antiqua"/>
          <w:b/>
          <w:b/>
          <w:sz w:val="22"/>
          <w:szCs w:val="22"/>
        </w:rPr>
      </w:pPr>
      <w:r>
        <w:rPr>
          <w:rFonts w:ascii="Book Antiqua" w:hAnsi="Book Antiqua"/>
          <w:b/>
          <w:sz w:val="22"/>
          <w:szCs w:val="22"/>
        </w:rPr>
        <w:t>DÔVODOVÁ SPRÁVA</w:t>
      </w:r>
    </w:p>
    <w:p>
      <w:pPr>
        <w:pStyle w:val="Poznmkapodiarou"/>
        <w:spacing w:lineRule="auto" w:line="276" w:before="120" w:after="0"/>
        <w:rPr>
          <w:rFonts w:ascii="Book Antiqua" w:hAnsi="Book Antiqua"/>
          <w:b/>
          <w:b/>
          <w:sz w:val="22"/>
          <w:szCs w:val="22"/>
        </w:rPr>
      </w:pPr>
      <w:r>
        <w:rPr>
          <w:rFonts w:ascii="Book Antiqua" w:hAnsi="Book Antiqua"/>
          <w:b/>
          <w:sz w:val="22"/>
          <w:szCs w:val="22"/>
        </w:rPr>
        <w:t>A. Všeobecná časť</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Návrh zákona o podpore zachovania územia s rozptýleným osídlením a jeho obyvateľov (laznícky zákon) a o zmene a doplnení niektorých zákonov (ďalej len „laznícky zákon“) predkladá skupina poslancov Národnej rady Slovenskej republiky.</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Lazy sú sídelný útvar, ktorý je charakterizovaný roztrúseným osídlením. Laznícke, resp. kopaničiarske osídlenie je jedným zo svojbytných prejavov socioekonomickej aktivity, podmienenej špecifickými prírodnými a historickými podmienkami. V súčasnosti je v disproporcii s dlhodobo prevládajúcimi prevažne centralizačnými tendenciami socioekonomického vývoja. Táto disproporcia má za následok výraznú funkčnú transformáciu kopaničiarskych sídel a v polohách najmenej priaznivých na trvalé bývanie ich postupné vyľudnenie až zánik.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V mnohých krajinách Európskej únie sú obyvatelia odľahlých oblastí finančne zvýhodňovaní, napr. existuje možnosť získania štátnych dotácií (Fínsko, Rakúsko, Rumunsko), v Grécku podporujú rodiny s deťmi, ktoré majú bydlisko v horských a znevýhodnených oblastiach ročnou finančnou podporou a vo Švédsku existujú právne predpisy pre riedko obývané oblasti, ktorých cieľom je vytvorenie rovnakých ekonomických podmienok pre všetky obce a kraje v krajine.</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Slovenská aj európska legislatíva v súčasnosti umožňuje získať rôzne druhy finančnej podpory pre poľnohospodárov, drobných roľníkov, mladých farmárov, podpory v znevýhodnených oblastiach v podobe vyrovnávacieho príspevku a pod. Napriek tomu územia s rozptýleným osídlením sú na ústupe, s čím súvisí aj zánik tzv. „prirodzených údržbárov krajiny“ v podobe obyvateľov lazov, ktorí v rámci nevyhnutnosti udržať svoj životný priestor obrábali a využívali priľahlé plochy, políčka, lúky, pasienky, ale aj prístupové cesty, resp. chodníky a udržiavali horské studničky.  </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 Zásadným impulzom k vypracovaniu lazníckeho zákona je skutočnosť, že za posledné desaťročia sa laznícke osídlenie dostalo na pokraj zániku. Istá obroda tohto spôsobu života v podobe rekreačného chalupárčenia síce predstavuje alternatívu rozvoja a zachovania domového fondu rozptýleného osídlenia, avšak nemôže byť cestou záchrany tohto jedinečného spôsobu obživy a bývania. </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Predmetom lazníckeho zákona je v prvom rade definovanie základných pojmov, akým sú rozptýlené osídlenie (lazy), laznícka obec, obyvateľ lazov, laznícka pôda a laznícke obydlie. Následne sa zákonom vytvára priestor na požiadanie o poskytnutie finančnej podpory vo forme dotácie pre obyvateľa lazov prostredníctvom lazníckej obce alebo pre samotnú laznícku obec z rozpočtovej kapitoly príslušného ministerstva. </w:t>
      </w:r>
    </w:p>
    <w:p>
      <w:pPr>
        <w:pStyle w:val="NormalWeb"/>
        <w:spacing w:lineRule="auto" w:line="276" w:before="120" w:after="0"/>
        <w:ind w:firstLine="708"/>
        <w:jc w:val="both"/>
        <w:rPr>
          <w:rFonts w:ascii="Book Antiqua" w:hAnsi="Book Antiqua"/>
          <w:bCs/>
          <w:sz w:val="22"/>
          <w:szCs w:val="22"/>
        </w:rPr>
      </w:pPr>
      <w:r>
        <w:rPr>
          <w:rFonts w:ascii="Book Antiqua" w:hAnsi="Book Antiqua"/>
          <w:bCs/>
          <w:sz w:val="22"/>
          <w:szCs w:val="22"/>
        </w:rPr>
        <w:t xml:space="preserve">Dotácie sú považované za účelovo viazané finančné prostriedky poskytované zo štátneho rozpočtu konkrétnemu subjektu – v prípade lazníckeho zákona lazníckej obci, ktorá ich následne vypláca obyvateľom lazov. Vzhľadom na skutočnosť, že je to práve konkrétna laznícka obec, ktorá najlepšie pozná potreby svojich občanov, žijúcich v odľahlých oblastiach ako aj celkovo miestne pomery, navrhovatelia zvolili právnu úpravu, na základe ktorej laznícky zákon poskytuje základný rámec poskytovania dotácií, avšak konkrétne pravidlá a postup budú stanovovať všeobecne záväzné nariadenia obcí v rámci výkonu ich samosprávnej pôsobnosti. </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 xml:space="preserve">Dotácie môžu byť podľa ustanovení lazníckeho zákona poskytované za účelom </w:t>
      </w:r>
      <w:r>
        <w:rPr>
          <w:rFonts w:ascii="Book Antiqua" w:hAnsi="Book Antiqua"/>
          <w:b/>
          <w:sz w:val="22"/>
          <w:szCs w:val="22"/>
        </w:rPr>
        <w:t>osobitnej podpory obyvateľa lazov, rekonštrukcie lazníckeho obydlia s cieľom zachovania tradičného charakteru architektúry a historických štruktúr krajiny a podpory hospodárenia na lazoch, ktoré sleduje najmä obstaranie poľnohospodárskych strojov nevyhnutných na vykonávanie bežného obhospodarovania lazníckej pôdy, zachovanie a ochranu pôvodných ovocných stromov, údržbu vodných zdrojov, žriedel a prameňov a výrobu tradičných potravín.</w:t>
      </w:r>
      <w:r>
        <w:rPr>
          <w:rFonts w:ascii="Book Antiqua" w:hAnsi="Book Antiqua"/>
          <w:sz w:val="22"/>
          <w:szCs w:val="22"/>
        </w:rPr>
        <w:t xml:space="preserve"> </w:t>
      </w:r>
    </w:p>
    <w:p>
      <w:pPr>
        <w:pStyle w:val="NormalWeb"/>
        <w:spacing w:lineRule="auto" w:line="276" w:before="120" w:after="0"/>
        <w:ind w:firstLine="708"/>
        <w:jc w:val="both"/>
        <w:rPr>
          <w:rFonts w:ascii="Book Antiqua" w:hAnsi="Book Antiqua"/>
          <w:bCs/>
          <w:sz w:val="22"/>
          <w:szCs w:val="22"/>
        </w:rPr>
      </w:pPr>
      <w:r>
        <w:rPr>
          <w:rFonts w:ascii="Book Antiqua" w:hAnsi="Book Antiqua"/>
          <w:sz w:val="22"/>
          <w:szCs w:val="22"/>
        </w:rPr>
        <w:t xml:space="preserve">Samostatná časť zákona je venovaná poskytovaniu dotácií lazníckej obci, </w:t>
      </w:r>
      <w:r>
        <w:rPr>
          <w:rFonts w:ascii="Book Antiqua" w:hAnsi="Book Antiqua"/>
          <w:bCs/>
          <w:sz w:val="22"/>
          <w:szCs w:val="22"/>
        </w:rPr>
        <w:t xml:space="preserve">a to </w:t>
      </w:r>
      <w:r>
        <w:rPr>
          <w:rFonts w:ascii="Book Antiqua" w:hAnsi="Book Antiqua"/>
          <w:b/>
          <w:bCs/>
          <w:sz w:val="22"/>
          <w:szCs w:val="22"/>
        </w:rPr>
        <w:t>na miestne komunikácie a účelové komunikácie</w:t>
      </w:r>
      <w:r>
        <w:rPr>
          <w:rFonts w:ascii="Book Antiqua" w:hAnsi="Book Antiqua"/>
          <w:bCs/>
          <w:sz w:val="22"/>
          <w:szCs w:val="22"/>
        </w:rPr>
        <w:t xml:space="preserve">, ktoré sú vo vlastníctve lazníckej obce a táto ich aj spravuje a na </w:t>
      </w:r>
      <w:r>
        <w:rPr>
          <w:rFonts w:ascii="Book Antiqua" w:hAnsi="Book Antiqua"/>
          <w:b/>
          <w:bCs/>
          <w:sz w:val="22"/>
          <w:szCs w:val="22"/>
        </w:rPr>
        <w:t>osobitnú pravidelnú dopravu vo forme školských autobusov</w:t>
      </w:r>
      <w:r>
        <w:rPr>
          <w:rFonts w:ascii="Book Antiqua" w:hAnsi="Book Antiqua"/>
          <w:bCs/>
          <w:sz w:val="22"/>
          <w:szCs w:val="22"/>
        </w:rPr>
        <w:t xml:space="preserve">. </w:t>
      </w:r>
    </w:p>
    <w:p>
      <w:pPr>
        <w:pStyle w:val="Odsekzoznamu1"/>
        <w:spacing w:before="120" w:after="0"/>
        <w:ind w:left="0" w:firstLine="708"/>
        <w:jc w:val="both"/>
        <w:rPr>
          <w:rFonts w:ascii="Book Antiqua" w:hAnsi="Book Antiqua"/>
        </w:rPr>
      </w:pPr>
      <w:r>
        <w:rPr>
          <w:rFonts w:ascii="Book Antiqua" w:hAnsi="Book Antiqua"/>
        </w:rPr>
        <w:t xml:space="preserve"> </w:t>
      </w:r>
      <w:r>
        <w:rPr>
          <w:rFonts w:ascii="Book Antiqua" w:hAnsi="Book Antiqua"/>
        </w:rPr>
        <w:t>S ohľadom na komplexnosť úpravy lazníckej problematiky by bolo žiaduce v zákone upraviť aj podporu včelárstva a podporu hospodárenia na poľnohospodárskej pôde, avšak uvedené oblasti sú riešené osobitnými predpismi v rámci slovenskej aj európskej legislatívy.</w:t>
      </w:r>
    </w:p>
    <w:p>
      <w:pPr>
        <w:pStyle w:val="Odsekzoznamu1"/>
        <w:spacing w:before="120" w:after="0"/>
        <w:ind w:left="0" w:firstLine="708"/>
        <w:jc w:val="both"/>
        <w:rPr>
          <w:rFonts w:ascii="Book Antiqua" w:hAnsi="Book Antiqua"/>
        </w:rPr>
      </w:pPr>
      <w:r>
        <w:rPr>
          <w:rFonts w:ascii="Book Antiqua" w:hAnsi="Book Antiqua"/>
        </w:rPr>
        <w:t>Návrh zákona má negatívny vplyv na rozpočet verejnej správy. Nemá vplyv na podnikateľské prostredie, ani na informatizáciu spoločnosti. Návrh zákona vyvoláva pozitívne sociálne vplyvy a vplyv na životné prostredie.</w:t>
      </w:r>
    </w:p>
    <w:p>
      <w:pPr>
        <w:pStyle w:val="NormalWeb"/>
        <w:spacing w:lineRule="auto" w:line="276" w:before="120" w:after="0"/>
        <w:ind w:firstLine="708"/>
        <w:jc w:val="both"/>
        <w:rPr>
          <w:rFonts w:ascii="Book Antiqua" w:hAnsi="Book Antiqua"/>
          <w:bCs/>
          <w:sz w:val="22"/>
          <w:szCs w:val="22"/>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r>
      <w:r>
        <w:br w:type="page"/>
      </w:r>
    </w:p>
    <w:p>
      <w:pPr>
        <w:pStyle w:val="Normal"/>
        <w:spacing w:lineRule="auto" w:line="276" w:before="120" w:after="0"/>
        <w:rPr>
          <w:rFonts w:ascii="Book Antiqua" w:hAnsi="Book Antiqua"/>
          <w:b/>
          <w:b/>
          <w:bCs/>
          <w:sz w:val="22"/>
          <w:szCs w:val="22"/>
        </w:rPr>
      </w:pPr>
      <w:r>
        <w:rPr>
          <w:rFonts w:ascii="Book Antiqua" w:hAnsi="Book Antiqua"/>
          <w:b/>
          <w:bCs/>
          <w:sz w:val="22"/>
          <w:szCs w:val="22"/>
        </w:rPr>
        <w:t>B. Osobitná časť</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I</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w:t>
      </w:r>
    </w:p>
    <w:p>
      <w:pPr>
        <w:pStyle w:val="Normal"/>
        <w:spacing w:lineRule="auto" w:line="276" w:before="120" w:after="0"/>
        <w:jc w:val="both"/>
        <w:rPr>
          <w:rFonts w:ascii="Book Antiqua" w:hAnsi="Book Antiqua"/>
          <w:sz w:val="22"/>
          <w:szCs w:val="22"/>
        </w:rPr>
      </w:pPr>
      <w:r>
        <w:rPr>
          <w:rFonts w:ascii="Book Antiqua" w:hAnsi="Book Antiqua"/>
          <w:b/>
          <w:bCs/>
          <w:sz w:val="22"/>
          <w:szCs w:val="22"/>
        </w:rPr>
        <w:tab/>
      </w:r>
      <w:r>
        <w:rPr>
          <w:rFonts w:ascii="Book Antiqua" w:hAnsi="Book Antiqua"/>
          <w:sz w:val="22"/>
          <w:szCs w:val="22"/>
        </w:rPr>
        <w:t>Vidiecka poľnohospodárska krajina je súčasťou nášho kultúrneho dedičstva. Vo veľkej miere sa ťažšie prístupné oblasti stávajú kultivovanejšími najmä vďaka obyvateľom, ktorí žili v oblastiach s rozptýleným osídlením a obhospodarovali okolitú krajinu. Z dôvodu zásadného prínosu tejto činnosti na krajinu sa pri vypracovávaní zákona prihliadalo na hlavné ciele a účely, ktoré majú byť dosiahnuté a sú charakterizované v úvodnom ustanovení zákona.</w:t>
      </w:r>
    </w:p>
    <w:p>
      <w:pPr>
        <w:pStyle w:val="NormalWeb"/>
        <w:spacing w:lineRule="auto" w:line="276" w:before="120" w:after="0"/>
        <w:ind w:firstLine="708"/>
        <w:jc w:val="both"/>
        <w:rPr>
          <w:rFonts w:ascii="Book Antiqua" w:hAnsi="Book Antiqua" w:cs="Arial"/>
          <w:sz w:val="22"/>
          <w:szCs w:val="22"/>
          <w:highlight w:val="white"/>
        </w:rPr>
      </w:pPr>
      <w:r>
        <w:rPr>
          <w:rFonts w:cs="Arial" w:ascii="Book Antiqua" w:hAnsi="Book Antiqua"/>
          <w:sz w:val="22"/>
          <w:szCs w:val="22"/>
          <w:shd w:fill="FFFFFF" w:val="clear"/>
        </w:rPr>
        <w:t>K dosiahnutiu vyššie uvedeného účelu napomáha aj uplatňovanie</w:t>
      </w:r>
      <w:r>
        <w:rPr>
          <w:rFonts w:ascii="Book Antiqua" w:hAnsi="Book Antiqua"/>
          <w:bCs/>
          <w:sz w:val="22"/>
          <w:szCs w:val="22"/>
        </w:rPr>
        <w:t xml:space="preserve"> nariadenia Rady (ES) č. 73/2009</w:t>
      </w:r>
      <w:r>
        <w:rPr>
          <w:rFonts w:cs="Arial" w:ascii="Book Antiqua" w:hAnsi="Book Antiqua"/>
          <w:sz w:val="22"/>
          <w:szCs w:val="22"/>
          <w:shd w:fill="FFFFFF" w:val="clear"/>
        </w:rPr>
        <w:t xml:space="preserve"> z 19. januára 2009, ktorým sa ustanovujú spoločné pravidlá režimov priamej podpory pre poľnohospodárov v rámci spoločnej poľnohospodárskej politiky a ktorým sa ustanovujú niektoré režimy podpory pre poľnohospodárov, ktorým sa menia a dopĺňajú nariadenia (ES) č. 1290/2005, (ES) č. 247/2006, (ES) č. 378/2007 a ktorým sa zrušuje nariadenie (ES) č. 1782/2003, z ktorého vyplýva povinnosť členských štátov zabezpečiť, aby všetka poľnohospodárska pôda, a najmä pôda, ktorá sa už nevyužíva na účely produkcie, bola udržovaná v dobrom poľnohospodárskom a environmentálnom stave. Dobrým environmentálnym stavom je </w:t>
      </w:r>
    </w:p>
    <w:p>
      <w:pPr>
        <w:pStyle w:val="NormalWeb"/>
        <w:numPr>
          <w:ilvl w:val="0"/>
          <w:numId w:val="1"/>
        </w:numPr>
        <w:spacing w:lineRule="auto" w:line="276" w:before="120" w:after="0"/>
        <w:jc w:val="both"/>
        <w:rPr>
          <w:rFonts w:ascii="Book Antiqua" w:hAnsi="Book Antiqua" w:cs="Arial"/>
          <w:sz w:val="22"/>
          <w:szCs w:val="22"/>
          <w:highlight w:val="white"/>
        </w:rPr>
      </w:pPr>
      <w:r>
        <w:rPr>
          <w:rFonts w:cs="Arial" w:ascii="Book Antiqua" w:hAnsi="Book Antiqua"/>
          <w:sz w:val="22"/>
          <w:szCs w:val="22"/>
          <w:shd w:fill="FFFFFF" w:val="clear"/>
        </w:rPr>
        <w:t>zachovanie krajinných prvkov, vo vhodných prípadoch vrátanie živých plotov, rybníkov, priekop, stromov v rade, v skupine alebo izolovane a medzí,</w:t>
      </w:r>
    </w:p>
    <w:p>
      <w:pPr>
        <w:pStyle w:val="NormalWeb"/>
        <w:numPr>
          <w:ilvl w:val="0"/>
          <w:numId w:val="1"/>
        </w:numPr>
        <w:spacing w:lineRule="auto" w:line="276" w:before="120" w:after="0"/>
        <w:jc w:val="both"/>
        <w:rPr>
          <w:rFonts w:ascii="Book Antiqua" w:hAnsi="Book Antiqua" w:cs="Arial"/>
          <w:sz w:val="22"/>
          <w:szCs w:val="22"/>
          <w:highlight w:val="white"/>
        </w:rPr>
      </w:pPr>
      <w:r>
        <w:rPr>
          <w:rFonts w:cs="Arial" w:ascii="Book Antiqua" w:hAnsi="Book Antiqua"/>
          <w:sz w:val="22"/>
          <w:szCs w:val="22"/>
          <w:shd w:fill="FFFFFF" w:val="clear"/>
        </w:rPr>
        <w:t xml:space="preserve">zabránenie rozrastaniu neželanej vegetácie na poľnohospodárskej pôde, </w:t>
      </w:r>
    </w:p>
    <w:p>
      <w:pPr>
        <w:pStyle w:val="NormalWeb"/>
        <w:numPr>
          <w:ilvl w:val="0"/>
          <w:numId w:val="1"/>
        </w:numPr>
        <w:spacing w:lineRule="auto" w:line="276" w:before="120" w:after="0"/>
        <w:jc w:val="both"/>
        <w:rPr>
          <w:rFonts w:ascii="Book Antiqua" w:hAnsi="Book Antiqua" w:cs="Arial"/>
          <w:sz w:val="22"/>
          <w:szCs w:val="22"/>
          <w:highlight w:val="white"/>
        </w:rPr>
      </w:pPr>
      <w:r>
        <w:rPr>
          <w:rFonts w:cs="Arial" w:ascii="Book Antiqua" w:hAnsi="Book Antiqua"/>
          <w:sz w:val="22"/>
          <w:szCs w:val="22"/>
          <w:shd w:fill="FFFFFF" w:val="clear"/>
        </w:rPr>
        <w:t>ochrana trvalých pasienkov.</w:t>
      </w:r>
    </w:p>
    <w:p>
      <w:pPr>
        <w:pStyle w:val="NormalWeb"/>
        <w:spacing w:lineRule="auto" w:line="276" w:before="120" w:after="0"/>
        <w:ind w:firstLine="708"/>
        <w:jc w:val="both"/>
        <w:rPr>
          <w:rFonts w:ascii="Book Antiqua" w:hAnsi="Book Antiqua" w:cs="Arial"/>
          <w:sz w:val="22"/>
          <w:szCs w:val="22"/>
          <w:highlight w:val="white"/>
        </w:rPr>
      </w:pPr>
      <w:r>
        <w:rPr>
          <w:rFonts w:cs="Arial" w:ascii="Book Antiqua" w:hAnsi="Book Antiqua"/>
          <w:sz w:val="22"/>
          <w:szCs w:val="22"/>
          <w:shd w:fill="FFFFFF" w:val="clear"/>
        </w:rPr>
        <w:t xml:space="preserve">Trvalé pasienky majú pozitívny účinok na životné prostredie.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2</w:t>
      </w:r>
    </w:p>
    <w:p>
      <w:pPr>
        <w:pStyle w:val="Normal"/>
        <w:spacing w:lineRule="auto" w:line="276" w:before="120" w:after="0"/>
        <w:ind w:firstLine="708"/>
        <w:jc w:val="both"/>
        <w:rPr>
          <w:rFonts w:ascii="Book Antiqua" w:hAnsi="Book Antiqua"/>
          <w:bCs/>
          <w:sz w:val="22"/>
          <w:szCs w:val="22"/>
          <w:u w:val="single"/>
        </w:rPr>
      </w:pPr>
      <w:r>
        <w:rPr>
          <w:rFonts w:ascii="Book Antiqua" w:hAnsi="Book Antiqua"/>
          <w:bCs/>
          <w:sz w:val="22"/>
          <w:szCs w:val="22"/>
        </w:rPr>
        <w:t xml:space="preserve">V nadväznosti na účel zákona, ktorý je upravený v predchádzajúcom </w:t>
      </w:r>
      <w:r>
        <w:rPr>
          <w:rFonts w:ascii="Book Antiqua" w:hAnsi="Book Antiqua"/>
          <w:sz w:val="22"/>
          <w:szCs w:val="22"/>
        </w:rPr>
        <w:t>paragrafe, je v tomto ustanovení zadefinovaný predmet zákona, ktorým je vymedzenie základných pojmov a stanovenie účelu, spôsobu, podmienok a rozsahu (hmotnoprávne</w:t>
      </w:r>
      <w:r>
        <w:rPr>
          <w:rFonts w:ascii="Book Antiqua" w:hAnsi="Book Antiqua"/>
          <w:bCs/>
          <w:sz w:val="22"/>
          <w:szCs w:val="22"/>
        </w:rPr>
        <w:t xml:space="preserve"> a procesnoprávne ustanovenia) pri poskytovaní finančných prostriedkov lazníckym obciam a následne samotným obyvateľom lazov.</w:t>
      </w:r>
    </w:p>
    <w:p>
      <w:pPr>
        <w:pStyle w:val="Normal"/>
        <w:spacing w:lineRule="auto" w:line="276" w:before="120" w:after="0"/>
        <w:ind w:firstLine="708"/>
        <w:jc w:val="both"/>
        <w:rPr>
          <w:rFonts w:ascii="Book Antiqua" w:hAnsi="Book Antiqua"/>
          <w:bCs/>
          <w:sz w:val="22"/>
          <w:szCs w:val="22"/>
        </w:rPr>
      </w:pPr>
      <w:r>
        <w:rPr>
          <w:rFonts w:ascii="Book Antiqua" w:hAnsi="Book Antiqua"/>
          <w:bCs/>
          <w:sz w:val="22"/>
          <w:szCs w:val="22"/>
        </w:rPr>
        <w:t>V tomto ustanovení určený predmet zákona predstavuje všeobecno-teoretickú abstrakciu, ktorej špecifikácia a konkretizácia je obsahom nasledujúcich ustanovení zákona.</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3</w:t>
      </w:r>
    </w:p>
    <w:p>
      <w:pPr>
        <w:pStyle w:val="Normal"/>
        <w:spacing w:lineRule="auto" w:line="276" w:before="120" w:after="0"/>
        <w:ind w:firstLine="708"/>
        <w:jc w:val="both"/>
        <w:rPr>
          <w:rFonts w:ascii="Book Antiqua" w:hAnsi="Book Antiqua"/>
          <w:b/>
          <w:b/>
          <w:bCs/>
          <w:sz w:val="22"/>
          <w:szCs w:val="22"/>
          <w:u w:val="single"/>
        </w:rPr>
      </w:pPr>
      <w:r>
        <w:rPr>
          <w:rFonts w:ascii="Book Antiqua" w:hAnsi="Book Antiqua"/>
          <w:bCs/>
          <w:sz w:val="22"/>
          <w:szCs w:val="22"/>
        </w:rPr>
        <w:t>Právne sa vymedzujú základné pojmy návrhu zákona, vytvára sa právna definícia nasledujúcich pojmov:</w:t>
      </w:r>
    </w:p>
    <w:p>
      <w:pPr>
        <w:pStyle w:val="Normal"/>
        <w:numPr>
          <w:ilvl w:val="0"/>
          <w:numId w:val="2"/>
        </w:numPr>
        <w:spacing w:lineRule="auto" w:line="276" w:before="120" w:after="0"/>
        <w:jc w:val="both"/>
        <w:rPr>
          <w:rFonts w:ascii="Book Antiqua" w:hAnsi="Book Antiqua"/>
          <w:sz w:val="22"/>
          <w:szCs w:val="22"/>
        </w:rPr>
      </w:pPr>
      <w:r>
        <w:rPr>
          <w:rFonts w:ascii="Book Antiqua" w:hAnsi="Book Antiqua"/>
          <w:b/>
          <w:sz w:val="22"/>
          <w:szCs w:val="22"/>
        </w:rPr>
        <w:t>rozptýlené alebo laznícke osídlenie</w:t>
      </w:r>
      <w:r>
        <w:rPr>
          <w:rFonts w:ascii="Book Antiqua" w:hAnsi="Book Antiqua"/>
          <w:sz w:val="22"/>
          <w:szCs w:val="22"/>
        </w:rPr>
        <w:t xml:space="preserve"> - v odbornej literatúre bývajú laznícke osídlenia definované ako rozptýlené sídelné jednotky, ktoré vznikli na katastrálnych územiach obcí mimo ich kompaktného osídlenia, tvoria samostatné priestorové celky viac-menej od seba vzdialené a majú pritom vlastné pomenovanie (Horváth, 1980). </w:t>
      </w:r>
    </w:p>
    <w:p>
      <w:pPr>
        <w:pStyle w:val="Normal"/>
        <w:shd w:val="clear" w:color="auto" w:fill="FFFFFF"/>
        <w:spacing w:lineRule="auto" w:line="276" w:before="120" w:after="0"/>
        <w:ind w:firstLine="708"/>
        <w:jc w:val="both"/>
        <w:rPr>
          <w:rFonts w:ascii="Book Antiqua" w:hAnsi="Book Antiqua" w:cs="Arial"/>
          <w:sz w:val="22"/>
          <w:szCs w:val="22"/>
        </w:rPr>
      </w:pPr>
      <w:r>
        <w:rPr>
          <w:rFonts w:ascii="Book Antiqua" w:hAnsi="Book Antiqua"/>
          <w:bCs/>
          <w:sz w:val="22"/>
          <w:szCs w:val="22"/>
        </w:rPr>
        <w:t xml:space="preserve">Na účely tohto zákona je rozptýleným osídlením územie nachádzajúce sa mimo zastavaného územia obce v katastrálnom území lazníckej obce, pričom za zastavané územie sa považuje </w:t>
      </w:r>
      <w:r>
        <w:rPr>
          <w:rFonts w:cs="Arial" w:ascii="Book Antiqua" w:hAnsi="Book Antiqua"/>
          <w:bCs/>
          <w:sz w:val="22"/>
          <w:szCs w:val="22"/>
        </w:rPr>
        <w:t>jedno alebo viac priestorovo oddelených zastavaných území v katastrálnom území obce, resp. v súbore</w:t>
      </w:r>
      <w:r>
        <w:rPr>
          <w:rFonts w:cs="Arial" w:ascii="Book Antiqua" w:hAnsi="Book Antiqua"/>
          <w:sz w:val="22"/>
          <w:szCs w:val="22"/>
        </w:rPr>
        <w:t xml:space="preserve"> katastrálnych území v správe obce. Zastavané územie je súbor</w:t>
      </w:r>
    </w:p>
    <w:p>
      <w:pPr>
        <w:pStyle w:val="Normal"/>
        <w:shd w:val="clear" w:color="auto" w:fill="FFFFFF"/>
        <w:spacing w:lineRule="auto" w:line="276" w:before="120" w:after="0"/>
        <w:ind w:left="851" w:hanging="425"/>
        <w:jc w:val="both"/>
        <w:rPr>
          <w:rFonts w:ascii="Book Antiqua" w:hAnsi="Book Antiqua" w:cs="Arial"/>
          <w:sz w:val="22"/>
          <w:szCs w:val="22"/>
        </w:rPr>
      </w:pPr>
      <w:bookmarkStart w:id="0" w:name="p139a_8_a"/>
      <w:bookmarkEnd w:id="0"/>
      <w:r>
        <w:rPr>
          <w:rFonts w:cs="Arial" w:ascii="Book Antiqua" w:hAnsi="Book Antiqua"/>
          <w:bCs/>
          <w:sz w:val="22"/>
          <w:szCs w:val="22"/>
        </w:rPr>
        <w:t>a)</w:t>
      </w:r>
      <w:r>
        <w:rPr>
          <w:rFonts w:cs="Arial" w:ascii="Book Antiqua" w:hAnsi="Book Antiqua"/>
          <w:sz w:val="22"/>
          <w:szCs w:val="22"/>
        </w:rPr>
        <w:t> </w:t>
        <w:tab/>
        <w:t>stavebných pozemkov, zastavaných plôch, dvorov a susedných parciel, ktoré sa užívajú na účel, na ktorý boli stavby uskutočnené,</w:t>
      </w:r>
    </w:p>
    <w:p>
      <w:pPr>
        <w:pStyle w:val="Normal"/>
        <w:shd w:val="clear" w:color="auto" w:fill="FFFFFF"/>
        <w:spacing w:lineRule="auto" w:line="276" w:before="120" w:after="0"/>
        <w:ind w:left="851" w:hanging="425"/>
        <w:jc w:val="both"/>
        <w:rPr>
          <w:rFonts w:ascii="Book Antiqua" w:hAnsi="Book Antiqua" w:cs="Arial"/>
          <w:sz w:val="22"/>
          <w:szCs w:val="22"/>
        </w:rPr>
      </w:pPr>
      <w:bookmarkStart w:id="1" w:name="p139a_8_b"/>
      <w:bookmarkEnd w:id="1"/>
      <w:r>
        <w:rPr>
          <w:rFonts w:cs="Arial" w:ascii="Book Antiqua" w:hAnsi="Book Antiqua"/>
          <w:bCs/>
          <w:sz w:val="22"/>
          <w:szCs w:val="22"/>
        </w:rPr>
        <w:t>b)</w:t>
      </w:r>
      <w:r>
        <w:rPr>
          <w:rFonts w:cs="Arial" w:ascii="Book Antiqua" w:hAnsi="Book Antiqua"/>
          <w:sz w:val="22"/>
          <w:szCs w:val="22"/>
        </w:rPr>
        <w:t> </w:t>
        <w:tab/>
        <w:t>poľnohospodárskych pozemkov a vodných plôch obklopených parcelami uvedenými v písmene a),</w:t>
      </w:r>
    </w:p>
    <w:p>
      <w:pPr>
        <w:pStyle w:val="Normal"/>
        <w:shd w:val="clear" w:color="auto" w:fill="FFFFFF"/>
        <w:spacing w:lineRule="auto" w:line="276" w:before="120" w:after="0"/>
        <w:ind w:left="851" w:hanging="425"/>
        <w:jc w:val="both"/>
        <w:rPr>
          <w:rFonts w:ascii="Book Antiqua" w:hAnsi="Book Antiqua" w:cs="Arial"/>
          <w:sz w:val="22"/>
          <w:szCs w:val="22"/>
        </w:rPr>
      </w:pPr>
      <w:bookmarkStart w:id="2" w:name="p139a_8_c"/>
      <w:bookmarkEnd w:id="2"/>
      <w:r>
        <w:rPr>
          <w:rFonts w:cs="Arial" w:ascii="Book Antiqua" w:hAnsi="Book Antiqua"/>
          <w:bCs/>
          <w:sz w:val="22"/>
          <w:szCs w:val="22"/>
        </w:rPr>
        <w:t>c)</w:t>
      </w:r>
      <w:r>
        <w:rPr>
          <w:rFonts w:cs="Arial" w:ascii="Book Antiqua" w:hAnsi="Book Antiqua"/>
          <w:sz w:val="22"/>
          <w:szCs w:val="22"/>
        </w:rPr>
        <w:t> </w:t>
        <w:tab/>
        <w:t>pozemkov ostatných plôch,</w:t>
      </w:r>
    </w:p>
    <w:p>
      <w:pPr>
        <w:pStyle w:val="Normal"/>
        <w:shd w:val="clear" w:color="auto" w:fill="FFFFFF"/>
        <w:spacing w:lineRule="auto" w:line="276" w:before="120" w:after="0"/>
        <w:ind w:left="851" w:hanging="425"/>
        <w:jc w:val="both"/>
        <w:rPr>
          <w:rFonts w:ascii="Book Antiqua" w:hAnsi="Book Antiqua" w:cs="Arial"/>
          <w:sz w:val="22"/>
          <w:szCs w:val="22"/>
        </w:rPr>
      </w:pPr>
      <w:bookmarkStart w:id="3" w:name="p139a_8_d"/>
      <w:bookmarkEnd w:id="3"/>
      <w:r>
        <w:rPr>
          <w:rFonts w:cs="Arial" w:ascii="Book Antiqua" w:hAnsi="Book Antiqua"/>
          <w:bCs/>
          <w:sz w:val="22"/>
          <w:szCs w:val="22"/>
        </w:rPr>
        <w:t>d)</w:t>
      </w:r>
      <w:r>
        <w:rPr>
          <w:rFonts w:cs="Arial" w:ascii="Book Antiqua" w:hAnsi="Book Antiqua"/>
          <w:sz w:val="22"/>
          <w:szCs w:val="22"/>
        </w:rPr>
        <w:t> </w:t>
        <w:tab/>
        <w:t>pozemkov vhodných na zastavanie vymedzených na tento účel schváleným územným plánom obce alebo schváleným územným plánom zóny,</w:t>
      </w:r>
    </w:p>
    <w:p>
      <w:pPr>
        <w:pStyle w:val="Normal"/>
        <w:shd w:val="clear" w:color="auto" w:fill="FFFFFF"/>
        <w:spacing w:lineRule="auto" w:line="276" w:before="120" w:after="0"/>
        <w:ind w:left="851" w:hanging="425"/>
        <w:jc w:val="both"/>
        <w:rPr>
          <w:rFonts w:ascii="Book Antiqua" w:hAnsi="Book Antiqua" w:cs="Arial"/>
          <w:sz w:val="22"/>
          <w:szCs w:val="22"/>
        </w:rPr>
      </w:pPr>
      <w:bookmarkStart w:id="4" w:name="p139a_8_e"/>
      <w:bookmarkEnd w:id="4"/>
      <w:r>
        <w:rPr>
          <w:rFonts w:cs="Arial" w:ascii="Book Antiqua" w:hAnsi="Book Antiqua"/>
          <w:bCs/>
          <w:sz w:val="22"/>
          <w:szCs w:val="22"/>
        </w:rPr>
        <w:t>e)</w:t>
      </w:r>
      <w:r>
        <w:rPr>
          <w:rFonts w:cs="Arial" w:ascii="Book Antiqua" w:hAnsi="Book Antiqua"/>
          <w:sz w:val="22"/>
          <w:szCs w:val="22"/>
        </w:rPr>
        <w:t> </w:t>
        <w:tab/>
        <w:t>pozemkov, ktoré podľa schváleného územného plánu obce alebo schváleného územného plánu zóny sú určené na umiestnenie stavieb na účel uspokojovania voľnočasových a rekreačných potrieb obyvateľstva (rekreácie).</w:t>
      </w:r>
    </w:p>
    <w:p>
      <w:pPr>
        <w:pStyle w:val="Normal"/>
        <w:shd w:val="clear" w:color="auto" w:fill="FFFFFF"/>
        <w:spacing w:lineRule="auto" w:line="276" w:before="120" w:after="0"/>
        <w:jc w:val="both"/>
        <w:rPr>
          <w:rFonts w:ascii="Book Antiqua" w:hAnsi="Book Antiqua" w:cs="Arial"/>
          <w:sz w:val="22"/>
          <w:szCs w:val="22"/>
        </w:rPr>
      </w:pPr>
      <w:r>
        <w:rPr>
          <w:rFonts w:cs="Arial" w:ascii="Book Antiqua" w:hAnsi="Book Antiqua"/>
          <w:sz w:val="22"/>
          <w:szCs w:val="22"/>
        </w:rPr>
        <w:tab/>
        <w:t>Pri tvorbe územných plánov však mnohé laznícke obce zahrnuli do zastavaného územia obce aj územia, ktoré sa fakticky nachádzajú mimo obce, čím by sa takéto vymedzenie rozptýleného osídlenia na ne nevzťahovalo. Z dôvodu absencie presného zadefinovania takýchto situácií v územno-stavebných právnych predpisoch, navrhovatelia definovali lazmi aj usadlosť nachádzajúcu sa v zastavanom území lazníckej obce podľa schváleného územného plánu, avšak mimo centrálnej časti (ústredia) tejto obce.</w:t>
      </w:r>
    </w:p>
    <w:p>
      <w:pPr>
        <w:pStyle w:val="Normal"/>
        <w:numPr>
          <w:ilvl w:val="0"/>
          <w:numId w:val="2"/>
        </w:numPr>
        <w:spacing w:lineRule="auto" w:line="276" w:before="120" w:after="0"/>
        <w:jc w:val="both"/>
        <w:rPr>
          <w:rFonts w:ascii="Book Antiqua" w:hAnsi="Book Antiqua"/>
          <w:sz w:val="22"/>
          <w:szCs w:val="22"/>
        </w:rPr>
      </w:pPr>
      <w:r>
        <w:rPr>
          <w:rFonts w:ascii="Book Antiqua" w:hAnsi="Book Antiqua"/>
          <w:b/>
          <w:sz w:val="22"/>
          <w:szCs w:val="22"/>
        </w:rPr>
        <w:t>laznícka obec</w:t>
      </w:r>
      <w:r>
        <w:rPr>
          <w:rFonts w:ascii="Book Antiqua" w:hAnsi="Book Antiqua"/>
          <w:sz w:val="22"/>
          <w:szCs w:val="22"/>
        </w:rPr>
        <w:t xml:space="preserve"> – pre značnú diferencovanosť obcí a obtiažne legislatívne zakotvenie bol stanovený taxatívny výpočet obcí uvedených v prílohe k zákonu, ktoré možno považovať na laznícke obce podľa tohto zákona.</w:t>
      </w:r>
    </w:p>
    <w:p>
      <w:pPr>
        <w:pStyle w:val="L3go"/>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b/>
          <w:sz w:val="22"/>
          <w:szCs w:val="22"/>
        </w:rPr>
        <w:t>obyvateľ lazov</w:t>
      </w:r>
      <w:r>
        <w:rPr>
          <w:rFonts w:ascii="Book Antiqua" w:hAnsi="Book Antiqua"/>
          <w:sz w:val="22"/>
          <w:szCs w:val="22"/>
        </w:rPr>
        <w:t xml:space="preserve"> – obyvateľ lazov je osoba, ktorá má 18 rokov, na lazoch má trvalý pobyt a vykonáva bežné obhospodarovanie. Bežným obhospodarovaním sa podľa      § 61 ods. 2 zákona č. 543/2002 Z. z. zákona o ochrane prírody a krajiny v znení neskorších predpisov rozumie</w:t>
      </w:r>
    </w:p>
    <w:p>
      <w:pPr>
        <w:pStyle w:val="L4go"/>
        <w:shd w:val="clear" w:color="auto" w:fill="FFFFFF"/>
        <w:spacing w:lineRule="auto" w:line="276" w:before="120" w:after="0"/>
        <w:ind w:left="851" w:hanging="425"/>
        <w:jc w:val="both"/>
        <w:rPr>
          <w:rFonts w:ascii="Book Antiqua" w:hAnsi="Book Antiqua"/>
          <w:sz w:val="22"/>
          <w:szCs w:val="22"/>
        </w:rPr>
      </w:pPr>
      <w:bookmarkStart w:id="5" w:name="p61-2-a"/>
      <w:bookmarkEnd w:id="5"/>
      <w:r>
        <w:rPr>
          <w:rStyle w:val="Num"/>
          <w:rFonts w:ascii="Book Antiqua" w:hAnsi="Book Antiqua"/>
          <w:bCs/>
          <w:sz w:val="22"/>
          <w:szCs w:val="22"/>
        </w:rPr>
        <w:t>a)</w:t>
      </w:r>
      <w:r>
        <w:rPr>
          <w:rStyle w:val="Appleconvertedspace"/>
          <w:rFonts w:ascii="Book Antiqua" w:hAnsi="Book Antiqua"/>
          <w:sz w:val="22"/>
          <w:szCs w:val="22"/>
        </w:rPr>
        <w:t> </w:t>
        <w:tab/>
      </w:r>
      <w:r>
        <w:rPr>
          <w:rFonts w:ascii="Book Antiqua" w:hAnsi="Book Antiqua"/>
          <w:sz w:val="22"/>
          <w:szCs w:val="22"/>
        </w:rPr>
        <w:t>obhospodarovanie poľnohospodárskej pôdy v súlade s osobitným predpisom,</w:t>
      </w:r>
    </w:p>
    <w:p>
      <w:pPr>
        <w:pStyle w:val="L4go"/>
        <w:shd w:val="clear" w:color="auto" w:fill="FFFFFF"/>
        <w:spacing w:lineRule="auto" w:line="276" w:before="120" w:after="0"/>
        <w:ind w:left="851" w:hanging="425"/>
        <w:jc w:val="both"/>
        <w:rPr>
          <w:rFonts w:ascii="Book Antiqua" w:hAnsi="Book Antiqua"/>
          <w:sz w:val="22"/>
          <w:szCs w:val="22"/>
        </w:rPr>
      </w:pPr>
      <w:bookmarkStart w:id="6" w:name="p61-2-b"/>
      <w:bookmarkEnd w:id="6"/>
      <w:r>
        <w:rPr>
          <w:rStyle w:val="Num"/>
          <w:rFonts w:ascii="Book Antiqua" w:hAnsi="Book Antiqua"/>
          <w:bCs/>
          <w:sz w:val="22"/>
          <w:szCs w:val="22"/>
        </w:rPr>
        <w:t>b)</w:t>
      </w:r>
      <w:r>
        <w:rPr>
          <w:rStyle w:val="Appleconvertedspace"/>
          <w:rFonts w:ascii="Book Antiqua" w:hAnsi="Book Antiqua"/>
          <w:sz w:val="22"/>
          <w:szCs w:val="22"/>
        </w:rPr>
        <w:t> </w:t>
        <w:tab/>
      </w:r>
      <w:r>
        <w:rPr>
          <w:rFonts w:ascii="Book Antiqua" w:hAnsi="Book Antiqua"/>
          <w:sz w:val="22"/>
          <w:szCs w:val="22"/>
        </w:rPr>
        <w:t>bežné hospodárenie v lesoch</w:t>
      </w:r>
      <w:r>
        <w:rPr>
          <w:rFonts w:ascii="Book Antiqua" w:hAnsi="Book Antiqua"/>
          <w:bCs/>
          <w:sz w:val="22"/>
          <w:szCs w:val="22"/>
          <w:vertAlign w:val="superscript"/>
        </w:rPr>
        <w:t xml:space="preserve"> </w:t>
      </w:r>
      <w:r>
        <w:rPr>
          <w:rFonts w:ascii="Book Antiqua" w:hAnsi="Book Antiqua"/>
          <w:sz w:val="22"/>
          <w:szCs w:val="22"/>
        </w:rPr>
        <w:t>bez obmedzujúcich požiadaviek orgánov ochrany prírody vyplývajúcich zo zákazov a iných podmienok ochrany prírody ustanovených týmto zákonom alebo na jeho základe,</w:t>
      </w:r>
    </w:p>
    <w:p>
      <w:pPr>
        <w:pStyle w:val="L4go"/>
        <w:shd w:val="clear" w:color="auto" w:fill="FFFFFF"/>
        <w:spacing w:lineRule="auto" w:line="276" w:before="120" w:after="0"/>
        <w:ind w:left="851" w:hanging="425"/>
        <w:jc w:val="both"/>
        <w:rPr>
          <w:rFonts w:ascii="Book Antiqua" w:hAnsi="Book Antiqua"/>
          <w:bCs/>
          <w:sz w:val="22"/>
          <w:szCs w:val="22"/>
          <w:vertAlign w:val="superscript"/>
        </w:rPr>
      </w:pPr>
      <w:bookmarkStart w:id="7" w:name="p61-2-c"/>
      <w:bookmarkEnd w:id="7"/>
      <w:r>
        <w:rPr>
          <w:rStyle w:val="Num"/>
          <w:rFonts w:ascii="Book Antiqua" w:hAnsi="Book Antiqua"/>
          <w:bCs/>
          <w:sz w:val="22"/>
          <w:szCs w:val="22"/>
        </w:rPr>
        <w:t>c)</w:t>
      </w:r>
      <w:r>
        <w:rPr>
          <w:rStyle w:val="Appleconvertedspace"/>
          <w:rFonts w:ascii="Book Antiqua" w:hAnsi="Book Antiqua"/>
          <w:sz w:val="22"/>
          <w:szCs w:val="22"/>
        </w:rPr>
        <w:t> </w:t>
        <w:tab/>
      </w:r>
      <w:r>
        <w:rPr>
          <w:rFonts w:ascii="Book Antiqua" w:hAnsi="Book Antiqua"/>
          <w:sz w:val="22"/>
          <w:szCs w:val="22"/>
        </w:rPr>
        <w:t>hospodárenie na inom pozemku, ako je uvedené v písmenách a) a b), ktoré je v súlade s podmienkami určenými v povolení činnosti podľa osobitných predpisov.</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lang w:bidi="si-LK"/>
        </w:rPr>
        <w:t xml:space="preserve">Podľa dostupných informácií na lazoch v značnej miere žijú obyvatelia v dôchodkovom veku, ktorí práve vzhľadom k svojmu veku a zdravotnej situácií nie sú objektívne schopní naplniť podmienku vykonávania bežného obhospodarovania. Takéto skupiny obyvateľov však prevažnú časť svojho života strávili prácou na lazoch, preto bola pre naplnenie definície lazníka pre nich stanovená podmienka 20 ročného trvalého pobytu na lazoch.  </w:t>
      </w:r>
    </w:p>
    <w:p>
      <w:pPr>
        <w:pStyle w:val="L4go"/>
        <w:numPr>
          <w:ilvl w:val="0"/>
          <w:numId w:val="4"/>
        </w:numPr>
        <w:shd w:val="clear" w:color="auto" w:fill="FFFFFF"/>
        <w:spacing w:lineRule="auto" w:line="276" w:before="120" w:after="0"/>
        <w:jc w:val="both"/>
        <w:rPr>
          <w:rFonts w:ascii="Book Antiqua" w:hAnsi="Book Antiqua"/>
          <w:sz w:val="22"/>
          <w:szCs w:val="22"/>
        </w:rPr>
      </w:pPr>
      <w:r>
        <w:rPr>
          <w:rFonts w:ascii="Book Antiqua" w:hAnsi="Book Antiqua"/>
          <w:b/>
          <w:sz w:val="22"/>
          <w:szCs w:val="22"/>
        </w:rPr>
        <w:t>laznícke obydlie</w:t>
      </w:r>
      <w:r>
        <w:rPr>
          <w:rFonts w:ascii="Book Antiqua" w:hAnsi="Book Antiqua"/>
          <w:sz w:val="22"/>
          <w:szCs w:val="22"/>
        </w:rPr>
        <w:t xml:space="preserve"> – definovanie lazníckeho obydlia súvisí s možnosťou žiadať o poskytnutie dotácie na jeho rekonštrukciu. Na lazoch sa nachádza mnoho priestorov, či už budov určených na bývanie pre obyvateľov lazov alebo hospodárske budovy. Lazníckym obydlím budú však len tie, ktoré sú stavbou v zmysle stavebného zákona (zákon č. 50/1976 Zb.), a to stavebná konštrukcia postavená stavebnými prácami zo stavebných výrobkov, ktorá je pevne spojená so zemou alebo ktorej osadenie vyžaduje úpravu podkladu. Pevným spojením so zemou sa rozumie</w:t>
      </w:r>
    </w:p>
    <w:p>
      <w:pPr>
        <w:pStyle w:val="Normal"/>
        <w:shd w:val="clear" w:color="auto" w:fill="FFFFFF"/>
        <w:spacing w:lineRule="auto" w:line="276" w:before="120" w:after="0"/>
        <w:ind w:left="1416" w:hanging="282"/>
        <w:jc w:val="both"/>
        <w:rPr>
          <w:rFonts w:ascii="Book Antiqua" w:hAnsi="Book Antiqua"/>
          <w:sz w:val="22"/>
          <w:szCs w:val="22"/>
          <w:lang w:bidi="si-LK"/>
        </w:rPr>
      </w:pPr>
      <w:bookmarkStart w:id="8" w:name="p43-1-a"/>
      <w:bookmarkEnd w:id="8"/>
      <w:r>
        <w:rPr>
          <w:rFonts w:ascii="Book Antiqua" w:hAnsi="Book Antiqua"/>
          <w:bCs/>
          <w:sz w:val="22"/>
          <w:szCs w:val="22"/>
          <w:lang w:bidi="si-LK"/>
        </w:rPr>
        <w:t>a)</w:t>
      </w:r>
      <w:r>
        <w:rPr>
          <w:rFonts w:ascii="Book Antiqua" w:hAnsi="Book Antiqua"/>
          <w:sz w:val="22"/>
          <w:szCs w:val="22"/>
          <w:lang w:bidi="si-LK"/>
        </w:rPr>
        <w:t> spojenie pevným základom,</w:t>
      </w:r>
    </w:p>
    <w:p>
      <w:pPr>
        <w:pStyle w:val="Normal"/>
        <w:shd w:val="clear" w:color="auto" w:fill="FFFFFF"/>
        <w:spacing w:lineRule="auto" w:line="276" w:before="120" w:after="0"/>
        <w:ind w:left="1416" w:hanging="282"/>
        <w:jc w:val="both"/>
        <w:rPr>
          <w:rFonts w:ascii="Book Antiqua" w:hAnsi="Book Antiqua"/>
          <w:sz w:val="22"/>
          <w:szCs w:val="22"/>
          <w:lang w:bidi="si-LK"/>
        </w:rPr>
      </w:pPr>
      <w:bookmarkStart w:id="9" w:name="p43-1-b"/>
      <w:bookmarkEnd w:id="9"/>
      <w:r>
        <w:rPr>
          <w:rFonts w:ascii="Book Antiqua" w:hAnsi="Book Antiqua"/>
          <w:bCs/>
          <w:sz w:val="22"/>
          <w:szCs w:val="22"/>
          <w:lang w:bidi="si-LK"/>
        </w:rPr>
        <w:t>b)</w:t>
      </w:r>
      <w:r>
        <w:rPr>
          <w:rFonts w:ascii="Book Antiqua" w:hAnsi="Book Antiqua"/>
          <w:sz w:val="22"/>
          <w:szCs w:val="22"/>
          <w:lang w:bidi="si-LK"/>
        </w:rPr>
        <w:t> upevnenie strojnými súčiastkami alebo zvarom o pevný základ v zemi alebo o inú stavbu,</w:t>
      </w:r>
    </w:p>
    <w:p>
      <w:pPr>
        <w:pStyle w:val="Normal"/>
        <w:shd w:val="clear" w:color="auto" w:fill="FFFFFF"/>
        <w:spacing w:lineRule="auto" w:line="276" w:before="120" w:after="0"/>
        <w:ind w:left="1416" w:hanging="282"/>
        <w:jc w:val="both"/>
        <w:rPr>
          <w:rFonts w:ascii="Book Antiqua" w:hAnsi="Book Antiqua"/>
          <w:sz w:val="22"/>
          <w:szCs w:val="22"/>
          <w:lang w:bidi="si-LK"/>
        </w:rPr>
      </w:pPr>
      <w:bookmarkStart w:id="10" w:name="p43-1-c"/>
      <w:bookmarkEnd w:id="10"/>
      <w:r>
        <w:rPr>
          <w:rFonts w:ascii="Book Antiqua" w:hAnsi="Book Antiqua"/>
          <w:bCs/>
          <w:sz w:val="22"/>
          <w:szCs w:val="22"/>
          <w:lang w:bidi="si-LK"/>
        </w:rPr>
        <w:t>c)</w:t>
      </w:r>
      <w:r>
        <w:rPr>
          <w:rFonts w:ascii="Book Antiqua" w:hAnsi="Book Antiqua"/>
          <w:sz w:val="22"/>
          <w:szCs w:val="22"/>
          <w:lang w:bidi="si-LK"/>
        </w:rPr>
        <w:t> ukotvenie pilótami alebo lanami s kotvou v zemi alebo na inej stavbe,</w:t>
      </w:r>
    </w:p>
    <w:p>
      <w:pPr>
        <w:pStyle w:val="Normal"/>
        <w:shd w:val="clear" w:color="auto" w:fill="FFFFFF"/>
        <w:spacing w:lineRule="auto" w:line="276" w:before="120" w:after="0"/>
        <w:ind w:left="1416" w:hanging="282"/>
        <w:jc w:val="both"/>
        <w:rPr>
          <w:rFonts w:ascii="Book Antiqua" w:hAnsi="Book Antiqua"/>
          <w:sz w:val="22"/>
          <w:szCs w:val="22"/>
          <w:lang w:bidi="si-LK"/>
        </w:rPr>
      </w:pPr>
      <w:bookmarkStart w:id="11" w:name="p43-1-d"/>
      <w:bookmarkEnd w:id="11"/>
      <w:r>
        <w:rPr>
          <w:rFonts w:ascii="Book Antiqua" w:hAnsi="Book Antiqua"/>
          <w:bCs/>
          <w:sz w:val="22"/>
          <w:szCs w:val="22"/>
          <w:lang w:bidi="si-LK"/>
        </w:rPr>
        <w:t>d)</w:t>
      </w:r>
      <w:r>
        <w:rPr>
          <w:rFonts w:ascii="Book Antiqua" w:hAnsi="Book Antiqua"/>
          <w:sz w:val="22"/>
          <w:szCs w:val="22"/>
          <w:lang w:bidi="si-LK"/>
        </w:rPr>
        <w:t> pripojenie na siete a zariadenia technického vybavenia územia,</w:t>
      </w:r>
    </w:p>
    <w:p>
      <w:pPr>
        <w:pStyle w:val="Normal"/>
        <w:shd w:val="clear" w:color="auto" w:fill="FFFFFF"/>
        <w:spacing w:lineRule="auto" w:line="276" w:before="120" w:after="0"/>
        <w:ind w:left="1416" w:hanging="282"/>
        <w:jc w:val="both"/>
        <w:rPr>
          <w:rFonts w:ascii="Book Antiqua" w:hAnsi="Book Antiqua"/>
          <w:sz w:val="22"/>
          <w:szCs w:val="22"/>
          <w:lang w:bidi="si-LK"/>
        </w:rPr>
      </w:pPr>
      <w:bookmarkStart w:id="12" w:name="p43-1-e"/>
      <w:bookmarkEnd w:id="12"/>
      <w:r>
        <w:rPr>
          <w:rFonts w:ascii="Book Antiqua" w:hAnsi="Book Antiqua"/>
          <w:bCs/>
          <w:sz w:val="22"/>
          <w:szCs w:val="22"/>
          <w:lang w:bidi="si-LK"/>
        </w:rPr>
        <w:t>e)</w:t>
      </w:r>
      <w:r>
        <w:rPr>
          <w:rFonts w:ascii="Book Antiqua" w:hAnsi="Book Antiqua"/>
          <w:sz w:val="22"/>
          <w:szCs w:val="22"/>
          <w:lang w:bidi="si-LK"/>
        </w:rPr>
        <w:t> umiestnenie pod zemou.</w:t>
      </w:r>
    </w:p>
    <w:p>
      <w:pPr>
        <w:pStyle w:val="Normal"/>
        <w:numPr>
          <w:ilvl w:val="0"/>
          <w:numId w:val="2"/>
        </w:numPr>
        <w:spacing w:lineRule="auto" w:line="276" w:before="120" w:after="0"/>
        <w:jc w:val="both"/>
        <w:rPr>
          <w:rFonts w:ascii="Book Antiqua" w:hAnsi="Book Antiqua"/>
          <w:sz w:val="22"/>
          <w:szCs w:val="22"/>
        </w:rPr>
      </w:pPr>
      <w:r>
        <w:rPr>
          <w:rFonts w:ascii="Book Antiqua" w:hAnsi="Book Antiqua"/>
          <w:b/>
          <w:sz w:val="22"/>
          <w:szCs w:val="22"/>
        </w:rPr>
        <w:t>laznícka pôda</w:t>
      </w:r>
      <w:r>
        <w:rPr>
          <w:rFonts w:ascii="Book Antiqua" w:hAnsi="Book Antiqua"/>
          <w:sz w:val="22"/>
          <w:szCs w:val="22"/>
        </w:rPr>
        <w:t xml:space="preserve"> – lazníci vykonávajú bežné obhospodarovanie </w:t>
      </w:r>
      <w:r>
        <w:rPr>
          <w:rFonts w:ascii="Book Antiqua" w:hAnsi="Book Antiqua"/>
          <w:sz w:val="22"/>
          <w:szCs w:val="22"/>
          <w:shd w:fill="FFFFFF" w:val="clear"/>
        </w:rPr>
        <w:t xml:space="preserve">poľnohospodárskej pôdy, </w:t>
      </w:r>
      <w:r>
        <w:rPr>
          <w:rFonts w:ascii="Book Antiqua" w:hAnsi="Book Antiqua"/>
          <w:sz w:val="22"/>
          <w:szCs w:val="22"/>
        </w:rPr>
        <w:t xml:space="preserve">ktorou je </w:t>
      </w:r>
      <w:r>
        <w:rPr>
          <w:rFonts w:ascii="Book Antiqua" w:hAnsi="Book Antiqua"/>
          <w:sz w:val="22"/>
          <w:szCs w:val="22"/>
          <w:shd w:fill="FFFFFF" w:val="clear"/>
        </w:rPr>
        <w:t>produkčne potenciálna pôda evidovaná v katastri nehnuteľností</w:t>
      </w:r>
      <w:r>
        <w:rPr>
          <w:rFonts w:ascii="Book Antiqua" w:hAnsi="Book Antiqua"/>
          <w:b/>
          <w:bCs/>
          <w:sz w:val="22"/>
          <w:szCs w:val="22"/>
          <w:shd w:fill="FFFFFF" w:val="clear"/>
          <w:vertAlign w:val="superscript"/>
        </w:rPr>
        <w:t xml:space="preserve"> </w:t>
      </w:r>
      <w:r>
        <w:rPr>
          <w:rFonts w:ascii="Book Antiqua" w:hAnsi="Book Antiqua"/>
          <w:sz w:val="22"/>
          <w:szCs w:val="22"/>
          <w:shd w:fill="FFFFFF" w:val="clear"/>
        </w:rPr>
        <w:t>ako orná pôda, chmeľnice, vinice, ovocné sady, záhrady a trvalé trávne porasty nachádzajúce sa v okolí lazov.</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4</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Druhá časť zákona je venovaná poskytovaniu finančných prostriedkov v podobe dotácií z rozpočtovej kapitoly Ministerstva pôdohospodárstva a rozvoja vidieka SR (ďalej len „ministerstvo“) pre laznícku obec a obyvateľov lazov. V nasledujúcich ustanoveniach § 5 až 8 laznícky zákon stanovuje rozsah, spôsob a podmienky za ktorých môže byť dotácia poskytnutá.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Laznícky zákon rozlišuje tri typy dotácií, ktoré môžu byť obyvateľovi lazov poskytnuté: </w:t>
      </w:r>
    </w:p>
    <w:p>
      <w:pPr>
        <w:pStyle w:val="ListParagraph"/>
        <w:numPr>
          <w:ilvl w:val="0"/>
          <w:numId w:val="3"/>
        </w:numPr>
        <w:spacing w:lineRule="auto" w:line="276" w:before="120" w:after="0"/>
        <w:rPr>
          <w:rFonts w:ascii="Book Antiqua" w:hAnsi="Book Antiqua"/>
          <w:sz w:val="22"/>
          <w:szCs w:val="22"/>
        </w:rPr>
      </w:pPr>
      <w:r>
        <w:rPr>
          <w:rFonts w:ascii="Book Antiqua" w:hAnsi="Book Antiqua"/>
          <w:sz w:val="22"/>
          <w:szCs w:val="22"/>
        </w:rPr>
        <w:t>osobitná podpora obyvateľa lazov,</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rekonštrukcia lazníckeho obydlia s cieľom zachovania tradičného charakteru architektúry a historických štruktúr krajiny,</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podpora hospodárenia na lazoch.</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5</w:t>
      </w:r>
    </w:p>
    <w:p>
      <w:pPr>
        <w:pStyle w:val="NormalWeb"/>
        <w:spacing w:lineRule="auto" w:line="276" w:before="120" w:after="0"/>
        <w:ind w:firstLine="708"/>
        <w:jc w:val="both"/>
        <w:rPr>
          <w:rFonts w:ascii="Book Antiqua" w:hAnsi="Book Antiqua"/>
          <w:bCs/>
          <w:sz w:val="22"/>
          <w:szCs w:val="22"/>
        </w:rPr>
      </w:pPr>
      <w:r>
        <w:rPr>
          <w:rFonts w:ascii="Book Antiqua" w:hAnsi="Book Antiqua"/>
          <w:bCs/>
          <w:sz w:val="22"/>
          <w:szCs w:val="22"/>
        </w:rPr>
        <w:t xml:space="preserve">Dotácie sú považované za účelovo viazané finančné prostriedky poskytované zo štátneho rozpočtu konkrétnemu subjektu – lazníckej obci, ktorá ich následne vypláca obyvateľom lazov. Vzhľadom na to, že je to laznícka obec, ktorá najlepšie pozná potreby svojich obyvateľov žijúcich v odľahlých oblastiach a pozná svoje pomery, bola zvolená právna úprava, na základe ktorej laznícky zákon určuje základný rámec poskytovania dotácií. Konkrétne pravidlá a postup však budú stanovené vo všeobecne záväzných nariadeniach obce v rámci výkonu ich originálnej pôsobnosti.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Vyplácanie dotácií je viazané len na účel uvedený v § 4 lazníckeho zákona. Zákon obsahuje demonštratívny výpočet podmienok, na základe ktorých laznícka obec dotácie obyvateľom lazov vypláca. Ďalšie podmienky, ako aj spôsob prerozdeľovania dotácií získaných zo štátneho rozpočtu podľa § 12 ods. 1 lazníckeho zákona upraví obec vo všeobecne záväznom nariadení, ktoré schvaľujú poslanci obecného, príp. mestského zastupiteľstva (resp. miestneho zastupiteľstva). </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Dotácia sa poskytuje na základe žiadosti. Podstatnou náležitosťou žiadosti je označenie dotácie podľa § 4 lazníckeho zákona, o ktorú sa žiada. K žiadosti je obyvateľ lazov povinný pripojiť prílohy podľa odseku 4.</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Po získaní dotácie podľa tretej časti lazníckeho zákona, laznícka obec prerozdelí dotácie a so žiadateľmi, ktorým dotácie poskytne, uzatvorí zmluvu v písomnej forme, ktorej vzor je uvedený na webovom sídle obce, ktorá je poskytovateľom dotácie. Na svojom webovom sídle bude obec povinná tiež zverejniť vzor písomnej žiadosti o dotáciu a vzor čestných prehlásení, ktoré je potrebné k tejto žiadosti doložiť. Laznícka obec povinne zverejňuje informácie podľa § 14 ods. 4 a 5 lazníckeho zákona.</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6</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 xml:space="preserve">Osobitná podpora je poskytovaná jednak pre obyvateľa lazov, t.j. pre plnoletú osobu, ktorá má na lazoch trvalý pobyt a vykonáva bežné obhospodarovanie alebo ktorá má na lazoch trvalý pobyt minimálne 20 rokov. Keďže v lazníckych oblastiach žijú mnohé rodiny s deťmi, laznícky zákon upravuje aj možnosť získať dotáciu pre maloleté osoby, ktoré z objektívnych dôvodov nemôžu spĺňať podmienky základnej definície obyvateľa lazov. Pri podávaní žiadostí maloleté osoby zastupuje ich zákonný zástupca v zmysle ustanovenia § 20 lazníckeho zákona.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Na základe splnomocnenia lazníckeho zákona ministerstvo vydá všeobecne záväzný právny predpis, v ktorom upraví výšku dotácie, ktorá sa poskytne za účelom osobitnej podpory pre obyvateľov lazov a ich maloleté deti. Právomoc ministerstva bola stanovená najmä z dôvodu vyššej flexibility podzákonnej normy v porovnaní s postupom vykonania legislatívnej zmeny v zákone.</w:t>
      </w:r>
    </w:p>
    <w:p>
      <w:pPr>
        <w:pStyle w:val="NormalWeb"/>
        <w:spacing w:lineRule="auto" w:line="276" w:before="120" w:after="0"/>
        <w:jc w:val="both"/>
        <w:rPr>
          <w:rFonts w:ascii="Book Antiqua" w:hAnsi="Book Antiqua"/>
          <w:bCs/>
          <w:sz w:val="22"/>
          <w:szCs w:val="22"/>
        </w:rPr>
      </w:pPr>
      <w:r>
        <w:rPr>
          <w:rFonts w:ascii="Book Antiqua" w:hAnsi="Book Antiqua"/>
          <w:bCs/>
          <w:sz w:val="22"/>
          <w:szCs w:val="22"/>
          <w:u w:val="single"/>
        </w:rPr>
        <w:t>K § 7</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Spresnenie pojmu „rekonštrukcia lazníckeho bývania“ v zmysle § 5 ods. 1 písm. a) lazníckeho zákona je úlohou obce. Zákon upravuje základný rámec činností a podmienky spolufinancovania projektu na rekonštrukciu lazníckeho bývania. Z dlhodobého hľadiska ide o obnovu a zachovanie lazov na území Slovenskej republiky, z toho dôvodu zákon upravuje záväzky obyvateľa lazov nepreviesť vlastníctvo zrekonštruovaného lazníckeho obydlia a zachovať účel, za ktorým bola dotácia na rekonštrukciu poskytnutá po dobu minimálne 15 rokov odo dňa stanoveného zákonom.</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bCs/>
          <w:sz w:val="22"/>
          <w:szCs w:val="22"/>
        </w:rPr>
      </w:pPr>
      <w:r>
        <w:rPr>
          <w:rFonts w:ascii="Book Antiqua" w:hAnsi="Book Antiqua"/>
          <w:bCs/>
          <w:sz w:val="22"/>
          <w:szCs w:val="22"/>
          <w:u w:val="single"/>
        </w:rPr>
        <w:t>K § 8</w:t>
      </w:r>
    </w:p>
    <w:p>
      <w:pPr>
        <w:pStyle w:val="NormalWeb"/>
        <w:spacing w:lineRule="auto" w:line="276" w:before="120" w:after="0"/>
        <w:ind w:firstLine="708"/>
        <w:jc w:val="both"/>
        <w:rPr>
          <w:rFonts w:ascii="Book Antiqua" w:hAnsi="Book Antiqua"/>
          <w:bCs/>
          <w:sz w:val="22"/>
          <w:szCs w:val="22"/>
        </w:rPr>
      </w:pPr>
      <w:r>
        <w:rPr>
          <w:rFonts w:ascii="Book Antiqua" w:hAnsi="Book Antiqua"/>
          <w:bCs/>
          <w:sz w:val="22"/>
          <w:szCs w:val="22"/>
        </w:rPr>
        <w:t xml:space="preserve">Zákon upravuje základný rámec činností, ktoré sú obsahom podpory hospodárenia na lazoch a uvádza ich demonštratívny výpočet. V zmysle § 5 ods. 1 písm. a) lazníckeho zákona laznícka obec presne upraví podmienky poskytovania dotácií vo všeobecne záväznom nariadení obce. Rovnako tak zákon upravuje maximálnu výšku poskytnutej dotácie, rozsah spolufinancovania žiadateľom a možnosti zmeny pomeru žiadanej výšky dotácie k výške, ktorú si zabezpečuje obyvateľ lazov.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9</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Tretia časť je zameraná na postup pri žiadaní dotácie na účely stanovené v § 4 lazníckeho zákona lazníckou obcou a jej následnom poskytovaní ministerstvom.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Rozsah subjektov, ktorí sú žiadateľmi o dotáciu, bol vzhľadom  na značnú administratívnu záťaž minimalizovaný na laznícku obec, ktorá de facto pri žiadostiach o poskytnutie dotácie zastupuje svojich občanov, ktorí sú lazníkmi.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Dotácie sa poskytujú v príslušnom rozpočtovom roku. Laznícky zákon zavádza dvojitý režim pre poskytovanie dotácie. Dotácia na osobitnú podporu obyvateľa lazov sa stanoví na základe všeobecne záväzného právneho predpisu, ktorý vydá ministerstvo. Dotácie na rekonštrukciu lazníckeho obydlia a podporu hospodárenia na lazoch môžu byť poskytované v rozmedzí od 0 do 90 % z nákladov preukázateľne vynaložených na činnosti, na ktoré sa dotácia poskytuje.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10</w:t>
      </w:r>
    </w:p>
    <w:p>
      <w:pPr>
        <w:pStyle w:val="NormalWeb"/>
        <w:spacing w:lineRule="auto" w:line="276" w:before="120" w:after="0"/>
        <w:ind w:firstLine="709"/>
        <w:jc w:val="both"/>
        <w:rPr>
          <w:rFonts w:ascii="Book Antiqua" w:hAnsi="Book Antiqua"/>
          <w:bCs/>
          <w:sz w:val="22"/>
          <w:szCs w:val="22"/>
        </w:rPr>
      </w:pPr>
      <w:r>
        <w:rPr>
          <w:rFonts w:ascii="Book Antiqua" w:hAnsi="Book Antiqua"/>
          <w:bCs/>
          <w:sz w:val="22"/>
          <w:szCs w:val="22"/>
        </w:rPr>
        <w:t xml:space="preserve">Ako už vyplýva zo samotného termínu „dotácia“, ide o účelovo poskytované finančné prostriedky. Preto poskytnuté dotácie môžu byť použité len na </w:t>
        <w:tab/>
        <w:t xml:space="preserve">zákonný účel. </w:t>
      </w:r>
    </w:p>
    <w:p>
      <w:pPr>
        <w:pStyle w:val="NormalWeb"/>
        <w:spacing w:lineRule="auto" w:line="276" w:before="120" w:after="0"/>
        <w:ind w:firstLine="709"/>
        <w:jc w:val="both"/>
        <w:rPr/>
      </w:pPr>
      <w:r>
        <w:rPr>
          <w:rFonts w:ascii="Book Antiqua" w:hAnsi="Book Antiqua"/>
          <w:bCs/>
          <w:sz w:val="22"/>
          <w:szCs w:val="22"/>
        </w:rPr>
        <w:t>Podľa zákona</w:t>
      </w:r>
      <w:r>
        <w:fldChar w:fldCharType="begin"/>
      </w:r>
      <w:r>
        <w:rPr>
          <w:rStyle w:val="Internetovodkaz"/>
          <w:sz w:val="22"/>
          <w:u w:val="none"/>
          <w:szCs w:val="22"/>
          <w:rFonts w:ascii="Book Antiqua" w:hAnsi="Book Antiqua"/>
        </w:rPr>
        <w:instrText> HYPERLINK "http://www.zakonypreludi.sk/zz/2004-523" \l "f6258693"</w:instrText>
      </w:r>
      <w:r>
        <w:rPr>
          <w:rStyle w:val="Internetovodkaz"/>
          <w:sz w:val="22"/>
          <w:u w:val="none"/>
          <w:szCs w:val="22"/>
          <w:rFonts w:ascii="Book Antiqua" w:hAnsi="Book Antiqua"/>
        </w:rPr>
        <w:fldChar w:fldCharType="separate"/>
      </w:r>
      <w:r>
        <w:rPr>
          <w:rStyle w:val="Internetovodkaz"/>
          <w:rFonts w:ascii="Book Antiqua" w:hAnsi="Book Antiqua"/>
          <w:color w:val="00000A"/>
          <w:sz w:val="22"/>
          <w:szCs w:val="22"/>
          <w:u w:val="none"/>
        </w:rPr>
        <w:t xml:space="preserve"> č. 523/2004 Z. z.</w:t>
      </w:r>
      <w:r>
        <w:rPr>
          <w:rStyle w:val="Internetovodkaz"/>
          <w:sz w:val="22"/>
          <w:u w:val="none"/>
          <w:szCs w:val="22"/>
          <w:rFonts w:ascii="Book Antiqua" w:hAnsi="Book Antiqua"/>
        </w:rPr>
        <w:fldChar w:fldCharType="end"/>
      </w:r>
      <w:r>
        <w:rPr>
          <w:rFonts w:ascii="Book Antiqua" w:hAnsi="Book Antiqua"/>
          <w:sz w:val="22"/>
          <w:szCs w:val="22"/>
        </w:rPr>
        <w:t xml:space="preserve"> o rozpočtových pravidlách verejnej správy a o zmene a doplnení niektorých zákonov v znení neskorších predpisov možno dotáciu </w:t>
      </w:r>
      <w:r>
        <w:rPr>
          <w:rFonts w:ascii="Book Antiqua" w:hAnsi="Book Antiqua"/>
          <w:bCs/>
          <w:sz w:val="22"/>
          <w:szCs w:val="22"/>
        </w:rPr>
        <w:t>poskytnúť žiadateľovi, ak</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 </w:t>
      </w:r>
      <w:r>
        <w:rPr>
          <w:rFonts w:ascii="Book Antiqua" w:hAnsi="Book Antiqua"/>
          <w:bCs/>
          <w:sz w:val="22"/>
          <w:szCs w:val="22"/>
        </w:rPr>
        <w:t xml:space="preserve">a) </w:t>
        <w:tab/>
        <w:t>má vysporiadané finančné vzťahy so štátnym rozpočtom,</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 </w:t>
      </w:r>
      <w:r>
        <w:rPr>
          <w:rFonts w:ascii="Book Antiqua" w:hAnsi="Book Antiqua"/>
          <w:bCs/>
          <w:sz w:val="22"/>
          <w:szCs w:val="22"/>
        </w:rPr>
        <w:t xml:space="preserve">b) </w:t>
        <w:tab/>
        <w:t>nie je voči nemu vedené konkurzné konanie, nie je v konkurze, v reštrukturalizácii a nebol proti nemu zamietnutý návrh na vyhlásenie konkurzu pre nedostatok majetku,</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 </w:t>
      </w:r>
      <w:r>
        <w:rPr>
          <w:rFonts w:ascii="Book Antiqua" w:hAnsi="Book Antiqua"/>
          <w:bCs/>
          <w:sz w:val="22"/>
          <w:szCs w:val="22"/>
        </w:rPr>
        <w:t xml:space="preserve">c) </w:t>
        <w:tab/>
        <w:t xml:space="preserve">nie je voči nemu vedený výkon rozhodnutia, </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 </w:t>
      </w:r>
      <w:r>
        <w:rPr>
          <w:rFonts w:ascii="Book Antiqua" w:hAnsi="Book Antiqua"/>
          <w:bCs/>
          <w:sz w:val="22"/>
          <w:szCs w:val="22"/>
        </w:rPr>
        <w:t xml:space="preserve">d) </w:t>
        <w:tab/>
        <w:t xml:space="preserve">neporušil v predchádzajúcich troch rokoch zákaz nelegálneho zamestnávania podľa osobitného predpisu,  </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e) </w:t>
        <w:tab/>
        <w:t>nemá evidované nedoplatky poistného na zdravotné poistenie, sociálne poistenie a príspevkov na starobné dôchodkové sporenie,</w:t>
      </w:r>
    </w:p>
    <w:p>
      <w:pPr>
        <w:pStyle w:val="NormalWeb"/>
        <w:spacing w:lineRule="auto" w:line="276" w:before="120" w:after="0"/>
        <w:ind w:left="851" w:hanging="425"/>
        <w:rPr>
          <w:rFonts w:ascii="Book Antiqua" w:hAnsi="Book Antiqua"/>
          <w:bCs/>
          <w:sz w:val="22"/>
          <w:szCs w:val="22"/>
        </w:rPr>
      </w:pPr>
      <w:r>
        <w:rPr>
          <w:rFonts w:ascii="Book Antiqua" w:hAnsi="Book Antiqua"/>
          <w:bCs/>
          <w:sz w:val="22"/>
          <w:szCs w:val="22"/>
        </w:rPr>
        <w:t xml:space="preserve">f) </w:t>
        <w:tab/>
        <w:t>nemá právoplatne uložený trest zákazu prijímať dotácie alebo subvencie,</w:t>
      </w:r>
    </w:p>
    <w:p>
      <w:pPr>
        <w:pStyle w:val="NormalWeb"/>
        <w:spacing w:lineRule="auto" w:line="276" w:before="120" w:after="0"/>
        <w:ind w:left="851" w:hanging="425"/>
        <w:jc w:val="both"/>
        <w:rPr>
          <w:rFonts w:ascii="Book Antiqua" w:hAnsi="Book Antiqua"/>
          <w:bCs/>
          <w:sz w:val="22"/>
          <w:szCs w:val="22"/>
        </w:rPr>
      </w:pPr>
      <w:r>
        <w:rPr>
          <w:rFonts w:ascii="Book Antiqua" w:hAnsi="Book Antiqua"/>
          <w:bCs/>
          <w:sz w:val="22"/>
          <w:szCs w:val="22"/>
        </w:rPr>
        <w:t xml:space="preserve">g) </w:t>
        <w:tab/>
        <w:t>nemá právoplatne uložený trest zákazu prijímať pomoc a podporu poskytovanú z fondov Európskej únie,</w:t>
      </w:r>
    </w:p>
    <w:p>
      <w:pPr>
        <w:pStyle w:val="NormalWeb"/>
        <w:spacing w:lineRule="auto" w:line="276" w:before="120" w:after="0"/>
        <w:ind w:left="851" w:hanging="425"/>
        <w:jc w:val="both"/>
        <w:rPr/>
      </w:pPr>
      <w:r>
        <w:rPr>
          <w:rFonts w:ascii="Book Antiqua" w:hAnsi="Book Antiqua"/>
          <w:bCs/>
          <w:sz w:val="22"/>
          <w:szCs w:val="22"/>
        </w:rPr>
        <w:t xml:space="preserve">h) </w:t>
        <w:tab/>
        <w:t>je zapísaný v registri partnerov verejného sektora, ak ide o žiadateľa, ktorý má povinnosť zapisovať sa do registra partnerov verejného sektora.</w:t>
      </w:r>
    </w:p>
    <w:p>
      <w:pPr>
        <w:pStyle w:val="NormalWeb"/>
        <w:spacing w:lineRule="auto" w:line="276" w:before="120" w:after="0"/>
        <w:ind w:firstLine="709"/>
        <w:jc w:val="both"/>
        <w:rPr>
          <w:rFonts w:ascii="Book Antiqua" w:hAnsi="Book Antiqua"/>
          <w:sz w:val="22"/>
          <w:szCs w:val="22"/>
        </w:rPr>
      </w:pPr>
      <w:r>
        <w:rPr>
          <w:rFonts w:ascii="Book Antiqua" w:hAnsi="Book Antiqua"/>
          <w:bCs/>
          <w:sz w:val="22"/>
          <w:szCs w:val="22"/>
        </w:rPr>
        <w:t xml:space="preserve"> </w:t>
      </w:r>
      <w:r>
        <w:rPr>
          <w:rFonts w:ascii="Book Antiqua" w:hAnsi="Book Antiqua"/>
          <w:bCs/>
          <w:sz w:val="22"/>
          <w:szCs w:val="22"/>
        </w:rPr>
        <w:t>Ďalšou podmienkou poskytnutia dotácie je preukázanie počtu predložených žiadostí obyvateľmi lazov, ktorí žiadajú dotáciu na osobitnú podporu obyvateľa lazov, a to z dôvodu jej nárokovateľnosti vo výške ustanovenej všeobecne záväzným právnym predpisom na jedného obyvateľa lazov alebo jednu maloletú osobu.</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11</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Podávanie žiadostí je upravené v § 11 lazníckeho zákona spolu s podstatnými náležitosťami žiadostí a prílohami, ktoré sa k žiadosti povinne prikladajú. Koncepcia žiadostí je zvolená obdobne ako v právnej úprave poskytovania iných druhov dotácií v pôsobnosti ministerstiev. </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 xml:space="preserve">Lehotu na predkladanie žiadostí podľa druhej časti si môže laznícka obec upraviť osobitne vo všeobecne záväznom nariadení obce. Lehota na podávanie žiadostí podľa tretej časti lazníckeho zákona bola stanovené striktne, čiže ide o zákonnú lehotu, ktorá nemôže byť predlžená. </w:t>
      </w:r>
      <w:r>
        <w:rPr>
          <w:rFonts w:ascii="Book Antiqua" w:hAnsi="Book Antiqua"/>
          <w:sz w:val="22"/>
          <w:szCs w:val="22"/>
        </w:rPr>
        <w:t>Žiadosti môžu laznícke obce predkladať ministerstvu v termíne do 30. apríla príslušného kalendárneho roka (prvýkrát v roku 2020 podľa § 22 návrhu zákona).</w:t>
      </w:r>
    </w:p>
    <w:p>
      <w:pPr>
        <w:pStyle w:val="NormalWeb"/>
        <w:spacing w:lineRule="auto" w:line="276" w:before="120" w:after="0"/>
        <w:jc w:val="both"/>
        <w:rPr>
          <w:rFonts w:ascii="Book Antiqua" w:hAnsi="Book Antiqua"/>
          <w:sz w:val="22"/>
          <w:szCs w:val="22"/>
        </w:rPr>
      </w:pPr>
      <w:r>
        <w:rPr>
          <w:rFonts w:ascii="Book Antiqua" w:hAnsi="Book Antiqua"/>
          <w:sz w:val="22"/>
          <w:szCs w:val="22"/>
        </w:rPr>
        <w:tab/>
        <w:t xml:space="preserve">V navrhovanom ustanovení sa upravuje aj presný postup pri predkladaní a vyhodnocovaní žiadostí. V prípade absencie náležitosti žiadosti ministerstvo vyzve žiadateľa o jej doplnenie v lehote 10 dní. Na preskúmanie žiadostí plynie ministerstvu 30 dňová lehota od doručenia žiadosti. </w:t>
        <w:tab/>
        <w:tab/>
      </w:r>
    </w:p>
    <w:p>
      <w:pPr>
        <w:pStyle w:val="NormalWeb"/>
        <w:spacing w:lineRule="auto" w:line="276" w:before="120" w:after="0"/>
        <w:jc w:val="both"/>
        <w:rPr>
          <w:rFonts w:ascii="Book Antiqua" w:hAnsi="Book Antiqua"/>
          <w:sz w:val="22"/>
          <w:szCs w:val="22"/>
        </w:rPr>
      </w:pPr>
      <w:r>
        <w:rPr>
          <w:rFonts w:ascii="Book Antiqua" w:hAnsi="Book Antiqua"/>
          <w:sz w:val="22"/>
          <w:szCs w:val="22"/>
        </w:rPr>
        <w:tab/>
        <w:t>Zriaďuje sa päťčlenná komisia, ktorej hlavnou náplňou je posudzovanie, vyhodnocovanie a schvaľovanie žiadostí. Komisiu zriaďuje minister. Na členov komisie sú kladené nároky v podobe ich nezaujatosti. Samotné vyhodnocovanie žiadostí a prerozdeľovanie finančných prostriedkov v podobe dotácií upraví všeobecne záväzný právny predpis, ktorý vydá ministerstvo.</w:t>
      </w:r>
    </w:p>
    <w:p>
      <w:pPr>
        <w:pStyle w:val="NormalWeb"/>
        <w:spacing w:lineRule="auto" w:line="276" w:before="120" w:after="0"/>
        <w:jc w:val="both"/>
        <w:rPr>
          <w:rFonts w:ascii="Book Antiqua" w:hAnsi="Book Antiqua"/>
          <w:sz w:val="22"/>
          <w:szCs w:val="22"/>
        </w:rPr>
      </w:pPr>
      <w:r>
        <w:rPr>
          <w:rFonts w:ascii="Book Antiqua" w:hAnsi="Book Antiqua"/>
          <w:sz w:val="22"/>
          <w:szCs w:val="22"/>
        </w:rPr>
        <w:tab/>
        <w:t>Vzhľadom k tomu, že zákon samostatne upravuje konanie o žiadosti, nie je možné na dané konanie aplikovať ustanovenia Správneho poriadku, ktorého použitie zákon výslovne vylučuje.</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12</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V prípade schválenia poskytnutia dotácie komisiou podľa § 11 lazníckeho zákona sa dotácia uzatvorí na základe zmluvy, ktorá má písomnú formu, medzi lazníckou obcou a ministerstvom. Podstatné náležitosti zmluvy sú stanovené v odseku 2.</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13</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Ministerstvo vykonáva kontrolu dodržiavania podmienok stanovených v zmluve o poskytnutí dotácie podľa § 12 lazníckeho zákona. Kontrola je zabezpečovaná aj prostredníctvom každoročného predkladania správ o použití dotácie lazníckou obcou a výške dotácie, ktorá nebola vyčerpaná, ak bola dotácia poskytnutá na časové obdobie prevyšujúce jeden rok. Laznícka obec je taktiež povinná vypracovať záverečnú správu po úplnom vyčerpaní dotácie a vyúčtovanie dotácie.</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Podobne, p</w:t>
      </w:r>
      <w:r>
        <w:rPr>
          <w:rFonts w:cs="Book Antiqua" w:ascii="Book Antiqua" w:hAnsi="Book Antiqua"/>
          <w:sz w:val="22"/>
          <w:szCs w:val="22"/>
          <w:lang w:bidi="si-LK"/>
        </w:rPr>
        <w:t>odmienky poskytnutia podpory lazníckou obcou konkrétnemu žiadateľovi formou dotácie na účely uvedené v § 4 písm. b) a c) lazníckeho zákona, ako aj kontrolu dodržiavania zmluvných podmienok a vyúčtovania takejto dotácie ustanoví všeobecne záväzné nariadenie lazníckej obce.</w:t>
      </w:r>
      <w:r>
        <w:rPr>
          <w:rFonts w:ascii="Book Antiqua" w:hAnsi="Book Antiqua"/>
          <w:bCs/>
          <w:sz w:val="22"/>
          <w:szCs w:val="22"/>
        </w:rPr>
        <w:t xml:space="preserve"> </w:t>
      </w:r>
    </w:p>
    <w:p>
      <w:pPr>
        <w:pStyle w:val="NormalWeb"/>
        <w:spacing w:lineRule="auto" w:line="276" w:before="120" w:after="0"/>
        <w:jc w:val="both"/>
        <w:rPr>
          <w:rFonts w:ascii="Book Antiqua" w:hAnsi="Book Antiqua"/>
          <w:bCs/>
          <w:sz w:val="22"/>
          <w:szCs w:val="22"/>
        </w:rPr>
      </w:pPr>
      <w:r>
        <w:rPr>
          <w:rFonts w:ascii="Book Antiqua" w:hAnsi="Book Antiqua"/>
          <w:bCs/>
          <w:sz w:val="22"/>
          <w:szCs w:val="22"/>
          <w:u w:val="single"/>
        </w:rPr>
        <w:t>K § 14</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Laznícky zákon definuje informačný systém, ktorý vytvára a spravuje ministerstvo, ktorý obsahuje základné informácie o žiadostiach a ich prílohách, výške dotácie, ktorú je možné v príslušnom rozpočtovom roku poskytnúť a plnení zmluvných podmienok, informácie o schválených a nechválených žiadostiach o poskytnutí dotácie a pod.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rPr>
        <w:tab/>
        <w:t xml:space="preserve">Povinnosť zverejňovať informácie podľa § 14 ods. 4 a 5 je uložená nielen ministerstvu, ale aj lazníckej obci v zmysle ustanovenia § 5 ods. 6 lazníckeho zákona, čo môže byť považované za samostatný druh kontroly vykonávanej verejnosťou. </w:t>
      </w:r>
    </w:p>
    <w:p>
      <w:pPr>
        <w:pStyle w:val="NormalWeb"/>
        <w:spacing w:lineRule="auto" w:line="276" w:before="120" w:after="0"/>
        <w:jc w:val="both"/>
        <w:rPr>
          <w:rFonts w:ascii="Book Antiqua" w:hAnsi="Book Antiqua"/>
          <w:b/>
          <w:b/>
          <w:bCs/>
          <w:sz w:val="22"/>
          <w:szCs w:val="22"/>
        </w:rPr>
      </w:pPr>
      <w:r>
        <w:rPr>
          <w:rFonts w:ascii="Book Antiqua" w:hAnsi="Book Antiqua"/>
          <w:bCs/>
          <w:sz w:val="22"/>
          <w:szCs w:val="22"/>
          <w:u w:val="single"/>
        </w:rPr>
        <w:t>K § 15</w:t>
      </w:r>
    </w:p>
    <w:p>
      <w:pPr>
        <w:pStyle w:val="Normal"/>
        <w:spacing w:lineRule="auto" w:line="276" w:before="120" w:after="0"/>
        <w:ind w:firstLine="708"/>
        <w:jc w:val="both"/>
        <w:rPr>
          <w:rFonts w:ascii="Book Antiqua" w:hAnsi="Book Antiqua"/>
          <w:sz w:val="22"/>
          <w:szCs w:val="22"/>
          <w:lang w:eastAsia="en-US"/>
        </w:rPr>
      </w:pPr>
      <w:r>
        <w:rPr>
          <w:rFonts w:ascii="Book Antiqua" w:hAnsi="Book Antiqua"/>
          <w:sz w:val="22"/>
          <w:szCs w:val="22"/>
          <w:lang w:eastAsia="en-US"/>
        </w:rPr>
        <w:t xml:space="preserve">Pôdohospodársky poradenský systém je poradenská, metodická a informačná činnosť v oblasti vzdelávania v pôdohospodárstve. Poradenský systém je riadený ministerstvom, ktoré zabezpečuje základné informačné aktivity pre všetky cieľové skupiny priamo alebo prostredníctvom delegovaných právomocí. Ministerstvo informuje žiadateľov o všetkých nových informáciách a zmenách prostredníctvom svojho webového sídla a organizovaním informačných dní priamo v regiónoch Slovenska. Terénne poradenstvo vykonávajú certifikovaní poradcovia z rôznych oblastí (súkromná sféra, univerzity a výskumné ústavy, komory, zväzy a iné združenia vrátane občianskych a mimovládnych organizácií).  Odborné vzdelávanie sa poskytuje napr. v oblasti prípravkov na ochranu rastlín, čo by mohlo predstavovať značný prínos pre obhospodarovateľov lazníckej pôdy. </w:t>
      </w:r>
    </w:p>
    <w:p>
      <w:pPr>
        <w:pStyle w:val="Normal"/>
        <w:spacing w:lineRule="auto" w:line="276" w:before="120" w:after="0"/>
        <w:ind w:firstLine="708"/>
        <w:jc w:val="both"/>
        <w:rPr>
          <w:rFonts w:ascii="Book Antiqua" w:hAnsi="Book Antiqua"/>
          <w:sz w:val="22"/>
          <w:szCs w:val="22"/>
          <w:highlight w:val="white"/>
        </w:rPr>
      </w:pPr>
      <w:r>
        <w:rPr>
          <w:rFonts w:ascii="Book Antiqua" w:hAnsi="Book Antiqua"/>
          <w:sz w:val="22"/>
          <w:szCs w:val="22"/>
          <w:lang w:eastAsia="en-US"/>
        </w:rPr>
        <w:t>Opatrenia s cieľom zabezpečiť dostupnosť dostatočnej poradenskej kapacity na poradenstvo o regulačných požiadavkách a všetkých hľadiskách spojených s udržateľným riadením v poľnohospodárstve a lesnom hospodárstve, ako aj v oblasti klímy</w:t>
      </w:r>
      <w:r>
        <w:rPr>
          <w:rFonts w:ascii="Book Antiqua" w:hAnsi="Book Antiqua"/>
          <w:b/>
          <w:sz w:val="22"/>
          <w:szCs w:val="22"/>
          <w:lang w:eastAsia="en-US"/>
        </w:rPr>
        <w:t xml:space="preserve">  </w:t>
      </w:r>
      <w:r>
        <w:rPr>
          <w:rFonts w:ascii="Book Antiqua" w:hAnsi="Book Antiqua"/>
          <w:sz w:val="22"/>
          <w:szCs w:val="22"/>
          <w:lang w:eastAsia="en-US"/>
        </w:rPr>
        <w:t>sú navrhnuté formou opatrenia Poradenské služby n</w:t>
      </w:r>
      <w:r>
        <w:rPr>
          <w:rFonts w:ascii="Book Antiqua" w:hAnsi="Book Antiqua"/>
          <w:sz w:val="22"/>
          <w:szCs w:val="22"/>
          <w:shd w:fill="FFFFFF" w:val="clear"/>
        </w:rPr>
        <w:t>a základe Programu rozvoja vidieka SR 2014 - 2020, vyplývajúceho z čl. 16 ods. 1 c) nariadenia Európskeho parlamentu a Rady o podpore a rozvoji vidieka prostredníctvom Európskeho poľnohospodárskeho fondu pre rozvoj vidieka č. 2011/0282 (COD), poverením Ministerstva pôdohospodárstva a rozvoja vidieka SR zo dňa 16.12.2013, číslo: 889/2013-100 a ďalších nariadení a následných zmien, Agroinštitút Nitra, štátny podnik vykonáva akreditovanú vzdelávaciu činnosť, realizáciu jednotlivých druhov celoživotného vzdelávania, najmä výkonom nasledujúcich úloh v oblasti pôdohospodárskeho poradenstva:</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realizácia koncepcie poradenských služieb v SR v zmysle legislatívnych rámcov EÚ a akreditácie vzdelávania pôdohospodárskych poradcov Ministerstva pôdohospodárstva a rozvoja vidieka SR,</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zabezpečenie certifikácie poradcov, vedenie Centrálneho registra pôdohospodárskych poradcov SR a realizácia poradenského systému,</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spolupráca s univerzitami a výskumnými ústavmi pôdohospodárskeho zamerania doma aj v zahraničí,</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vydávanie učebných materiálov pre poradcov v tlačenej a elektronickej forme,</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príprava koncepčných a strategických dokumentov v oblasti poradenstva,</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tvorba vzdelávacích programov a projektov pre rôzne cieľové skupiny pôdohospodárskej praxe,</w:t>
      </w:r>
    </w:p>
    <w:p>
      <w:pPr>
        <w:pStyle w:val="Normal"/>
        <w:numPr>
          <w:ilvl w:val="0"/>
          <w:numId w:val="2"/>
        </w:numPr>
        <w:shd w:val="clear" w:color="auto" w:fill="FFFFFF"/>
        <w:spacing w:lineRule="auto" w:line="276" w:before="120" w:after="0"/>
        <w:jc w:val="both"/>
        <w:rPr>
          <w:rFonts w:ascii="Book Antiqua" w:hAnsi="Book Antiqua"/>
          <w:sz w:val="22"/>
          <w:szCs w:val="22"/>
        </w:rPr>
      </w:pPr>
      <w:r>
        <w:rPr>
          <w:rFonts w:ascii="Book Antiqua" w:hAnsi="Book Antiqua"/>
          <w:sz w:val="22"/>
          <w:szCs w:val="22"/>
        </w:rPr>
        <w:t>realizácia vzdelávacích aktivít.</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16</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Podľa štvrtej časti lazníckeho zákona môžu byť poskytované dotácie aj lazníckym obciam, a to na miestne komunikácie a účelové komunikácie, ktoré sú vo vlastníctve lazníckej obce a táto ich aj spravuje, a na osobitnú pravidelnú dopravu vo forme školských autobusov. </w:t>
      </w:r>
    </w:p>
    <w:p>
      <w:pPr>
        <w:pStyle w:val="Poznmkapodiarou"/>
        <w:spacing w:lineRule="auto" w:line="276" w:before="120" w:after="0"/>
        <w:ind w:firstLine="708"/>
        <w:rPr>
          <w:rFonts w:ascii="Book Antiqua" w:hAnsi="Book Antiqua"/>
          <w:sz w:val="22"/>
          <w:szCs w:val="22"/>
        </w:rPr>
      </w:pPr>
      <w:r>
        <w:rPr>
          <w:rFonts w:ascii="Book Antiqua" w:hAnsi="Book Antiqua"/>
          <w:bCs/>
          <w:sz w:val="22"/>
          <w:szCs w:val="22"/>
        </w:rPr>
        <w:t xml:space="preserve">Ministerstvo dopravy a výstavby Slovenskej republiky (ďalej len „ministerstvo dopravy“) zabezpečuje finančné transfery vo veciach na </w:t>
      </w:r>
      <w:r>
        <w:rPr>
          <w:rFonts w:ascii="Book Antiqua" w:hAnsi="Book Antiqua"/>
          <w:sz w:val="22"/>
          <w:szCs w:val="22"/>
        </w:rPr>
        <w:t xml:space="preserve">miestnych komunikáciách a účelových komunikáciách. </w:t>
      </w:r>
      <w:r>
        <w:rPr>
          <w:rFonts w:ascii="Book Antiqua" w:hAnsi="Book Antiqua"/>
          <w:bCs/>
          <w:sz w:val="22"/>
          <w:szCs w:val="22"/>
        </w:rPr>
        <w:t xml:space="preserve">V zmysle </w:t>
      </w:r>
      <w:r>
        <w:rPr>
          <w:rFonts w:ascii="Book Antiqua" w:hAnsi="Book Antiqua"/>
          <w:sz w:val="22"/>
          <w:szCs w:val="22"/>
        </w:rPr>
        <w:t xml:space="preserve">§ 3 ods. 3 písm. s) zákona č. 135/1961 Zb. o pozemných komunikáciách (cestný zákon) uskutočňuje finančné transfery obciam na prenesený výkon štátnej správy. Lazníckym zákonom sa ministerstvu dopravy zavádza povinnosť prihliadať na osobitné postavenie a špecifické potreby lazníckej obce spojené so správou týchto komunikácií. Spôsob, akým bude ministerstvo dopravy prihliadať na postavenie lazníckych obcí a ich potreby, ustanoví všeobecne záväzný právny predpis. </w:t>
      </w:r>
    </w:p>
    <w:p>
      <w:pPr>
        <w:pStyle w:val="Poznmkapodiarou"/>
        <w:spacing w:lineRule="auto" w:line="276" w:before="120" w:after="0"/>
        <w:ind w:firstLine="708"/>
        <w:rPr>
          <w:rFonts w:ascii="Book Antiqua" w:hAnsi="Book Antiqua"/>
          <w:sz w:val="22"/>
          <w:szCs w:val="22"/>
        </w:rPr>
      </w:pPr>
      <w:r>
        <w:rPr>
          <w:rFonts w:ascii="Book Antiqua" w:hAnsi="Book Antiqua"/>
          <w:sz w:val="22"/>
          <w:szCs w:val="22"/>
        </w:rPr>
        <w:t xml:space="preserve">Laznícka obec má nárok aj na poskytnutie dotácie na zabezpečenie prepravy detí, žiakov a študentov stredných a vysokých škôl do škôl a školských zariadení vo forme osobitnej pravidelnej dopravy. Dotácia sa vypláca prostredníctvom samosprávneho kraja v zmysle zákona č. 416/2001 Z. z. </w:t>
      </w:r>
      <w:r>
        <w:rPr>
          <w:rStyle w:val="H1a"/>
          <w:rFonts w:ascii="Book Antiqua" w:hAnsi="Book Antiqua"/>
          <w:sz w:val="22"/>
          <w:szCs w:val="22"/>
        </w:rPr>
        <w:t>o prechode niektorých pôsobností z orgánov štátnej správy na obce a na vyššie územné celky v znení neskorších predpisov.</w:t>
      </w:r>
    </w:p>
    <w:p>
      <w:pPr>
        <w:pStyle w:val="Poznmkapodiarou"/>
        <w:spacing w:lineRule="auto" w:line="276" w:before="120" w:after="0"/>
        <w:ind w:firstLine="708"/>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 xml:space="preserve">Osobitnou pravidelnou dopravou je podľa § 24 zákona č. 56/2012 Z. z. o cestnej doprave v znení neskorších predpisov pravidelná doprava pre vopred dohodnuté skupiny cestujúcich s vylúčením ostatných cestujúcich, najmä doprava zamestnancov do zamestnania a zo zamestnania a žiakov a študentov do vzdelávacích zariadení a späť. Uskutočňuje sa na základe zmluvy medzi dopravcom a objednávateľom prepravy po dohodnutej trase s dohodnutými zastávkami v dohodnutej periodicite.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17</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Pôdohospodárstvo a znevýhodnené oblasti sú oblasti, na ktoré bývajú v značnej miere uvoľňované finančné prostriedky či už zo štátneho rozpočtu vo forme príspevkov, dotácií, štátnej pomoci alebo z Európskej únie vo forme napr. priamych platieb alebo z operačných programov na programovacie obdobie 2014 - 2020. Laznícky zákon nezasahuje do podávania žiadostí a poskytovania týchto druhov podpory, ale stanovuje ďalšie možnosti, ako uľahčiť životné podmienky obyvateľov oblastí s rozptýleným osídlením a lazníckym obciam.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18</w:t>
      </w:r>
    </w:p>
    <w:p>
      <w:pPr>
        <w:pStyle w:val="Normal"/>
        <w:spacing w:lineRule="auto" w:line="276" w:before="120" w:after="0"/>
        <w:jc w:val="both"/>
        <w:rPr>
          <w:rFonts w:ascii="Book Antiqua" w:hAnsi="Book Antiqua"/>
          <w:sz w:val="22"/>
          <w:szCs w:val="22"/>
        </w:rPr>
      </w:pPr>
      <w:r>
        <w:rPr>
          <w:rFonts w:ascii="Book Antiqua" w:hAnsi="Book Antiqua"/>
          <w:bCs/>
          <w:sz w:val="22"/>
          <w:szCs w:val="22"/>
        </w:rPr>
        <w:tab/>
        <w:t xml:space="preserve">Ide o legislatívne ustanovenie, ktoré zakotvuje prednosť medzinárodnej </w:t>
      </w:r>
      <w:r>
        <w:rPr>
          <w:rFonts w:ascii="Book Antiqua" w:hAnsi="Book Antiqua"/>
          <w:sz w:val="22"/>
          <w:szCs w:val="22"/>
        </w:rPr>
        <w:t xml:space="preserve">zmluvy, ktorou je Slovenská republika viazaná, a priamo aplikovateľných právnych aktov Európskej únie, najmä z oblasti štátnej pomoci, pred ustanoveniami </w:t>
      </w:r>
      <w:r>
        <w:rPr>
          <w:rFonts w:ascii="Book Antiqua" w:hAnsi="Book Antiqua"/>
          <w:bCs/>
          <w:sz w:val="22"/>
          <w:szCs w:val="22"/>
        </w:rPr>
        <w:t>lazníckeho zákona.</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19</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 xml:space="preserve">Ustanovenie § 19 upravuje nárokovateľnosť poskytovania dotácií na základe ustanovení lazníckeho zákona a úpravu vrátenia dotácií v prípade ich nevyčerpania v stanovenom období.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20</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 xml:space="preserve">Vzhľadom k nedostatku spôsobilosti na právne úkony do dovŕšenia dospelosti koná za maloletú osobu jej zákonný zástupca, teda aj podáva žiadosti o poskytnutie dotácie za účelom osobitnej podpory obyvateľovi lazov.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21</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Laznícka obec nie je kompetentná posudzovať splnenie podmienok a naplnenia výkonu bežného obhospodarovania lazníckej pôdy obyvateľom lazov. Vzhľadom k tomu sa upravuje pôsobnosť obvodného pozemkového úradu v zákone č. 220/2004 Z. z. o ochrane a využívaní poľnohospodárskej pôdy a o zmene zákona č. 245/2003 Z. z. o integrovanej prevencii a kontrole znečisťovania životného prostredia a o zmene a doplnení niektorých zákonov v znení neskorších predpisov. Obvodný pozemkový úrad a laznícka obec si vzájomne poskytujú súčinnosť. </w:t>
      </w:r>
    </w:p>
    <w:p>
      <w:pPr>
        <w:pStyle w:val="NormalWeb"/>
        <w:spacing w:lineRule="auto" w:line="276" w:before="120" w:after="0"/>
        <w:jc w:val="both"/>
        <w:rPr>
          <w:rFonts w:ascii="Book Antiqua" w:hAnsi="Book Antiqua"/>
          <w:bCs/>
          <w:sz w:val="22"/>
          <w:szCs w:val="22"/>
          <w:u w:val="single"/>
        </w:rPr>
      </w:pPr>
      <w:r>
        <w:rPr>
          <w:rFonts w:ascii="Book Antiqua" w:hAnsi="Book Antiqua"/>
          <w:bCs/>
          <w:sz w:val="22"/>
          <w:szCs w:val="22"/>
          <w:u w:val="single"/>
        </w:rPr>
        <w:t>K § 22</w:t>
      </w:r>
    </w:p>
    <w:p>
      <w:pPr>
        <w:pStyle w:val="NormalWeb"/>
        <w:spacing w:lineRule="auto" w:line="276" w:before="120" w:after="0"/>
        <w:jc w:val="both"/>
        <w:rPr>
          <w:rFonts w:ascii="Book Antiqua" w:hAnsi="Book Antiqua"/>
          <w:sz w:val="22"/>
          <w:szCs w:val="22"/>
        </w:rPr>
      </w:pPr>
      <w:r>
        <w:rPr>
          <w:rFonts w:ascii="Book Antiqua" w:hAnsi="Book Antiqua"/>
          <w:b/>
          <w:bCs/>
          <w:sz w:val="22"/>
          <w:szCs w:val="22"/>
        </w:rPr>
        <w:tab/>
      </w:r>
      <w:r>
        <w:rPr>
          <w:rFonts w:ascii="Book Antiqua" w:hAnsi="Book Antiqua"/>
          <w:bCs/>
          <w:sz w:val="22"/>
          <w:szCs w:val="22"/>
        </w:rPr>
        <w:t>Vzhľadom na nadobudnutie účinnosti zákona 1. januára 2020 a na dopad na štátny rozpočet Slovenskej republiky, ako aj s prihliadnutím na ministerstvá a obce, ktorým návrh lazníckeho zákona ukladá viaceré legislatívne a administratívne povinnosti s cieľom zabezpečiť uplatňovanie tohto zákona, je potrebné celý systém vhodne načasovať a stanoviť termíny, dokedy sú všetky dotknuté subjekty povinné si všetky svoje záväzky splniť, resp. všetky svoje práva uplatniť.</w:t>
        <w:tab/>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II</w:t>
      </w:r>
    </w:p>
    <w:p>
      <w:pPr>
        <w:pStyle w:val="Poznmkapodiarou"/>
        <w:spacing w:lineRule="auto" w:line="276" w:before="120" w:after="0"/>
        <w:ind w:firstLine="708"/>
        <w:rPr>
          <w:rFonts w:ascii="Book Antiqua" w:hAnsi="Book Antiqua"/>
          <w:sz w:val="22"/>
          <w:szCs w:val="22"/>
        </w:rPr>
      </w:pPr>
      <w:r>
        <w:rPr>
          <w:rFonts w:ascii="Book Antiqua" w:hAnsi="Book Antiqua"/>
          <w:bCs/>
          <w:sz w:val="22"/>
          <w:szCs w:val="22"/>
        </w:rPr>
        <w:t xml:space="preserve">Ministerstvo dopravy zabezpečuje </w:t>
      </w:r>
      <w:r>
        <w:rPr>
          <w:rFonts w:ascii="Book Antiqua" w:hAnsi="Book Antiqua"/>
          <w:sz w:val="22"/>
          <w:szCs w:val="22"/>
        </w:rPr>
        <w:t>finančné transfery obciam na prenesený výkon štátnej správy</w:t>
      </w:r>
      <w:r>
        <w:rPr>
          <w:rFonts w:ascii="Book Antiqua" w:hAnsi="Book Antiqua"/>
          <w:bCs/>
          <w:sz w:val="22"/>
          <w:szCs w:val="22"/>
        </w:rPr>
        <w:t xml:space="preserve"> vo veciach </w:t>
      </w:r>
      <w:r>
        <w:rPr>
          <w:rFonts w:ascii="Book Antiqua" w:hAnsi="Book Antiqua"/>
          <w:sz w:val="22"/>
          <w:szCs w:val="22"/>
        </w:rPr>
        <w:t xml:space="preserve">miestnych komunikácií a účelových komunikácií  </w:t>
      </w:r>
      <w:r>
        <w:rPr>
          <w:rFonts w:ascii="Book Antiqua" w:hAnsi="Book Antiqua"/>
          <w:bCs/>
          <w:sz w:val="22"/>
          <w:szCs w:val="22"/>
        </w:rPr>
        <w:t xml:space="preserve">podľa </w:t>
      </w:r>
      <w:r>
        <w:rPr>
          <w:rFonts w:ascii="Book Antiqua" w:hAnsi="Book Antiqua"/>
          <w:sz w:val="22"/>
          <w:szCs w:val="22"/>
        </w:rPr>
        <w:t xml:space="preserve">§ 3 ods. 3 písm. s) zákona č. 135/1961 Zb. o pozemných komunikáciách (cestný zákon). Zákonom o podpore zachovania územia s rozptýleným osídlením a jeho obyvateľov (laznícky zákon) a o zmene a doplnení niektorých zákonov sa ministerstvu dopravy zavádza povinnosť prihliadať na osobitné postavenie a špecifické potreby lazníckej obce spojené so správou týchto komunikácií. </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III</w:t>
      </w:r>
    </w:p>
    <w:p>
      <w:pPr>
        <w:pStyle w:val="NormalWeb"/>
        <w:spacing w:lineRule="auto" w:line="276" w:before="120" w:after="0"/>
        <w:jc w:val="both"/>
        <w:rPr>
          <w:rFonts w:ascii="Book Antiqua" w:hAnsi="Book Antiqua"/>
          <w:sz w:val="22"/>
          <w:szCs w:val="22"/>
        </w:rPr>
      </w:pPr>
      <w:r>
        <w:rPr>
          <w:rFonts w:ascii="Book Antiqua" w:hAnsi="Book Antiqua"/>
          <w:bCs/>
          <w:sz w:val="22"/>
          <w:szCs w:val="22"/>
        </w:rPr>
        <w:tab/>
        <w:t xml:space="preserve">Vzhľadom na stanovenie možnosti získania dotácie na podporu osobitnej cestnej dopravy v lazníckych obciach podľa zákona </w:t>
      </w:r>
      <w:r>
        <w:rPr>
          <w:rFonts w:ascii="Book Antiqua" w:hAnsi="Book Antiqua"/>
          <w:sz w:val="22"/>
          <w:szCs w:val="22"/>
        </w:rPr>
        <w:t xml:space="preserve">o podpore zachovania územia s rozptýleným osídlením a jeho obyvateľov (laznícky zákon) a o zmene a doplnení niektorých zákonov bolo potrebné upraviť kompetencie samosprávneho kraja, prostredníctvom ktorého sa bude dotácia na podporu osobitnej pravidelnej dopravy podľa zákona č. 56/2012 Z. z. o cestnej doprave v znení neskorších predpisov vyplácať. </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IV</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V právomoci obvodného pozemkového úradu je vydávanie záväzných stanovísk, ochrana poľnohospodárskej pôdy a pod. Vzhľadom k tomu sa upravuje pôsobnosť obvodného pozemkového úradu a zavádza sa povinnosť vydávať záväzné stanoviská k splneniu podmienky vykonávania bežného obhospodarovania obyvateľa lazov. Obvodný pozemkový úrad a laznícka obec si vzájomne poskytujú súčinnosť. </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V</w:t>
      </w:r>
    </w:p>
    <w:p>
      <w:pPr>
        <w:pStyle w:val="NormalWeb"/>
        <w:spacing w:lineRule="auto" w:line="276" w:before="120" w:after="0"/>
        <w:jc w:val="both"/>
        <w:rPr>
          <w:rFonts w:ascii="Book Antiqua" w:hAnsi="Book Antiqua"/>
          <w:bCs/>
          <w:sz w:val="22"/>
          <w:szCs w:val="22"/>
        </w:rPr>
      </w:pPr>
      <w:r>
        <w:rPr>
          <w:rFonts w:ascii="Book Antiqua" w:hAnsi="Book Antiqua"/>
          <w:b/>
          <w:bCs/>
          <w:sz w:val="22"/>
          <w:szCs w:val="22"/>
        </w:rPr>
        <w:tab/>
        <w:t xml:space="preserve"> </w:t>
      </w:r>
      <w:r>
        <w:rPr>
          <w:rFonts w:ascii="Book Antiqua" w:hAnsi="Book Antiqua"/>
          <w:bCs/>
          <w:sz w:val="22"/>
          <w:szCs w:val="22"/>
        </w:rPr>
        <w:t>V zmysle zákona č. 523/2004</w:t>
      </w:r>
      <w:r>
        <w:rPr>
          <w:rFonts w:ascii="Book Antiqua" w:hAnsi="Book Antiqua"/>
          <w:sz w:val="22"/>
          <w:szCs w:val="22"/>
        </w:rPr>
        <w:t xml:space="preserve"> Z. z. </w:t>
      </w:r>
      <w:r>
        <w:rPr>
          <w:rFonts w:ascii="Book Antiqua" w:hAnsi="Book Antiqua"/>
          <w:bCs/>
          <w:sz w:val="22"/>
          <w:szCs w:val="22"/>
        </w:rPr>
        <w:t xml:space="preserve">o rozpočtových pravidlách verejnej správy a o zmene a doplnení niektorých zákonov v znení neskorších predpisov zo štátneho rozpočtu možno v súlade so zákonom o štátnom rozpočte na príslušný rozpočtový rok poskytovať dotácie podľa § 8a, a teda z výdavkov štátneho rozpočtu možno v súlade so zákonom o štátnom rozpočte na príslušný rozpočtový rok poskytovať dotácie právnickým osobám a fyzickým osobám – podnikateľom. </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 xml:space="preserve">Zákon č. </w:t>
      </w:r>
      <w:r>
        <w:rPr>
          <w:rFonts w:ascii="Book Antiqua" w:hAnsi="Book Antiqua"/>
          <w:sz w:val="22"/>
          <w:szCs w:val="22"/>
        </w:rPr>
        <w:t xml:space="preserve">583/2004 Z. z. o rozpočtových pravidlách územnej samosprávy a o zmene a doplnení niektorých zákonov v znení neskorších predpisov upravuje subjekty, ktorým môže obec poskytovať dotácie z rozpočtu obce v súlade s rozpočtovými pravidlami. Vzhľadom na právnu úpravu stanovenú v </w:t>
      </w:r>
      <w:r>
        <w:rPr>
          <w:rFonts w:ascii="Book Antiqua" w:hAnsi="Book Antiqua"/>
          <w:bCs/>
          <w:sz w:val="22"/>
          <w:szCs w:val="22"/>
        </w:rPr>
        <w:t xml:space="preserve">zákone </w:t>
      </w:r>
      <w:r>
        <w:rPr>
          <w:rFonts w:ascii="Book Antiqua" w:hAnsi="Book Antiqua"/>
          <w:sz w:val="22"/>
          <w:szCs w:val="22"/>
        </w:rPr>
        <w:t>o podpore zachovania územia s rozptýleným osídlením a jeho obyvateľov (laznícky zákon) a o zmene a doplnení niektorých zákonov bolo potrebnú upraviť možnosť poskytovania podpory aj fyzickým osobám, ktoré nie sú podnikateľmi, a to v súlade so všeobecne záväzným nariadením obce a podmienkami ustanovenými v zákone o podpore zachovania územia s rozptýleným osídlením a jeho obyvateľov (laznícky zákon) a o zmene a doplnení niektorých zákonov      (čl. I).</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VI</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tab/>
        <w:t>Poradenský systém v poľnohospodárstve je účinným nástrojom k rozvoju vzdelávania, informovania a metodickej činnosti poľnohospodárovi pri obhospodarovaní pôdy a správe poľnohospodárskeho podniku najmä v oblasti krížového plnenia, životného prostredia, verejného zdravia, zdravia zvierat a rastlín, dobrých životných podmienok zvierat, udržania dobrého poľnohospodárskeho a environmentálneho stavu a noriem bezpečnosti pri práci. Vzhľadom k zavedeniu možnosti využívať poradenské služby aj pre obyvateľov lazov, ktorí sami môžu vykonávať bežné obhospodarovanie lazníckej pôdy, bolo potrebné rozšíriť pôsobnosť tohto zákona aj na ďalšie subjekty a stanoviť právomoc Ministerstvu pôdohospodárstva a rozvoja vidieka SR zabezpečiť pre ne bezplatnú poradenskú službu.</w:t>
      </w:r>
    </w:p>
    <w:p>
      <w:pPr>
        <w:pStyle w:val="NormalWeb"/>
        <w:spacing w:lineRule="auto" w:line="276" w:before="120" w:after="0"/>
        <w:jc w:val="both"/>
        <w:rPr>
          <w:rFonts w:ascii="Book Antiqua" w:hAnsi="Book Antiqua"/>
          <w:bCs/>
          <w:sz w:val="22"/>
          <w:szCs w:val="22"/>
        </w:rPr>
      </w:pPr>
      <w:r>
        <w:rPr>
          <w:rFonts w:ascii="Book Antiqua" w:hAnsi="Book Antiqua"/>
          <w:bCs/>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VII</w:t>
      </w:r>
    </w:p>
    <w:p>
      <w:pPr>
        <w:pStyle w:val="NormalWeb"/>
        <w:spacing w:lineRule="auto" w:line="276" w:before="120" w:after="0"/>
        <w:jc w:val="both"/>
        <w:rPr>
          <w:rFonts w:ascii="Book Antiqua" w:hAnsi="Book Antiqua"/>
          <w:sz w:val="22"/>
          <w:szCs w:val="22"/>
        </w:rPr>
      </w:pPr>
      <w:r>
        <w:rPr>
          <w:rFonts w:ascii="Book Antiqua" w:hAnsi="Book Antiqua"/>
          <w:b/>
          <w:bCs/>
          <w:sz w:val="22"/>
          <w:szCs w:val="22"/>
        </w:rPr>
        <w:tab/>
      </w:r>
      <w:r>
        <w:rPr>
          <w:rFonts w:ascii="Book Antiqua" w:hAnsi="Book Antiqua"/>
          <w:bCs/>
          <w:sz w:val="22"/>
          <w:szCs w:val="22"/>
        </w:rPr>
        <w:t xml:space="preserve">Vzhľadom na stanovenie možnosti získania dotácie na podporu osobitnej cestnej dopravy v lazníckych obciach podľa zákona </w:t>
      </w:r>
      <w:r>
        <w:rPr>
          <w:rFonts w:ascii="Book Antiqua" w:hAnsi="Book Antiqua"/>
          <w:sz w:val="22"/>
          <w:szCs w:val="22"/>
        </w:rPr>
        <w:t xml:space="preserve">o podpore zachovania územia s rozptýleným osídlením a jeho obyvateľov (laznícky zákon) a o zmene a doplnení niektorých zákonov bolo potrebné upraviť kompetencie Ministerstva </w:t>
      </w:r>
      <w:r>
        <w:rPr>
          <w:rFonts w:ascii="Book Antiqua" w:hAnsi="Book Antiqua"/>
          <w:bCs/>
          <w:sz w:val="22"/>
          <w:szCs w:val="22"/>
        </w:rPr>
        <w:t>dopravy a výstavby SR</w:t>
      </w:r>
      <w:r>
        <w:rPr>
          <w:rFonts w:ascii="Book Antiqua" w:hAnsi="Book Antiqua"/>
          <w:sz w:val="22"/>
          <w:szCs w:val="22"/>
        </w:rPr>
        <w:t xml:space="preserve"> pri poskytovaní dotácie, schvaľovania cestovného poriadku a kompetencie samosprávneho kraja, prostredníctvom ktorého sa bude dotácia na podporu osobitnej pravidelnej dopravy vyplácať. </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K Čl. VIII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Navrhuje sa účinnosť predkladaného zákona od 1. januára 2020, a to s ohľadom na dĺžku legisvakančnej lehoty, pričom poskytovanie finančných transferov a dotácií, ako aj možnosť podávať prvé písomné žiadosti o poskytnutie týchto dotácií sa stanovilo až na rok 2021 z dôvodu potreby ich naplánovania a vyčlenenia v štátnom rozpočte.</w:t>
      </w:r>
    </w:p>
    <w:p>
      <w:pPr>
        <w:pStyle w:val="Normal"/>
        <w:spacing w:lineRule="auto" w:line="276" w:before="120" w:after="0"/>
        <w:rPr>
          <w:rFonts w:ascii="Book Antiqua" w:hAnsi="Book Antiqua"/>
          <w:b/>
          <w:b/>
          <w:bCs/>
          <w:caps/>
          <w:spacing w:val="30"/>
          <w:sz w:val="22"/>
          <w:szCs w:val="22"/>
        </w:rPr>
      </w:pPr>
      <w:r>
        <w:rPr>
          <w:rFonts w:ascii="Book Antiqua" w:hAnsi="Book Antiqua"/>
          <w:b/>
          <w:bCs/>
          <w:caps/>
          <w:spacing w:val="30"/>
          <w:sz w:val="22"/>
          <w:szCs w:val="22"/>
        </w:rPr>
      </w:r>
      <w:r>
        <w:br w:type="page"/>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t>DOLOŽKA ZLUČITEĽNOSTI</w:t>
      </w:r>
    </w:p>
    <w:p>
      <w:pPr>
        <w:pStyle w:val="NormalWeb"/>
        <w:spacing w:lineRule="auto" w:line="276" w:before="120" w:after="0"/>
        <w:jc w:val="center"/>
        <w:rPr>
          <w:rFonts w:ascii="Book Antiqua" w:hAnsi="Book Antiqua"/>
          <w:sz w:val="22"/>
          <w:szCs w:val="22"/>
        </w:rPr>
      </w:pP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pPr>
        <w:pStyle w:val="NormalWeb"/>
        <w:spacing w:lineRule="auto" w:line="276" w:before="120" w:after="0"/>
        <w:jc w:val="both"/>
        <w:rPr>
          <w:rFonts w:ascii="Book Antiqua" w:hAnsi="Book Antiqua"/>
          <w:sz w:val="22"/>
          <w:szCs w:val="22"/>
        </w:rPr>
      </w:pPr>
      <w:r>
        <w:rPr>
          <w:rFonts w:ascii="Book Antiqua" w:hAnsi="Book Antiqua"/>
          <w:sz w:val="22"/>
          <w:szCs w:val="22"/>
        </w:rPr>
        <w:t> </w:t>
      </w:r>
    </w:p>
    <w:p>
      <w:pPr>
        <w:pStyle w:val="NormalWeb"/>
        <w:spacing w:lineRule="auto" w:line="276" w:before="120" w:after="0"/>
        <w:jc w:val="both"/>
        <w:rPr>
          <w:rFonts w:ascii="Book Antiqua" w:hAnsi="Book Antiqua"/>
          <w:sz w:val="22"/>
          <w:szCs w:val="22"/>
        </w:rPr>
      </w:pPr>
      <w:r>
        <w:rPr>
          <w:rFonts w:ascii="Book Antiqua" w:hAnsi="Book Antiqua"/>
          <w:b/>
          <w:bCs/>
          <w:sz w:val="22"/>
          <w:szCs w:val="22"/>
        </w:rPr>
        <w:t>1. Navrhovateľ zákona:</w:t>
      </w:r>
      <w:r>
        <w:rPr>
          <w:rFonts w:ascii="Book Antiqua" w:hAnsi="Book Antiqua"/>
          <w:sz w:val="22"/>
          <w:szCs w:val="22"/>
        </w:rPr>
        <w:t xml:space="preserve"> skupina poslancov Národnej rady Slovenskej republiky</w:t>
      </w:r>
    </w:p>
    <w:p>
      <w:pPr>
        <w:pStyle w:val="Normal"/>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both"/>
        <w:rPr>
          <w:rFonts w:ascii="Book Antiqua" w:hAnsi="Book Antiqua"/>
          <w:b/>
          <w:b/>
          <w:sz w:val="22"/>
          <w:szCs w:val="22"/>
        </w:rPr>
      </w:pPr>
      <w:r>
        <w:rPr>
          <w:rFonts w:ascii="Book Antiqua" w:hAnsi="Book Antiqua"/>
          <w:b/>
          <w:bCs/>
          <w:sz w:val="22"/>
          <w:szCs w:val="22"/>
        </w:rPr>
        <w:t>2. Názov návrhu zákona:</w:t>
      </w:r>
      <w:r>
        <w:rPr>
          <w:rFonts w:ascii="Book Antiqua" w:hAnsi="Book Antiqua"/>
          <w:sz w:val="22"/>
          <w:szCs w:val="22"/>
        </w:rPr>
        <w:t xml:space="preserve"> návrh zákona o podpore zachovania územia s rozptýleným osídlením a jeho obyvateľov (laznícky zákon) a o zmene a doplnení niektorých zákonov</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3. Predmet návrhu zákona:</w:t>
      </w:r>
    </w:p>
    <w:p>
      <w:pPr>
        <w:pStyle w:val="ListParagraph"/>
        <w:numPr>
          <w:ilvl w:val="0"/>
          <w:numId w:val="5"/>
        </w:numPr>
        <w:spacing w:lineRule="auto" w:line="276" w:before="120" w:after="0"/>
        <w:jc w:val="both"/>
        <w:rPr>
          <w:rFonts w:ascii="Book Antiqua" w:hAnsi="Book Antiqua"/>
          <w:sz w:val="22"/>
          <w:szCs w:val="22"/>
        </w:rPr>
      </w:pPr>
      <w:r>
        <w:rPr>
          <w:rFonts w:ascii="Book Antiqua" w:hAnsi="Book Antiqua"/>
          <w:sz w:val="22"/>
          <w:szCs w:val="22"/>
        </w:rPr>
        <w:t>je upravený v primárnom práve Európskej únie, a to v čl. 107 až 109 a v čl. 174 až 178 Zmluvy o fungovaní Európskej únie,</w:t>
      </w:r>
    </w:p>
    <w:p>
      <w:pPr>
        <w:pStyle w:val="ListParagraph"/>
        <w:numPr>
          <w:ilvl w:val="0"/>
          <w:numId w:val="5"/>
        </w:numPr>
        <w:spacing w:lineRule="auto" w:line="276" w:before="120" w:after="0"/>
        <w:jc w:val="both"/>
        <w:rPr>
          <w:rFonts w:ascii="Book Antiqua" w:hAnsi="Book Antiqua"/>
          <w:sz w:val="22"/>
          <w:szCs w:val="22"/>
        </w:rPr>
      </w:pPr>
      <w:r>
        <w:rPr>
          <w:rFonts w:ascii="Book Antiqua" w:hAnsi="Book Antiqua"/>
          <w:sz w:val="22"/>
          <w:szCs w:val="22"/>
        </w:rPr>
        <w:t>je upravený v sekundárnom práve Európskej únie, a to v nariadení Komisie (EÚ)       č. 651/2014 zo 17. júna 2014 o vyhlásení určitých kategórií pomoci za zlučiteľné s vnútorným trhom podľa článkov 107 a 109 zmluvy (Ú. v. EÚ L 187, 26. 6. 2014, s. 1), najmä v kapitole III oddiele 11 – pomoc na kultúru a zachovanie kultúrneho dedičstva,</w:t>
      </w:r>
    </w:p>
    <w:p>
      <w:pPr>
        <w:pStyle w:val="ListParagraph"/>
        <w:numPr>
          <w:ilvl w:val="0"/>
          <w:numId w:val="5"/>
        </w:numPr>
        <w:spacing w:lineRule="auto" w:line="276" w:before="120" w:after="0"/>
        <w:jc w:val="both"/>
        <w:rPr>
          <w:rFonts w:ascii="Book Antiqua" w:hAnsi="Book Antiqua"/>
          <w:sz w:val="22"/>
          <w:szCs w:val="22"/>
        </w:rPr>
      </w:pPr>
      <w:r>
        <w:rPr>
          <w:rFonts w:ascii="Book Antiqua" w:hAnsi="Book Antiqua"/>
          <w:sz w:val="22"/>
          <w:szCs w:val="22"/>
        </w:rPr>
        <w:t>nie je obsiahnutý v judikatúre Súdneho dvora Európskej únie.</w:t>
      </w:r>
    </w:p>
    <w:p>
      <w:pPr>
        <w:pStyle w:val="ListParagraph"/>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4. Záväzky Slovenskej republiky vo vzťahu k Európskej únii:</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bezpredmetné,</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bezpredmetné.</w:t>
      </w:r>
    </w:p>
    <w:p>
      <w:pPr>
        <w:pStyle w:val="ListParagraph"/>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5. Stupeň zlučiteľnosti návrhu zákona s právom Európskej únie:</w:t>
      </w:r>
    </w:p>
    <w:p>
      <w:pPr>
        <w:pStyle w:val="Normal"/>
        <w:spacing w:lineRule="auto" w:line="276" w:before="120" w:after="0"/>
        <w:jc w:val="both"/>
        <w:rPr>
          <w:rFonts w:ascii="Book Antiqua" w:hAnsi="Book Antiqua"/>
          <w:sz w:val="22"/>
          <w:szCs w:val="22"/>
        </w:rPr>
      </w:pPr>
      <w:r>
        <w:rPr>
          <w:rFonts w:ascii="Book Antiqua" w:hAnsi="Book Antiqua"/>
          <w:sz w:val="22"/>
          <w:szCs w:val="22"/>
        </w:rPr>
        <w:t>- úplný.</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ListParagraph"/>
        <w:spacing w:lineRule="auto" w:line="276" w:before="120" w:after="0"/>
        <w:ind w:left="720" w:hanging="0"/>
        <w:rPr>
          <w:rFonts w:ascii="Book Antiqua" w:hAnsi="Book Antiqua"/>
          <w:sz w:val="22"/>
          <w:szCs w:val="22"/>
        </w:rPr>
      </w:pPr>
      <w:r>
        <w:rPr>
          <w:rFonts w:ascii="Book Antiqua" w:hAnsi="Book Antiqua"/>
          <w:sz w:val="22"/>
          <w:szCs w:val="22"/>
        </w:rPr>
        <w:t xml:space="preserve">  </w:t>
      </w:r>
      <w:r>
        <w:br w:type="page"/>
      </w:r>
    </w:p>
    <w:p>
      <w:pPr>
        <w:pStyle w:val="Normal"/>
        <w:spacing w:lineRule="auto" w:line="276" w:before="120" w:after="0"/>
        <w:jc w:val="center"/>
        <w:rPr>
          <w:rFonts w:ascii="Book Antiqua" w:hAnsi="Book Antiqua"/>
          <w:sz w:val="22"/>
          <w:szCs w:val="22"/>
        </w:rPr>
      </w:pPr>
      <w:r>
        <w:rPr>
          <w:rFonts w:ascii="Book Antiqua" w:hAnsi="Book Antiqua"/>
          <w:b/>
          <w:bCs/>
          <w:caps/>
          <w:spacing w:val="30"/>
          <w:sz w:val="22"/>
          <w:szCs w:val="22"/>
        </w:rPr>
        <w:t>Doložka</w:t>
      </w:r>
    </w:p>
    <w:p>
      <w:pPr>
        <w:pStyle w:val="NormalWeb"/>
        <w:spacing w:lineRule="auto" w:line="276" w:before="120" w:after="0"/>
        <w:jc w:val="center"/>
        <w:rPr>
          <w:rFonts w:ascii="Book Antiqua" w:hAnsi="Book Antiqua"/>
          <w:sz w:val="22"/>
          <w:szCs w:val="22"/>
        </w:rPr>
      </w:pPr>
      <w:r>
        <w:rPr>
          <w:rFonts w:ascii="Book Antiqua" w:hAnsi="Book Antiqua"/>
          <w:b/>
          <w:bCs/>
          <w:sz w:val="22"/>
          <w:szCs w:val="22"/>
        </w:rPr>
        <w:t>vybraných vplyvov</w:t>
      </w:r>
    </w:p>
    <w:p>
      <w:pPr>
        <w:pStyle w:val="NormalWeb"/>
        <w:spacing w:lineRule="auto" w:line="276" w:before="120" w:after="0"/>
        <w:rPr>
          <w:rFonts w:ascii="Book Antiqua" w:hAnsi="Book Antiqua"/>
          <w:sz w:val="22"/>
          <w:szCs w:val="22"/>
        </w:rPr>
      </w:pPr>
      <w:r>
        <w:rPr>
          <w:rFonts w:ascii="Book Antiqua" w:hAnsi="Book Antiqua"/>
          <w:sz w:val="22"/>
          <w:szCs w:val="22"/>
        </w:rPr>
        <w:t> </w:t>
      </w:r>
    </w:p>
    <w:p>
      <w:pPr>
        <w:pStyle w:val="Normal"/>
        <w:spacing w:lineRule="auto" w:line="276" w:before="120" w:after="0"/>
        <w:jc w:val="both"/>
        <w:rPr>
          <w:rFonts w:ascii="Book Antiqua" w:hAnsi="Book Antiqua"/>
          <w:b/>
          <w:b/>
          <w:sz w:val="22"/>
          <w:szCs w:val="22"/>
        </w:rPr>
      </w:pPr>
      <w:r>
        <w:rPr>
          <w:rFonts w:ascii="Book Antiqua" w:hAnsi="Book Antiqua"/>
          <w:b/>
          <w:bCs/>
          <w:sz w:val="22"/>
          <w:szCs w:val="22"/>
        </w:rPr>
        <w:t xml:space="preserve">A.1. Názov materiálu: </w:t>
      </w:r>
      <w:r>
        <w:rPr>
          <w:rFonts w:ascii="Book Antiqua" w:hAnsi="Book Antiqua"/>
          <w:sz w:val="22"/>
          <w:szCs w:val="22"/>
        </w:rPr>
        <w:t>návrh zákona o podpore zachovania územia s rozptýleným osídlením a jeho obyvateľov (laznícky zákon) a o zmene a doplnení niektorých zákonov</w:t>
      </w:r>
    </w:p>
    <w:p>
      <w:pPr>
        <w:pStyle w:val="Normal"/>
        <w:spacing w:lineRule="auto" w:line="276" w:before="120" w:after="0"/>
        <w:jc w:val="both"/>
        <w:rPr>
          <w:rFonts w:ascii="Book Antiqua" w:hAnsi="Book Antiqua"/>
          <w:sz w:val="22"/>
          <w:szCs w:val="22"/>
        </w:rPr>
      </w:pPr>
      <w:r>
        <w:rPr>
          <w:rFonts w:ascii="Book Antiqua" w:hAnsi="Book Antiqua"/>
          <w:b/>
          <w:bCs/>
          <w:sz w:val="22"/>
          <w:szCs w:val="22"/>
        </w:rPr>
        <w:t>Termín začatia a ukončenia PPK:</w:t>
      </w:r>
      <w:r>
        <w:rPr>
          <w:rFonts w:ascii="Book Antiqua" w:hAnsi="Book Antiqua"/>
          <w:sz w:val="22"/>
          <w:szCs w:val="22"/>
        </w:rPr>
        <w:t xml:space="preserve"> </w:t>
      </w:r>
      <w:r>
        <w:rPr>
          <w:rFonts w:ascii="Book Antiqua" w:hAnsi="Book Antiqua"/>
          <w:i/>
          <w:iCs/>
          <w:sz w:val="22"/>
          <w:szCs w:val="22"/>
        </w:rPr>
        <w:t>bezpredmetné</w:t>
      </w:r>
    </w:p>
    <w:p>
      <w:pPr>
        <w:pStyle w:val="Normal"/>
        <w:spacing w:lineRule="auto" w:line="276" w:before="120" w:after="0"/>
        <w:jc w:val="both"/>
        <w:rPr>
          <w:rFonts w:ascii="Book Antiqua" w:hAnsi="Book Antiqua"/>
          <w:i/>
          <w:i/>
          <w:iCs/>
          <w:sz w:val="22"/>
          <w:szCs w:val="22"/>
        </w:rPr>
      </w:pPr>
      <w:r>
        <w:rPr>
          <w:rFonts w:ascii="Book Antiqua" w:hAnsi="Book Antiqua"/>
          <w:i/>
          <w:iCs/>
          <w:sz w:val="22"/>
          <w:szCs w:val="22"/>
        </w:rPr>
      </w:r>
    </w:p>
    <w:p>
      <w:pPr>
        <w:pStyle w:val="NormalWeb"/>
        <w:spacing w:lineRule="auto" w:line="276" w:before="120" w:after="0"/>
        <w:jc w:val="both"/>
        <w:rPr>
          <w:rFonts w:ascii="Book Antiqua" w:hAnsi="Book Antiqua"/>
          <w:sz w:val="22"/>
          <w:szCs w:val="22"/>
        </w:rPr>
      </w:pPr>
      <w:r>
        <w:rPr>
          <w:rFonts w:ascii="Book Antiqua" w:hAnsi="Book Antiqua"/>
          <w:b/>
          <w:bCs/>
          <w:sz w:val="22"/>
          <w:szCs w:val="22"/>
        </w:rPr>
        <w:t>A.2. Vplyvy:</w:t>
      </w:r>
    </w:p>
    <w:tbl>
      <w:tblPr>
        <w:tblW w:w="5000" w:type="pct"/>
        <w:jc w:val="left"/>
        <w:tblInd w:w="-5" w:type="dxa"/>
        <w:tblCellMar>
          <w:top w:w="0" w:type="dxa"/>
          <w:left w:w="0" w:type="dxa"/>
          <w:bottom w:w="0" w:type="dxa"/>
          <w:right w:w="7" w:type="dxa"/>
        </w:tblCellMar>
        <w:tblLook w:firstRow="1" w:noVBand="1" w:lastRow="0" w:firstColumn="1" w:lastColumn="0" w:noHBand="0" w:val="04a0"/>
      </w:tblPr>
      <w:tblGrid>
        <w:gridCol w:w="5507"/>
        <w:gridCol w:w="1188"/>
        <w:gridCol w:w="1179"/>
        <w:gridCol w:w="1197"/>
      </w:tblGrid>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 </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Pozitívne </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Žiadne </w:t>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r>
              <w:rPr>
                <w:rFonts w:ascii="Book Antiqua" w:hAnsi="Book Antiqua"/>
                <w:sz w:val="22"/>
                <w:szCs w:val="22"/>
              </w:rPr>
              <w:t>Negatívne </w:t>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1. Vplyvy na rozpočet verejnej správy</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2. Vplyvy na podnikateľské prostredie – dochádza k zvýšeniu regulačného zaťaženia?</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3. Sociálne vplyvy</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r>
      <w:tr>
        <w:trPr>
          <w:trHeight w:val="441" w:hRule="atLeast"/>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vplyvy na hospodárenie obyvateľstva,</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sociálnu exklúziu,</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rovnosť príležitostí a rodovú rovnosť a vplyvy na zamestnanosť</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4. Vplyvy na životné prostredie</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p>
        </w:tc>
      </w:tr>
      <w:tr>
        <w:trPr/>
        <w:tc>
          <w:tcPr>
            <w:tcW w:w="550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rPr>
                <w:rFonts w:ascii="Book Antiqua" w:hAnsi="Book Antiqua"/>
                <w:sz w:val="22"/>
                <w:szCs w:val="22"/>
              </w:rPr>
            </w:pPr>
            <w:r>
              <w:rPr>
                <w:rFonts w:ascii="Book Antiqua" w:hAnsi="Book Antiqua"/>
                <w:sz w:val="22"/>
                <w:szCs w:val="22"/>
              </w:rPr>
              <w:t>5. Vplyvy na informatizáciu spoločnosti</w:t>
            </w:r>
          </w:p>
        </w:tc>
        <w:tc>
          <w:tcPr>
            <w:tcW w:w="1188"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fill="auto" w:val="clear"/>
            <w:vAlign w:val="center"/>
          </w:tcPr>
          <w:p>
            <w:pPr>
              <w:pStyle w:val="NormalWeb"/>
              <w:spacing w:lineRule="auto" w:line="276" w:before="120" w:after="0"/>
              <w:jc w:val="center"/>
              <w:rPr>
                <w:rFonts w:ascii="Book Antiqua" w:hAnsi="Book Antiqua"/>
                <w:sz w:val="22"/>
                <w:szCs w:val="22"/>
              </w:rPr>
            </w:pPr>
            <w:r>
              <w:rPr>
                <w:rFonts w:ascii="Book Antiqua" w:hAnsi="Book Antiqua"/>
                <w:sz w:val="22"/>
                <w:szCs w:val="22"/>
              </w:rPr>
              <w:t> </w:t>
            </w:r>
          </w:p>
        </w:tc>
      </w:tr>
    </w:tbl>
    <w:p>
      <w:pPr>
        <w:pStyle w:val="NormalWeb"/>
        <w:spacing w:lineRule="auto" w:line="276" w:before="120" w:after="0"/>
        <w:rPr>
          <w:rFonts w:ascii="Book Antiqua" w:hAnsi="Book Antiqua"/>
          <w:sz w:val="22"/>
          <w:szCs w:val="22"/>
        </w:rPr>
      </w:pPr>
      <w:r>
        <w:rPr>
          <w:rFonts w:ascii="Book Antiqua" w:hAnsi="Book Antiqua"/>
          <w:sz w:val="22"/>
          <w:szCs w:val="22"/>
        </w:rPr>
        <w:t> </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A.3. Poznámky</w:t>
      </w:r>
    </w:p>
    <w:p>
      <w:pPr>
        <w:pStyle w:val="NormalWeb"/>
        <w:spacing w:lineRule="auto" w:line="276" w:before="120" w:after="0"/>
        <w:jc w:val="both"/>
        <w:rPr>
          <w:rFonts w:ascii="Book Antiqua" w:hAnsi="Book Antiqua" w:cs="Arial"/>
          <w:i/>
          <w:i/>
          <w:sz w:val="22"/>
          <w:szCs w:val="22"/>
          <w:highlight w:val="white"/>
        </w:rPr>
      </w:pPr>
      <w:r>
        <w:rPr>
          <w:rFonts w:cs="Arial" w:ascii="Book Antiqua" w:hAnsi="Book Antiqua"/>
          <w:i/>
          <w:sz w:val="22"/>
          <w:szCs w:val="22"/>
          <w:shd w:fill="FFFFFF" w:val="clear"/>
        </w:rPr>
        <w:t>Predkladaný návrh zákona predpokladá negatívny vplyv na rozpočet verejnej správy</w:t>
      </w:r>
      <w:bookmarkStart w:id="13" w:name="_GoBack"/>
      <w:bookmarkEnd w:id="13"/>
      <w:r>
        <w:rPr>
          <w:rFonts w:cs="Arial" w:ascii="Book Antiqua" w:hAnsi="Book Antiqua"/>
          <w:i/>
          <w:sz w:val="22"/>
          <w:szCs w:val="22"/>
          <w:shd w:fill="FFFFFF" w:val="clear"/>
        </w:rPr>
        <w:t>, čo sa však vyvažuje značne pozitívnym vplyvom na životné prostredie a sociálnymi vplyvmi. V snahe zachovať kultúrne dedičstvo a svojráznosť našej krajiny sa poskytovaním dotácií značne uľahčí život lazníkov, čo bude mať pozitívny vplyv na ich hospodárenie, na ich zamestnanosť či sociálnu exklúziu.</w:t>
      </w:r>
    </w:p>
    <w:p>
      <w:pPr>
        <w:pStyle w:val="NormalWeb"/>
        <w:spacing w:lineRule="auto" w:line="276" w:before="120" w:after="0"/>
        <w:jc w:val="both"/>
        <w:rPr>
          <w:rFonts w:ascii="Book Antiqua" w:hAnsi="Book Antiqua"/>
          <w:sz w:val="22"/>
          <w:szCs w:val="22"/>
        </w:rPr>
      </w:pPr>
      <w:r>
        <w:rPr>
          <w:rFonts w:cs="Arial" w:ascii="Book Antiqua" w:hAnsi="Book Antiqua"/>
          <w:i/>
          <w:sz w:val="22"/>
          <w:szCs w:val="22"/>
          <w:shd w:fill="FFFFFF" w:val="clear"/>
        </w:rPr>
        <w:t>Negatívny vplyv na rozpočet verejnej správy nie je v súčasnosti možné vyčísliť, a to najmä s ohľadom na absenciu vykonávacích právnych predpisov pri podaní návrhu zákona, ktorými budú stanovené výšky jednotlivých dotácií a nastavené podmienky, za ktorých sa dotácie budú poskytovať. Až po prijatí príslušných právnych predpisov lazníckymi obcami a najmä Ministerstvom pôdohospodárstva a rozvoja vidieka SR budú zrejmé požiadavky na štátny rozpočet, ktoré toto ministerstvo môže v predpisoch nastaviť tak, že sa budú po prvýkrát týkať až rozpočtu na rok 2021, ako je to výslovne v návrhu zákona uvedené v súvislosti s dotáciami, ktoré má poskytovať Ministerstvo dopravy a výstavby SR. Obe uvedené ministerstvá tak budú mať dostatok času, aby presne vyčíslili a v návrhu štátneho rozpočtu na rok 2021 v rámci svojich rozpočtových kapitol aj náležite zohľadnili dopady tohto návrhu zákona na rozpočet verejnej správy.</w:t>
      </w:r>
    </w:p>
    <w:p>
      <w:pPr>
        <w:pStyle w:val="NormalWeb"/>
        <w:spacing w:lineRule="auto" w:line="276" w:before="120" w:after="0"/>
        <w:jc w:val="both"/>
        <w:rPr>
          <w:rFonts w:ascii="Book Antiqua" w:hAnsi="Book Antiqua"/>
          <w:i/>
          <w:i/>
          <w:sz w:val="22"/>
          <w:szCs w:val="22"/>
        </w:rPr>
      </w:pPr>
      <w:r>
        <w:rPr>
          <w:rFonts w:ascii="Book Antiqua" w:hAnsi="Book Antiqua"/>
          <w:i/>
          <w:sz w:val="22"/>
          <w:szCs w:val="22"/>
        </w:rPr>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t>A.4. Alternatívne riešenia</w:t>
      </w:r>
    </w:p>
    <w:p>
      <w:pPr>
        <w:pStyle w:val="NormalWeb"/>
        <w:spacing w:lineRule="auto" w:line="276" w:before="120" w:after="0"/>
        <w:jc w:val="both"/>
        <w:rPr>
          <w:rFonts w:ascii="Book Antiqua" w:hAnsi="Book Antiqua"/>
          <w:i/>
          <w:i/>
          <w:iCs/>
          <w:sz w:val="22"/>
          <w:szCs w:val="22"/>
        </w:rPr>
      </w:pPr>
      <w:r>
        <w:rPr>
          <w:rFonts w:ascii="Book Antiqua" w:hAnsi="Book Antiqua"/>
          <w:i/>
          <w:iCs/>
          <w:sz w:val="22"/>
          <w:szCs w:val="22"/>
        </w:rPr>
        <w:t>bezpredmetné</w:t>
      </w:r>
    </w:p>
    <w:p>
      <w:pPr>
        <w:pStyle w:val="NormalWeb"/>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Web"/>
        <w:spacing w:lineRule="auto" w:line="276" w:before="120" w:after="0"/>
        <w:jc w:val="both"/>
        <w:rPr>
          <w:rFonts w:ascii="Book Antiqua" w:hAnsi="Book Antiqua"/>
          <w:sz w:val="22"/>
          <w:szCs w:val="22"/>
        </w:rPr>
      </w:pPr>
      <w:r>
        <w:rPr>
          <w:rFonts w:ascii="Book Antiqua" w:hAnsi="Book Antiqua"/>
          <w:b/>
          <w:bCs/>
          <w:sz w:val="22"/>
          <w:szCs w:val="22"/>
        </w:rPr>
        <w:t>A.5. Stanovisko gestorov</w:t>
      </w:r>
    </w:p>
    <w:p>
      <w:pPr>
        <w:pStyle w:val="NormalWeb"/>
        <w:spacing w:lineRule="auto" w:line="276" w:before="120" w:after="0"/>
        <w:jc w:val="both"/>
        <w:rPr/>
      </w:pPr>
      <w:r>
        <w:rPr>
          <w:rFonts w:ascii="Book Antiqua" w:hAnsi="Book Antiqua"/>
          <w:i/>
          <w:iCs/>
          <w:sz w:val="22"/>
          <w:szCs w:val="22"/>
        </w:rPr>
        <w:t>Návrh zákona bol zaslaný na vyjadrenie Ministerstvu financií SR a stanovisko tohto ministerstva tvorí súčasť predkladaného materiálu.</w:t>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Book Antiqua">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jc w:val="right"/>
      <w:rPr/>
    </w:pPr>
    <w:r>
      <w:rPr/>
      <w:fldChar w:fldCharType="begin"/>
    </w:r>
    <w:r>
      <w:rPr/>
      <w:instrText> PAGE </w:instrText>
    </w:r>
    <w:r>
      <w:rPr/>
      <w:fldChar w:fldCharType="separate"/>
    </w:r>
    <w:r>
      <w:rPr/>
      <w:t>17</w:t>
    </w:r>
    <w:r>
      <w:rPr/>
      <w:fldChar w:fldCharType="end"/>
    </w:r>
  </w:p>
  <w:p>
    <w:pPr>
      <w:pStyle w:val="Pt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lowerLetter"/>
      <w:lvlText w:val="%1)"/>
      <w:lvlJc w:val="left"/>
      <w:pPr>
        <w:ind w:left="720" w:hanging="360"/>
      </w:pPr>
      <w:rPr>
        <w:sz w:val="22"/>
        <w:rFonts w:ascii="Book Antiqua" w:hAnsi="Book Antiqua"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lowerLetter"/>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lowerLetter"/>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sk-SK" w:eastAsia="sk-SK"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uiPriority="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Hyperlink" w:uiPriority="0"/>
    <w:lsdException w:name="Strong" w:locked="1" w:uiPriority="0" w:semiHidden="0" w:unhideWhenUsed="0" w:qFormat="1"/>
    <w:lsdException w:name="Emphasis" w:locked="1" w:uiPriority="0" w:semiHidden="0" w:unhideWhenUsed="0" w:qFormat="1"/>
    <w:lsdException w:name="Normal (Web)" w:locked="1" w:semiHidden="0" w:unhideWhenUsed="0"/>
    <w:lsdException w:name="Table Grid" w:locked="1"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val="sk-SK" w:eastAsia="sk-SK" w:bidi="ar-SA"/>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link w:val="Pta"/>
    <w:uiPriority w:val="99"/>
    <w:qFormat/>
    <w:locked/>
    <w:rPr>
      <w:rFonts w:ascii="Times New Roman" w:hAnsi="Times New Roman" w:cs="Times New Roman"/>
      <w:sz w:val="24"/>
      <w:szCs w:val="24"/>
      <w:lang w:eastAsia="sk-SK"/>
    </w:rPr>
  </w:style>
  <w:style w:type="character" w:styleId="TextpoznmkypodiarouChar" w:customStyle="1">
    <w:name w:val="Text poznámky pod čiarou Char"/>
    <w:basedOn w:val="DefaultParagraphFont"/>
    <w:link w:val="Textpoznmkypodiarou"/>
    <w:qFormat/>
    <w:locked/>
    <w:rPr>
      <w:rFonts w:ascii="Times New Roman" w:hAnsi="Times New Roman" w:cs="Times New Roman"/>
      <w:sz w:val="20"/>
      <w:szCs w:val="20"/>
      <w:lang w:eastAsia="cs-CZ"/>
    </w:rPr>
  </w:style>
  <w:style w:type="character" w:styleId="ZkladntextChar" w:customStyle="1">
    <w:name w:val="Základný text Char"/>
    <w:basedOn w:val="DefaultParagraphFont"/>
    <w:link w:val="Telotextu"/>
    <w:uiPriority w:val="99"/>
    <w:qFormat/>
    <w:locked/>
    <w:rPr>
      <w:rFonts w:ascii="Times New Roman" w:hAnsi="Times New Roman" w:cs="Times New Roman"/>
      <w:sz w:val="24"/>
      <w:szCs w:val="24"/>
      <w:lang w:eastAsia="sk-SK"/>
    </w:rPr>
  </w:style>
  <w:style w:type="character" w:styleId="Internetovodkaz">
    <w:name w:val="Internetový odkaz"/>
    <w:basedOn w:val="DefaultParagraphFont"/>
    <w:unhideWhenUsed/>
    <w:rsid w:val="00b465dc"/>
    <w:rPr>
      <w:color w:val="0000FF" w:themeColor="hyperlink"/>
      <w:u w:val="single"/>
    </w:rPr>
  </w:style>
  <w:style w:type="character" w:styleId="Zkladntext2Char" w:customStyle="1">
    <w:name w:val="Základný text 2 Char"/>
    <w:basedOn w:val="DefaultParagraphFont"/>
    <w:link w:val="Zkladntext2"/>
    <w:uiPriority w:val="99"/>
    <w:qFormat/>
    <w:locked/>
    <w:rPr>
      <w:rFonts w:ascii="Times New Roman" w:hAnsi="Times New Roman" w:cs="Times New Roman"/>
      <w:sz w:val="24"/>
      <w:szCs w:val="24"/>
      <w:lang w:eastAsia="sk-SK"/>
    </w:rPr>
  </w:style>
  <w:style w:type="character" w:styleId="Appleconvertedspace" w:customStyle="1">
    <w:name w:val="apple-converted-space"/>
    <w:basedOn w:val="DefaultParagraphFont"/>
    <w:qFormat/>
    <w:rPr>
      <w:rFonts w:cs="Times New Roman"/>
    </w:rPr>
  </w:style>
  <w:style w:type="character" w:styleId="ZarkazkladnhotextuChar" w:customStyle="1">
    <w:name w:val="Zarážka základného textu Char"/>
    <w:basedOn w:val="DefaultParagraphFont"/>
    <w:link w:val="Odsadenietelatextu"/>
    <w:uiPriority w:val="99"/>
    <w:qFormat/>
    <w:locked/>
    <w:rPr>
      <w:rFonts w:ascii="Times New Roman" w:hAnsi="Times New Roman" w:cs="Times New Roman"/>
      <w:sz w:val="24"/>
      <w:szCs w:val="24"/>
      <w:lang w:eastAsia="sk-SK"/>
    </w:rPr>
  </w:style>
  <w:style w:type="character" w:styleId="OdsekChar" w:customStyle="1">
    <w:name w:val="odsek Char"/>
    <w:uiPriority w:val="99"/>
    <w:qFormat/>
    <w:locked/>
    <w:rPr>
      <w:sz w:val="24"/>
    </w:rPr>
  </w:style>
  <w:style w:type="character" w:styleId="Textzstupnhosymbolu1" w:customStyle="1">
    <w:name w:val="Text zástupného symbolu1"/>
    <w:uiPriority w:val="99"/>
    <w:semiHidden/>
    <w:qFormat/>
    <w:rPr>
      <w:rFonts w:ascii="Times New Roman" w:hAnsi="Times New Roman"/>
      <w:color w:val="808080"/>
    </w:rPr>
  </w:style>
  <w:style w:type="character" w:styleId="Strong">
    <w:name w:val="Strong"/>
    <w:basedOn w:val="DefaultParagraphFont"/>
    <w:uiPriority w:val="99"/>
    <w:qFormat/>
    <w:rPr>
      <w:rFonts w:cs="Times New Roman"/>
      <w:b/>
      <w:bCs/>
    </w:rPr>
  </w:style>
  <w:style w:type="character" w:styleId="HlavikaChar" w:customStyle="1">
    <w:name w:val="Hlavička Char"/>
    <w:basedOn w:val="DefaultParagraphFont"/>
    <w:link w:val="Hlavika"/>
    <w:uiPriority w:val="99"/>
    <w:semiHidden/>
    <w:qFormat/>
    <w:locked/>
    <w:rPr>
      <w:rFonts w:ascii="Times New Roman" w:hAnsi="Times New Roman" w:cs="Times New Roman"/>
      <w:sz w:val="24"/>
      <w:szCs w:val="24"/>
    </w:rPr>
  </w:style>
  <w:style w:type="character" w:styleId="Zdraznenie" w:customStyle="1">
    <w:name w:val="Zdôraznenie"/>
    <w:basedOn w:val="DefaultParagraphFont"/>
    <w:uiPriority w:val="99"/>
    <w:qFormat/>
    <w:rPr>
      <w:rFonts w:cs="Times New Roman"/>
      <w:i/>
      <w:iCs/>
    </w:rPr>
  </w:style>
  <w:style w:type="character" w:styleId="TextbublinyChar" w:customStyle="1">
    <w:name w:val="Text bubliny Char"/>
    <w:basedOn w:val="DefaultParagraphFont"/>
    <w:link w:val="Textbubliny"/>
    <w:uiPriority w:val="99"/>
    <w:semiHidden/>
    <w:qFormat/>
    <w:locked/>
    <w:rPr>
      <w:rFonts w:ascii="Tahoma" w:hAnsi="Tahoma" w:cs="Tahoma"/>
      <w:sz w:val="16"/>
      <w:szCs w:val="16"/>
    </w:rPr>
  </w:style>
  <w:style w:type="character" w:styleId="Annotationreference">
    <w:name w:val="annotation reference"/>
    <w:basedOn w:val="DefaultParagraphFont"/>
    <w:uiPriority w:val="99"/>
    <w:semiHidden/>
    <w:qFormat/>
    <w:rPr>
      <w:rFonts w:cs="Times New Roman"/>
      <w:sz w:val="16"/>
      <w:szCs w:val="16"/>
    </w:rPr>
  </w:style>
  <w:style w:type="character" w:styleId="TextkomentraChar" w:customStyle="1">
    <w:name w:val="Text komentára Char"/>
    <w:basedOn w:val="DefaultParagraphFont"/>
    <w:link w:val="Textkomentra"/>
    <w:uiPriority w:val="99"/>
    <w:qFormat/>
    <w:locked/>
    <w:rPr>
      <w:rFonts w:ascii="Times New Roman" w:hAnsi="Times New Roman" w:cs="Times New Roman"/>
      <w:sz w:val="20"/>
      <w:szCs w:val="20"/>
    </w:rPr>
  </w:style>
  <w:style w:type="character" w:styleId="PredmetkomentraChar" w:customStyle="1">
    <w:name w:val="Predmet komentára Char"/>
    <w:basedOn w:val="TextkomentraChar"/>
    <w:link w:val="Predmetkomentra"/>
    <w:uiPriority w:val="99"/>
    <w:semiHidden/>
    <w:qFormat/>
    <w:locked/>
    <w:rPr>
      <w:rFonts w:ascii="Times New Roman" w:hAnsi="Times New Roman" w:cs="Times New Roman"/>
      <w:b/>
      <w:bCs/>
      <w:sz w:val="20"/>
      <w:szCs w:val="20"/>
    </w:rPr>
  </w:style>
  <w:style w:type="character" w:styleId="Odsek1Char" w:customStyle="1">
    <w:name w:val="odsek1 Char"/>
    <w:uiPriority w:val="99"/>
    <w:qFormat/>
    <w:locked/>
    <w:rPr>
      <w:rFonts w:ascii="Times New Roman" w:hAnsi="Times New Roman"/>
      <w:sz w:val="24"/>
    </w:rPr>
  </w:style>
  <w:style w:type="character" w:styleId="Num" w:customStyle="1">
    <w:name w:val="num"/>
    <w:basedOn w:val="DefaultParagraphFont"/>
    <w:uiPriority w:val="99"/>
    <w:qFormat/>
    <w:rPr>
      <w:rFonts w:cs="Times New Roman"/>
    </w:rPr>
  </w:style>
  <w:style w:type="character" w:styleId="H1a" w:customStyle="1">
    <w:name w:val="h1a"/>
    <w:uiPriority w:val="99"/>
    <w:qFormat/>
    <w:rPr/>
  </w:style>
  <w:style w:type="character" w:styleId="ListLabel1" w:customStyle="1">
    <w:name w:val="ListLabel 1"/>
    <w:qFormat/>
    <w:rsid w:val="00715f21"/>
    <w:rPr/>
  </w:style>
  <w:style w:type="character" w:styleId="ListLabel2" w:customStyle="1">
    <w:name w:val="ListLabel 2"/>
    <w:qFormat/>
    <w:rsid w:val="00715f21"/>
    <w:rPr/>
  </w:style>
  <w:style w:type="character" w:styleId="ListLabel3" w:customStyle="1">
    <w:name w:val="ListLabel 3"/>
    <w:qFormat/>
    <w:rsid w:val="00715f21"/>
    <w:rPr>
      <w:b/>
    </w:rPr>
  </w:style>
  <w:style w:type="character" w:styleId="ListLabel4" w:customStyle="1">
    <w:name w:val="ListLabel 4"/>
    <w:qFormat/>
    <w:rsid w:val="00715f21"/>
    <w:rPr>
      <w:rFonts w:eastAsia="Times New Roman"/>
    </w:rPr>
  </w:style>
  <w:style w:type="character" w:styleId="ListLabel5" w:customStyle="1">
    <w:name w:val="ListLabel 5"/>
    <w:qFormat/>
    <w:rsid w:val="00715f21"/>
    <w:rPr>
      <w:color w:val="000000"/>
      <w:position w:val="0"/>
      <w:sz w:val="24"/>
      <w:sz w:val="24"/>
      <w:u w:val="none"/>
      <w:effect w:val="none"/>
      <w:vertAlign w:val="baseline"/>
    </w:rPr>
  </w:style>
  <w:style w:type="character" w:styleId="ListLabel6" w:customStyle="1">
    <w:name w:val="ListLabel 6"/>
    <w:qFormat/>
    <w:rsid w:val="00715f21"/>
    <w:rPr/>
  </w:style>
  <w:style w:type="character" w:styleId="ListLabel7" w:customStyle="1">
    <w:name w:val="ListLabel 7"/>
    <w:qFormat/>
    <w:rsid w:val="00715f21"/>
    <w:rPr/>
  </w:style>
  <w:style w:type="character" w:styleId="ListLabel8" w:customStyle="1">
    <w:name w:val="ListLabel 8"/>
    <w:qFormat/>
    <w:rsid w:val="00715f21"/>
    <w:rPr>
      <w:sz w:val="20"/>
    </w:rPr>
  </w:style>
  <w:style w:type="character" w:styleId="PtaChar1" w:customStyle="1">
    <w:name w:val="Päta Char1"/>
    <w:basedOn w:val="DefaultParagraphFont"/>
    <w:uiPriority w:val="99"/>
    <w:semiHidden/>
    <w:qFormat/>
    <w:rPr>
      <w:rFonts w:ascii="Times New Roman" w:hAnsi="Times New Roman"/>
      <w:sz w:val="24"/>
      <w:szCs w:val="24"/>
    </w:rPr>
  </w:style>
  <w:style w:type="character" w:styleId="TextpoznmkypodiarouChar1" w:customStyle="1">
    <w:name w:val="Text poznámky pod čiarou Char1"/>
    <w:basedOn w:val="DefaultParagraphFont"/>
    <w:uiPriority w:val="99"/>
    <w:semiHidden/>
    <w:qFormat/>
    <w:rPr>
      <w:rFonts w:ascii="Times New Roman" w:hAnsi="Times New Roman"/>
    </w:rPr>
  </w:style>
  <w:style w:type="character" w:styleId="Zkladntext2Char1" w:customStyle="1">
    <w:name w:val="Základný text 2 Char1"/>
    <w:basedOn w:val="DefaultParagraphFont"/>
    <w:uiPriority w:val="99"/>
    <w:semiHidden/>
    <w:qFormat/>
    <w:rPr>
      <w:rFonts w:ascii="Times New Roman" w:hAnsi="Times New Roman"/>
      <w:sz w:val="24"/>
      <w:szCs w:val="24"/>
    </w:rPr>
  </w:style>
  <w:style w:type="character" w:styleId="HlavikaChar1" w:customStyle="1">
    <w:name w:val="Hlavička Char1"/>
    <w:basedOn w:val="DefaultParagraphFont"/>
    <w:uiPriority w:val="99"/>
    <w:semiHidden/>
    <w:qFormat/>
    <w:rPr>
      <w:rFonts w:ascii="Times New Roman" w:hAnsi="Times New Roman"/>
      <w:sz w:val="24"/>
      <w:szCs w:val="24"/>
    </w:rPr>
  </w:style>
  <w:style w:type="character" w:styleId="TextbublinyChar1" w:customStyle="1">
    <w:name w:val="Text bubliny Char1"/>
    <w:basedOn w:val="DefaultParagraphFont"/>
    <w:uiPriority w:val="99"/>
    <w:semiHidden/>
    <w:qFormat/>
    <w:rPr>
      <w:rFonts w:ascii="Tahoma" w:hAnsi="Tahoma" w:cs="Tahoma"/>
      <w:sz w:val="16"/>
      <w:szCs w:val="16"/>
    </w:rPr>
  </w:style>
  <w:style w:type="character" w:styleId="TextkomentraChar1" w:customStyle="1">
    <w:name w:val="Text komentára Char1"/>
    <w:basedOn w:val="DefaultParagraphFont"/>
    <w:uiPriority w:val="99"/>
    <w:semiHidden/>
    <w:qFormat/>
    <w:rPr>
      <w:rFonts w:ascii="Times New Roman" w:hAnsi="Times New Roman"/>
    </w:rPr>
  </w:style>
  <w:style w:type="character" w:styleId="PredmetkomentraChar1" w:customStyle="1">
    <w:name w:val="Predmet komentára Char1"/>
    <w:basedOn w:val="TextkomentraChar"/>
    <w:uiPriority w:val="99"/>
    <w:semiHidden/>
    <w:qFormat/>
    <w:rPr>
      <w:rFonts w:ascii="Times New Roman" w:hAnsi="Times New Roman" w:cs="Times New Roman"/>
      <w:b/>
      <w:bCs/>
      <w:sz w:val="20"/>
      <w:szCs w:val="20"/>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ascii="Book Antiqua" w:hAnsi="Book Antiqua" w:cs="Times New Roman"/>
      <w:sz w:val="22"/>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ascii="Book Antiqua" w:hAnsi="Book Antiqua" w:cs="Times New Roman"/>
      <w:sz w:val="22"/>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ascii="Book Antiqua" w:hAnsi="Book Antiqua" w:cs="Times New Roman"/>
      <w:sz w:val="22"/>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ascii="Book Antiqua" w:hAnsi="Book Antiqua"/>
      <w:color w:val="00000A"/>
      <w:sz w:val="22"/>
      <w:szCs w:val="22"/>
      <w:u w:val="none"/>
    </w:rPr>
  </w:style>
  <w:style w:type="paragraph" w:styleId="Nadpis" w:customStyle="1">
    <w:name w:val="Nadpis"/>
    <w:basedOn w:val="Normal"/>
    <w:next w:val="Telotextu"/>
    <w:qFormat/>
    <w:rsid w:val="00715f21"/>
    <w:pPr>
      <w:keepNext w:val="true"/>
      <w:spacing w:before="240" w:after="120"/>
    </w:pPr>
    <w:rPr>
      <w:rFonts w:ascii="Liberation Sans" w:hAnsi="Liberation Sans" w:eastAsia="Microsoft YaHei" w:cs="Mangal"/>
      <w:sz w:val="28"/>
      <w:szCs w:val="28"/>
    </w:rPr>
  </w:style>
  <w:style w:type="paragraph" w:styleId="Telotextu" w:customStyle="1">
    <w:name w:val="Body Text"/>
    <w:basedOn w:val="Normal"/>
    <w:link w:val="ZkladntextChar"/>
    <w:uiPriority w:val="99"/>
    <w:pPr>
      <w:spacing w:lineRule="auto" w:line="288" w:before="0" w:after="120"/>
    </w:pPr>
    <w:rPr/>
  </w:style>
  <w:style w:type="paragraph" w:styleId="Zoznam">
    <w:name w:val="List"/>
    <w:basedOn w:val="Telotextu"/>
    <w:uiPriority w:val="99"/>
    <w:rsid w:val="00715f21"/>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715f21"/>
    <w:pPr>
      <w:suppressLineNumbers/>
    </w:pPr>
    <w:rPr>
      <w:rFonts w:cs="Mangal"/>
    </w:rPr>
  </w:style>
  <w:style w:type="paragraph" w:styleId="Caption">
    <w:name w:val="caption"/>
    <w:basedOn w:val="Normal"/>
    <w:uiPriority w:val="35"/>
    <w:qFormat/>
    <w:rsid w:val="00715f21"/>
    <w:pPr>
      <w:suppressLineNumbers/>
      <w:spacing w:before="120" w:after="120"/>
    </w:pPr>
    <w:rPr>
      <w:rFonts w:cs="Mangal"/>
      <w:i/>
      <w:iCs/>
    </w:rPr>
  </w:style>
  <w:style w:type="paragraph" w:styleId="Pta">
    <w:name w:val="Footer"/>
    <w:basedOn w:val="Normal"/>
    <w:link w:val="PtaChar"/>
    <w:uiPriority w:val="99"/>
    <w:pPr>
      <w:tabs>
        <w:tab w:val="clear" w:pos="708"/>
        <w:tab w:val="center" w:pos="4536" w:leader="none"/>
        <w:tab w:val="right" w:pos="9072" w:leader="none"/>
      </w:tabs>
    </w:pPr>
    <w:rPr/>
  </w:style>
  <w:style w:type="paragraph" w:styleId="NormalWeb">
    <w:name w:val="Normal (Web)"/>
    <w:basedOn w:val="Normal"/>
    <w:uiPriority w:val="99"/>
    <w:qFormat/>
    <w:pPr>
      <w:spacing w:before="280" w:after="280"/>
    </w:pPr>
    <w:rPr/>
  </w:style>
  <w:style w:type="paragraph" w:styleId="Poznmkapodiarou">
    <w:name w:val="Footnote Text"/>
    <w:basedOn w:val="Normal"/>
    <w:link w:val="TextpoznmkypodiarouChar"/>
    <w:uiPriority w:val="99"/>
    <w:semiHidden/>
    <w:pPr>
      <w:jc w:val="both"/>
    </w:pPr>
    <w:rPr>
      <w:sz w:val="20"/>
      <w:szCs w:val="20"/>
      <w:lang w:eastAsia="cs-CZ"/>
    </w:rPr>
  </w:style>
  <w:style w:type="paragraph" w:styleId="BodyText2">
    <w:name w:val="Body Text 2"/>
    <w:basedOn w:val="Normal"/>
    <w:link w:val="Zkladntext2Char"/>
    <w:uiPriority w:val="99"/>
    <w:qFormat/>
    <w:pPr>
      <w:spacing w:lineRule="auto" w:line="480" w:before="0" w:after="120"/>
    </w:pPr>
    <w:rPr/>
  </w:style>
  <w:style w:type="paragraph" w:styleId="Odsadenietelatextu" w:customStyle="1">
    <w:name w:val="Body Text Indent"/>
    <w:basedOn w:val="Normal"/>
    <w:link w:val="ZarkazkladnhotextuChar"/>
    <w:uiPriority w:val="99"/>
    <w:pPr>
      <w:spacing w:before="0" w:after="120"/>
      <w:ind w:left="283" w:hanging="0"/>
    </w:pPr>
    <w:rPr/>
  </w:style>
  <w:style w:type="paragraph" w:styleId="ListParagraph">
    <w:name w:val="List Paragraph"/>
    <w:basedOn w:val="Normal"/>
    <w:uiPriority w:val="99"/>
    <w:qFormat/>
    <w:pPr>
      <w:ind w:left="708" w:hanging="0"/>
    </w:pPr>
    <w:rPr/>
  </w:style>
  <w:style w:type="paragraph" w:styleId="Odsek" w:customStyle="1">
    <w:name w:val="odsek"/>
    <w:basedOn w:val="Normal"/>
    <w:uiPriority w:val="99"/>
    <w:qFormat/>
    <w:pPr>
      <w:keepNext w:val="true"/>
      <w:ind w:firstLine="709"/>
      <w:jc w:val="both"/>
    </w:pPr>
    <w:rPr>
      <w:rFonts w:ascii="Calibri" w:hAnsi="Calibri"/>
      <w:szCs w:val="20"/>
    </w:rPr>
  </w:style>
  <w:style w:type="paragraph" w:styleId="Odsek1" w:customStyle="1">
    <w:name w:val="odsek1"/>
    <w:basedOn w:val="Normal"/>
    <w:uiPriority w:val="99"/>
    <w:qFormat/>
    <w:pPr>
      <w:keepNext w:val="true"/>
      <w:spacing w:before="120" w:after="120"/>
      <w:ind w:firstLine="709"/>
      <w:jc w:val="both"/>
    </w:pPr>
    <w:rPr>
      <w:szCs w:val="20"/>
    </w:rPr>
  </w:style>
  <w:style w:type="paragraph" w:styleId="Hlavika">
    <w:name w:val="Header"/>
    <w:basedOn w:val="Normal"/>
    <w:link w:val="HlavikaChar"/>
    <w:uiPriority w:val="99"/>
    <w:semiHidden/>
    <w:pPr>
      <w:tabs>
        <w:tab w:val="clear" w:pos="708"/>
        <w:tab w:val="center" w:pos="4536" w:leader="none"/>
        <w:tab w:val="right" w:pos="9072" w:leader="none"/>
      </w:tabs>
    </w:pPr>
    <w:rPr/>
  </w:style>
  <w:style w:type="paragraph" w:styleId="BalloonText">
    <w:name w:val="Balloon Text"/>
    <w:basedOn w:val="Normal"/>
    <w:link w:val="TextbublinyChar"/>
    <w:uiPriority w:val="99"/>
    <w:semiHidden/>
    <w:qFormat/>
    <w:pPr/>
    <w:rPr>
      <w:rFonts w:ascii="Tahoma" w:hAnsi="Tahoma" w:cs="Tahoma"/>
      <w:sz w:val="16"/>
      <w:szCs w:val="16"/>
    </w:rPr>
  </w:style>
  <w:style w:type="paragraph" w:styleId="Annotationtext">
    <w:name w:val="annotation text"/>
    <w:basedOn w:val="Normal"/>
    <w:link w:val="TextkomentraChar"/>
    <w:uiPriority w:val="99"/>
    <w:semiHidden/>
    <w:qFormat/>
    <w:pPr/>
    <w:rPr>
      <w:sz w:val="20"/>
      <w:szCs w:val="20"/>
    </w:rPr>
  </w:style>
  <w:style w:type="paragraph" w:styleId="Annotationsubject">
    <w:name w:val="annotation subject"/>
    <w:basedOn w:val="Annotationtext"/>
    <w:link w:val="PredmetkomentraChar"/>
    <w:uiPriority w:val="99"/>
    <w:semiHidden/>
    <w:qFormat/>
    <w:pPr/>
    <w:rPr>
      <w:b/>
      <w:bCs/>
    </w:rPr>
  </w:style>
  <w:style w:type="paragraph" w:styleId="L3" w:customStyle="1">
    <w:name w:val="l3"/>
    <w:basedOn w:val="Normal"/>
    <w:uiPriority w:val="99"/>
    <w:qFormat/>
    <w:pPr>
      <w:spacing w:before="280" w:after="280"/>
    </w:pPr>
    <w:rPr/>
  </w:style>
  <w:style w:type="paragraph" w:styleId="L4" w:customStyle="1">
    <w:name w:val="l4"/>
    <w:basedOn w:val="Normal"/>
    <w:uiPriority w:val="99"/>
    <w:qFormat/>
    <w:pPr>
      <w:spacing w:before="280" w:after="280"/>
    </w:pPr>
    <w:rPr/>
  </w:style>
  <w:style w:type="paragraph" w:styleId="L3go" w:customStyle="1">
    <w:name w:val="l3  go"/>
    <w:basedOn w:val="Normal"/>
    <w:uiPriority w:val="99"/>
    <w:qFormat/>
    <w:pPr>
      <w:spacing w:before="280" w:after="280"/>
    </w:pPr>
    <w:rPr>
      <w:lang w:bidi="si-LK"/>
    </w:rPr>
  </w:style>
  <w:style w:type="paragraph" w:styleId="L4go" w:customStyle="1">
    <w:name w:val="l4  go"/>
    <w:basedOn w:val="Normal"/>
    <w:uiPriority w:val="99"/>
    <w:qFormat/>
    <w:pPr>
      <w:spacing w:before="280" w:after="280"/>
    </w:pPr>
    <w:rPr>
      <w:lang w:bidi="si-LK"/>
    </w:rPr>
  </w:style>
  <w:style w:type="paragraph" w:styleId="L5go" w:customStyle="1">
    <w:name w:val="l5  go"/>
    <w:basedOn w:val="Normal"/>
    <w:uiPriority w:val="99"/>
    <w:qFormat/>
    <w:pPr>
      <w:spacing w:before="280" w:after="280"/>
    </w:pPr>
    <w:rPr>
      <w:lang w:bidi="si-LK"/>
    </w:rPr>
  </w:style>
  <w:style w:type="paragraph" w:styleId="Odsekzoznamu1" w:customStyle="1">
    <w:name w:val="Odsek zoznamu1"/>
    <w:basedOn w:val="Normal"/>
    <w:qFormat/>
    <w:pPr>
      <w:spacing w:lineRule="auto" w:line="276" w:before="0" w:after="200"/>
      <w:ind w:left="708" w:hanging="0"/>
    </w:pPr>
    <w:rPr>
      <w:rFonts w:ascii="Calibri" w:hAnsi="Calibri"/>
      <w:sz w:val="22"/>
      <w:szCs w:val="22"/>
      <w:lang w:eastAsia="en-US"/>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Application>LibreOffice/6.2.3.2$Windows_X86_64 LibreOffice_project/aecc05fe267cc68dde00352a451aa867b3b546ac</Application>
  <Pages>11</Pages>
  <Words>4835</Words>
  <Characters>29849</Characters>
  <CharactersWithSpaces>34637</CharactersWithSpaces>
  <Paragraphs>194</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2018-09-25T15:27:00Z</dcterms:created>
  <dc:creator>Milan</dc:creator>
  <dc:description/>
  <dc:language>sk-SK</dc:language>
  <cp:lastModifiedBy>Milan</cp:lastModifiedBy>
  <cp:lastPrinted>2019-05-29T12:29:00Z</cp:lastPrinted>
  <dcterms:modified xsi:type="dcterms:W3CDTF">2019-05-29T21:37:00Z</dcterms:modified>
  <cp:revision>9</cp:revision>
  <dc:subject/>
  <dc:title>DÔVODOVÁ SPRÁVA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