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3C" w:rsidRDefault="00DA481F">
      <w:pPr>
        <w:pStyle w:val="Normlnywebov"/>
        <w:spacing w:before="120" w:after="0" w:line="276" w:lineRule="auto"/>
        <w:jc w:val="center"/>
      </w:pPr>
      <w:r>
        <w:rPr>
          <w:rFonts w:ascii="Book Antiqua" w:hAnsi="Book Antiqua" w:cs="Times New Roman"/>
          <w:b/>
          <w:caps/>
          <w:spacing w:val="30"/>
          <w:sz w:val="22"/>
        </w:rPr>
        <w:t>Dôvodová správa</w:t>
      </w:r>
      <w:r>
        <w:rPr>
          <w:rFonts w:ascii="Book Antiqua" w:hAnsi="Book Antiqua" w:cs="Times New Roman"/>
          <w:b/>
          <w:sz w:val="22"/>
        </w:rPr>
        <w:t> </w:t>
      </w:r>
    </w:p>
    <w:p w:rsidR="00D1783C" w:rsidRDefault="00DA481F">
      <w:pPr>
        <w:pStyle w:val="Nadpis1"/>
        <w:spacing w:before="120" w:line="276" w:lineRule="auto"/>
        <w:jc w:val="left"/>
      </w:pPr>
      <w:r>
        <w:rPr>
          <w:rFonts w:ascii="Book Antiqua" w:hAnsi="Book Antiqua" w:cs="Times New Roman"/>
          <w:b w:val="0"/>
          <w:bCs w:val="0"/>
          <w:sz w:val="22"/>
          <w:szCs w:val="24"/>
        </w:rPr>
        <w:t>A. Všeobecná časť</w:t>
      </w:r>
    </w:p>
    <w:p w:rsidR="00D1783C" w:rsidRDefault="00DA481F">
      <w:pPr>
        <w:spacing w:before="120" w:line="276" w:lineRule="auto"/>
        <w:ind w:firstLine="708"/>
        <w:jc w:val="both"/>
      </w:pPr>
      <w:r>
        <w:rPr>
          <w:rFonts w:ascii="Book Antiqua" w:hAnsi="Book Antiqua" w:cs="Times New Roman"/>
          <w:sz w:val="22"/>
        </w:rPr>
        <w:t xml:space="preserve">Návrh zákona, ktorým sa mení a dopĺňa </w:t>
      </w:r>
      <w:bookmarkStart w:id="0" w:name="_Hlk521325472"/>
      <w:r>
        <w:rPr>
          <w:rFonts w:ascii="Book Antiqua" w:hAnsi="Book Antiqua" w:cs="Times New Roman"/>
          <w:sz w:val="22"/>
        </w:rPr>
        <w:t xml:space="preserve">zákon </w:t>
      </w:r>
      <w:bookmarkStart w:id="1" w:name="_Hlk10034805"/>
      <w:r>
        <w:rPr>
          <w:rFonts w:ascii="Book Antiqua" w:hAnsi="Book Antiqua" w:cs="Times New Roman"/>
          <w:sz w:val="22"/>
        </w:rPr>
        <w:t xml:space="preserve">č. </w:t>
      </w:r>
      <w:bookmarkStart w:id="2" w:name="_Hlk5213236441"/>
      <w:bookmarkStart w:id="3" w:name="_Hlk5213254721"/>
      <w:r>
        <w:rPr>
          <w:rFonts w:ascii="Book Antiqua" w:hAnsi="Book Antiqua" w:cs="Times New Roman"/>
          <w:sz w:val="22"/>
        </w:rPr>
        <w:t xml:space="preserve">49/2002 Z. z. </w:t>
      </w:r>
      <w:bookmarkEnd w:id="1"/>
      <w:bookmarkEnd w:id="2"/>
      <w:r>
        <w:rPr>
          <w:rFonts w:ascii="Book Antiqua" w:hAnsi="Book Antiqua" w:cs="Times New Roman"/>
          <w:sz w:val="22"/>
        </w:rPr>
        <w:t>o ochrane pamiatkového fondu</w:t>
      </w:r>
      <w:bookmarkEnd w:id="0"/>
      <w:r>
        <w:rPr>
          <w:rFonts w:ascii="Book Antiqua" w:hAnsi="Book Antiqua" w:cs="Times New Roman"/>
          <w:sz w:val="22"/>
        </w:rPr>
        <w:t xml:space="preserve"> v znení neskorších predpisov</w:t>
      </w:r>
      <w:bookmarkEnd w:id="3"/>
      <w:r>
        <w:rPr>
          <w:rFonts w:ascii="Book Antiqua" w:hAnsi="Book Antiqua" w:cs="Times New Roman"/>
          <w:sz w:val="22"/>
        </w:rPr>
        <w:t xml:space="preserve"> </w:t>
      </w:r>
      <w:bookmarkStart w:id="4" w:name="_Hlk10040834"/>
      <w:r>
        <w:rPr>
          <w:rFonts w:ascii="Book Antiqua" w:hAnsi="Book Antiqua" w:cs="Times New Roman"/>
          <w:sz w:val="22"/>
        </w:rPr>
        <w:t xml:space="preserve">(ďalej len „návrh zákona“) </w:t>
      </w:r>
      <w:bookmarkEnd w:id="4"/>
      <w:r>
        <w:rPr>
          <w:rFonts w:ascii="Book Antiqua" w:hAnsi="Book Antiqua" w:cs="Times New Roman"/>
          <w:sz w:val="22"/>
        </w:rPr>
        <w:t xml:space="preserve">predkladá </w:t>
      </w:r>
      <w:bookmarkStart w:id="5" w:name="_Hlk521325419"/>
      <w:r>
        <w:rPr>
          <w:rFonts w:ascii="Book Antiqua" w:hAnsi="Book Antiqua" w:cs="Times New Roman"/>
          <w:sz w:val="22"/>
        </w:rPr>
        <w:t>skupina poslancov</w:t>
      </w:r>
      <w:r>
        <w:rPr>
          <w:rFonts w:ascii="Book Antiqua" w:hAnsi="Book Antiqua" w:cs="Times New Roman"/>
          <w:b/>
          <w:sz w:val="22"/>
        </w:rPr>
        <w:t xml:space="preserve"> Národnej rady Slovenskej republiky</w:t>
      </w:r>
      <w:bookmarkEnd w:id="5"/>
      <w:r>
        <w:rPr>
          <w:rFonts w:ascii="Book Antiqua" w:hAnsi="Book Antiqua" w:cs="Times New Roman"/>
          <w:sz w:val="22"/>
        </w:rPr>
        <w:t>.</w:t>
      </w:r>
    </w:p>
    <w:p w:rsidR="00D1783C" w:rsidRDefault="00DA481F">
      <w:pPr>
        <w:spacing w:before="120" w:line="276" w:lineRule="auto"/>
        <w:ind w:firstLine="708"/>
        <w:jc w:val="both"/>
      </w:pPr>
      <w:r>
        <w:rPr>
          <w:rFonts w:ascii="Book Antiqua" w:hAnsi="Book Antiqua" w:cs="Times New Roman"/>
          <w:b/>
          <w:sz w:val="22"/>
        </w:rPr>
        <w:t xml:space="preserve">Cieľom </w:t>
      </w:r>
      <w:r>
        <w:rPr>
          <w:rFonts w:ascii="Book Antiqua" w:hAnsi="Book Antiqua" w:cs="Times New Roman"/>
          <w:b/>
          <w:sz w:val="22"/>
        </w:rPr>
        <w:t xml:space="preserve">návrhu zákona je zlepšenie ochrany a najmä obnovy nehnuteľného kultúrneho dedičstva Slovenskej republiky navýšením finančných prostriedkov do dotačného systému Ministerstva kultúry Slovenskej republiky „Obnovme si svoj dom“, a to prostredníctvom odvodov z </w:t>
      </w:r>
      <w:r>
        <w:rPr>
          <w:rFonts w:ascii="Book Antiqua" w:hAnsi="Book Antiqua" w:cs="Times New Roman"/>
          <w:b/>
          <w:sz w:val="22"/>
        </w:rPr>
        <w:t>kurzových stávok.</w:t>
      </w:r>
      <w:r>
        <w:rPr>
          <w:rStyle w:val="Ukotveniepoznmkypodiarou"/>
          <w:rFonts w:ascii="Book Antiqua" w:hAnsi="Book Antiqua"/>
          <w:b/>
          <w:sz w:val="22"/>
        </w:rPr>
        <w:footnoteReference w:id="1"/>
      </w:r>
      <w:r>
        <w:rPr>
          <w:rFonts w:ascii="Book Antiqua" w:hAnsi="Book Antiqua" w:cs="Times New Roman"/>
          <w:b/>
          <w:sz w:val="22"/>
        </w:rPr>
        <w:t xml:space="preserve"> </w:t>
      </w:r>
    </w:p>
    <w:p w:rsidR="00D1783C" w:rsidRDefault="00DA481F">
      <w:pPr>
        <w:spacing w:before="120" w:line="276" w:lineRule="auto"/>
        <w:ind w:firstLine="708"/>
        <w:jc w:val="both"/>
      </w:pPr>
      <w:r>
        <w:rPr>
          <w:rFonts w:ascii="Book Antiqua" w:hAnsi="Book Antiqua" w:cs="Times New Roman"/>
          <w:sz w:val="22"/>
        </w:rPr>
        <w:t xml:space="preserve"> Návrh zákona počíta s tým, že počas nasledujúcich troch rokov by sa časť tohto odvodu, ktorá sa odvádza do štátneho rozpočtu, využila na účely obnovy kultúrnych pamiatok - konkrétne vo výške 8% tohto odvodu v roku 2020, 16 % tohto odvo</w:t>
      </w:r>
      <w:r>
        <w:rPr>
          <w:rFonts w:ascii="Book Antiqua" w:hAnsi="Book Antiqua" w:cs="Times New Roman"/>
          <w:sz w:val="22"/>
        </w:rPr>
        <w:t>du v roku 2021 a od roku 2022 by sa 24 % tohto odvodu povinne využilo na obnovu a ochranu národných kultúrnych pamiatok.</w:t>
      </w:r>
    </w:p>
    <w:p w:rsidR="00D1783C" w:rsidRDefault="00DA481F">
      <w:pPr>
        <w:spacing w:before="120" w:line="276" w:lineRule="auto"/>
        <w:ind w:firstLine="708"/>
        <w:jc w:val="both"/>
      </w:pPr>
      <w:bookmarkStart w:id="6" w:name="_Hlk10029419"/>
      <w:bookmarkEnd w:id="6"/>
      <w:r>
        <w:rPr>
          <w:rFonts w:ascii="Book Antiqua" w:hAnsi="Book Antiqua" w:cs="Times New Roman"/>
          <w:sz w:val="22"/>
        </w:rPr>
        <w:t>Výšku odvodu stanovuje § 71 ods. 1 písmeno j) zákona 30/2019 Z. z. - zákon o hazardných hrách tak, že prevádzkovateľ kurzových stávok j</w:t>
      </w:r>
      <w:r>
        <w:rPr>
          <w:rFonts w:ascii="Book Antiqua" w:hAnsi="Book Antiqua" w:cs="Times New Roman"/>
          <w:sz w:val="22"/>
        </w:rPr>
        <w:t>e povinný odvádzať 5,5 % z hernej istiny do štátneho rozpočtu a 0,5 % z hernej istiny do rozpočtu obce, v ktorej sa nachádza herňa a prevádzka.</w:t>
      </w:r>
    </w:p>
    <w:p w:rsidR="00D1783C" w:rsidRDefault="00DA481F">
      <w:pPr>
        <w:spacing w:before="120" w:line="276" w:lineRule="auto"/>
        <w:ind w:firstLine="708"/>
        <w:jc w:val="both"/>
      </w:pPr>
      <w:r>
        <w:rPr>
          <w:rFonts w:ascii="Book Antiqua" w:hAnsi="Book Antiqua" w:cs="Times New Roman"/>
          <w:sz w:val="22"/>
        </w:rPr>
        <w:t>Celkové odvody z kurzových stávok za rok 2017 predstavovali 62,8 milióna eur. Podľa tohto návrhu zákona by sa ča</w:t>
      </w:r>
      <w:r>
        <w:rPr>
          <w:rFonts w:ascii="Book Antiqua" w:hAnsi="Book Antiqua" w:cs="Times New Roman"/>
          <w:sz w:val="22"/>
        </w:rPr>
        <w:t xml:space="preserve">sť týchto prostriedkov účelovo viazala práve na záchranu národných kultúrnych pamiatok. </w:t>
      </w:r>
    </w:p>
    <w:p w:rsidR="00D1783C" w:rsidRDefault="00DA481F">
      <w:pPr>
        <w:spacing w:before="120" w:line="276" w:lineRule="auto"/>
        <w:ind w:firstLine="708"/>
        <w:jc w:val="both"/>
      </w:pPr>
      <w:r>
        <w:rPr>
          <w:rFonts w:ascii="Book Antiqua" w:hAnsi="Book Antiqua" w:cs="Times New Roman"/>
          <w:sz w:val="22"/>
        </w:rPr>
        <w:t xml:space="preserve">Návrh zákona má ambíciu získať z legálnych hazardných hier finančné prostriedky na obnovu národných kultúrnych pamiatok. V navrhovanom znení zákona by účelovo viazané </w:t>
      </w:r>
      <w:r>
        <w:rPr>
          <w:rFonts w:ascii="Book Antiqua" w:hAnsi="Book Antiqua" w:cs="Times New Roman"/>
          <w:sz w:val="22"/>
        </w:rPr>
        <w:t>prostriedky na obnovu kultúrneho dedičstva predstavovalo v roku 2020 sumu cca 4,6 mil. eur, v roku 2021 sumu cca 9,2 mil. eur a od roku 2023 sumu cca 13,8 mil. eur pri výške odvodu na úrovni roku 2017.</w:t>
      </w:r>
    </w:p>
    <w:p w:rsidR="00D1783C" w:rsidRDefault="00DA481F">
      <w:pPr>
        <w:spacing w:before="120" w:line="276" w:lineRule="auto"/>
        <w:ind w:firstLine="708"/>
        <w:jc w:val="both"/>
      </w:pPr>
      <w:r>
        <w:rPr>
          <w:rFonts w:ascii="Book Antiqua" w:hAnsi="Book Antiqua" w:cs="Times New Roman"/>
          <w:b/>
          <w:sz w:val="22"/>
        </w:rPr>
        <w:t>Podľa Ministerstva kultúry SR je na Slovensku aktuálne</w:t>
      </w:r>
      <w:r>
        <w:rPr>
          <w:rFonts w:ascii="Book Antiqua" w:hAnsi="Book Antiqua" w:cs="Times New Roman"/>
          <w:b/>
          <w:sz w:val="22"/>
        </w:rPr>
        <w:t xml:space="preserve"> 1/3 pamiatok v narušenom alebo dezolátnom stave.</w:t>
      </w:r>
      <w:r>
        <w:rPr>
          <w:rFonts w:ascii="Book Antiqua" w:hAnsi="Book Antiqua" w:cs="Times New Roman"/>
          <w:sz w:val="22"/>
        </w:rPr>
        <w:t xml:space="preserve"> Jednou z príčin je aj nedostatočné financovanie obnovy pamiatkového fondu, ktorý bol dlhodobo zanedbávaný a vytvoril sa veľký tzv. spoločenský dlh.</w:t>
      </w:r>
      <w:r>
        <w:rPr>
          <w:rStyle w:val="Ukotveniepoznmkypodiarou"/>
          <w:rFonts w:ascii="Book Antiqua" w:hAnsi="Book Antiqua"/>
          <w:sz w:val="22"/>
          <w:szCs w:val="22"/>
        </w:rPr>
        <w:footnoteReference w:id="2"/>
      </w:r>
      <w:r>
        <w:rPr>
          <w:rFonts w:ascii="Book Antiqua" w:hAnsi="Book Antiqua" w:cs="Times New Roman"/>
          <w:sz w:val="22"/>
        </w:rPr>
        <w:t xml:space="preserve"> </w:t>
      </w:r>
    </w:p>
    <w:p w:rsidR="00D1783C" w:rsidRDefault="00DA481F">
      <w:pPr>
        <w:spacing w:before="120" w:line="276" w:lineRule="auto"/>
        <w:ind w:firstLine="708"/>
        <w:jc w:val="both"/>
      </w:pPr>
      <w:r>
        <w:rPr>
          <w:rFonts w:ascii="Book Antiqua" w:hAnsi="Book Antiqua" w:cs="Times New Roman"/>
          <w:sz w:val="22"/>
        </w:rPr>
        <w:t>Hoci má objem finančných prostriedkov v tomto systéme st</w:t>
      </w:r>
      <w:r>
        <w:rPr>
          <w:rFonts w:ascii="Book Antiqua" w:hAnsi="Book Antiqua" w:cs="Times New Roman"/>
          <w:sz w:val="22"/>
        </w:rPr>
        <w:t xml:space="preserve">úpajúcu tendenciu, z pohľadu ochrany a obnovy pamiatkového fondu je to stále nedostatočné. Finančný objem žiadostí na obnovu kultúrnych pamiatok je každoročne niekoľkonásobne oveľa vyšší, ako výška vyčlenených prostriedkov. </w:t>
      </w:r>
    </w:p>
    <w:p w:rsidR="00D1783C" w:rsidRDefault="00DA481F">
      <w:pPr>
        <w:spacing w:before="120" w:line="276" w:lineRule="auto"/>
        <w:ind w:firstLine="708"/>
        <w:jc w:val="both"/>
      </w:pPr>
      <w:r>
        <w:rPr>
          <w:rFonts w:ascii="Book Antiqua" w:hAnsi="Book Antiqua" w:cs="Times New Roman"/>
          <w:sz w:val="22"/>
        </w:rPr>
        <w:t xml:space="preserve">V susednej Českej republike je </w:t>
      </w:r>
      <w:r>
        <w:rPr>
          <w:rFonts w:ascii="Book Antiqua" w:hAnsi="Book Antiqua" w:cs="Times New Roman"/>
          <w:sz w:val="22"/>
        </w:rPr>
        <w:t>na obnovu a záchranu kultúrnych pamiatok vyčlenených 737 milióna českých korún, teda zhruba 28,5 milióna eur zo štátneho rozpočtu.</w:t>
      </w:r>
      <w:r>
        <w:rPr>
          <w:rStyle w:val="Ukotveniepoznmkypodiarou"/>
          <w:rFonts w:ascii="Book Antiqua" w:hAnsi="Book Antiqua"/>
          <w:sz w:val="22"/>
          <w:szCs w:val="22"/>
        </w:rPr>
        <w:footnoteReference w:id="3"/>
      </w:r>
    </w:p>
    <w:p w:rsidR="00D1783C" w:rsidRDefault="00DA481F">
      <w:pPr>
        <w:spacing w:before="120" w:line="276" w:lineRule="auto"/>
        <w:ind w:firstLine="708"/>
        <w:jc w:val="both"/>
      </w:pPr>
      <w:r>
        <w:rPr>
          <w:rFonts w:ascii="Book Antiqua" w:hAnsi="Book Antiqua" w:cs="Times New Roman"/>
          <w:sz w:val="22"/>
        </w:rPr>
        <w:lastRenderedPageBreak/>
        <w:t>Schválením tohto návrhu zákona by sa objem finančných prostriedkov určených na záchranu a obnovu nehnuteľného kultúrneho ded</w:t>
      </w:r>
      <w:r>
        <w:rPr>
          <w:rFonts w:ascii="Book Antiqua" w:hAnsi="Book Antiqua" w:cs="Times New Roman"/>
          <w:sz w:val="22"/>
        </w:rPr>
        <w:t xml:space="preserve">ičstva priblížil Českej republike. </w:t>
      </w:r>
    </w:p>
    <w:p w:rsidR="00D1783C" w:rsidRDefault="00DA481F">
      <w:pPr>
        <w:spacing w:before="120" w:line="276" w:lineRule="auto"/>
        <w:ind w:firstLine="708"/>
        <w:jc w:val="both"/>
      </w:pPr>
      <w:r>
        <w:rPr>
          <w:rFonts w:ascii="Book Antiqua" w:hAnsi="Book Antiqua" w:cs="Times New Roman"/>
          <w:sz w:val="22"/>
        </w:rPr>
        <w:t>Nakoľko dodnes neexistujú funkčné nástroje, ktoré by odbremenili súkromných, ale aj verejných majiteľov od zvýšených nákladov vyplývajúcich zo starostlivosti o národné kultúrne pamiatky zapísané v pamiatkovom fonde, tent</w:t>
      </w:r>
      <w:r>
        <w:rPr>
          <w:rFonts w:ascii="Book Antiqua" w:hAnsi="Book Antiqua" w:cs="Times New Roman"/>
          <w:sz w:val="22"/>
        </w:rPr>
        <w:t xml:space="preserve">o návrh zákona má za cieľ pomôcť im získať dotáciu.  </w:t>
      </w:r>
    </w:p>
    <w:p w:rsidR="00D1783C" w:rsidRDefault="00DA481F">
      <w:pPr>
        <w:spacing w:before="120" w:line="276" w:lineRule="auto"/>
        <w:ind w:firstLine="708"/>
        <w:jc w:val="both"/>
      </w:pPr>
      <w:r>
        <w:rPr>
          <w:rFonts w:ascii="Book Antiqua" w:hAnsi="Book Antiqua" w:cs="Times New Roman"/>
          <w:sz w:val="22"/>
        </w:rPr>
        <w:t>Návrh zákona bude mať výrazne pozitívne sociálne vplyvy. Od návrhu zákona sa neočakávajú žiadne negatívne vplyvy na podnikateľské prostredie, životné prostredie a ani na informatizáciu spoločnosti. Návr</w:t>
      </w:r>
      <w:r>
        <w:rPr>
          <w:rFonts w:ascii="Book Antiqua" w:hAnsi="Book Antiqua" w:cs="Times New Roman"/>
          <w:sz w:val="22"/>
        </w:rPr>
        <w:t xml:space="preserve">h zákona bude mať negatívny dopad na rozpočet verejnej správy. </w:t>
      </w:r>
    </w:p>
    <w:p w:rsidR="00D1783C" w:rsidRDefault="00DA481F">
      <w:pPr>
        <w:spacing w:before="120" w:line="276" w:lineRule="auto"/>
        <w:ind w:firstLine="708"/>
        <w:jc w:val="both"/>
      </w:pPr>
      <w:r>
        <w:rPr>
          <w:rFonts w:ascii="Book Antiqua" w:hAnsi="Book Antiqua" w:cs="Times New Roman"/>
          <w:sz w:val="22"/>
        </w:rPr>
        <w:t xml:space="preserve"> Návrh zákona je v súlade s Ústavou Slovenskej republiky, ústavnými zákonmi a ostatnými všeobecne záväznými právnymi predpismi Slovenskej republiky, medzinárodnými zmluvami a inými medzinárodn</w:t>
      </w:r>
      <w:r>
        <w:rPr>
          <w:rFonts w:ascii="Book Antiqua" w:hAnsi="Book Antiqua" w:cs="Times New Roman"/>
          <w:sz w:val="22"/>
        </w:rPr>
        <w:t>ými dokumentmi, ktorými je Slovenská republika viazaná, ako aj s právom Európskej únie.</w:t>
      </w:r>
      <w:r>
        <w:br w:type="page"/>
      </w:r>
    </w:p>
    <w:p w:rsidR="00D1783C" w:rsidRDefault="00DA481F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Times New Roman"/>
          <w:b/>
          <w:sz w:val="22"/>
        </w:rPr>
        <w:lastRenderedPageBreak/>
        <w:t>B. Osobitná časť</w:t>
      </w:r>
    </w:p>
    <w:p w:rsidR="00D1783C" w:rsidRDefault="00D1783C">
      <w:pPr>
        <w:pStyle w:val="Normlnywebov"/>
        <w:spacing w:before="120" w:after="0" w:line="276" w:lineRule="auto"/>
        <w:rPr>
          <w:rFonts w:ascii="Book Antiqua" w:hAnsi="Book Antiqua" w:cs="Times New Roman"/>
          <w:b/>
          <w:caps/>
          <w:spacing w:val="30"/>
          <w:sz w:val="22"/>
        </w:rPr>
      </w:pPr>
    </w:p>
    <w:p w:rsidR="00D1783C" w:rsidRDefault="00DA481F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Times New Roman"/>
          <w:b/>
          <w:sz w:val="22"/>
        </w:rPr>
        <w:t>K Čl. I</w:t>
      </w:r>
    </w:p>
    <w:p w:rsidR="00D1783C" w:rsidRDefault="00DA481F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Times New Roman"/>
          <w:sz w:val="22"/>
          <w:u w:val="single"/>
        </w:rPr>
        <w:t>K bodu 1</w:t>
      </w:r>
      <w:r>
        <w:rPr>
          <w:rFonts w:ascii="Book Antiqua" w:hAnsi="Book Antiqua" w:cs="Times New Roman"/>
          <w:sz w:val="22"/>
        </w:rPr>
        <w:t xml:space="preserve"> </w:t>
      </w:r>
    </w:p>
    <w:p w:rsidR="00D1783C" w:rsidRDefault="00DA481F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Times New Roman"/>
          <w:sz w:val="22"/>
        </w:rPr>
        <w:tab/>
        <w:t xml:space="preserve">Do ustanovenia § 34 zákona č. 49/2002 Z. z. o ochrane pamiatkového fondu sa vkladá nový odsek 1, ktorý uvádza zdroje financovania </w:t>
      </w:r>
      <w:r>
        <w:rPr>
          <w:rFonts w:ascii="Book Antiqua" w:hAnsi="Book Antiqua" w:cs="Times New Roman"/>
          <w:sz w:val="22"/>
        </w:rPr>
        <w:t xml:space="preserve">obnovy a reštaurovania kultúrnych pamiatok, konkrétne: </w:t>
      </w:r>
    </w:p>
    <w:p w:rsidR="00D1783C" w:rsidRDefault="00DA481F">
      <w:pPr>
        <w:pStyle w:val="Normlnywebov"/>
        <w:spacing w:before="120" w:after="0" w:line="276" w:lineRule="auto"/>
        <w:ind w:left="851" w:hanging="425"/>
        <w:jc w:val="both"/>
      </w:pPr>
      <w:bookmarkStart w:id="7" w:name="_Hlk10032882"/>
      <w:bookmarkEnd w:id="7"/>
      <w:r>
        <w:rPr>
          <w:rFonts w:ascii="Book Antiqua" w:hAnsi="Book Antiqua" w:cs="Times New Roman"/>
          <w:sz w:val="22"/>
        </w:rPr>
        <w:t xml:space="preserve">a) </w:t>
      </w:r>
      <w:r>
        <w:rPr>
          <w:rFonts w:ascii="Book Antiqua" w:hAnsi="Book Antiqua" w:cs="Times New Roman"/>
          <w:sz w:val="22"/>
        </w:rPr>
        <w:tab/>
        <w:t>príspevky podľa odseku 2, t. j. finančné príspevky od štátu alebo obce na obnovu alebo reštaurovanie kultúrnej pamiatky,</w:t>
      </w:r>
    </w:p>
    <w:p w:rsidR="00D1783C" w:rsidRDefault="00DA481F">
      <w:pPr>
        <w:pStyle w:val="Normlnywebov"/>
        <w:spacing w:before="120" w:after="0" w:line="276" w:lineRule="auto"/>
        <w:ind w:left="851" w:hanging="425"/>
        <w:jc w:val="both"/>
      </w:pPr>
      <w:r>
        <w:rPr>
          <w:rFonts w:ascii="Book Antiqua" w:hAnsi="Book Antiqua" w:cs="Times New Roman"/>
          <w:sz w:val="22"/>
        </w:rPr>
        <w:t xml:space="preserve">b) </w:t>
      </w:r>
      <w:r>
        <w:rPr>
          <w:rFonts w:ascii="Book Antiqua" w:hAnsi="Book Antiqua" w:cs="Times New Roman"/>
          <w:sz w:val="22"/>
        </w:rPr>
        <w:tab/>
        <w:t>dotácie zo štátneho rozpočtu,</w:t>
      </w:r>
    </w:p>
    <w:p w:rsidR="00D1783C" w:rsidRDefault="00DA481F">
      <w:pPr>
        <w:pStyle w:val="Normlnywebov"/>
        <w:spacing w:before="120" w:after="0" w:line="276" w:lineRule="auto"/>
        <w:ind w:left="851" w:hanging="425"/>
        <w:jc w:val="both"/>
      </w:pPr>
      <w:r>
        <w:rPr>
          <w:rFonts w:ascii="Book Antiqua" w:hAnsi="Book Antiqua" w:cs="Times New Roman"/>
          <w:sz w:val="22"/>
        </w:rPr>
        <w:t xml:space="preserve">c)  </w:t>
      </w:r>
      <w:r>
        <w:rPr>
          <w:rFonts w:ascii="Book Antiqua" w:hAnsi="Book Antiqua" w:cs="Times New Roman"/>
          <w:sz w:val="22"/>
        </w:rPr>
        <w:tab/>
        <w:t xml:space="preserve">prostriedky štátneho rozpočtu vo </w:t>
      </w:r>
      <w:r>
        <w:rPr>
          <w:rFonts w:ascii="Book Antiqua" w:hAnsi="Book Antiqua" w:cs="Times New Roman"/>
          <w:sz w:val="22"/>
        </w:rPr>
        <w:t>výške odvodu zo stávkových hier do štátneho rozpočtu v rozpočtovom roku, ktorý predchádza bežnému rozpočtovému roku; v roku 2020 8 % z tohto odvodu, v roku 2021 16 % z tohto odvodu a od roku 2022 24%  z tohto odvodu,</w:t>
      </w:r>
    </w:p>
    <w:p w:rsidR="00D1783C" w:rsidRDefault="00DA481F">
      <w:pPr>
        <w:pStyle w:val="Normlnywebov"/>
        <w:spacing w:before="120" w:after="0" w:line="276" w:lineRule="auto"/>
        <w:ind w:left="851" w:hanging="425"/>
        <w:jc w:val="both"/>
      </w:pPr>
      <w:r>
        <w:rPr>
          <w:rFonts w:ascii="Book Antiqua" w:hAnsi="Book Antiqua" w:cs="Times New Roman"/>
          <w:sz w:val="22"/>
        </w:rPr>
        <w:t xml:space="preserve">d) </w:t>
      </w:r>
      <w:r>
        <w:rPr>
          <w:rFonts w:ascii="Book Antiqua" w:hAnsi="Book Antiqua" w:cs="Times New Roman"/>
          <w:sz w:val="22"/>
        </w:rPr>
        <w:tab/>
        <w:t>iné zdroje (napríklad štátna pomoc)</w:t>
      </w:r>
      <w:r>
        <w:rPr>
          <w:rFonts w:ascii="Book Antiqua" w:hAnsi="Book Antiqua" w:cs="Times New Roman"/>
          <w:sz w:val="22"/>
        </w:rPr>
        <w:t xml:space="preserve">. </w:t>
      </w:r>
    </w:p>
    <w:p w:rsidR="00D1783C" w:rsidRDefault="00DA481F">
      <w:pPr>
        <w:pStyle w:val="Normlnywebov"/>
        <w:spacing w:before="120" w:after="0" w:line="276" w:lineRule="auto"/>
        <w:ind w:firstLine="708"/>
        <w:jc w:val="both"/>
      </w:pPr>
      <w:r>
        <w:rPr>
          <w:rFonts w:ascii="Book Antiqua" w:hAnsi="Book Antiqua" w:cs="Times New Roman"/>
          <w:sz w:val="22"/>
        </w:rPr>
        <w:t>Financovanie verejnoprospešných projektov z odvodov z hazardu nie je neobvyklým spôsobom riešenia problémov, ktoré majú celospoločenský dosah. Príkladom účelového viazania prostriedkov získaných z hazardu sú ustanovenia zákona č. 440/2015 Z. z. o športe</w:t>
      </w:r>
      <w:r>
        <w:rPr>
          <w:rFonts w:ascii="Book Antiqua" w:hAnsi="Book Antiqua" w:cs="Times New Roman"/>
          <w:sz w:val="22"/>
        </w:rPr>
        <w:t xml:space="preserve"> a o zmene a doplnení niektorých zákonov v znení neskorších predpisov, kde jedným zo zdrojov financovania športu je progresívne sa zvyšujúca suma odvodu z lotériových hier do štátneho rozpočtu. Uvedený zákon je dôkazom, že systém účelového viazania finančn</w:t>
      </w:r>
      <w:r>
        <w:rPr>
          <w:rFonts w:ascii="Book Antiqua" w:hAnsi="Book Antiqua" w:cs="Times New Roman"/>
          <w:sz w:val="22"/>
        </w:rPr>
        <w:t>ých prostriedkov z konkrétneho druhu hazardnej hry na oblasť kultúry je nielen možný, ale že je aj vyžívaný a funkčný.</w:t>
      </w:r>
    </w:p>
    <w:p w:rsidR="00D1783C" w:rsidRDefault="00DA481F">
      <w:pPr>
        <w:pStyle w:val="Normlnywebov"/>
        <w:spacing w:before="120" w:after="0" w:line="276" w:lineRule="auto"/>
        <w:ind w:firstLine="708"/>
        <w:jc w:val="both"/>
      </w:pPr>
      <w:r>
        <w:rPr>
          <w:rFonts w:ascii="Book Antiqua" w:hAnsi="Book Antiqua" w:cs="Times New Roman"/>
          <w:sz w:val="22"/>
        </w:rPr>
        <w:t>Podľa údajov z roku 2016 bolo na Slovensku evidovaných 16 169 nehnuteľných kultúrnych pamiatok, pričom 10 372 bolo v súkromnom vlastníctv</w:t>
      </w:r>
      <w:r>
        <w:rPr>
          <w:rFonts w:ascii="Book Antiqua" w:hAnsi="Book Antiqua" w:cs="Times New Roman"/>
          <w:sz w:val="22"/>
        </w:rPr>
        <w:t>e. Podľa registra nehnuteľných národných kultúrnych pamiatok (ďalej len „NKP“) je k 11. 4. 2019 celkový počet týchto pamiatok vo verejnom aj súkromnom vlastníctve neustále stúpa.</w:t>
      </w:r>
      <w:r>
        <w:rPr>
          <w:rStyle w:val="Ukotveniepoznmkypodiarou"/>
          <w:rFonts w:ascii="Book Antiqua" w:hAnsi="Book Antiqua"/>
          <w:sz w:val="22"/>
          <w:szCs w:val="22"/>
        </w:rPr>
        <w:footnoteReference w:id="4"/>
      </w:r>
      <w:r>
        <w:rPr>
          <w:rFonts w:ascii="Book Antiqua" w:hAnsi="Book Antiqua" w:cs="Times New Roman"/>
          <w:sz w:val="22"/>
        </w:rPr>
        <w:t xml:space="preserve"> </w:t>
      </w:r>
    </w:p>
    <w:p w:rsidR="00D1783C" w:rsidRDefault="00DA481F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Times New Roman"/>
          <w:sz w:val="22"/>
          <w:u w:val="single"/>
        </w:rPr>
        <w:t>K bodu 2</w:t>
      </w:r>
      <w:r>
        <w:rPr>
          <w:rFonts w:ascii="Book Antiqua" w:hAnsi="Book Antiqua" w:cs="Times New Roman"/>
          <w:sz w:val="22"/>
        </w:rPr>
        <w:t xml:space="preserve"> </w:t>
      </w:r>
    </w:p>
    <w:p w:rsidR="00D1783C" w:rsidRDefault="00DA481F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Times New Roman"/>
          <w:sz w:val="22"/>
        </w:rPr>
        <w:tab/>
        <w:t>Týmto bodom sa pomocou nového § 45b upravujú prechodné ustanoven</w:t>
      </w:r>
      <w:r>
        <w:rPr>
          <w:rFonts w:ascii="Book Antiqua" w:hAnsi="Book Antiqua" w:cs="Times New Roman"/>
          <w:sz w:val="22"/>
        </w:rPr>
        <w:t xml:space="preserve">ia, aby sa nenarušil koncept navrhnutého štátneho rozpočtu na rok 2019, odvod zo stávkových hier sa po prvýkrát použije v rozpočtovom roku 2020. </w:t>
      </w:r>
    </w:p>
    <w:p w:rsidR="00D1783C" w:rsidRDefault="00D1783C">
      <w:pPr>
        <w:pStyle w:val="Normlnywebov"/>
        <w:spacing w:before="120" w:after="0" w:line="276" w:lineRule="auto"/>
        <w:jc w:val="both"/>
        <w:rPr>
          <w:rFonts w:ascii="Book Antiqua" w:hAnsi="Book Antiqua" w:cs="Times New Roman"/>
          <w:b/>
          <w:sz w:val="22"/>
        </w:rPr>
      </w:pPr>
    </w:p>
    <w:p w:rsidR="00D1783C" w:rsidRDefault="00DA481F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Times New Roman"/>
          <w:b/>
          <w:sz w:val="22"/>
        </w:rPr>
        <w:t>K Čl. II</w:t>
      </w:r>
    </w:p>
    <w:p w:rsidR="00D1783C" w:rsidRDefault="00DA481F">
      <w:pPr>
        <w:pStyle w:val="Normlnywebov"/>
        <w:spacing w:before="120" w:after="0" w:line="276" w:lineRule="auto"/>
        <w:ind w:firstLine="708"/>
        <w:jc w:val="both"/>
      </w:pPr>
      <w:r>
        <w:rPr>
          <w:rFonts w:ascii="Book Antiqua" w:hAnsi="Book Antiqua" w:cs="Times New Roman"/>
          <w:sz w:val="22"/>
        </w:rPr>
        <w:t>Navrhuje sa, aby zákon nadobudol účinnosť 1. novembra 2019, a to so zohľadnením legisvakančnej lehot</w:t>
      </w:r>
      <w:r>
        <w:rPr>
          <w:rFonts w:ascii="Book Antiqua" w:hAnsi="Book Antiqua" w:cs="Times New Roman"/>
          <w:sz w:val="22"/>
        </w:rPr>
        <w:t>y.</w:t>
      </w:r>
    </w:p>
    <w:p w:rsidR="00D1783C" w:rsidRDefault="00DA481F">
      <w:pPr>
        <w:pStyle w:val="Normlnywebov"/>
        <w:spacing w:before="120" w:after="0" w:line="276" w:lineRule="auto"/>
        <w:rPr>
          <w:rFonts w:ascii="Book Antiqua" w:hAnsi="Book Antiqua" w:cs="Times New Roman"/>
          <w:b/>
          <w:caps/>
          <w:spacing w:val="30"/>
          <w:sz w:val="22"/>
        </w:rPr>
      </w:pPr>
      <w:r>
        <w:br w:type="page"/>
      </w:r>
    </w:p>
    <w:p w:rsidR="00D1783C" w:rsidRDefault="00DA481F">
      <w:pPr>
        <w:pStyle w:val="Normlnywebov"/>
        <w:spacing w:before="120" w:after="0" w:line="276" w:lineRule="auto"/>
        <w:jc w:val="center"/>
      </w:pPr>
      <w:r>
        <w:rPr>
          <w:rFonts w:ascii="Book Antiqua" w:hAnsi="Book Antiqua" w:cs="Times New Roman"/>
          <w:b/>
          <w:caps/>
          <w:spacing w:val="30"/>
          <w:sz w:val="22"/>
        </w:rPr>
        <w:lastRenderedPageBreak/>
        <w:t>DOLOŽKA ZLUČITEĽNOSTI</w:t>
      </w:r>
    </w:p>
    <w:p w:rsidR="00D1783C" w:rsidRDefault="00DA481F">
      <w:pPr>
        <w:pStyle w:val="Normlnywebov"/>
        <w:spacing w:before="120" w:after="0" w:line="276" w:lineRule="auto"/>
        <w:jc w:val="center"/>
      </w:pPr>
      <w:r>
        <w:rPr>
          <w:rFonts w:ascii="Book Antiqua" w:hAnsi="Book Antiqua" w:cs="Times New Roman"/>
          <w:b/>
          <w:sz w:val="22"/>
        </w:rPr>
        <w:t>návrhu zákona</w:t>
      </w:r>
      <w:r>
        <w:rPr>
          <w:rFonts w:ascii="Book Antiqua" w:hAnsi="Book Antiqua" w:cs="Times New Roman"/>
          <w:sz w:val="22"/>
        </w:rPr>
        <w:t xml:space="preserve"> </w:t>
      </w:r>
      <w:r>
        <w:rPr>
          <w:rFonts w:ascii="Book Antiqua" w:hAnsi="Book Antiqua" w:cs="Times New Roman"/>
          <w:b/>
          <w:sz w:val="22"/>
        </w:rPr>
        <w:t>s právom Európskej únie</w:t>
      </w:r>
    </w:p>
    <w:p w:rsidR="00D1783C" w:rsidRDefault="00DA481F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Times New Roman"/>
          <w:sz w:val="22"/>
        </w:rPr>
        <w:t> </w:t>
      </w:r>
    </w:p>
    <w:p w:rsidR="00D1783C" w:rsidRDefault="00DA481F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Times New Roman"/>
          <w:b/>
          <w:sz w:val="22"/>
        </w:rPr>
        <w:t>1. Navrhovateľ zákona:</w:t>
      </w:r>
      <w:r>
        <w:rPr>
          <w:rFonts w:ascii="Book Antiqua" w:hAnsi="Book Antiqua" w:cs="Times New Roman"/>
          <w:sz w:val="22"/>
        </w:rPr>
        <w:t xml:space="preserve"> </w:t>
      </w:r>
      <w:r>
        <w:rPr>
          <w:rFonts w:ascii="Book Antiqua" w:hAnsi="Book Antiqua" w:cs="Times New Roman"/>
          <w:b/>
          <w:sz w:val="22"/>
        </w:rPr>
        <w:t>skupina poslancov Národnej rady Slovenskej republiky</w:t>
      </w:r>
    </w:p>
    <w:p w:rsidR="00D1783C" w:rsidRDefault="00D1783C">
      <w:pPr>
        <w:pStyle w:val="Normlnywebov"/>
        <w:spacing w:before="120" w:after="0" w:line="276" w:lineRule="auto"/>
        <w:jc w:val="both"/>
        <w:rPr>
          <w:rFonts w:ascii="Book Antiqua" w:hAnsi="Book Antiqua" w:cs="Times New Roman"/>
          <w:sz w:val="22"/>
        </w:rPr>
      </w:pPr>
    </w:p>
    <w:p w:rsidR="00D1783C" w:rsidRDefault="00DA481F">
      <w:pPr>
        <w:spacing w:before="120" w:line="276" w:lineRule="auto"/>
        <w:jc w:val="both"/>
      </w:pPr>
      <w:r>
        <w:rPr>
          <w:rFonts w:ascii="Book Antiqua" w:hAnsi="Book Antiqua" w:cs="Times New Roman"/>
          <w:b/>
          <w:sz w:val="22"/>
        </w:rPr>
        <w:t>2. Názov návrhu zákona:</w:t>
      </w:r>
      <w:r>
        <w:rPr>
          <w:rFonts w:ascii="Book Antiqua" w:hAnsi="Book Antiqua" w:cs="Times New Roman"/>
          <w:sz w:val="22"/>
        </w:rPr>
        <w:t xml:space="preserve">  návrh zákona, ktorým sa mení a dopĺňa zákon č</w:t>
      </w:r>
      <w:bookmarkStart w:id="8" w:name="_Hlk521327490"/>
      <w:bookmarkEnd w:id="8"/>
      <w:r>
        <w:rPr>
          <w:rFonts w:ascii="Book Antiqua" w:hAnsi="Book Antiqua" w:cs="Times New Roman"/>
          <w:sz w:val="22"/>
        </w:rPr>
        <w:t>. 49/2002 Z. z. o ochrane pamiatkového fon</w:t>
      </w:r>
      <w:r>
        <w:rPr>
          <w:rFonts w:ascii="Book Antiqua" w:hAnsi="Book Antiqua" w:cs="Times New Roman"/>
          <w:sz w:val="22"/>
        </w:rPr>
        <w:t xml:space="preserve">du v znení neskorších predpisov </w:t>
      </w:r>
    </w:p>
    <w:p w:rsidR="00D1783C" w:rsidRDefault="00D1783C">
      <w:pPr>
        <w:pStyle w:val="Normlnywebov"/>
        <w:spacing w:before="120" w:after="0" w:line="276" w:lineRule="auto"/>
        <w:jc w:val="both"/>
        <w:rPr>
          <w:rFonts w:ascii="Book Antiqua" w:hAnsi="Book Antiqua" w:cs="Times New Roman"/>
          <w:sz w:val="22"/>
        </w:rPr>
      </w:pPr>
    </w:p>
    <w:p w:rsidR="00D1783C" w:rsidRDefault="00DA481F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Times New Roman"/>
          <w:b/>
          <w:sz w:val="22"/>
        </w:rPr>
        <w:t>3. Predmet návrhu zákona:</w:t>
      </w:r>
    </w:p>
    <w:p w:rsidR="00D1783C" w:rsidRDefault="00DA481F">
      <w:pPr>
        <w:pStyle w:val="Normlnywebov"/>
        <w:numPr>
          <w:ilvl w:val="0"/>
          <w:numId w:val="1"/>
        </w:numPr>
        <w:spacing w:before="120" w:after="0" w:line="276" w:lineRule="auto"/>
        <w:ind w:left="1418" w:hanging="698"/>
        <w:jc w:val="both"/>
      </w:pPr>
      <w:r>
        <w:rPr>
          <w:rFonts w:ascii="Book Antiqua" w:hAnsi="Book Antiqua" w:cs="Times New Roman"/>
          <w:sz w:val="22"/>
        </w:rPr>
        <w:t>je upravený v primárnom práve Európskej únie a to v čl. 167 (kultúra) Zmluvy o fungovaní Európskej únie,</w:t>
      </w:r>
    </w:p>
    <w:p w:rsidR="00D1783C" w:rsidRDefault="00DA481F">
      <w:pPr>
        <w:pStyle w:val="Normlnywebov"/>
        <w:numPr>
          <w:ilvl w:val="0"/>
          <w:numId w:val="1"/>
        </w:numPr>
        <w:spacing w:before="120" w:after="0" w:line="276" w:lineRule="auto"/>
        <w:ind w:left="1418" w:hanging="698"/>
        <w:jc w:val="both"/>
      </w:pPr>
      <w:r>
        <w:rPr>
          <w:rFonts w:ascii="Book Antiqua" w:hAnsi="Book Antiqua" w:cs="Times New Roman"/>
          <w:sz w:val="22"/>
        </w:rPr>
        <w:t>nie je upravený v sekundárnom práve Európskej únie,</w:t>
      </w:r>
    </w:p>
    <w:p w:rsidR="00D1783C" w:rsidRDefault="00DA481F">
      <w:pPr>
        <w:pStyle w:val="Normlnywebov"/>
        <w:numPr>
          <w:ilvl w:val="0"/>
          <w:numId w:val="1"/>
        </w:numPr>
        <w:spacing w:before="120" w:after="0" w:line="276" w:lineRule="auto"/>
        <w:ind w:firstLine="0"/>
        <w:jc w:val="both"/>
      </w:pPr>
      <w:r>
        <w:rPr>
          <w:rFonts w:ascii="Book Antiqua" w:hAnsi="Book Antiqua" w:cs="Times New Roman"/>
          <w:sz w:val="22"/>
        </w:rPr>
        <w:t xml:space="preserve">nie je obsiahnutý v judikatúre Súdneho </w:t>
      </w:r>
      <w:r>
        <w:rPr>
          <w:rFonts w:ascii="Book Antiqua" w:hAnsi="Book Antiqua" w:cs="Times New Roman"/>
          <w:sz w:val="22"/>
        </w:rPr>
        <w:t>dvora Európskej únie.</w:t>
      </w:r>
    </w:p>
    <w:p w:rsidR="00D1783C" w:rsidRDefault="00D1783C">
      <w:pPr>
        <w:pStyle w:val="Normlnywebov"/>
        <w:spacing w:before="120" w:after="0" w:line="276" w:lineRule="auto"/>
        <w:jc w:val="both"/>
        <w:rPr>
          <w:rFonts w:ascii="Book Antiqua" w:hAnsi="Book Antiqua" w:cs="Times New Roman"/>
          <w:b/>
          <w:sz w:val="22"/>
        </w:rPr>
      </w:pPr>
    </w:p>
    <w:p w:rsidR="00D1783C" w:rsidRDefault="00DA481F">
      <w:pPr>
        <w:pStyle w:val="Normlnywebov"/>
        <w:spacing w:before="120" w:after="0" w:line="276" w:lineRule="auto"/>
      </w:pPr>
      <w:r>
        <w:rPr>
          <w:rFonts w:ascii="Book Antiqua" w:hAnsi="Book Antiqua" w:cs="Times New Roman"/>
          <w:b/>
          <w:sz w:val="22"/>
        </w:rPr>
        <w:t>4. Záväzky Slovenskej republiky vo vzťahu k Európskej únii:</w:t>
      </w:r>
    </w:p>
    <w:p w:rsidR="00D1783C" w:rsidRDefault="00DA481F">
      <w:pPr>
        <w:spacing w:before="120" w:line="276" w:lineRule="auto"/>
        <w:ind w:left="1413" w:hanging="705"/>
      </w:pPr>
      <w:r>
        <w:rPr>
          <w:rFonts w:ascii="Book Antiqua" w:hAnsi="Book Antiqua" w:cs="Times New Roman"/>
          <w:color w:val="000000"/>
          <w:kern w:val="0"/>
          <w:sz w:val="22"/>
        </w:rPr>
        <w:t>a)</w:t>
      </w:r>
      <w:r>
        <w:rPr>
          <w:rFonts w:ascii="Book Antiqua" w:hAnsi="Book Antiqua" w:cs="Times New Roman"/>
          <w:color w:val="000000"/>
          <w:kern w:val="0"/>
          <w:sz w:val="22"/>
        </w:rPr>
        <w:tab/>
        <w:t>bezpredmetné,</w:t>
      </w:r>
    </w:p>
    <w:p w:rsidR="00D1783C" w:rsidRDefault="00DA481F">
      <w:pPr>
        <w:spacing w:before="120" w:line="276" w:lineRule="auto"/>
        <w:ind w:left="1413" w:hanging="705"/>
        <w:jc w:val="both"/>
      </w:pPr>
      <w:r>
        <w:rPr>
          <w:rFonts w:ascii="Book Antiqua" w:hAnsi="Book Antiqua" w:cs="Times New Roman"/>
          <w:color w:val="000000"/>
          <w:kern w:val="0"/>
          <w:sz w:val="22"/>
        </w:rPr>
        <w:t>b)</w:t>
      </w:r>
      <w:r>
        <w:rPr>
          <w:rFonts w:ascii="Book Antiqua" w:hAnsi="Book Antiqua" w:cs="Times New Roman"/>
          <w:color w:val="000000"/>
          <w:kern w:val="0"/>
          <w:sz w:val="22"/>
        </w:rPr>
        <w:tab/>
      </w:r>
      <w:r>
        <w:rPr>
          <w:rFonts w:ascii="Book Antiqua" w:hAnsi="Book Antiqua" w:cs="Times New Roman"/>
          <w:color w:val="000000"/>
          <w:kern w:val="0"/>
          <w:sz w:val="22"/>
        </w:rPr>
        <w:t xml:space="preserve">v danej oblasti nebol proti Slovenskej republike začatý postup Európskej komisie a ani konanie Súdneho dvora Európskej únie podľa článkov 258 až 260 Zmluvy o fungovaní Európskej únie, </w:t>
      </w:r>
    </w:p>
    <w:p w:rsidR="00D1783C" w:rsidRDefault="00DA481F">
      <w:pPr>
        <w:spacing w:before="120" w:line="276" w:lineRule="auto"/>
        <w:ind w:left="1413" w:hanging="705"/>
      </w:pPr>
      <w:r>
        <w:rPr>
          <w:rFonts w:ascii="Book Antiqua" w:hAnsi="Book Antiqua" w:cs="Times New Roman"/>
          <w:color w:val="000000"/>
          <w:kern w:val="0"/>
          <w:sz w:val="22"/>
        </w:rPr>
        <w:t>c)</w:t>
      </w:r>
      <w:r>
        <w:rPr>
          <w:rFonts w:ascii="Book Antiqua" w:hAnsi="Book Antiqua" w:cs="Times New Roman"/>
          <w:color w:val="000000"/>
          <w:kern w:val="0"/>
          <w:sz w:val="22"/>
        </w:rPr>
        <w:tab/>
      </w:r>
      <w:r>
        <w:rPr>
          <w:rFonts w:ascii="Book Antiqua" w:hAnsi="Book Antiqua" w:cs="Times New Roman"/>
          <w:sz w:val="22"/>
        </w:rPr>
        <w:t>bezpredmetné.</w:t>
      </w:r>
    </w:p>
    <w:p w:rsidR="00D1783C" w:rsidRDefault="00D1783C">
      <w:pPr>
        <w:pStyle w:val="Normlnywebov"/>
        <w:spacing w:before="120" w:after="0" w:line="276" w:lineRule="auto"/>
        <w:rPr>
          <w:rFonts w:ascii="Book Antiqua" w:hAnsi="Book Antiqua" w:cs="Times New Roman"/>
          <w:sz w:val="22"/>
        </w:rPr>
      </w:pPr>
    </w:p>
    <w:p w:rsidR="00D1783C" w:rsidRDefault="00DA481F">
      <w:pPr>
        <w:pStyle w:val="Normlnywebov"/>
        <w:spacing w:before="120" w:after="0" w:line="276" w:lineRule="auto"/>
      </w:pPr>
      <w:r>
        <w:rPr>
          <w:rFonts w:ascii="Book Antiqua" w:hAnsi="Book Antiqua" w:cs="Times New Roman"/>
          <w:b/>
          <w:sz w:val="22"/>
        </w:rPr>
        <w:t>5. Stupeň zlučiteľnosti návrhu zákona s právom Európs</w:t>
      </w:r>
      <w:r>
        <w:rPr>
          <w:rFonts w:ascii="Book Antiqua" w:hAnsi="Book Antiqua" w:cs="Times New Roman"/>
          <w:b/>
          <w:sz w:val="22"/>
        </w:rPr>
        <w:t>kej únie:</w:t>
      </w:r>
    </w:p>
    <w:p w:rsidR="00D1783C" w:rsidRDefault="00DA481F">
      <w:pPr>
        <w:pStyle w:val="Normlnywebov"/>
        <w:spacing w:before="120" w:after="0" w:line="276" w:lineRule="auto"/>
      </w:pPr>
      <w:r>
        <w:rPr>
          <w:rFonts w:ascii="Book Antiqua" w:hAnsi="Book Antiqua" w:cs="Times New Roman"/>
          <w:sz w:val="22"/>
        </w:rPr>
        <w:t xml:space="preserve">úplný. </w:t>
      </w:r>
      <w:r>
        <w:br w:type="page"/>
      </w:r>
    </w:p>
    <w:p w:rsidR="00D1783C" w:rsidRDefault="00DA481F">
      <w:pPr>
        <w:pStyle w:val="Normlnywebov"/>
        <w:spacing w:before="120" w:after="0" w:line="276" w:lineRule="auto"/>
        <w:jc w:val="center"/>
      </w:pPr>
      <w:r>
        <w:rPr>
          <w:rFonts w:ascii="Book Antiqua" w:hAnsi="Book Antiqua" w:cs="Times New Roman"/>
          <w:b/>
          <w:caps/>
          <w:color w:val="000000"/>
          <w:spacing w:val="30"/>
          <w:sz w:val="22"/>
        </w:rPr>
        <w:lastRenderedPageBreak/>
        <w:t>Doložka</w:t>
      </w:r>
    </w:p>
    <w:p w:rsidR="00D1783C" w:rsidRDefault="00DA481F">
      <w:pPr>
        <w:pStyle w:val="Normlnywebov"/>
        <w:spacing w:before="120" w:after="0" w:line="276" w:lineRule="auto"/>
        <w:jc w:val="center"/>
      </w:pPr>
      <w:r>
        <w:rPr>
          <w:rFonts w:ascii="Book Antiqua" w:hAnsi="Book Antiqua" w:cs="Times New Roman"/>
          <w:b/>
          <w:color w:val="000000"/>
          <w:sz w:val="22"/>
        </w:rPr>
        <w:t>vybraných vplyvov</w:t>
      </w:r>
    </w:p>
    <w:p w:rsidR="00D1783C" w:rsidRDefault="00DA481F">
      <w:pPr>
        <w:pStyle w:val="Normlnywebov"/>
        <w:spacing w:before="120" w:after="0" w:line="276" w:lineRule="auto"/>
      </w:pPr>
      <w:r>
        <w:rPr>
          <w:rFonts w:ascii="Book Antiqua" w:hAnsi="Book Antiqua" w:cs="Times New Roman"/>
          <w:color w:val="000000"/>
          <w:sz w:val="22"/>
        </w:rPr>
        <w:t> </w:t>
      </w:r>
    </w:p>
    <w:p w:rsidR="00D1783C" w:rsidRDefault="00DA481F">
      <w:pPr>
        <w:spacing w:before="120" w:line="276" w:lineRule="auto"/>
        <w:jc w:val="both"/>
      </w:pPr>
      <w:r>
        <w:rPr>
          <w:rFonts w:ascii="Book Antiqua" w:hAnsi="Book Antiqua" w:cs="Times New Roman"/>
          <w:b/>
          <w:color w:val="000000"/>
          <w:sz w:val="22"/>
        </w:rPr>
        <w:t>A.1. Názov materiálu:</w:t>
      </w:r>
      <w:r>
        <w:rPr>
          <w:rFonts w:ascii="Book Antiqua" w:hAnsi="Book Antiqua" w:cs="Times New Roman"/>
          <w:sz w:val="22"/>
        </w:rPr>
        <w:t xml:space="preserve"> návrh zákona, ktorým sa mení a dopĺňa zákon č. 49/2002 Z. z. o ochrane pamiatkového fondu v znení neskorších predpisov</w:t>
      </w:r>
    </w:p>
    <w:p w:rsidR="00D1783C" w:rsidRDefault="00D1783C">
      <w:pPr>
        <w:pStyle w:val="Normlnywebov"/>
        <w:spacing w:before="120" w:after="0" w:line="276" w:lineRule="auto"/>
        <w:jc w:val="both"/>
        <w:rPr>
          <w:rFonts w:ascii="Book Antiqua" w:hAnsi="Book Antiqua" w:cs="Times New Roman"/>
          <w:b/>
          <w:color w:val="000000"/>
          <w:sz w:val="22"/>
        </w:rPr>
      </w:pPr>
    </w:p>
    <w:p w:rsidR="00D1783C" w:rsidRDefault="00DA481F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Times New Roman"/>
          <w:b/>
          <w:color w:val="000000"/>
          <w:sz w:val="22"/>
        </w:rPr>
        <w:t>Termín začatia a ukončenia PPK:</w:t>
      </w:r>
      <w:r>
        <w:rPr>
          <w:rFonts w:ascii="Book Antiqua" w:hAnsi="Book Antiqua" w:cs="Times New Roman"/>
          <w:color w:val="000000"/>
          <w:sz w:val="22"/>
        </w:rPr>
        <w:t xml:space="preserve"> </w:t>
      </w:r>
      <w:r>
        <w:rPr>
          <w:rFonts w:ascii="Book Antiqua" w:hAnsi="Book Antiqua" w:cs="Times New Roman"/>
          <w:i/>
          <w:color w:val="000000"/>
          <w:sz w:val="22"/>
        </w:rPr>
        <w:t>bezpredmetné</w:t>
      </w:r>
    </w:p>
    <w:p w:rsidR="00D1783C" w:rsidRDefault="00D1783C">
      <w:pPr>
        <w:pStyle w:val="Normlnywebov"/>
        <w:spacing w:before="120" w:after="0" w:line="276" w:lineRule="auto"/>
        <w:jc w:val="both"/>
        <w:rPr>
          <w:rFonts w:ascii="Book Antiqua" w:hAnsi="Book Antiqua" w:cs="Times New Roman"/>
          <w:sz w:val="22"/>
        </w:rPr>
      </w:pPr>
    </w:p>
    <w:p w:rsidR="00D1783C" w:rsidRDefault="00DA481F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Times New Roman"/>
          <w:b/>
          <w:color w:val="000000"/>
          <w:sz w:val="22"/>
        </w:rPr>
        <w:t>A.2. Vplyvy:</w:t>
      </w:r>
    </w:p>
    <w:tbl>
      <w:tblPr>
        <w:tblW w:w="9087" w:type="dxa"/>
        <w:tblInd w:w="-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328"/>
        <w:gridCol w:w="1246"/>
        <w:gridCol w:w="1173"/>
        <w:gridCol w:w="1340"/>
      </w:tblGrid>
      <w:tr w:rsidR="00D1783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 </w:t>
            </w:r>
            <w:r>
              <w:rPr>
                <w:rFonts w:ascii="Book Antiqua" w:hAnsi="Book Antiqua" w:cs="Times New Roman"/>
                <w:color w:val="000000"/>
                <w:sz w:val="22"/>
              </w:rPr>
              <w:t>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 Negatívne </w:t>
            </w:r>
          </w:p>
        </w:tc>
      </w:tr>
      <w:tr w:rsidR="00D1783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1783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1783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sz w:val="22"/>
              </w:rPr>
              <w:t>x</w:t>
            </w:r>
          </w:p>
        </w:tc>
      </w:tr>
      <w:tr w:rsidR="00D1783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sz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 </w:t>
            </w:r>
          </w:p>
        </w:tc>
      </w:tr>
      <w:tr w:rsidR="00D1783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sz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1783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 </w:t>
            </w:r>
          </w:p>
        </w:tc>
      </w:tr>
      <w:tr w:rsidR="00D1783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sz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1783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 </w:t>
            </w:r>
          </w:p>
        </w:tc>
      </w:tr>
      <w:tr w:rsidR="00D1783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1783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sz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 </w:t>
            </w:r>
          </w:p>
        </w:tc>
      </w:tr>
      <w:tr w:rsidR="00D1783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sz w:val="22"/>
              </w:rPr>
              <w:t>x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 </w:t>
            </w:r>
          </w:p>
        </w:tc>
      </w:tr>
      <w:tr w:rsidR="00D1783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1783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sz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 </w:t>
            </w:r>
          </w:p>
        </w:tc>
      </w:tr>
      <w:tr w:rsidR="00D1783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83C" w:rsidRDefault="00DA481F">
            <w:pPr>
              <w:pStyle w:val="Normlnywebov"/>
              <w:spacing w:before="120" w:after="0" w:line="276" w:lineRule="auto"/>
              <w:jc w:val="center"/>
            </w:pPr>
            <w:r>
              <w:rPr>
                <w:rFonts w:ascii="Book Antiqua" w:hAnsi="Book Antiqua" w:cs="Times New Roman"/>
                <w:color w:val="000000"/>
                <w:sz w:val="22"/>
              </w:rPr>
              <w:t> </w:t>
            </w:r>
          </w:p>
        </w:tc>
      </w:tr>
    </w:tbl>
    <w:p w:rsidR="00D1783C" w:rsidRDefault="00D1783C">
      <w:pPr>
        <w:pStyle w:val="Normlnywebov"/>
        <w:spacing w:before="120" w:after="0" w:line="276" w:lineRule="auto"/>
        <w:rPr>
          <w:rFonts w:ascii="Book Antiqua" w:hAnsi="Book Antiqua" w:cs="Times New Roman"/>
          <w:b/>
          <w:color w:val="000000"/>
          <w:sz w:val="22"/>
        </w:rPr>
      </w:pPr>
    </w:p>
    <w:p w:rsidR="00D1783C" w:rsidRDefault="00DA481F">
      <w:pPr>
        <w:pStyle w:val="Normlnywebov"/>
        <w:spacing w:before="120" w:after="0" w:line="276" w:lineRule="auto"/>
      </w:pPr>
      <w:r>
        <w:rPr>
          <w:rFonts w:ascii="Book Antiqua" w:hAnsi="Book Antiqua" w:cs="Times New Roman"/>
          <w:b/>
          <w:color w:val="000000"/>
          <w:sz w:val="22"/>
        </w:rPr>
        <w:t>A.3. Poznámky</w:t>
      </w:r>
    </w:p>
    <w:p w:rsidR="00D1783C" w:rsidRDefault="00DA481F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Times New Roman"/>
          <w:i/>
          <w:sz w:val="22"/>
        </w:rPr>
        <w:t xml:space="preserve">Navýšením finančných prostriedkov do dotačného systému Obnovme si svoj dom prostredníctvom odvodov z prevádzkovania kurzových stávok sa pozitívne vplýva na hospodárenie obyvateľstva, a to finančným impulzom pre majiteľov národnej kultúrnej pamiatky, ktorí </w:t>
      </w:r>
      <w:r>
        <w:rPr>
          <w:rFonts w:ascii="Book Antiqua" w:hAnsi="Book Antiqua" w:cs="Times New Roman"/>
          <w:i/>
          <w:sz w:val="22"/>
        </w:rPr>
        <w:t>nemajú celkové finančné prostriedky na nákladnú renováciu a zároveň sa ním zvyšuje aj dopyt po službách v stavebníctve na území celého Slovenska, čo môže viesť k tvorbe nových pracovných miest aj v menej obývaných častiach krajiny, alebo v častiach krajiny</w:t>
      </w:r>
      <w:r>
        <w:rPr>
          <w:rFonts w:ascii="Book Antiqua" w:hAnsi="Book Antiqua" w:cs="Times New Roman"/>
          <w:i/>
          <w:sz w:val="22"/>
        </w:rPr>
        <w:t xml:space="preserve"> s vysokou nezamestnanosťou. </w:t>
      </w:r>
      <w:r>
        <w:rPr>
          <w:rFonts w:ascii="Book Antiqua" w:hAnsi="Book Antiqua" w:cs="Times New Roman"/>
          <w:i/>
          <w:sz w:val="22"/>
          <w:szCs w:val="22"/>
        </w:rPr>
        <w:t xml:space="preserve">Negatívny dopad na rozpočet verejnej správy vo výške 4,6 mil. eur v roku 2020, 9,2 mil. eur v roku 2021 a 13,8 mil. eur od roku 2022 </w:t>
      </w:r>
      <w:r>
        <w:rPr>
          <w:rFonts w:ascii="Book Antiqua" w:hAnsi="Book Antiqua" w:cs="Arial"/>
          <w:b/>
          <w:bCs/>
          <w:i/>
          <w:sz w:val="22"/>
          <w:szCs w:val="22"/>
          <w:shd w:val="clear" w:color="auto" w:fill="FFFFFF"/>
        </w:rPr>
        <w:t>by sa mal v roku 2020</w:t>
      </w:r>
      <w:r>
        <w:rPr>
          <w:rFonts w:ascii="Book Antiqua" w:hAnsi="Book Antiqua" w:cs="Times New Roman"/>
          <w:b/>
          <w:i/>
          <w:sz w:val="22"/>
          <w:shd w:val="clear" w:color="auto" w:fill="FFFFFF"/>
        </w:rPr>
        <w:t>, ako aj v ďalších rozpočtových rokoch pokryť z efektívnejšieho výberu da</w:t>
      </w:r>
      <w:r>
        <w:rPr>
          <w:rFonts w:ascii="Book Antiqua" w:hAnsi="Book Antiqua" w:cs="Times New Roman"/>
          <w:b/>
          <w:i/>
          <w:sz w:val="22"/>
          <w:shd w:val="clear" w:color="auto" w:fill="FFFFFF"/>
        </w:rPr>
        <w:t xml:space="preserve">ne z pridanej hodnoty. V neposlednom rade možno zapojiť aj zdroje z rozpočtovej kapitoly Všeobecná pokladničná správa, v ktorej </w:t>
      </w:r>
      <w:r>
        <w:rPr>
          <w:rFonts w:ascii="Book Antiqua" w:hAnsi="Book Antiqua" w:cs="Times New Roman"/>
          <w:i/>
          <w:sz w:val="22"/>
        </w:rPr>
        <w:t xml:space="preserve">je napr. na rok 2019 vyčlenených 2 mld. eur na bližšie nešpecifikované účely a podobnú suma bude pravdepodobne vyčlenená pre </w:t>
      </w:r>
      <w:r>
        <w:rPr>
          <w:rFonts w:ascii="Book Antiqua" w:hAnsi="Book Antiqua" w:cs="Times New Roman"/>
          <w:i/>
          <w:sz w:val="22"/>
        </w:rPr>
        <w:t>túto rozpočtovú kapitolu aj v ďalších rokoch</w:t>
      </w:r>
      <w:r>
        <w:rPr>
          <w:rFonts w:ascii="Book Antiqua" w:hAnsi="Book Antiqua" w:cs="Times New Roman"/>
          <w:b/>
          <w:i/>
          <w:sz w:val="22"/>
          <w:shd w:val="clear" w:color="auto" w:fill="FFFFFF"/>
        </w:rPr>
        <w:t>.</w:t>
      </w:r>
    </w:p>
    <w:p w:rsidR="00D1783C" w:rsidRDefault="00D1783C">
      <w:pPr>
        <w:pStyle w:val="Normlnywebov"/>
        <w:spacing w:before="120" w:after="0" w:line="276" w:lineRule="auto"/>
        <w:jc w:val="both"/>
        <w:rPr>
          <w:rFonts w:ascii="Book Antiqua" w:hAnsi="Book Antiqua" w:cs="Times New Roman"/>
          <w:b/>
          <w:color w:val="000000"/>
          <w:sz w:val="22"/>
        </w:rPr>
      </w:pPr>
    </w:p>
    <w:p w:rsidR="00DC3CB4" w:rsidRDefault="00DC3CB4">
      <w:pPr>
        <w:pStyle w:val="Normlnywebov"/>
        <w:spacing w:before="120" w:after="0" w:line="276" w:lineRule="auto"/>
        <w:jc w:val="both"/>
        <w:rPr>
          <w:rFonts w:ascii="Book Antiqua" w:hAnsi="Book Antiqua" w:cs="Times New Roman"/>
          <w:b/>
          <w:color w:val="000000"/>
          <w:sz w:val="22"/>
        </w:rPr>
      </w:pPr>
      <w:bookmarkStart w:id="9" w:name="_GoBack"/>
      <w:bookmarkEnd w:id="9"/>
    </w:p>
    <w:p w:rsidR="00D1783C" w:rsidRDefault="00DA481F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Times New Roman"/>
          <w:b/>
          <w:color w:val="000000"/>
          <w:sz w:val="22"/>
        </w:rPr>
        <w:lastRenderedPageBreak/>
        <w:t>A.4. Alternatívne riešenia</w:t>
      </w:r>
    </w:p>
    <w:p w:rsidR="00D1783C" w:rsidRDefault="00DA481F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Times New Roman"/>
          <w:i/>
          <w:color w:val="000000"/>
          <w:sz w:val="22"/>
        </w:rPr>
        <w:t>bezpredmetné</w:t>
      </w:r>
    </w:p>
    <w:p w:rsidR="00D1783C" w:rsidRDefault="00D1783C">
      <w:pPr>
        <w:pStyle w:val="Normlnywebov"/>
        <w:spacing w:before="120" w:after="0" w:line="276" w:lineRule="auto"/>
        <w:jc w:val="both"/>
        <w:rPr>
          <w:rFonts w:ascii="Book Antiqua" w:hAnsi="Book Antiqua" w:cs="Times New Roman"/>
          <w:b/>
          <w:color w:val="000000"/>
          <w:sz w:val="22"/>
        </w:rPr>
      </w:pPr>
    </w:p>
    <w:p w:rsidR="00D1783C" w:rsidRDefault="00DA481F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Times New Roman"/>
          <w:b/>
          <w:color w:val="000000"/>
          <w:sz w:val="22"/>
        </w:rPr>
        <w:t>A.5. Stanovisko gestorov</w:t>
      </w:r>
    </w:p>
    <w:p w:rsidR="00D1783C" w:rsidRDefault="00DA481F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Times New Roman"/>
          <w:i/>
          <w:color w:val="000000"/>
          <w:sz w:val="22"/>
        </w:rPr>
        <w:t>Návrh zákona bol zaslaný na vyjadrenie Ministerstvu financií SR a stanovisko tohto ministerstva tvorí súčasť predkladaného materiálu.</w:t>
      </w:r>
    </w:p>
    <w:sectPr w:rsidR="00D1783C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81F" w:rsidRDefault="00DA481F">
      <w:r>
        <w:separator/>
      </w:r>
    </w:p>
  </w:endnote>
  <w:endnote w:type="continuationSeparator" w:id="0">
    <w:p w:rsidR="00DA481F" w:rsidRDefault="00DA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83C" w:rsidRDefault="00DA481F">
    <w:pPr>
      <w:pStyle w:val="Pe4e4ta"/>
      <w:jc w:val="right"/>
    </w:pPr>
    <w:r>
      <w:rPr>
        <w:szCs w:val="20"/>
      </w:rPr>
      <w:fldChar w:fldCharType="begin"/>
    </w:r>
    <w:r>
      <w:rPr>
        <w:szCs w:val="20"/>
      </w:rPr>
      <w:instrText>PAGE</w:instrText>
    </w:r>
    <w:r>
      <w:rPr>
        <w:szCs w:val="20"/>
      </w:rPr>
      <w:fldChar w:fldCharType="separate"/>
    </w:r>
    <w:r w:rsidR="00DC3CB4">
      <w:rPr>
        <w:noProof/>
        <w:szCs w:val="20"/>
      </w:rPr>
      <w:t>1</w:t>
    </w:r>
    <w:r>
      <w:rPr>
        <w:szCs w:val="20"/>
      </w:rPr>
      <w:fldChar w:fldCharType="end"/>
    </w:r>
  </w:p>
  <w:p w:rsidR="00D1783C" w:rsidRDefault="00D1783C">
    <w:pPr>
      <w:pStyle w:val="Pe4e4ta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81F" w:rsidRDefault="00DA481F">
      <w:r>
        <w:separator/>
      </w:r>
    </w:p>
  </w:footnote>
  <w:footnote w:type="continuationSeparator" w:id="0">
    <w:p w:rsidR="00DA481F" w:rsidRDefault="00DA481F">
      <w:r>
        <w:continuationSeparator/>
      </w:r>
    </w:p>
  </w:footnote>
  <w:footnote w:id="1">
    <w:p w:rsidR="00D1783C" w:rsidRDefault="00DA481F">
      <w:pPr>
        <w:pStyle w:val="Textpoznmkypodiarou"/>
      </w:pPr>
      <w:r>
        <w:rPr>
          <w:rStyle w:val="Znakyprepoznmkupodiarou"/>
        </w:rPr>
        <w:footnoteRef/>
      </w:r>
      <w:r>
        <w:t xml:space="preserve"> </w:t>
      </w:r>
      <w:r>
        <w:rPr>
          <w:rFonts w:ascii="Book Antiqua" w:hAnsi="Book Antiqua" w:cs="Times New Roman"/>
          <w:sz w:val="18"/>
          <w:szCs w:val="18"/>
        </w:rPr>
        <w:t xml:space="preserve">§ 8 ods. 4 zákona 30/2019 Z. z. o hazardných hrách a o zmene a doplnení niektorých zákonov. </w:t>
      </w:r>
    </w:p>
  </w:footnote>
  <w:footnote w:id="2">
    <w:p w:rsidR="00D1783C" w:rsidRDefault="00DA481F">
      <w:pPr>
        <w:pStyle w:val="Textpoznmkypodiarou"/>
      </w:pPr>
      <w:r>
        <w:rPr>
          <w:rStyle w:val="Znakyprepoznmkupodiarou"/>
        </w:rPr>
        <w:footnoteRef/>
      </w:r>
      <w:r>
        <w:rPr>
          <w:rFonts w:ascii="Book Antiqua" w:hAnsi="Book Antiqua" w:cs="Times New Roman"/>
          <w:sz w:val="18"/>
          <w:szCs w:val="18"/>
        </w:rPr>
        <w:t xml:space="preserve"> Stratégia ochrany pamiatkového fondu na roky 2017 -2022.</w:t>
      </w:r>
    </w:p>
  </w:footnote>
  <w:footnote w:id="3">
    <w:p w:rsidR="00D1783C" w:rsidRDefault="00DA481F">
      <w:pPr>
        <w:pStyle w:val="Pozne1mkapode8iarou"/>
      </w:pPr>
      <w:r>
        <w:rPr>
          <w:rStyle w:val="Znakyprepoznmkupodiarou"/>
        </w:rPr>
        <w:footnoteRef/>
      </w:r>
      <w:r>
        <w:rPr>
          <w:rFonts w:ascii="Book Antiqua" w:hAnsi="Book Antiqua" w:cs="Times New Roman"/>
          <w:sz w:val="18"/>
          <w:szCs w:val="18"/>
        </w:rPr>
        <w:t xml:space="preserve"> </w:t>
      </w:r>
      <w:hyperlink r:id="rId1">
        <w:r>
          <w:rPr>
            <w:rStyle w:val="Internetovodkaz"/>
            <w:rFonts w:ascii="Book Antiqua" w:hAnsi="Book Antiqua" w:cs="Times New Roman"/>
            <w:sz w:val="18"/>
            <w:szCs w:val="18"/>
          </w:rPr>
          <w:t>https://www.mkcr.cz/doc/dokumenty_file/schvaleny-rozpocet-2019-kapitolni-sesit-714.pdf</w:t>
        </w:r>
      </w:hyperlink>
    </w:p>
    <w:p w:rsidR="00D1783C" w:rsidRDefault="00D1783C">
      <w:pPr>
        <w:pStyle w:val="Textpoznmkypodiarou"/>
      </w:pPr>
    </w:p>
  </w:footnote>
  <w:footnote w:id="4">
    <w:p w:rsidR="00D1783C" w:rsidRDefault="00DA481F">
      <w:pPr>
        <w:pStyle w:val="Textpoznmkypodiarou"/>
      </w:pPr>
      <w:r>
        <w:rPr>
          <w:rStyle w:val="Znakyprepoznmkupodiarou"/>
        </w:rPr>
        <w:footnoteRef/>
      </w:r>
      <w:r>
        <w:rPr>
          <w:rFonts w:ascii="Book Antiqua" w:hAnsi="Book Antiqua" w:cs="Times New Roman"/>
          <w:sz w:val="18"/>
          <w:szCs w:val="18"/>
        </w:rPr>
        <w:t xml:space="preserve">  https://www.pamiatky.sk/sk/page/register-nkp-tabulkove-zoznamy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4417F"/>
    <w:multiLevelType w:val="multilevel"/>
    <w:tmpl w:val="E4D8DB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EC4D2E"/>
    <w:multiLevelType w:val="multilevel"/>
    <w:tmpl w:val="2050F870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eastAsia="Times New Roman" w:hAnsi="Book Antiqua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783C"/>
    <w:rsid w:val="00D1783C"/>
    <w:rsid w:val="00DA481F"/>
    <w:rsid w:val="00D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1A88"/>
  <w15:docId w15:val="{E69E96C3-0A6B-45B0-84CC-D459FEF5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rFonts w:ascii="Times New Roman" w:eastAsia="Times New Roman" w:hAnsi="Times New Roman" w:cs="Liberation Serif"/>
      <w:sz w:val="24"/>
      <w:lang w:eastAsia="sk-SK" w:bidi="ar-SA"/>
    </w:rPr>
  </w:style>
  <w:style w:type="paragraph" w:styleId="Nadpis1">
    <w:name w:val="heading 1"/>
    <w:basedOn w:val="Normlny"/>
    <w:qFormat/>
    <w:pPr>
      <w:keepNext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Nadpis3">
    <w:name w:val="heading 3"/>
    <w:basedOn w:val="Norm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qFormat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Nadpis3Char">
    <w:name w:val="Nadpis 3 Char"/>
    <w:basedOn w:val="Predvolenpsmoodseku"/>
    <w:qFormat/>
    <w:rPr>
      <w:rFonts w:ascii="Cambria" w:eastAsia="Times New Roman" w:hAnsi="Cambria" w:cs="Cambria"/>
      <w:b/>
      <w:bCs/>
      <w:sz w:val="26"/>
      <w:szCs w:val="26"/>
    </w:rPr>
  </w:style>
  <w:style w:type="character" w:customStyle="1" w:styleId="Pe4e4taChar">
    <w:name w:val="Päe4e4ta Char"/>
    <w:basedOn w:val="Predvolenpsmoodseku"/>
    <w:qFormat/>
    <w:rPr>
      <w:rFonts w:eastAsia="Times New Roman" w:cs="Times New Roman"/>
    </w:rPr>
  </w:style>
  <w:style w:type="character" w:customStyle="1" w:styleId="TextbublinyChar">
    <w:name w:val="Text bubliny Char"/>
    <w:basedOn w:val="Predvolenpsmoodseku"/>
    <w:qFormat/>
    <w:rPr>
      <w:rFonts w:ascii="Tahoma" w:eastAsia="Times New Roman" w:hAnsi="Tahoma" w:cs="Tahoma"/>
      <w:sz w:val="16"/>
      <w:szCs w:val="16"/>
    </w:rPr>
  </w:style>
  <w:style w:type="character" w:styleId="slostrany">
    <w:name w:val="page number"/>
    <w:basedOn w:val="Predvolenpsmoodseku"/>
    <w:qFormat/>
    <w:rPr>
      <w:rFonts w:eastAsia="Times New Roman" w:cs="Times New Roman"/>
    </w:rPr>
  </w:style>
  <w:style w:type="character" w:customStyle="1" w:styleId="apple-converted-space">
    <w:name w:val="apple-converted-space"/>
    <w:qFormat/>
  </w:style>
  <w:style w:type="character" w:customStyle="1" w:styleId="Internetovfdfdodkaz">
    <w:name w:val="Internetovýfdfd odkaz"/>
    <w:basedOn w:val="Predvolenpsmoodseku"/>
    <w:qFormat/>
    <w:rPr>
      <w:rFonts w:eastAsia="Times New Roman" w:cs="Times New Roman"/>
      <w:color w:val="0000FF"/>
      <w:u w:val="single"/>
    </w:rPr>
  </w:style>
  <w:style w:type="character" w:customStyle="1" w:styleId="Zdf4f4raznenie">
    <w:name w:val="Zdôf4f4raznenie"/>
    <w:basedOn w:val="Predvolenpsmoodseku"/>
    <w:qFormat/>
    <w:rPr>
      <w:rFonts w:eastAsia="Times New Roman" w:cs="Times New Roman"/>
      <w:i/>
      <w:iCs/>
    </w:rPr>
  </w:style>
  <w:style w:type="character" w:styleId="Odkaznakomentr">
    <w:name w:val="annotation reference"/>
    <w:basedOn w:val="Predvolenpsmoodseku"/>
    <w:qFormat/>
    <w:rPr>
      <w:rFonts w:eastAsia="Times New Roman" w:cs="Times New Roman"/>
      <w:sz w:val="16"/>
      <w:szCs w:val="16"/>
    </w:rPr>
  </w:style>
  <w:style w:type="character" w:customStyle="1" w:styleId="Textkomente1e1raChar">
    <w:name w:val="Text komentáe1e1ra Char"/>
    <w:basedOn w:val="Predvolenpsmoodseku"/>
    <w:qFormat/>
    <w:rPr>
      <w:rFonts w:eastAsia="Times New Roman" w:cs="Times New Roman"/>
    </w:rPr>
  </w:style>
  <w:style w:type="character" w:customStyle="1" w:styleId="Predmetkomente1e1raChar">
    <w:name w:val="Predmet komentáe1e1ra Char"/>
    <w:basedOn w:val="Textkomente1e1raChar"/>
    <w:qFormat/>
    <w:rPr>
      <w:rFonts w:eastAsia="Times New Roman" w:cs="Times New Roman"/>
      <w:b/>
      <w:bCs/>
    </w:rPr>
  </w:style>
  <w:style w:type="character" w:customStyle="1" w:styleId="Hlavie8e8kaChar">
    <w:name w:val="Hlaviče8e8ka Char"/>
    <w:basedOn w:val="Predvolenpsmoodseku"/>
    <w:qFormat/>
    <w:rPr>
      <w:rFonts w:eastAsia="Times New Roman" w:cs="Times New Roman"/>
    </w:rPr>
  </w:style>
  <w:style w:type="character" w:customStyle="1" w:styleId="Ze1e1kladnfdfdtextChar">
    <w:name w:val="Záe1e1kladnýfdfd text Char"/>
    <w:basedOn w:val="Predvolenpsmoodseku"/>
    <w:qFormat/>
    <w:rPr>
      <w:rFonts w:eastAsia="Times New Roman" w:cs="Times New Roman"/>
    </w:rPr>
  </w:style>
  <w:style w:type="character" w:customStyle="1" w:styleId="Textpozne1e1mkypode8e8iarouChar">
    <w:name w:val="Text poznáe1e1mky pod če8e8iarou Char"/>
    <w:basedOn w:val="Predvolenpsmoodseku"/>
    <w:qFormat/>
    <w:rPr>
      <w:rFonts w:eastAsia="Times New Roman" w:cs="Times New Roman"/>
    </w:rPr>
  </w:style>
  <w:style w:type="character" w:customStyle="1" w:styleId="Ukotveniepozne1mkypode8iarou">
    <w:name w:val="Ukotvenie poznáe1mky pod če8iarou"/>
    <w:qFormat/>
    <w:rPr>
      <w:rFonts w:eastAsia="Times New Roman"/>
      <w:vertAlign w:val="superscript"/>
    </w:rPr>
  </w:style>
  <w:style w:type="character" w:customStyle="1" w:styleId="FootnoteCharacters">
    <w:name w:val="Footnote Characters"/>
    <w:basedOn w:val="Predvolenpsmoodseku"/>
    <w:qFormat/>
    <w:rPr>
      <w:rFonts w:cs="Times New Roman"/>
      <w:vertAlign w:val="superscript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eastAsia="Times New Roman"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eastAsia="Times New Roman"/>
    </w:rPr>
  </w:style>
  <w:style w:type="character" w:customStyle="1" w:styleId="ListLabel16">
    <w:name w:val="ListLabel 16"/>
    <w:qFormat/>
    <w:rPr>
      <w:rFonts w:eastAsia="Times New Roman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eastAsia="Times New Roman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  <w:rPr>
      <w:rFonts w:eastAsia="Times New Roman"/>
    </w:rPr>
  </w:style>
  <w:style w:type="character" w:customStyle="1" w:styleId="ListLabel21">
    <w:name w:val="ListLabel 21"/>
    <w:qFormat/>
    <w:rPr>
      <w:rFonts w:eastAsia="Times New Roman"/>
    </w:rPr>
  </w:style>
  <w:style w:type="character" w:customStyle="1" w:styleId="ListLabel22">
    <w:name w:val="ListLabel 22"/>
    <w:qFormat/>
    <w:rPr>
      <w:rFonts w:eastAsia="Times New Roman"/>
    </w:rPr>
  </w:style>
  <w:style w:type="character" w:customStyle="1" w:styleId="ListLabel23">
    <w:name w:val="ListLabel 23"/>
    <w:qFormat/>
    <w:rPr>
      <w:rFonts w:eastAsia="Times New Roman"/>
    </w:rPr>
  </w:style>
  <w:style w:type="character" w:customStyle="1" w:styleId="ListLabel24">
    <w:name w:val="ListLabel 24"/>
    <w:qFormat/>
    <w:rPr>
      <w:rFonts w:eastAsia="Times New Roman"/>
    </w:rPr>
  </w:style>
  <w:style w:type="character" w:customStyle="1" w:styleId="ListLabel25">
    <w:name w:val="ListLabel 25"/>
    <w:qFormat/>
    <w:rPr>
      <w:rFonts w:eastAsia="Times New Roman"/>
    </w:rPr>
  </w:style>
  <w:style w:type="character" w:customStyle="1" w:styleId="ListLabel26">
    <w:name w:val="ListLabel 26"/>
    <w:qFormat/>
    <w:rPr>
      <w:rFonts w:eastAsia="Times New Roman"/>
    </w:rPr>
  </w:style>
  <w:style w:type="character" w:customStyle="1" w:styleId="ListLabel27">
    <w:name w:val="ListLabel 27"/>
    <w:qFormat/>
    <w:rPr>
      <w:rFonts w:eastAsia="Times New Roman"/>
    </w:rPr>
  </w:style>
  <w:style w:type="character" w:customStyle="1" w:styleId="ListLabel28">
    <w:name w:val="ListLabel 28"/>
    <w:qFormat/>
    <w:rPr>
      <w:rFonts w:eastAsia="Times New Roman"/>
    </w:rPr>
  </w:style>
  <w:style w:type="character" w:customStyle="1" w:styleId="ListLabel29">
    <w:name w:val="ListLabel 29"/>
    <w:qFormat/>
    <w:rPr>
      <w:rFonts w:eastAsia="Times New Roman"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eastAsia="Times New Roman"/>
    </w:rPr>
  </w:style>
  <w:style w:type="character" w:customStyle="1" w:styleId="ListLabel33">
    <w:name w:val="ListLabel 33"/>
    <w:qFormat/>
    <w:rPr>
      <w:rFonts w:eastAsia="Times New Roman"/>
    </w:rPr>
  </w:style>
  <w:style w:type="character" w:customStyle="1" w:styleId="ListLabel34">
    <w:name w:val="ListLabel 34"/>
    <w:qFormat/>
    <w:rPr>
      <w:rFonts w:eastAsia="Times New Roman"/>
    </w:rPr>
  </w:style>
  <w:style w:type="character" w:customStyle="1" w:styleId="ListLabel35">
    <w:name w:val="ListLabel 35"/>
    <w:qFormat/>
    <w:rPr>
      <w:rFonts w:eastAsia="Times New Roman"/>
    </w:rPr>
  </w:style>
  <w:style w:type="character" w:customStyle="1" w:styleId="ListLabel36">
    <w:name w:val="ListLabel 36"/>
    <w:qFormat/>
    <w:rPr>
      <w:rFonts w:eastAsia="Times New Roman"/>
    </w:rPr>
  </w:style>
  <w:style w:type="character" w:customStyle="1" w:styleId="ListLabel37">
    <w:name w:val="ListLabel 37"/>
    <w:qFormat/>
    <w:rPr>
      <w:rFonts w:eastAsia="Times New Roman"/>
    </w:rPr>
  </w:style>
  <w:style w:type="character" w:customStyle="1" w:styleId="ListLabel38">
    <w:name w:val="ListLabel 38"/>
    <w:qFormat/>
    <w:rPr>
      <w:rFonts w:eastAsia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ListLabel40">
    <w:name w:val="ListLabel 40"/>
    <w:qFormat/>
    <w:rPr>
      <w:rFonts w:eastAsia="Times New Roman"/>
    </w:rPr>
  </w:style>
  <w:style w:type="character" w:customStyle="1" w:styleId="ListLabel41">
    <w:name w:val="ListLabel 41"/>
    <w:qFormat/>
    <w:rPr>
      <w:rFonts w:eastAsia="Times New Roman"/>
    </w:rPr>
  </w:style>
  <w:style w:type="character" w:customStyle="1" w:styleId="ListLabel42">
    <w:name w:val="ListLabel 42"/>
    <w:qFormat/>
    <w:rPr>
      <w:rFonts w:eastAsia="Times New Roman"/>
    </w:rPr>
  </w:style>
  <w:style w:type="character" w:customStyle="1" w:styleId="ListLabel43">
    <w:name w:val="ListLabel 43"/>
    <w:qFormat/>
    <w:rPr>
      <w:rFonts w:eastAsia="Times New Roman"/>
    </w:rPr>
  </w:style>
  <w:style w:type="character" w:customStyle="1" w:styleId="ListLabel44">
    <w:name w:val="ListLabel 44"/>
    <w:qFormat/>
    <w:rPr>
      <w:rFonts w:eastAsia="Times New Roman"/>
    </w:rPr>
  </w:style>
  <w:style w:type="character" w:customStyle="1" w:styleId="ListLabel45">
    <w:name w:val="ListLabel 45"/>
    <w:qFormat/>
    <w:rPr>
      <w:rFonts w:eastAsia="Times New Roman"/>
    </w:rPr>
  </w:style>
  <w:style w:type="character" w:customStyle="1" w:styleId="ListLabel46">
    <w:name w:val="ListLabel 46"/>
    <w:qFormat/>
    <w:rPr>
      <w:rFonts w:eastAsia="Times New Roman"/>
    </w:rPr>
  </w:style>
  <w:style w:type="character" w:customStyle="1" w:styleId="ListLabel47">
    <w:name w:val="ListLabel 47"/>
    <w:qFormat/>
    <w:rPr>
      <w:rFonts w:eastAsia="Times New Roman"/>
    </w:rPr>
  </w:style>
  <w:style w:type="character" w:customStyle="1" w:styleId="ListLabel48">
    <w:name w:val="ListLabel 48"/>
    <w:qFormat/>
    <w:rPr>
      <w:rFonts w:eastAsia="Times New Roman"/>
    </w:rPr>
  </w:style>
  <w:style w:type="character" w:customStyle="1" w:styleId="ListLabel49">
    <w:name w:val="ListLabel 49"/>
    <w:qFormat/>
    <w:rPr>
      <w:rFonts w:eastAsia="Times New Roman"/>
    </w:rPr>
  </w:style>
  <w:style w:type="character" w:customStyle="1" w:styleId="ListLabel50">
    <w:name w:val="ListLabel 50"/>
    <w:qFormat/>
    <w:rPr>
      <w:rFonts w:eastAsia="Times New Roman"/>
    </w:rPr>
  </w:style>
  <w:style w:type="character" w:customStyle="1" w:styleId="ListLabel51">
    <w:name w:val="ListLabel 51"/>
    <w:qFormat/>
    <w:rPr>
      <w:rFonts w:eastAsia="Times New Roman"/>
    </w:rPr>
  </w:style>
  <w:style w:type="character" w:customStyle="1" w:styleId="ListLabel52">
    <w:name w:val="ListLabel 52"/>
    <w:qFormat/>
    <w:rPr>
      <w:rFonts w:eastAsia="Times New Roman"/>
    </w:rPr>
  </w:style>
  <w:style w:type="character" w:customStyle="1" w:styleId="ListLabel53">
    <w:name w:val="ListLabel 53"/>
    <w:qFormat/>
    <w:rPr>
      <w:rFonts w:eastAsia="Times New Roman"/>
    </w:rPr>
  </w:style>
  <w:style w:type="character" w:customStyle="1" w:styleId="ListLabel54">
    <w:name w:val="ListLabel 54"/>
    <w:qFormat/>
    <w:rPr>
      <w:rFonts w:eastAsia="Times New Roman"/>
    </w:rPr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  <w:rPr>
      <w:rFonts w:eastAsia="Times New Roman"/>
    </w:rPr>
  </w:style>
  <w:style w:type="character" w:customStyle="1" w:styleId="ListLabel57">
    <w:name w:val="ListLabel 57"/>
    <w:qFormat/>
    <w:rPr>
      <w:rFonts w:eastAsia="Times New Roman"/>
    </w:rPr>
  </w:style>
  <w:style w:type="character" w:customStyle="1" w:styleId="ListLabel58">
    <w:name w:val="ListLabel 58"/>
    <w:qFormat/>
    <w:rPr>
      <w:rFonts w:eastAsia="Times New Roman"/>
    </w:rPr>
  </w:style>
  <w:style w:type="character" w:customStyle="1" w:styleId="ListLabel59">
    <w:name w:val="ListLabel 59"/>
    <w:qFormat/>
    <w:rPr>
      <w:rFonts w:eastAsia="Times New Roman"/>
    </w:rPr>
  </w:style>
  <w:style w:type="character" w:customStyle="1" w:styleId="ListLabel60">
    <w:name w:val="ListLabel 60"/>
    <w:qFormat/>
    <w:rPr>
      <w:rFonts w:eastAsia="Times New Roman"/>
    </w:rPr>
  </w:style>
  <w:style w:type="character" w:customStyle="1" w:styleId="ListLabel61">
    <w:name w:val="ListLabel 61"/>
    <w:qFormat/>
    <w:rPr>
      <w:rFonts w:eastAsia="Times New Roman"/>
    </w:rPr>
  </w:style>
  <w:style w:type="character" w:customStyle="1" w:styleId="ListLabel62">
    <w:name w:val="ListLabel 62"/>
    <w:qFormat/>
    <w:rPr>
      <w:rFonts w:eastAsia="Times New Roman"/>
    </w:rPr>
  </w:style>
  <w:style w:type="character" w:customStyle="1" w:styleId="ListLabel63">
    <w:name w:val="ListLabel 63"/>
    <w:qFormat/>
    <w:rPr>
      <w:rFonts w:eastAsia="Times New Roman"/>
    </w:rPr>
  </w:style>
  <w:style w:type="character" w:customStyle="1" w:styleId="ListLabel64">
    <w:name w:val="ListLabel 64"/>
    <w:qFormat/>
    <w:rPr>
      <w:rFonts w:eastAsia="Times New Roman"/>
    </w:rPr>
  </w:style>
  <w:style w:type="character" w:customStyle="1" w:styleId="ListLabel65">
    <w:name w:val="ListLabel 65"/>
    <w:qFormat/>
    <w:rPr>
      <w:rFonts w:eastAsia="Times New Roman"/>
    </w:rPr>
  </w:style>
  <w:style w:type="character" w:customStyle="1" w:styleId="ListLabel66">
    <w:name w:val="ListLabel 66"/>
    <w:qFormat/>
    <w:rPr>
      <w:rFonts w:eastAsia="Times New Roman"/>
    </w:rPr>
  </w:style>
  <w:style w:type="character" w:customStyle="1" w:styleId="ListLabel67">
    <w:name w:val="ListLabel 67"/>
    <w:qFormat/>
    <w:rPr>
      <w:rFonts w:eastAsia="Times New Roman"/>
    </w:rPr>
  </w:style>
  <w:style w:type="character" w:customStyle="1" w:styleId="ListLabel68">
    <w:name w:val="ListLabel 68"/>
    <w:qFormat/>
    <w:rPr>
      <w:rFonts w:eastAsia="Times New Roman"/>
    </w:rPr>
  </w:style>
  <w:style w:type="character" w:customStyle="1" w:styleId="ListLabel69">
    <w:name w:val="ListLabel 69"/>
    <w:qFormat/>
    <w:rPr>
      <w:rFonts w:eastAsia="Times New Roman"/>
    </w:rPr>
  </w:style>
  <w:style w:type="character" w:customStyle="1" w:styleId="ListLabel70">
    <w:name w:val="ListLabel 70"/>
    <w:qFormat/>
    <w:rPr>
      <w:rFonts w:eastAsia="Times New Roman"/>
    </w:rPr>
  </w:style>
  <w:style w:type="character" w:customStyle="1" w:styleId="ListLabel71">
    <w:name w:val="ListLabel 71"/>
    <w:qFormat/>
    <w:rPr>
      <w:rFonts w:eastAsia="Times New Roman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eastAsia="Times New Roman"/>
    </w:rPr>
  </w:style>
  <w:style w:type="character" w:customStyle="1" w:styleId="ListLabel74">
    <w:name w:val="ListLabel 74"/>
    <w:qFormat/>
    <w:rPr>
      <w:rFonts w:eastAsia="Times New Roman"/>
    </w:rPr>
  </w:style>
  <w:style w:type="character" w:customStyle="1" w:styleId="ListLabel75">
    <w:name w:val="ListLabel 75"/>
    <w:qFormat/>
    <w:rPr>
      <w:rFonts w:eastAsia="Times New Roman"/>
    </w:rPr>
  </w:style>
  <w:style w:type="character" w:customStyle="1" w:styleId="ListLabel76">
    <w:name w:val="ListLabel 76"/>
    <w:qFormat/>
    <w:rPr>
      <w:rFonts w:eastAsia="Times New Roman"/>
    </w:rPr>
  </w:style>
  <w:style w:type="character" w:customStyle="1" w:styleId="ListLabel77">
    <w:name w:val="ListLabel 77"/>
    <w:qFormat/>
    <w:rPr>
      <w:rFonts w:eastAsia="Times New Roman"/>
    </w:rPr>
  </w:style>
  <w:style w:type="character" w:customStyle="1" w:styleId="ListLabel78">
    <w:name w:val="ListLabel 78"/>
    <w:qFormat/>
    <w:rPr>
      <w:rFonts w:eastAsia="Times New Roman"/>
    </w:rPr>
  </w:style>
  <w:style w:type="character" w:customStyle="1" w:styleId="ListLabel79">
    <w:name w:val="ListLabel 79"/>
    <w:qFormat/>
    <w:rPr>
      <w:rFonts w:eastAsia="Times New Roman"/>
    </w:rPr>
  </w:style>
  <w:style w:type="character" w:customStyle="1" w:styleId="ListLabel80">
    <w:name w:val="ListLabel 80"/>
    <w:qFormat/>
    <w:rPr>
      <w:rFonts w:eastAsia="Times New Roman"/>
    </w:rPr>
  </w:style>
  <w:style w:type="character" w:customStyle="1" w:styleId="ListLabel81">
    <w:name w:val="ListLabel 81"/>
    <w:qFormat/>
    <w:rPr>
      <w:rFonts w:eastAsia="Times New Roman"/>
    </w:rPr>
  </w:style>
  <w:style w:type="character" w:customStyle="1" w:styleId="ListLabel82">
    <w:name w:val="ListLabel 82"/>
    <w:qFormat/>
    <w:rPr>
      <w:rFonts w:eastAsia="Times New Roman"/>
    </w:rPr>
  </w:style>
  <w:style w:type="character" w:customStyle="1" w:styleId="ListLabel83">
    <w:name w:val="ListLabel 83"/>
    <w:qFormat/>
    <w:rPr>
      <w:rFonts w:eastAsia="Times New Roman"/>
    </w:rPr>
  </w:style>
  <w:style w:type="character" w:customStyle="1" w:styleId="ListLabel84">
    <w:name w:val="ListLabel 84"/>
    <w:qFormat/>
    <w:rPr>
      <w:rFonts w:eastAsia="Times New Roman"/>
    </w:rPr>
  </w:style>
  <w:style w:type="character" w:customStyle="1" w:styleId="ListLabel85">
    <w:name w:val="ListLabel 85"/>
    <w:qFormat/>
    <w:rPr>
      <w:rFonts w:eastAsia="Times New Roman"/>
    </w:rPr>
  </w:style>
  <w:style w:type="character" w:customStyle="1" w:styleId="ListLabel86">
    <w:name w:val="ListLabel 86"/>
    <w:qFormat/>
    <w:rPr>
      <w:rFonts w:eastAsia="Times New Roman"/>
    </w:rPr>
  </w:style>
  <w:style w:type="character" w:customStyle="1" w:styleId="ListLabel87">
    <w:name w:val="ListLabel 87"/>
    <w:qFormat/>
    <w:rPr>
      <w:rFonts w:eastAsia="Times New Roman"/>
    </w:rPr>
  </w:style>
  <w:style w:type="character" w:customStyle="1" w:styleId="ListLabel88">
    <w:name w:val="ListLabel 88"/>
    <w:qFormat/>
    <w:rPr>
      <w:rFonts w:eastAsia="Times New Roman"/>
    </w:rPr>
  </w:style>
  <w:style w:type="character" w:customStyle="1" w:styleId="ListLabel89">
    <w:name w:val="ListLabel 89"/>
    <w:qFormat/>
    <w:rPr>
      <w:rFonts w:eastAsia="Times New Roman"/>
    </w:rPr>
  </w:style>
  <w:style w:type="character" w:customStyle="1" w:styleId="ListLabel90">
    <w:name w:val="ListLabel 90"/>
    <w:qFormat/>
    <w:rPr>
      <w:rFonts w:eastAsia="Times New Roman"/>
    </w:rPr>
  </w:style>
  <w:style w:type="character" w:customStyle="1" w:styleId="ListLabel91">
    <w:name w:val="ListLabel 91"/>
    <w:qFormat/>
    <w:rPr>
      <w:rFonts w:eastAsia="Times New Roman"/>
    </w:rPr>
  </w:style>
  <w:style w:type="character" w:customStyle="1" w:styleId="ListLabel92">
    <w:name w:val="ListLabel 92"/>
    <w:qFormat/>
    <w:rPr>
      <w:rFonts w:eastAsia="Times New Roman"/>
    </w:rPr>
  </w:style>
  <w:style w:type="character" w:customStyle="1" w:styleId="ListLabel93">
    <w:name w:val="ListLabel 93"/>
    <w:qFormat/>
    <w:rPr>
      <w:rFonts w:eastAsia="Times New Roman"/>
    </w:rPr>
  </w:style>
  <w:style w:type="character" w:customStyle="1" w:styleId="ListLabel94">
    <w:name w:val="ListLabel 94"/>
    <w:qFormat/>
    <w:rPr>
      <w:rFonts w:eastAsia="Times New Roman"/>
    </w:rPr>
  </w:style>
  <w:style w:type="character" w:customStyle="1" w:styleId="ListLabel95">
    <w:name w:val="ListLabel 95"/>
    <w:qFormat/>
    <w:rPr>
      <w:rFonts w:eastAsia="Times New Roman"/>
    </w:rPr>
  </w:style>
  <w:style w:type="character" w:customStyle="1" w:styleId="ListLabel96">
    <w:name w:val="ListLabel 96"/>
    <w:qFormat/>
    <w:rPr>
      <w:rFonts w:eastAsia="Times New Roman"/>
    </w:rPr>
  </w:style>
  <w:style w:type="character" w:customStyle="1" w:styleId="ListLabel97">
    <w:name w:val="ListLabel 97"/>
    <w:qFormat/>
    <w:rPr>
      <w:rFonts w:eastAsia="Times New Roman"/>
    </w:rPr>
  </w:style>
  <w:style w:type="character" w:customStyle="1" w:styleId="ListLabel98">
    <w:name w:val="ListLabel 98"/>
    <w:qFormat/>
    <w:rPr>
      <w:rFonts w:eastAsia="Times New Roman"/>
    </w:rPr>
  </w:style>
  <w:style w:type="character" w:customStyle="1" w:styleId="ListLabel99">
    <w:name w:val="ListLabel 99"/>
    <w:qFormat/>
    <w:rPr>
      <w:rFonts w:eastAsia="Times New Roman"/>
    </w:rPr>
  </w:style>
  <w:style w:type="character" w:customStyle="1" w:styleId="ListLabel100">
    <w:name w:val="ListLabel 100"/>
    <w:qFormat/>
    <w:rPr>
      <w:rFonts w:ascii="Book Antiqua" w:eastAsia="Times New Roman" w:hAnsi="Book Antiqua"/>
      <w:b/>
      <w:sz w:val="22"/>
    </w:rPr>
  </w:style>
  <w:style w:type="character" w:customStyle="1" w:styleId="ListLabel101">
    <w:name w:val="ListLabel 101"/>
    <w:qFormat/>
    <w:rPr>
      <w:rFonts w:eastAsia="Times New Roman"/>
    </w:rPr>
  </w:style>
  <w:style w:type="character" w:customStyle="1" w:styleId="ListLabel102">
    <w:name w:val="ListLabel 102"/>
    <w:qFormat/>
    <w:rPr>
      <w:rFonts w:eastAsia="Times New Roman"/>
    </w:rPr>
  </w:style>
  <w:style w:type="character" w:customStyle="1" w:styleId="ListLabel103">
    <w:name w:val="ListLabel 103"/>
    <w:qFormat/>
    <w:rPr>
      <w:rFonts w:eastAsia="Times New Roman"/>
    </w:rPr>
  </w:style>
  <w:style w:type="character" w:customStyle="1" w:styleId="ListLabel104">
    <w:name w:val="ListLabel 104"/>
    <w:qFormat/>
    <w:rPr>
      <w:rFonts w:eastAsia="Times New Roman"/>
    </w:rPr>
  </w:style>
  <w:style w:type="character" w:customStyle="1" w:styleId="ListLabel105">
    <w:name w:val="ListLabel 105"/>
    <w:qFormat/>
    <w:rPr>
      <w:rFonts w:eastAsia="Times New Roman"/>
    </w:rPr>
  </w:style>
  <w:style w:type="character" w:customStyle="1" w:styleId="ListLabel106">
    <w:name w:val="ListLabel 106"/>
    <w:qFormat/>
    <w:rPr>
      <w:rFonts w:eastAsia="Times New Roman"/>
    </w:rPr>
  </w:style>
  <w:style w:type="character" w:customStyle="1" w:styleId="ListLabel107">
    <w:name w:val="ListLabel 107"/>
    <w:qFormat/>
    <w:rPr>
      <w:rFonts w:eastAsia="Times New Roman"/>
    </w:rPr>
  </w:style>
  <w:style w:type="character" w:customStyle="1" w:styleId="ListLabel108">
    <w:name w:val="ListLabel 108"/>
    <w:qFormat/>
    <w:rPr>
      <w:rFonts w:eastAsia="Times New Roman"/>
    </w:rPr>
  </w:style>
  <w:style w:type="character" w:customStyle="1" w:styleId="ListLabel109">
    <w:name w:val="ListLabel 109"/>
    <w:qFormat/>
    <w:rPr>
      <w:rFonts w:eastAsia="Times New Roman"/>
    </w:rPr>
  </w:style>
  <w:style w:type="character" w:customStyle="1" w:styleId="ListLabel110">
    <w:name w:val="ListLabel 110"/>
    <w:qFormat/>
    <w:rPr>
      <w:rFonts w:eastAsia="Times New Roman"/>
    </w:rPr>
  </w:style>
  <w:style w:type="character" w:customStyle="1" w:styleId="ListLabel111">
    <w:name w:val="ListLabel 111"/>
    <w:qFormat/>
    <w:rPr>
      <w:rFonts w:eastAsia="Times New Roman"/>
    </w:rPr>
  </w:style>
  <w:style w:type="character" w:customStyle="1" w:styleId="ListLabel112">
    <w:name w:val="ListLabel 112"/>
    <w:qFormat/>
    <w:rPr>
      <w:rFonts w:eastAsia="Times New Roman"/>
    </w:rPr>
  </w:style>
  <w:style w:type="character" w:customStyle="1" w:styleId="ListLabel113">
    <w:name w:val="ListLabel 113"/>
    <w:qFormat/>
    <w:rPr>
      <w:rFonts w:eastAsia="Times New Roman"/>
    </w:rPr>
  </w:style>
  <w:style w:type="character" w:customStyle="1" w:styleId="ListLabel114">
    <w:name w:val="ListLabel 114"/>
    <w:qFormat/>
    <w:rPr>
      <w:rFonts w:eastAsia="Times New Roman"/>
    </w:rPr>
  </w:style>
  <w:style w:type="character" w:customStyle="1" w:styleId="ListLabel115">
    <w:name w:val="ListLabel 115"/>
    <w:qFormat/>
    <w:rPr>
      <w:rFonts w:eastAsia="Times New Roman"/>
    </w:rPr>
  </w:style>
  <w:style w:type="character" w:customStyle="1" w:styleId="ListLabel116">
    <w:name w:val="ListLabel 116"/>
    <w:qFormat/>
    <w:rPr>
      <w:rFonts w:eastAsia="Times New Roman"/>
    </w:rPr>
  </w:style>
  <w:style w:type="character" w:customStyle="1" w:styleId="ListLabel117">
    <w:name w:val="ListLabel 117"/>
    <w:qFormat/>
    <w:rPr>
      <w:rFonts w:eastAsia="Times New Roman"/>
    </w:rPr>
  </w:style>
  <w:style w:type="character" w:customStyle="1" w:styleId="ListLabel118">
    <w:name w:val="ListLabel 118"/>
    <w:qFormat/>
    <w:rPr>
      <w:rFonts w:eastAsia="Times New Roman"/>
    </w:rPr>
  </w:style>
  <w:style w:type="character" w:customStyle="1" w:styleId="ListLabel119">
    <w:name w:val="ListLabel 119"/>
    <w:qFormat/>
    <w:rPr>
      <w:rFonts w:eastAsia="Times New Roman"/>
    </w:rPr>
  </w:style>
  <w:style w:type="character" w:customStyle="1" w:styleId="ListLabel120">
    <w:name w:val="ListLabel 120"/>
    <w:qFormat/>
    <w:rPr>
      <w:rFonts w:eastAsia="Times New Roman"/>
    </w:rPr>
  </w:style>
  <w:style w:type="character" w:customStyle="1" w:styleId="ListLabel121">
    <w:name w:val="ListLabel 121"/>
    <w:qFormat/>
    <w:rPr>
      <w:rFonts w:eastAsia="Times New Roman"/>
    </w:rPr>
  </w:style>
  <w:style w:type="character" w:customStyle="1" w:styleId="ListLabel122">
    <w:name w:val="ListLabel 122"/>
    <w:qFormat/>
    <w:rPr>
      <w:rFonts w:eastAsia="Times New Roman"/>
    </w:rPr>
  </w:style>
  <w:style w:type="character" w:customStyle="1" w:styleId="ListLabel123">
    <w:name w:val="ListLabel 123"/>
    <w:qFormat/>
    <w:rPr>
      <w:rFonts w:eastAsia="Times New Roman"/>
    </w:rPr>
  </w:style>
  <w:style w:type="character" w:customStyle="1" w:styleId="ListLabel124">
    <w:name w:val="ListLabel 124"/>
    <w:qFormat/>
    <w:rPr>
      <w:rFonts w:eastAsia="Times New Roman"/>
    </w:rPr>
  </w:style>
  <w:style w:type="character" w:customStyle="1" w:styleId="ListLabel125">
    <w:name w:val="ListLabel 125"/>
    <w:qFormat/>
    <w:rPr>
      <w:rFonts w:eastAsia="Times New Roman"/>
    </w:rPr>
  </w:style>
  <w:style w:type="character" w:customStyle="1" w:styleId="ListLabel126">
    <w:name w:val="ListLabel 126"/>
    <w:qFormat/>
    <w:rPr>
      <w:rFonts w:eastAsia="Times New Roman"/>
    </w:rPr>
  </w:style>
  <w:style w:type="character" w:customStyle="1" w:styleId="ListLabel127">
    <w:name w:val="ListLabel 127"/>
    <w:qFormat/>
    <w:rPr>
      <w:rFonts w:eastAsia="Times New Roman"/>
    </w:rPr>
  </w:style>
  <w:style w:type="character" w:customStyle="1" w:styleId="ListLabel128">
    <w:name w:val="ListLabel 128"/>
    <w:qFormat/>
    <w:rPr>
      <w:rFonts w:eastAsia="Times New Roman"/>
    </w:rPr>
  </w:style>
  <w:style w:type="character" w:customStyle="1" w:styleId="ListLabel129">
    <w:name w:val="ListLabel 129"/>
    <w:qFormat/>
    <w:rPr>
      <w:rFonts w:eastAsia="Times New Roman"/>
    </w:rPr>
  </w:style>
  <w:style w:type="character" w:customStyle="1" w:styleId="ListLabel130">
    <w:name w:val="ListLabel 130"/>
    <w:qFormat/>
    <w:rPr>
      <w:rFonts w:eastAsia="Times New Roman"/>
    </w:rPr>
  </w:style>
  <w:style w:type="character" w:customStyle="1" w:styleId="ListLabel131">
    <w:name w:val="ListLabel 131"/>
    <w:qFormat/>
    <w:rPr>
      <w:rFonts w:eastAsia="Times New Roman"/>
    </w:rPr>
  </w:style>
  <w:style w:type="character" w:customStyle="1" w:styleId="ListLabel132">
    <w:name w:val="ListLabel 132"/>
    <w:qFormat/>
    <w:rPr>
      <w:rFonts w:eastAsia="Times New Roman"/>
    </w:rPr>
  </w:style>
  <w:style w:type="character" w:customStyle="1" w:styleId="ListLabel133">
    <w:name w:val="ListLabel 133"/>
    <w:qFormat/>
    <w:rPr>
      <w:rFonts w:eastAsia="Times New Roman"/>
    </w:rPr>
  </w:style>
  <w:style w:type="character" w:customStyle="1" w:styleId="ListLabel134">
    <w:name w:val="ListLabel 134"/>
    <w:qFormat/>
    <w:rPr>
      <w:rFonts w:eastAsia="Times New Roman"/>
    </w:rPr>
  </w:style>
  <w:style w:type="character" w:customStyle="1" w:styleId="ListLabel135">
    <w:name w:val="ListLabel 135"/>
    <w:qFormat/>
    <w:rPr>
      <w:rFonts w:eastAsia="Times New Roman"/>
    </w:rPr>
  </w:style>
  <w:style w:type="character" w:customStyle="1" w:styleId="ListLabel136">
    <w:name w:val="ListLabel 136"/>
    <w:qFormat/>
    <w:rPr>
      <w:rFonts w:eastAsia="Times New Roman"/>
    </w:rPr>
  </w:style>
  <w:style w:type="character" w:customStyle="1" w:styleId="ListLabel137">
    <w:name w:val="ListLabel 137"/>
    <w:qFormat/>
    <w:rPr>
      <w:rFonts w:eastAsia="Times New Roman"/>
    </w:rPr>
  </w:style>
  <w:style w:type="character" w:customStyle="1" w:styleId="ListLabel138">
    <w:name w:val="ListLabel 138"/>
    <w:qFormat/>
    <w:rPr>
      <w:rFonts w:eastAsia="Times New Roman"/>
    </w:rPr>
  </w:style>
  <w:style w:type="character" w:customStyle="1" w:styleId="ListLabel139">
    <w:name w:val="ListLabel 139"/>
    <w:qFormat/>
    <w:rPr>
      <w:rFonts w:eastAsia="Times New Roman"/>
    </w:rPr>
  </w:style>
  <w:style w:type="character" w:customStyle="1" w:styleId="ListLabel140">
    <w:name w:val="ListLabel 140"/>
    <w:qFormat/>
    <w:rPr>
      <w:rFonts w:eastAsia="Times New Roman"/>
    </w:rPr>
  </w:style>
  <w:style w:type="character" w:customStyle="1" w:styleId="ListLabel141">
    <w:name w:val="ListLabel 141"/>
    <w:qFormat/>
    <w:rPr>
      <w:rFonts w:eastAsia="Times New Roman"/>
    </w:rPr>
  </w:style>
  <w:style w:type="character" w:customStyle="1" w:styleId="ListLabel142">
    <w:name w:val="ListLabel 142"/>
    <w:qFormat/>
    <w:rPr>
      <w:rFonts w:eastAsia="Times New Roman"/>
    </w:rPr>
  </w:style>
  <w:style w:type="character" w:customStyle="1" w:styleId="ListLabel143">
    <w:name w:val="ListLabel 143"/>
    <w:qFormat/>
    <w:rPr>
      <w:rFonts w:eastAsia="Times New Roman"/>
    </w:rPr>
  </w:style>
  <w:style w:type="character" w:customStyle="1" w:styleId="ListLabel144">
    <w:name w:val="ListLabel 144"/>
    <w:qFormat/>
    <w:rPr>
      <w:rFonts w:eastAsia="Times New Roman"/>
    </w:rPr>
  </w:style>
  <w:style w:type="character" w:customStyle="1" w:styleId="ListLabel145">
    <w:name w:val="ListLabel 145"/>
    <w:qFormat/>
    <w:rPr>
      <w:rFonts w:eastAsia="Times New Roman"/>
    </w:rPr>
  </w:style>
  <w:style w:type="character" w:customStyle="1" w:styleId="ListLabel146">
    <w:name w:val="ListLabel 146"/>
    <w:qFormat/>
    <w:rPr>
      <w:rFonts w:eastAsia="Times New Roman"/>
    </w:rPr>
  </w:style>
  <w:style w:type="character" w:customStyle="1" w:styleId="ListLabel147">
    <w:name w:val="ListLabel 147"/>
    <w:qFormat/>
    <w:rPr>
      <w:rFonts w:eastAsia="Times New Roman"/>
    </w:rPr>
  </w:style>
  <w:style w:type="character" w:customStyle="1" w:styleId="ListLabel148">
    <w:name w:val="ListLabel 148"/>
    <w:qFormat/>
    <w:rPr>
      <w:rFonts w:eastAsia="Times New Roman"/>
    </w:rPr>
  </w:style>
  <w:style w:type="character" w:customStyle="1" w:styleId="ListLabel149">
    <w:name w:val="ListLabel 149"/>
    <w:qFormat/>
    <w:rPr>
      <w:rFonts w:eastAsia="Times New Roman"/>
    </w:rPr>
  </w:style>
  <w:style w:type="character" w:customStyle="1" w:styleId="ListLabel150">
    <w:name w:val="ListLabel 150"/>
    <w:qFormat/>
    <w:rPr>
      <w:rFonts w:eastAsia="Times New Roman"/>
    </w:rPr>
  </w:style>
  <w:style w:type="character" w:customStyle="1" w:styleId="ListLabel151">
    <w:name w:val="ListLabel 151"/>
    <w:qFormat/>
    <w:rPr>
      <w:rFonts w:eastAsia="Times New Roman"/>
    </w:rPr>
  </w:style>
  <w:style w:type="character" w:customStyle="1" w:styleId="ListLabel152">
    <w:name w:val="ListLabel 152"/>
    <w:qFormat/>
    <w:rPr>
      <w:rFonts w:eastAsia="Times New Roman"/>
    </w:rPr>
  </w:style>
  <w:style w:type="character" w:customStyle="1" w:styleId="ListLabel153">
    <w:name w:val="ListLabel 153"/>
    <w:qFormat/>
    <w:rPr>
      <w:rFonts w:eastAsia="Times New Roman"/>
    </w:rPr>
  </w:style>
  <w:style w:type="character" w:customStyle="1" w:styleId="ListLabel154">
    <w:name w:val="ListLabel 154"/>
    <w:qFormat/>
    <w:rPr>
      <w:rFonts w:eastAsia="Times New Roman"/>
    </w:rPr>
  </w:style>
  <w:style w:type="character" w:customStyle="1" w:styleId="ListLabel155">
    <w:name w:val="ListLabel 155"/>
    <w:qFormat/>
    <w:rPr>
      <w:rFonts w:eastAsia="Times New Roman"/>
    </w:rPr>
  </w:style>
  <w:style w:type="character" w:customStyle="1" w:styleId="ListLabel156">
    <w:name w:val="ListLabel 156"/>
    <w:qFormat/>
    <w:rPr>
      <w:rFonts w:eastAsia="Times New Roman"/>
    </w:rPr>
  </w:style>
  <w:style w:type="character" w:customStyle="1" w:styleId="ListLabel157">
    <w:name w:val="ListLabel 157"/>
    <w:qFormat/>
    <w:rPr>
      <w:rFonts w:eastAsia="Times New Roman"/>
    </w:rPr>
  </w:style>
  <w:style w:type="character" w:customStyle="1" w:styleId="ListLabel158">
    <w:name w:val="ListLabel 158"/>
    <w:qFormat/>
    <w:rPr>
      <w:rFonts w:eastAsia="Times New Roman"/>
    </w:rPr>
  </w:style>
  <w:style w:type="character" w:customStyle="1" w:styleId="ListLabel159">
    <w:name w:val="ListLabel 159"/>
    <w:qFormat/>
    <w:rPr>
      <w:rFonts w:eastAsia="Times New Roman"/>
    </w:rPr>
  </w:style>
  <w:style w:type="character" w:customStyle="1" w:styleId="ListLabel160">
    <w:name w:val="ListLabel 160"/>
    <w:qFormat/>
    <w:rPr>
      <w:rFonts w:ascii="Book Antiqua" w:eastAsia="Times New Roman" w:hAnsi="Book Antiqua"/>
      <w:sz w:val="22"/>
    </w:rPr>
  </w:style>
  <w:style w:type="character" w:customStyle="1" w:styleId="ListLabel161">
    <w:name w:val="ListLabel 161"/>
    <w:qFormat/>
    <w:rPr>
      <w:rFonts w:eastAsia="Times New Roman"/>
    </w:rPr>
  </w:style>
  <w:style w:type="character" w:customStyle="1" w:styleId="ListLabel162">
    <w:name w:val="ListLabel 162"/>
    <w:qFormat/>
    <w:rPr>
      <w:rFonts w:eastAsia="Times New Roman"/>
    </w:rPr>
  </w:style>
  <w:style w:type="character" w:customStyle="1" w:styleId="ListLabel163">
    <w:name w:val="ListLabel 163"/>
    <w:qFormat/>
    <w:rPr>
      <w:rFonts w:eastAsia="Times New Roman"/>
    </w:rPr>
  </w:style>
  <w:style w:type="character" w:customStyle="1" w:styleId="ListLabel164">
    <w:name w:val="ListLabel 164"/>
    <w:qFormat/>
    <w:rPr>
      <w:rFonts w:eastAsia="Times New Roman"/>
    </w:rPr>
  </w:style>
  <w:style w:type="character" w:customStyle="1" w:styleId="ListLabel165">
    <w:name w:val="ListLabel 165"/>
    <w:qFormat/>
    <w:rPr>
      <w:rFonts w:eastAsia="Times New Roman"/>
    </w:rPr>
  </w:style>
  <w:style w:type="character" w:customStyle="1" w:styleId="ListLabel166">
    <w:name w:val="ListLabel 166"/>
    <w:qFormat/>
    <w:rPr>
      <w:rFonts w:eastAsia="Times New Roman"/>
    </w:rPr>
  </w:style>
  <w:style w:type="character" w:customStyle="1" w:styleId="ListLabel167">
    <w:name w:val="ListLabel 167"/>
    <w:qFormat/>
    <w:rPr>
      <w:rFonts w:eastAsia="Times New Roman"/>
    </w:rPr>
  </w:style>
  <w:style w:type="character" w:customStyle="1" w:styleId="ListLabel168">
    <w:name w:val="ListLabel 168"/>
    <w:qFormat/>
    <w:rPr>
      <w:rFonts w:eastAsia="Times New Roman"/>
    </w:rPr>
  </w:style>
  <w:style w:type="character" w:customStyle="1" w:styleId="TextbublinyChar1">
    <w:name w:val="Text bubliny Char1"/>
    <w:basedOn w:val="Predvolenpsmoodseku"/>
    <w:qFormat/>
    <w:rPr>
      <w:rFonts w:ascii="Segoe UI" w:eastAsia="Times New Roman" w:hAnsi="Segoe UI" w:cs="Segoe UI"/>
      <w:kern w:val="2"/>
      <w:sz w:val="18"/>
      <w:szCs w:val="18"/>
    </w:rPr>
  </w:style>
  <w:style w:type="character" w:customStyle="1" w:styleId="Textkomente1raChar">
    <w:name w:val="Text komentáe1ra Char"/>
    <w:basedOn w:val="Predvolenpsmoodseku"/>
    <w:qFormat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Predmetkomente1raChar">
    <w:name w:val="Predmet komentáe1ra Char"/>
    <w:basedOn w:val="Textkomente1raChar"/>
    <w:qFormat/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character" w:customStyle="1" w:styleId="Textpozne1mkypode8iarouChar">
    <w:name w:val="Text poznáe1mky pod če8iarou Char"/>
    <w:basedOn w:val="Predvolenpsmoodseku"/>
    <w:qFormat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Internetovfdodkaz">
    <w:name w:val="Internetovýfd odkaz"/>
    <w:basedOn w:val="Predvolenpsmoodseku"/>
    <w:qFormat/>
    <w:rPr>
      <w:rFonts w:eastAsia="Times New Roman" w:cs="Times New Roman"/>
      <w:color w:val="0000FF"/>
      <w:u w:val="single"/>
    </w:rPr>
  </w:style>
  <w:style w:type="character" w:customStyle="1" w:styleId="UnresolvedMention">
    <w:name w:val="Unresolved Mention"/>
    <w:basedOn w:val="Predvolenpsmoodseku"/>
    <w:qFormat/>
    <w:rPr>
      <w:rFonts w:eastAsia="Times New Roman" w:cs="Times New Roman"/>
      <w:color w:val="605E5C"/>
      <w:shd w:val="clear" w:color="auto" w:fill="E1DFDD"/>
    </w:rPr>
  </w:style>
  <w:style w:type="character" w:customStyle="1" w:styleId="awspan">
    <w:name w:val="awspan"/>
    <w:qFormat/>
  </w:style>
  <w:style w:type="character" w:customStyle="1" w:styleId="ListLabel169">
    <w:name w:val="ListLabel 169"/>
    <w:qFormat/>
    <w:rPr>
      <w:rFonts w:ascii="Book Antiqua" w:eastAsia="Times New Roman" w:hAnsi="Book Antiqua"/>
      <w:sz w:val="22"/>
    </w:rPr>
  </w:style>
  <w:style w:type="character" w:customStyle="1" w:styleId="ListLabel170">
    <w:name w:val="ListLabel 170"/>
    <w:qFormat/>
    <w:rPr>
      <w:rFonts w:eastAsia="Times New Roman"/>
    </w:rPr>
  </w:style>
  <w:style w:type="character" w:customStyle="1" w:styleId="ListLabel171">
    <w:name w:val="ListLabel 171"/>
    <w:qFormat/>
    <w:rPr>
      <w:rFonts w:eastAsia="Times New Roman"/>
    </w:rPr>
  </w:style>
  <w:style w:type="character" w:customStyle="1" w:styleId="ListLabel172">
    <w:name w:val="ListLabel 172"/>
    <w:qFormat/>
    <w:rPr>
      <w:rFonts w:eastAsia="Times New Roman"/>
    </w:rPr>
  </w:style>
  <w:style w:type="character" w:customStyle="1" w:styleId="ListLabel173">
    <w:name w:val="ListLabel 173"/>
    <w:qFormat/>
    <w:rPr>
      <w:rFonts w:eastAsia="Times New Roman"/>
    </w:rPr>
  </w:style>
  <w:style w:type="character" w:customStyle="1" w:styleId="ListLabel174">
    <w:name w:val="ListLabel 174"/>
    <w:qFormat/>
    <w:rPr>
      <w:rFonts w:eastAsia="Times New Roman"/>
    </w:rPr>
  </w:style>
  <w:style w:type="character" w:customStyle="1" w:styleId="ListLabel175">
    <w:name w:val="ListLabel 175"/>
    <w:qFormat/>
    <w:rPr>
      <w:rFonts w:eastAsia="Times New Roman"/>
    </w:rPr>
  </w:style>
  <w:style w:type="character" w:customStyle="1" w:styleId="ListLabel176">
    <w:name w:val="ListLabel 176"/>
    <w:qFormat/>
    <w:rPr>
      <w:rFonts w:eastAsia="Times New Roman"/>
    </w:rPr>
  </w:style>
  <w:style w:type="character" w:customStyle="1" w:styleId="ListLabel177">
    <w:name w:val="ListLabel 177"/>
    <w:qFormat/>
    <w:rPr>
      <w:rFonts w:eastAsia="Times New Roman"/>
    </w:rPr>
  </w:style>
  <w:style w:type="character" w:customStyle="1" w:styleId="ListLabel178">
    <w:name w:val="ListLabel 178"/>
    <w:qFormat/>
    <w:rPr>
      <w:rFonts w:eastAsia="Times New Roman"/>
    </w:rPr>
  </w:style>
  <w:style w:type="character" w:customStyle="1" w:styleId="ListLabel179">
    <w:name w:val="ListLabel 179"/>
    <w:qFormat/>
    <w:rPr>
      <w:rFonts w:eastAsia="Times New Roman"/>
    </w:rPr>
  </w:style>
  <w:style w:type="character" w:customStyle="1" w:styleId="ListLabel180">
    <w:name w:val="ListLabel 180"/>
    <w:qFormat/>
    <w:rPr>
      <w:rFonts w:eastAsia="Times New Roman"/>
    </w:rPr>
  </w:style>
  <w:style w:type="character" w:customStyle="1" w:styleId="ListLabel181">
    <w:name w:val="ListLabel 181"/>
    <w:qFormat/>
    <w:rPr>
      <w:rFonts w:eastAsia="Times New Roman"/>
    </w:rPr>
  </w:style>
  <w:style w:type="character" w:customStyle="1" w:styleId="ListLabel182">
    <w:name w:val="ListLabel 182"/>
    <w:qFormat/>
    <w:rPr>
      <w:rFonts w:eastAsia="Times New Roman"/>
    </w:rPr>
  </w:style>
  <w:style w:type="character" w:customStyle="1" w:styleId="ListLabel183">
    <w:name w:val="ListLabel 183"/>
    <w:qFormat/>
    <w:rPr>
      <w:rFonts w:eastAsia="Times New Roman"/>
    </w:rPr>
  </w:style>
  <w:style w:type="character" w:customStyle="1" w:styleId="ListLabel184">
    <w:name w:val="ListLabel 184"/>
    <w:qFormat/>
    <w:rPr>
      <w:rFonts w:eastAsia="Times New Roman"/>
    </w:rPr>
  </w:style>
  <w:style w:type="character" w:customStyle="1" w:styleId="ListLabel185">
    <w:name w:val="ListLabel 185"/>
    <w:qFormat/>
    <w:rPr>
      <w:rFonts w:eastAsia="Times New Roman"/>
    </w:rPr>
  </w:style>
  <w:style w:type="character" w:customStyle="1" w:styleId="ListLabel186">
    <w:name w:val="ListLabel 186"/>
    <w:qFormat/>
    <w:rPr>
      <w:rFonts w:eastAsia="Times New Roman"/>
    </w:rPr>
  </w:style>
  <w:style w:type="character" w:customStyle="1" w:styleId="ListLabel187">
    <w:name w:val="ListLabel 187"/>
    <w:qFormat/>
    <w:rPr>
      <w:rFonts w:eastAsia="Times New Roman"/>
    </w:rPr>
  </w:style>
  <w:style w:type="character" w:customStyle="1" w:styleId="ListLabel188">
    <w:name w:val="ListLabel 188"/>
    <w:qFormat/>
    <w:rPr>
      <w:rFonts w:eastAsia="Times New Roman"/>
    </w:rPr>
  </w:style>
  <w:style w:type="character" w:customStyle="1" w:styleId="ListLabel189">
    <w:name w:val="ListLabel 189"/>
    <w:qFormat/>
    <w:rPr>
      <w:rFonts w:eastAsia="Times New Roman"/>
    </w:rPr>
  </w:style>
  <w:style w:type="character" w:customStyle="1" w:styleId="ListLabel190">
    <w:name w:val="ListLabel 190"/>
    <w:qFormat/>
    <w:rPr>
      <w:rFonts w:eastAsia="Times New Roman"/>
    </w:rPr>
  </w:style>
  <w:style w:type="character" w:customStyle="1" w:styleId="ListLabel191">
    <w:name w:val="ListLabel 191"/>
    <w:qFormat/>
    <w:rPr>
      <w:rFonts w:eastAsia="Times New Roman"/>
    </w:rPr>
  </w:style>
  <w:style w:type="character" w:customStyle="1" w:styleId="ListLabel192">
    <w:name w:val="ListLabel 192"/>
    <w:qFormat/>
    <w:rPr>
      <w:rFonts w:eastAsia="Times New Roman"/>
    </w:rPr>
  </w:style>
  <w:style w:type="character" w:customStyle="1" w:styleId="ListLabel193">
    <w:name w:val="ListLabel 193"/>
    <w:qFormat/>
    <w:rPr>
      <w:rFonts w:eastAsia="Times New Roman"/>
    </w:rPr>
  </w:style>
  <w:style w:type="character" w:customStyle="1" w:styleId="ListLabel194">
    <w:name w:val="ListLabel 194"/>
    <w:qFormat/>
    <w:rPr>
      <w:rFonts w:eastAsia="Times New Roman"/>
    </w:rPr>
  </w:style>
  <w:style w:type="character" w:customStyle="1" w:styleId="ListLabel195">
    <w:name w:val="ListLabel 195"/>
    <w:qFormat/>
    <w:rPr>
      <w:rFonts w:eastAsia="Times New Roman"/>
    </w:rPr>
  </w:style>
  <w:style w:type="character" w:customStyle="1" w:styleId="ListLabel196">
    <w:name w:val="ListLabel 196"/>
    <w:qFormat/>
    <w:rPr>
      <w:rFonts w:eastAsia="Times New Roman"/>
    </w:rPr>
  </w:style>
  <w:style w:type="character" w:customStyle="1" w:styleId="ListLabel197">
    <w:name w:val="ListLabel 197"/>
    <w:qFormat/>
    <w:rPr>
      <w:rFonts w:eastAsia="Times New Roman"/>
    </w:rPr>
  </w:style>
  <w:style w:type="character" w:customStyle="1" w:styleId="ListLabel198">
    <w:name w:val="ListLabel 198"/>
    <w:qFormat/>
    <w:rPr>
      <w:rFonts w:eastAsia="Times New Roman"/>
    </w:rPr>
  </w:style>
  <w:style w:type="character" w:customStyle="1" w:styleId="ListLabel199">
    <w:name w:val="ListLabel 199"/>
    <w:qFormat/>
    <w:rPr>
      <w:rFonts w:eastAsia="Times New Roman"/>
    </w:rPr>
  </w:style>
  <w:style w:type="character" w:customStyle="1" w:styleId="ListLabel200">
    <w:name w:val="ListLabel 200"/>
    <w:qFormat/>
    <w:rPr>
      <w:rFonts w:eastAsia="Times New Roman"/>
    </w:rPr>
  </w:style>
  <w:style w:type="character" w:customStyle="1" w:styleId="ListLabel201">
    <w:name w:val="ListLabel 201"/>
    <w:qFormat/>
    <w:rPr>
      <w:rFonts w:eastAsia="Times New Roman"/>
    </w:rPr>
  </w:style>
  <w:style w:type="character" w:customStyle="1" w:styleId="ListLabel202">
    <w:name w:val="ListLabel 202"/>
    <w:qFormat/>
    <w:rPr>
      <w:rFonts w:eastAsia="Times New Roman"/>
    </w:rPr>
  </w:style>
  <w:style w:type="character" w:customStyle="1" w:styleId="ListLabel203">
    <w:name w:val="ListLabel 203"/>
    <w:qFormat/>
    <w:rPr>
      <w:rFonts w:eastAsia="Times New Roman"/>
    </w:rPr>
  </w:style>
  <w:style w:type="character" w:customStyle="1" w:styleId="ListLabel204">
    <w:name w:val="ListLabel 204"/>
    <w:qFormat/>
    <w:rPr>
      <w:rFonts w:eastAsia="Times New Roman"/>
    </w:rPr>
  </w:style>
  <w:style w:type="character" w:customStyle="1" w:styleId="ListLabel205">
    <w:name w:val="ListLabel 205"/>
    <w:qFormat/>
    <w:rPr>
      <w:rFonts w:eastAsia="Times New Roman"/>
    </w:rPr>
  </w:style>
  <w:style w:type="character" w:customStyle="1" w:styleId="ListLabel206">
    <w:name w:val="ListLabel 206"/>
    <w:qFormat/>
    <w:rPr>
      <w:rFonts w:eastAsia="Times New Roman"/>
    </w:rPr>
  </w:style>
  <w:style w:type="character" w:customStyle="1" w:styleId="ListLabel207">
    <w:name w:val="ListLabel 207"/>
    <w:qFormat/>
    <w:rPr>
      <w:rFonts w:eastAsia="Times New Roman"/>
    </w:rPr>
  </w:style>
  <w:style w:type="character" w:customStyle="1" w:styleId="ListLabel208">
    <w:name w:val="ListLabel 208"/>
    <w:qFormat/>
    <w:rPr>
      <w:rFonts w:ascii="Book Antiqua" w:eastAsia="Times New Roman" w:hAnsi="Book Antiqua"/>
      <w:sz w:val="22"/>
    </w:rPr>
  </w:style>
  <w:style w:type="character" w:customStyle="1" w:styleId="Znakyprepozne1mkupode8iarou">
    <w:name w:val="Znaky pre poznáe1mku pod če8iarou"/>
    <w:qFormat/>
  </w:style>
  <w:style w:type="character" w:customStyle="1" w:styleId="Ukotveniekoncovejpozne1mky">
    <w:name w:val="Ukotvenie koncovej poznáe1mky"/>
    <w:qFormat/>
    <w:rPr>
      <w:vertAlign w:val="superscript"/>
    </w:rPr>
  </w:style>
  <w:style w:type="character" w:customStyle="1" w:styleId="Znakyprekoncovfapozne1mku">
    <w:name w:val="Znaky pre koncovúfa poznáe1mku"/>
    <w:qFormat/>
  </w:style>
  <w:style w:type="character" w:customStyle="1" w:styleId="TextbublinyChar2">
    <w:name w:val="Text bubliny Char2"/>
    <w:basedOn w:val="Predvolenpsmoodseku"/>
    <w:qFormat/>
    <w:rPr>
      <w:rFonts w:ascii="Tahoma" w:hAnsi="Tahoma" w:cs="Tahoma"/>
      <w:kern w:val="2"/>
      <w:sz w:val="16"/>
      <w:szCs w:val="16"/>
    </w:rPr>
  </w:style>
  <w:style w:type="character" w:customStyle="1" w:styleId="TextkomentraChar">
    <w:name w:val="Text komentára Char"/>
    <w:basedOn w:val="Predvolenpsmoodseku"/>
    <w:qFormat/>
    <w:rPr>
      <w:rFonts w:ascii="Times New Roman" w:eastAsia="Times New Roman" w:hAnsi="Times New Roman" w:cs="Liberation Serif"/>
      <w:kern w:val="2"/>
      <w:sz w:val="20"/>
      <w:szCs w:val="20"/>
    </w:rPr>
  </w:style>
  <w:style w:type="character" w:customStyle="1" w:styleId="PredmetkomentraChar">
    <w:name w:val="Predmet komentára Char"/>
    <w:basedOn w:val="TextkomentraChar"/>
    <w:qFormat/>
    <w:rPr>
      <w:rFonts w:ascii="Times New Roman" w:eastAsia="Times New Roman" w:hAnsi="Times New Roman" w:cs="Liberation Serif"/>
      <w:b/>
      <w:bCs/>
      <w:kern w:val="2"/>
      <w:sz w:val="20"/>
      <w:szCs w:val="20"/>
    </w:rPr>
  </w:style>
  <w:style w:type="character" w:customStyle="1" w:styleId="Ukotveniekoncovejpoznmky">
    <w:name w:val="Ukotvenie koncovej poznámky"/>
    <w:rPr>
      <w:rFonts w:cs="Times New Roman"/>
      <w:vertAlign w:val="superscript"/>
    </w:rPr>
  </w:style>
  <w:style w:type="character" w:customStyle="1" w:styleId="EndnoteCharacters">
    <w:name w:val="Endnote Characters"/>
    <w:basedOn w:val="Predvolenpsmoodseku"/>
    <w:qFormat/>
    <w:rPr>
      <w:rFonts w:cs="Times New Roman"/>
      <w:vertAlign w:val="superscript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TextpoznmkypodiarouChar">
    <w:name w:val="Text poznámky pod čiarou Char"/>
    <w:basedOn w:val="Predvolenpsmoodseku"/>
    <w:qFormat/>
    <w:rPr>
      <w:rFonts w:ascii="Times New Roman" w:eastAsia="Times New Roman" w:hAnsi="Times New Roman" w:cs="Liberation Serif"/>
      <w:kern w:val="2"/>
      <w:sz w:val="20"/>
      <w:szCs w:val="20"/>
    </w:rPr>
  </w:style>
  <w:style w:type="character" w:customStyle="1" w:styleId="ListLabel209">
    <w:name w:val="ListLabel 209"/>
    <w:qFormat/>
    <w:rPr>
      <w:rFonts w:ascii="Book Antiqua" w:eastAsia="Times New Roman" w:hAnsi="Book Antiqua" w:cs="Times New Roman"/>
      <w:sz w:val="22"/>
    </w:rPr>
  </w:style>
  <w:style w:type="character" w:customStyle="1" w:styleId="ListLabel210">
    <w:name w:val="ListLabel 210"/>
    <w:qFormat/>
    <w:rPr>
      <w:rFonts w:eastAsia="Times New Roman" w:cs="Times New Roman"/>
    </w:rPr>
  </w:style>
  <w:style w:type="character" w:customStyle="1" w:styleId="ListLabel211">
    <w:name w:val="ListLabel 211"/>
    <w:qFormat/>
    <w:rPr>
      <w:rFonts w:eastAsia="Times New Roman" w:cs="Times New Roman"/>
    </w:rPr>
  </w:style>
  <w:style w:type="character" w:customStyle="1" w:styleId="ListLabel212">
    <w:name w:val="ListLabel 212"/>
    <w:qFormat/>
    <w:rPr>
      <w:rFonts w:eastAsia="Times New Roman" w:cs="Times New Roman"/>
    </w:rPr>
  </w:style>
  <w:style w:type="character" w:customStyle="1" w:styleId="ListLabel213">
    <w:name w:val="ListLabel 213"/>
    <w:qFormat/>
    <w:rPr>
      <w:rFonts w:eastAsia="Times New Roman" w:cs="Times New Roman"/>
    </w:rPr>
  </w:style>
  <w:style w:type="character" w:customStyle="1" w:styleId="ListLabel214">
    <w:name w:val="ListLabel 214"/>
    <w:qFormat/>
    <w:rPr>
      <w:rFonts w:eastAsia="Times New Roman" w:cs="Times New Roman"/>
    </w:rPr>
  </w:style>
  <w:style w:type="character" w:customStyle="1" w:styleId="ListLabel215">
    <w:name w:val="ListLabel 215"/>
    <w:qFormat/>
    <w:rPr>
      <w:rFonts w:eastAsia="Times New Roman" w:cs="Times New Roman"/>
    </w:rPr>
  </w:style>
  <w:style w:type="character" w:customStyle="1" w:styleId="ListLabel216">
    <w:name w:val="ListLabel 216"/>
    <w:qFormat/>
    <w:rPr>
      <w:rFonts w:eastAsia="Times New Roman" w:cs="Times New Roman"/>
    </w:rPr>
  </w:style>
  <w:style w:type="character" w:customStyle="1" w:styleId="ListLabel217">
    <w:name w:val="ListLabel 217"/>
    <w:qFormat/>
    <w:rPr>
      <w:rFonts w:eastAsia="Times New Roman" w:cs="Times New Roman"/>
    </w:rPr>
  </w:style>
  <w:style w:type="character" w:customStyle="1" w:styleId="ListLabel218">
    <w:name w:val="ListLabel 218"/>
    <w:qFormat/>
    <w:rPr>
      <w:rFonts w:eastAsia="Times New Roman" w:cs="Liberation Serif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Znakyprepoznmkupodiarou">
    <w:name w:val="Znaky pre poznámku pod čiarou"/>
    <w:qFormat/>
  </w:style>
  <w:style w:type="character" w:customStyle="1" w:styleId="Znakyprekoncovpoznmku">
    <w:name w:val="Znaky pre koncovú poznámku"/>
    <w:qFormat/>
  </w:style>
  <w:style w:type="paragraph" w:customStyle="1" w:styleId="Nadpis">
    <w:name w:val="Nadpis"/>
    <w:basedOn w:val="Normlny"/>
    <w:next w:val="Zkladntext"/>
    <w:qFormat/>
    <w:pPr>
      <w:keepNext/>
      <w:widowControl w:val="0"/>
      <w:spacing w:before="240" w:after="120"/>
    </w:pPr>
    <w:rPr>
      <w:rFonts w:ascii="Arial" w:hAnsi="Arial"/>
      <w:sz w:val="28"/>
      <w:szCs w:val="28"/>
      <w:lang w:bidi="hi-IN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y"/>
    <w:qFormat/>
  </w:style>
  <w:style w:type="paragraph" w:customStyle="1" w:styleId="DocumentMap">
    <w:name w:val="DocumentMap"/>
    <w:qFormat/>
    <w:pPr>
      <w:suppressAutoHyphens/>
    </w:pPr>
    <w:rPr>
      <w:rFonts w:ascii="Times New Roman" w:eastAsia="Times New Roman" w:hAnsi="Times New Roman" w:cs="Liberation Serif"/>
      <w:szCs w:val="20"/>
      <w:lang w:eastAsia="sk-SK" w:bidi="ar-SA"/>
    </w:rPr>
  </w:style>
  <w:style w:type="paragraph" w:customStyle="1" w:styleId="Pe4e4ta">
    <w:name w:val="Päe4e4ta"/>
    <w:basedOn w:val="Normlny"/>
    <w:qFormat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qFormat/>
    <w:rPr>
      <w:rFonts w:ascii="Tahoma" w:hAnsi="Tahoma"/>
      <w:sz w:val="16"/>
      <w:szCs w:val="16"/>
    </w:rPr>
  </w:style>
  <w:style w:type="paragraph" w:customStyle="1" w:styleId="titulok">
    <w:name w:val="titulok"/>
    <w:basedOn w:val="Normlny"/>
    <w:qFormat/>
    <w:pPr>
      <w:spacing w:before="280" w:after="280"/>
      <w:jc w:val="center"/>
    </w:pPr>
    <w:rPr>
      <w:rFonts w:ascii="Arial" w:hAnsi="Arial"/>
      <w:b/>
      <w:bCs/>
      <w:color w:val="007060"/>
    </w:rPr>
  </w:style>
  <w:style w:type="paragraph" w:styleId="Normlnywebov">
    <w:name w:val="Normal (Web)"/>
    <w:basedOn w:val="Normlny"/>
    <w:qFormat/>
    <w:pPr>
      <w:spacing w:before="280" w:after="280"/>
    </w:pPr>
  </w:style>
  <w:style w:type="paragraph" w:styleId="Textkomentra">
    <w:name w:val="annotation text"/>
    <w:basedOn w:val="Normlny"/>
    <w:qFormat/>
    <w:rPr>
      <w:sz w:val="20"/>
      <w:szCs w:val="20"/>
    </w:rPr>
  </w:style>
  <w:style w:type="paragraph" w:styleId="Predmetkomentra">
    <w:name w:val="annotation subject"/>
    <w:basedOn w:val="Textkomentra"/>
    <w:qFormat/>
    <w:rPr>
      <w:b/>
      <w:bCs/>
    </w:rPr>
  </w:style>
  <w:style w:type="paragraph" w:customStyle="1" w:styleId="Hlavie8e8ka">
    <w:name w:val="Hlaviče8e8ka"/>
    <w:basedOn w:val="Normlny"/>
    <w:qFormat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Liberation Serif"/>
      <w:color w:val="000000"/>
      <w:sz w:val="24"/>
      <w:lang w:eastAsia="sk-SK" w:bidi="ar-SA"/>
    </w:rPr>
  </w:style>
  <w:style w:type="paragraph" w:customStyle="1" w:styleId="Pozne1mkapode8iarou">
    <w:name w:val="Poznáe1mka pod če8iarou"/>
    <w:basedOn w:val="Normlny"/>
    <w:qFormat/>
    <w:rPr>
      <w:sz w:val="20"/>
      <w:szCs w:val="20"/>
    </w:rPr>
  </w:style>
  <w:style w:type="paragraph" w:customStyle="1" w:styleId="V3fchodzie">
    <w:name w:val="V3fchodzie"/>
    <w:qFormat/>
    <w:pPr>
      <w:widowControl w:val="0"/>
      <w:suppressAutoHyphens/>
    </w:pPr>
    <w:rPr>
      <w:rFonts w:ascii="Times New Roman" w:eastAsia="Times New Roman" w:hAnsi="Times New Roman" w:cs="Liberation Serif"/>
      <w:sz w:val="24"/>
      <w:lang w:eastAsia="sk-SK" w:bidi="ar-SA"/>
    </w:rPr>
  </w:style>
  <w:style w:type="paragraph" w:customStyle="1" w:styleId="Pe4ta">
    <w:name w:val="Päe4ta"/>
    <w:basedOn w:val="Normlny"/>
    <w:qFormat/>
  </w:style>
  <w:style w:type="paragraph" w:styleId="Textpoznmkypodiarou">
    <w:name w:val="footnote text"/>
    <w:basedOn w:val="Normlny"/>
    <w:rPr>
      <w:sz w:val="20"/>
      <w:szCs w:val="20"/>
    </w:rPr>
  </w:style>
  <w:style w:type="paragraph" w:styleId="Pta">
    <w:name w:val="footer"/>
    <w:basedOn w:val="Norm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kcr.cz/doc/dokumenty_file/schvaleny-rozpocet-2019-kapitolni-sesit-714.pd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1223</Words>
  <Characters>6973</Characters>
  <Application>Microsoft Office Word</Application>
  <DocSecurity>0</DocSecurity>
  <Lines>58</Lines>
  <Paragraphs>16</Paragraphs>
  <ScaleCrop>false</ScaleCrop>
  <Company>UVSR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subject/>
  <dc:creator>mmoravcik</dc:creator>
  <dc:description/>
  <cp:lastModifiedBy>Kozarec, Sebastián</cp:lastModifiedBy>
  <cp:revision>5</cp:revision>
  <cp:lastPrinted>2019-05-29T16:58:00Z</cp:lastPrinted>
  <dcterms:created xsi:type="dcterms:W3CDTF">2019-05-31T09:50:00Z</dcterms:created>
  <dcterms:modified xsi:type="dcterms:W3CDTF">2019-05-31T09:53:00Z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UVSR</vt:lpwstr>
  </property>
  <property fmtid="{D5CDD505-2E9C-101B-9397-08002B2CF9AE}" pid="3" name="Operator">
    <vt:lpwstr>Milan</vt:lpwstr>
  </property>
</Properties>
</file>