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bottom w:val="single" w:sz="12" w:space="1" w:color="00000A"/>
        </w:pBdr>
        <w:bidi w:val="0"/>
        <w:spacing w:lineRule="auto" w:line="276" w:before="120" w:after="0"/>
        <w:ind w:left="0" w:right="0" w:hanging="0"/>
        <w:jc w:val="center"/>
        <w:rPr/>
      </w:pPr>
      <w:r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>
      <w:pPr>
        <w:pStyle w:val="Normal"/>
        <w:bidi w:val="0"/>
        <w:spacing w:lineRule="auto" w:line="276" w:before="120" w:after="0"/>
        <w:ind w:left="0" w:right="0" w:hanging="0"/>
        <w:jc w:val="center"/>
        <w:rPr>
          <w:rFonts w:ascii="Book Antiqua" w:hAnsi="Book Antiqua"/>
          <w:spacing w:val="20"/>
          <w:sz w:val="22"/>
          <w:szCs w:val="22"/>
        </w:rPr>
      </w:pPr>
      <w:r>
        <w:rPr>
          <w:rFonts w:ascii="Book Antiqua" w:hAnsi="Book Antiqua"/>
          <w:spacing w:val="20"/>
          <w:sz w:val="22"/>
          <w:szCs w:val="22"/>
        </w:rPr>
      </w:r>
    </w:p>
    <w:p>
      <w:pPr>
        <w:pStyle w:val="Normal"/>
        <w:bidi w:val="0"/>
        <w:spacing w:lineRule="auto" w:line="276" w:before="120" w:after="0"/>
        <w:ind w:left="0" w:right="0" w:hanging="0"/>
        <w:jc w:val="center"/>
        <w:rPr/>
      </w:pPr>
      <w:r>
        <w:rPr>
          <w:rFonts w:ascii="Book Antiqua" w:hAnsi="Book Antiqua"/>
          <w:spacing w:val="20"/>
          <w:sz w:val="22"/>
          <w:szCs w:val="22"/>
        </w:rPr>
        <w:t>VII. volebné obdobie</w:t>
      </w:r>
    </w:p>
    <w:p>
      <w:pPr>
        <w:pStyle w:val="Normal"/>
        <w:bidi w:val="0"/>
        <w:spacing w:lineRule="auto" w:line="276" w:before="120" w:after="0"/>
        <w:ind w:left="0" w:right="0" w:hanging="0"/>
        <w:jc w:val="center"/>
        <w:rPr>
          <w:rFonts w:ascii="Book Antiqua" w:hAnsi="Book Antiqua"/>
          <w:b/>
          <w:b/>
          <w:spacing w:val="30"/>
          <w:sz w:val="22"/>
          <w:szCs w:val="22"/>
        </w:rPr>
      </w:pPr>
      <w:r>
        <w:rPr>
          <w:rFonts w:ascii="Book Antiqua" w:hAnsi="Book Antiqua"/>
          <w:b/>
          <w:spacing w:val="30"/>
          <w:sz w:val="22"/>
          <w:szCs w:val="22"/>
        </w:rPr>
      </w:r>
    </w:p>
    <w:p>
      <w:pPr>
        <w:pStyle w:val="Normal"/>
        <w:bidi w:val="0"/>
        <w:spacing w:lineRule="auto" w:line="276" w:before="120" w:after="0"/>
        <w:ind w:left="0" w:right="0" w:hanging="0"/>
        <w:jc w:val="center"/>
        <w:rPr/>
      </w:pPr>
      <w:r>
        <w:rPr>
          <w:rFonts w:ascii="Book Antiqua" w:hAnsi="Book Antiqua"/>
          <w:spacing w:val="30"/>
          <w:sz w:val="22"/>
          <w:szCs w:val="22"/>
        </w:rPr>
        <w:t>Návrh</w:t>
      </w:r>
    </w:p>
    <w:p>
      <w:pPr>
        <w:pStyle w:val="Normal"/>
        <w:bidi w:val="0"/>
        <w:spacing w:lineRule="auto" w:line="276" w:before="120" w:after="0"/>
        <w:ind w:left="0" w:right="0" w:hanging="0"/>
        <w:jc w:val="center"/>
        <w:rPr>
          <w:rFonts w:ascii="Book Antiqua" w:hAnsi="Book Antiqua"/>
          <w:b/>
          <w:b/>
          <w:spacing w:val="30"/>
          <w:sz w:val="22"/>
          <w:szCs w:val="22"/>
        </w:rPr>
      </w:pPr>
      <w:r>
        <w:rPr>
          <w:rFonts w:ascii="Book Antiqua" w:hAnsi="Book Antiqua"/>
          <w:b/>
          <w:spacing w:val="30"/>
          <w:sz w:val="22"/>
          <w:szCs w:val="22"/>
        </w:rPr>
      </w:r>
    </w:p>
    <w:p>
      <w:pPr>
        <w:pStyle w:val="Normal"/>
        <w:bidi w:val="0"/>
        <w:spacing w:lineRule="auto" w:line="276" w:before="120" w:after="0"/>
        <w:ind w:left="0" w:right="0" w:hanging="0"/>
        <w:jc w:val="center"/>
        <w:rPr/>
      </w:pPr>
      <w:r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>
      <w:pPr>
        <w:pStyle w:val="Normal"/>
        <w:bidi w:val="0"/>
        <w:spacing w:lineRule="auto" w:line="276" w:before="120" w:after="0"/>
        <w:ind w:left="0" w:right="0" w:hanging="0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Normal"/>
        <w:bidi w:val="0"/>
        <w:spacing w:lineRule="auto" w:line="276" w:before="120" w:after="0"/>
        <w:ind w:left="0" w:right="0" w:hanging="0"/>
        <w:jc w:val="center"/>
        <w:rPr/>
      </w:pPr>
      <w:r>
        <w:rPr>
          <w:rFonts w:ascii="Book Antiqua" w:hAnsi="Book Antiqua"/>
          <w:sz w:val="22"/>
          <w:szCs w:val="22"/>
        </w:rPr>
        <w:t>z ... 2019,</w:t>
      </w:r>
    </w:p>
    <w:p>
      <w:pPr>
        <w:pStyle w:val="Normal"/>
        <w:bidi w:val="0"/>
        <w:spacing w:lineRule="auto" w:line="276" w:before="120" w:after="0"/>
        <w:ind w:left="0" w:right="0" w:hang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Normal"/>
        <w:bidi w:val="0"/>
        <w:spacing w:lineRule="auto" w:line="276" w:before="120" w:after="0"/>
        <w:ind w:left="0" w:right="0" w:hanging="0"/>
        <w:jc w:val="center"/>
        <w:rPr/>
      </w:pPr>
      <w:r>
        <w:rPr>
          <w:rFonts w:ascii="Book Antiqua" w:hAnsi="Book Antiqua"/>
          <w:b/>
          <w:sz w:val="22"/>
          <w:szCs w:val="22"/>
        </w:rPr>
        <w:t xml:space="preserve">ktorým sa mení a dopĺňa zákon č. 49/2002 Z. z. </w:t>
      </w:r>
      <w:r>
        <w:rPr>
          <w:rFonts w:ascii="Book Antiqua" w:hAnsi="Book Antiqua"/>
          <w:b/>
          <w:bCs/>
          <w:sz w:val="22"/>
          <w:szCs w:val="22"/>
        </w:rPr>
        <w:t xml:space="preserve">o ochrane pamiatkového fondu </w:t>
      </w:r>
      <w:r>
        <w:rPr>
          <w:rFonts w:ascii="Book Antiqua" w:hAnsi="Book Antiqua"/>
          <w:b/>
          <w:sz w:val="22"/>
          <w:szCs w:val="22"/>
        </w:rPr>
        <w:t>v znení neskorších predpisov</w:t>
      </w:r>
    </w:p>
    <w:p>
      <w:pPr>
        <w:pStyle w:val="Normal"/>
        <w:bidi w:val="0"/>
        <w:spacing w:lineRule="auto" w:line="276" w:before="120" w:after="0"/>
        <w:ind w:left="0" w:right="0"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Normal"/>
        <w:bidi w:val="0"/>
        <w:spacing w:lineRule="auto" w:line="276" w:before="120" w:after="0"/>
        <w:ind w:left="0" w:right="0" w:firstLine="708"/>
        <w:jc w:val="both"/>
        <w:rPr/>
      </w:pPr>
      <w:r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>
      <w:pPr>
        <w:pStyle w:val="Normal"/>
        <w:bidi w:val="0"/>
        <w:spacing w:lineRule="auto" w:line="276" w:before="120" w:after="0"/>
        <w:ind w:left="0" w:right="0" w:hanging="0"/>
        <w:jc w:val="center"/>
        <w:rPr>
          <w:rFonts w:ascii="Book Antiqua" w:hAnsi="Book Antiqua"/>
          <w:b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</w:r>
    </w:p>
    <w:p>
      <w:pPr>
        <w:pStyle w:val="Normal"/>
        <w:bidi w:val="0"/>
        <w:spacing w:lineRule="auto" w:line="276" w:before="120" w:after="0"/>
        <w:ind w:left="0" w:right="0" w:hanging="0"/>
        <w:jc w:val="center"/>
        <w:rPr/>
      </w:pPr>
      <w:r>
        <w:rPr>
          <w:rFonts w:ascii="Book Antiqua" w:hAnsi="Book Antiqua"/>
          <w:b/>
          <w:bCs/>
          <w:sz w:val="22"/>
          <w:szCs w:val="22"/>
        </w:rPr>
        <w:t>Čl. I</w:t>
      </w:r>
    </w:p>
    <w:p>
      <w:pPr>
        <w:pStyle w:val="Normal"/>
        <w:bidi w:val="0"/>
        <w:spacing w:lineRule="auto" w:line="276" w:before="120" w:after="0"/>
        <w:ind w:left="0" w:right="0" w:firstLine="708"/>
        <w:jc w:val="both"/>
        <w:rPr/>
      </w:pPr>
      <w:bookmarkStart w:id="0" w:name="__DdeLink__118_1324367029"/>
      <w:bookmarkEnd w:id="0"/>
      <w:r>
        <w:rPr>
          <w:rFonts w:ascii="Book Antiqua" w:hAnsi="Book Antiqua"/>
          <w:sz w:val="22"/>
          <w:szCs w:val="22"/>
        </w:rPr>
        <w:t>Zákon č. 49/2002 Z. z. o ochrane pamiatkového fondu v znení zákona č. 479/2005 Z. z., zákona č. 208/2009 Z. z., zákona č. 262/2011 Z. z., zákona č. 180/2013 Z. z., zákona            č. 38/2014 Z. z., zákona č. 104/2014 Z. z., zákona č. 282/2015 Z. z., zákona č. 376/2015 Z. z., zákona č. 125/2016 Z. z., zákona č. 160/2018 Z. z., zákona č. 177/2018 Z. z. a zákona               č. 34/2019 Z. z. sa mení a dopĺňa takto: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bidi w:val="0"/>
        <w:spacing w:lineRule="auto" w:line="276" w:before="120" w:after="0"/>
        <w:ind w:left="851" w:right="0" w:hanging="425"/>
        <w:jc w:val="both"/>
        <w:rPr/>
      </w:pPr>
      <w:r>
        <w:rPr>
          <w:rFonts w:ascii="Book Antiqua" w:hAnsi="Book Antiqua"/>
          <w:sz w:val="22"/>
          <w:szCs w:val="22"/>
        </w:rPr>
        <w:t>V § 34 sa vkladá nový odsek 1, ktorý znie:</w:t>
      </w:r>
    </w:p>
    <w:p>
      <w:pPr>
        <w:pStyle w:val="Normal"/>
        <w:tabs>
          <w:tab w:val="clear" w:pos="708"/>
          <w:tab w:val="left" w:pos="851" w:leader="none"/>
        </w:tabs>
        <w:bidi w:val="0"/>
        <w:spacing w:lineRule="auto" w:line="276" w:before="120" w:after="0"/>
        <w:ind w:left="851" w:right="0" w:hanging="0"/>
        <w:jc w:val="both"/>
        <w:rPr/>
      </w:pPr>
      <w:r>
        <w:rPr>
          <w:rFonts w:ascii="Book Antiqua" w:hAnsi="Book Antiqua"/>
          <w:sz w:val="22"/>
          <w:szCs w:val="22"/>
        </w:rPr>
        <w:t>„</w:t>
      </w:r>
      <w:r>
        <w:rPr>
          <w:rFonts w:ascii="Book Antiqua" w:hAnsi="Book Antiqua"/>
          <w:sz w:val="22"/>
          <w:szCs w:val="22"/>
        </w:rPr>
        <w:t xml:space="preserve">(1) </w:t>
        <w:tab/>
        <w:t>Zdrojmi financovania obnovy a reštaurovania kultúrnych pamiatok sú:</w:t>
      </w:r>
    </w:p>
    <w:p>
      <w:pPr>
        <w:pStyle w:val="Normal"/>
        <w:bidi w:val="0"/>
        <w:spacing w:lineRule="auto" w:line="276" w:before="120" w:after="0"/>
        <w:ind w:left="993" w:right="0" w:firstLine="708"/>
        <w:jc w:val="both"/>
        <w:rPr/>
      </w:pPr>
      <w:r>
        <w:rPr>
          <w:rFonts w:ascii="Book Antiqua" w:hAnsi="Book Antiqua"/>
          <w:sz w:val="22"/>
          <w:szCs w:val="22"/>
        </w:rPr>
        <w:t>a) príspevky podľa odseku 2,</w:t>
      </w:r>
    </w:p>
    <w:p>
      <w:pPr>
        <w:pStyle w:val="Normal"/>
        <w:bidi w:val="0"/>
        <w:spacing w:lineRule="auto" w:line="276" w:before="120" w:after="0"/>
        <w:ind w:left="993" w:right="0" w:firstLine="708"/>
        <w:jc w:val="both"/>
        <w:rPr/>
      </w:pPr>
      <w:r>
        <w:rPr>
          <w:rFonts w:ascii="Book Antiqua" w:hAnsi="Book Antiqua"/>
          <w:sz w:val="22"/>
          <w:szCs w:val="22"/>
        </w:rPr>
        <w:t>b) dotácie zo štátneho rozpočtu,</w:t>
      </w:r>
    </w:p>
    <w:p>
      <w:pPr>
        <w:pStyle w:val="Normal"/>
        <w:bidi w:val="0"/>
        <w:spacing w:lineRule="auto" w:line="276" w:before="120" w:after="0"/>
        <w:ind w:left="1985" w:right="0" w:hanging="284"/>
        <w:jc w:val="both"/>
        <w:rPr/>
      </w:pPr>
      <w:r>
        <w:rPr>
          <w:rFonts w:ascii="Book Antiqua" w:hAnsi="Book Antiqua"/>
          <w:sz w:val="22"/>
          <w:szCs w:val="22"/>
        </w:rPr>
        <w:t>c)  prostriedky štátneho rozpočtu vo výške odvodu zo stávkových hier</w:t>
      </w:r>
      <w:r>
        <w:rPr>
          <w:rFonts w:ascii="Book Antiqua" w:hAnsi="Book Antiqua"/>
          <w:sz w:val="22"/>
          <w:szCs w:val="22"/>
          <w:vertAlign w:val="superscript"/>
        </w:rPr>
        <w:t>34)</w:t>
      </w:r>
      <w:r>
        <w:rPr>
          <w:rFonts w:ascii="Book Antiqua" w:hAnsi="Book Antiqua"/>
          <w:sz w:val="22"/>
          <w:szCs w:val="22"/>
        </w:rPr>
        <w:t xml:space="preserve"> do štátneho rozpočtu v rozpočtovom roku, ktorý predchádza bežnému rozpočtovému roku; 8 % z tohto odvodu v roku 2020, 16 % z tohto odvodu v roku 2021 a 24 % od roku 2023,</w:t>
      </w:r>
    </w:p>
    <w:p>
      <w:pPr>
        <w:pStyle w:val="Normal"/>
        <w:bidi w:val="0"/>
        <w:spacing w:lineRule="auto" w:line="276" w:before="120" w:after="0"/>
        <w:ind w:left="1985" w:right="0" w:hanging="284"/>
        <w:jc w:val="both"/>
        <w:rPr/>
      </w:pPr>
      <w:r>
        <w:rPr>
          <w:rFonts w:ascii="Book Antiqua" w:hAnsi="Book Antiqua"/>
          <w:sz w:val="22"/>
          <w:szCs w:val="22"/>
        </w:rPr>
        <w:t>d) iné zdroje</w:t>
      </w:r>
      <w:r>
        <w:rPr>
          <w:rFonts w:ascii="Book Antiqua" w:hAnsi="Book Antiqua"/>
          <w:sz w:val="22"/>
          <w:szCs w:val="22"/>
          <w:vertAlign w:val="superscript"/>
        </w:rPr>
        <w:t>36)</w:t>
      </w:r>
      <w:r>
        <w:rPr>
          <w:rFonts w:ascii="Book Antiqua" w:hAnsi="Book Antiqua"/>
          <w:sz w:val="22"/>
          <w:szCs w:val="22"/>
        </w:rPr>
        <w:t xml:space="preserve">.“.  </w:t>
      </w:r>
    </w:p>
    <w:p>
      <w:pPr>
        <w:pStyle w:val="Normal"/>
        <w:tabs>
          <w:tab w:val="clear" w:pos="708"/>
          <w:tab w:val="left" w:pos="851" w:leader="none"/>
        </w:tabs>
        <w:bidi w:val="0"/>
        <w:spacing w:lineRule="auto" w:line="276" w:before="120" w:after="0"/>
        <w:ind w:left="851" w:right="0" w:hanging="0"/>
        <w:jc w:val="both"/>
        <w:rPr/>
      </w:pPr>
      <w:r>
        <w:rPr>
          <w:rFonts w:ascii="Book Antiqua" w:hAnsi="Book Antiqua"/>
          <w:sz w:val="22"/>
          <w:szCs w:val="22"/>
        </w:rPr>
        <w:t>Poznámky pod čiarou k odkazom 34 a 36 znejú:</w:t>
      </w:r>
    </w:p>
    <w:p>
      <w:pPr>
        <w:pStyle w:val="Normal"/>
        <w:tabs>
          <w:tab w:val="clear" w:pos="708"/>
          <w:tab w:val="left" w:pos="851" w:leader="none"/>
        </w:tabs>
        <w:bidi w:val="0"/>
        <w:spacing w:lineRule="auto" w:line="276" w:before="120" w:after="0"/>
        <w:ind w:left="851" w:right="0" w:hanging="0"/>
        <w:jc w:val="both"/>
        <w:rPr/>
      </w:pPr>
      <w:r>
        <w:rPr>
          <w:rFonts w:ascii="Book Antiqua" w:hAnsi="Book Antiqua"/>
          <w:sz w:val="22"/>
          <w:szCs w:val="22"/>
        </w:rPr>
        <w:t>„</w:t>
      </w:r>
      <w:r>
        <w:rPr>
          <w:rFonts w:ascii="Book Antiqua" w:hAnsi="Book Antiqua"/>
          <w:sz w:val="22"/>
          <w:szCs w:val="22"/>
          <w:vertAlign w:val="superscript"/>
        </w:rPr>
        <w:t>34)</w:t>
      </w:r>
      <w:r>
        <w:rPr>
          <w:rFonts w:ascii="Book Antiqua" w:hAnsi="Book Antiqua"/>
          <w:sz w:val="22"/>
          <w:szCs w:val="22"/>
        </w:rPr>
        <w:t xml:space="preserve"> § 71 ods. 1 písm. j) zákona č. 30/2019 Z. z. o hazardných hrách a o zmene a doplnení niektorých zákonov. </w:t>
      </w:r>
    </w:p>
    <w:p>
      <w:pPr>
        <w:pStyle w:val="Normal"/>
        <w:tabs>
          <w:tab w:val="clear" w:pos="708"/>
          <w:tab w:val="left" w:pos="851" w:leader="none"/>
        </w:tabs>
        <w:bidi w:val="0"/>
        <w:spacing w:lineRule="auto" w:line="276" w:before="120" w:after="0"/>
        <w:ind w:left="851" w:right="0" w:hanging="0"/>
        <w:jc w:val="both"/>
        <w:rPr/>
      </w:pPr>
      <w:r>
        <w:rPr>
          <w:rFonts w:ascii="Book Antiqua" w:hAnsi="Book Antiqua"/>
          <w:sz w:val="22"/>
          <w:szCs w:val="22"/>
          <w:vertAlign w:val="superscript"/>
        </w:rPr>
        <w:t>36)</w:t>
      </w:r>
      <w:r>
        <w:rPr>
          <w:rFonts w:ascii="Book Antiqua" w:hAnsi="Book Antiqua"/>
          <w:sz w:val="22"/>
          <w:szCs w:val="22"/>
        </w:rPr>
        <w:t xml:space="preserve"> Napríklad § 3 ods. 2 písm. k) zákona č. 358/2015 Z. z. o úprave niektorých vzťahov v oblasti štátnej pomoci a minimálnej pomoci a o zmene a doplnení niektorých zákonov (zákon o štátnej pomoci).“.</w:t>
      </w:r>
    </w:p>
    <w:p>
      <w:pPr>
        <w:pStyle w:val="Normal"/>
        <w:tabs>
          <w:tab w:val="clear" w:pos="708"/>
          <w:tab w:val="left" w:pos="851" w:leader="none"/>
        </w:tabs>
        <w:bidi w:val="0"/>
        <w:spacing w:lineRule="auto" w:line="276" w:before="120" w:after="0"/>
        <w:ind w:left="851" w:right="0" w:hanging="0"/>
        <w:jc w:val="both"/>
        <w:rPr/>
      </w:pPr>
      <w:r>
        <w:rPr>
          <w:rFonts w:ascii="Book Antiqua" w:hAnsi="Book Antiqua"/>
          <w:sz w:val="22"/>
          <w:szCs w:val="22"/>
        </w:rPr>
        <w:t>Doterajšie odseky 1 až 5 sa označujú ako odseky 2 až 6.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bidi w:val="0"/>
        <w:spacing w:lineRule="auto" w:line="276" w:before="120" w:after="0"/>
        <w:ind w:left="851" w:right="0" w:hanging="425"/>
        <w:jc w:val="both"/>
        <w:rPr/>
      </w:pPr>
      <w:r>
        <w:rPr>
          <w:rFonts w:ascii="Book Antiqua" w:hAnsi="Book Antiqua"/>
          <w:sz w:val="22"/>
          <w:szCs w:val="22"/>
        </w:rPr>
        <w:t xml:space="preserve">Za § 45a sa vkladá § 45b, ktorý vrátane nadpisu znie: </w:t>
      </w:r>
    </w:p>
    <w:p>
      <w:pPr>
        <w:pStyle w:val="Normal"/>
        <w:bidi w:val="0"/>
        <w:spacing w:lineRule="auto" w:line="276" w:before="120" w:after="0"/>
        <w:ind w:left="1134" w:right="0" w:hanging="0"/>
        <w:jc w:val="center"/>
        <w:rPr/>
      </w:pPr>
      <w:r>
        <w:rPr>
          <w:rFonts w:ascii="Book Antiqua" w:hAnsi="Book Antiqua"/>
          <w:sz w:val="22"/>
          <w:szCs w:val="22"/>
        </w:rPr>
        <w:t>„</w:t>
      </w:r>
      <w:r>
        <w:rPr>
          <w:rFonts w:ascii="Book Antiqua" w:hAnsi="Book Antiqua"/>
          <w:b/>
          <w:sz w:val="22"/>
          <w:szCs w:val="22"/>
        </w:rPr>
        <w:t xml:space="preserve">§ 45b </w:t>
      </w:r>
    </w:p>
    <w:p>
      <w:pPr>
        <w:pStyle w:val="Normal"/>
        <w:bidi w:val="0"/>
        <w:spacing w:lineRule="auto" w:line="276" w:before="120" w:after="0"/>
        <w:ind w:left="1134" w:right="0" w:hanging="0"/>
        <w:jc w:val="center"/>
        <w:rPr/>
      </w:pPr>
      <w:r>
        <w:rPr>
          <w:rFonts w:ascii="Book Antiqua" w:hAnsi="Book Antiqua"/>
          <w:b/>
          <w:sz w:val="22"/>
          <w:szCs w:val="22"/>
        </w:rPr>
        <w:t>Prechodné ustanovenie k úpravám účinným od 1. novembra 2019</w:t>
      </w:r>
    </w:p>
    <w:p>
      <w:pPr>
        <w:pStyle w:val="Normal"/>
        <w:bidi w:val="0"/>
        <w:spacing w:lineRule="auto" w:line="276" w:before="120" w:after="0"/>
        <w:ind w:left="851" w:right="0" w:hanging="0"/>
        <w:jc w:val="both"/>
        <w:rPr/>
      </w:pPr>
      <w:r>
        <w:rPr>
          <w:rFonts w:ascii="Book Antiqua" w:hAnsi="Book Antiqua"/>
          <w:sz w:val="22"/>
          <w:szCs w:val="22"/>
        </w:rPr>
        <w:t>Ustanovenie § 34 ods. 1 písm. c) sa prvýkrát použije na obnovu a reštaurovanie kultúrnych pamiatok v rozpočtovom roku 2020.“.</w:t>
      </w:r>
    </w:p>
    <w:p>
      <w:pPr>
        <w:pStyle w:val="Normal"/>
        <w:tabs>
          <w:tab w:val="clear" w:pos="708"/>
          <w:tab w:val="left" w:pos="851" w:leader="none"/>
        </w:tabs>
        <w:bidi w:val="0"/>
        <w:spacing w:lineRule="auto" w:line="276" w:before="120" w:after="0"/>
        <w:ind w:left="0" w:right="0" w:hanging="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</w:r>
    </w:p>
    <w:p>
      <w:pPr>
        <w:pStyle w:val="Normal"/>
        <w:tabs>
          <w:tab w:val="clear" w:pos="708"/>
          <w:tab w:val="left" w:pos="851" w:leader="none"/>
        </w:tabs>
        <w:bidi w:val="0"/>
        <w:spacing w:lineRule="auto" w:line="276" w:before="120" w:after="0"/>
        <w:ind w:left="0" w:right="0" w:hanging="0"/>
        <w:jc w:val="center"/>
        <w:rPr/>
      </w:pPr>
      <w:r>
        <w:rPr>
          <w:rFonts w:ascii="Book Antiqua" w:hAnsi="Book Antiqua"/>
          <w:b/>
          <w:bCs/>
          <w:sz w:val="22"/>
          <w:szCs w:val="22"/>
        </w:rPr>
        <w:t>Čl. II</w:t>
      </w:r>
    </w:p>
    <w:p>
      <w:pPr>
        <w:pStyle w:val="Normal"/>
        <w:bidi w:val="0"/>
        <w:spacing w:lineRule="auto" w:line="276" w:before="120" w:after="0"/>
        <w:ind w:left="0" w:right="0" w:firstLine="708"/>
        <w:jc w:val="both"/>
        <w:rPr/>
      </w:pPr>
      <w:r>
        <w:rPr>
          <w:rFonts w:ascii="Book Antiqua" w:hAnsi="Book Antiqua"/>
          <w:bCs/>
          <w:sz w:val="22"/>
          <w:szCs w:val="22"/>
        </w:rPr>
        <w:t xml:space="preserve">  </w:t>
      </w:r>
      <w:r>
        <w:rPr>
          <w:rFonts w:ascii="Book Antiqua" w:hAnsi="Book Antiqua"/>
          <w:bCs/>
          <w:sz w:val="22"/>
          <w:szCs w:val="22"/>
        </w:rPr>
        <w:t>Tento zákon nadobúda účinnosť 1. novembra 2019.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Book Antiqu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rFonts w:ascii="Book Antiqua" w:hAnsi="Book Antiqua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sk-SK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jc w:val="left"/>
      <w:textAlignment w:val="auto"/>
    </w:pPr>
    <w:rPr>
      <w:rFonts w:ascii="Times New Roman" w:hAnsi="Times New Roman" w:eastAsia="Book Antiqua" w:cs="Times New Roman"/>
      <w:color w:val="auto"/>
      <w:kern w:val="2"/>
      <w:sz w:val="24"/>
      <w:szCs w:val="24"/>
      <w:lang w:val="sk-SK" w:eastAsia="sk-SK" w:bidi="ar-SA"/>
    </w:rPr>
  </w:style>
  <w:style w:type="character" w:styleId="DefaultParagraphFont">
    <w:name w:val="Default Paragraph Font"/>
    <w:qFormat/>
    <w:rPr/>
  </w:style>
  <w:style w:type="character" w:styleId="ZkladntextChar">
    <w:name w:val="Základný text Char"/>
    <w:basedOn w:val="DefaultParagraphFont"/>
    <w:qFormat/>
    <w:rPr>
      <w:rFonts w:ascii="Times New Roman" w:hAnsi="Times New Roman" w:cs="Times New Roman"/>
      <w:sz w:val="20"/>
      <w:szCs w:val="20"/>
      <w:lang w:val="sk-SK" w:eastAsia="sk-SK"/>
    </w:rPr>
  </w:style>
  <w:style w:type="character" w:styleId="Ukotveniepoznmkypodiarou">
    <w:name w:val="Ukotvenie poznámky pod čiarou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qFormat/>
    <w:rPr>
      <w:rFonts w:cs="Times New Roman"/>
      <w:vertAlign w:val="superscript"/>
    </w:rPr>
  </w:style>
  <w:style w:type="character" w:styleId="ListLabel1">
    <w:name w:val="ListLabel 1"/>
    <w:qFormat/>
    <w:rPr>
      <w:rFonts w:ascii="Book Antiqua" w:hAnsi="Book Antiqua" w:cs="Times New Roman"/>
      <w:sz w:val="22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textu">
    <w:name w:val="Body Text"/>
    <w:basedOn w:val="Normal"/>
    <w:pPr>
      <w:widowControl/>
      <w:jc w:val="both"/>
      <w:textAlignment w:val="auto"/>
    </w:pPr>
    <w:rPr>
      <w:rFonts w:cs="Times New Roman"/>
      <w:sz w:val="20"/>
      <w:szCs w:val="20"/>
      <w:lang w:val="sk-SK" w:eastAsia="sk-SK" w:bidi="ar-SA"/>
    </w:rPr>
  </w:style>
  <w:style w:type="paragraph" w:styleId="Zoznam">
    <w:name w:val="List"/>
    <w:basedOn w:val="Telotextu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DocumentMap">
    <w:name w:val="DocumentMap"/>
    <w:qFormat/>
    <w:pPr>
      <w:widowControl/>
      <w:spacing w:lineRule="auto" w:line="256" w:before="0" w:after="160"/>
      <w:jc w:val="left"/>
      <w:textAlignment w:val="auto"/>
    </w:pPr>
    <w:rPr>
      <w:rFonts w:ascii="Calibri" w:hAnsi="Calibri" w:eastAsia="Book Antiqua" w:cs="Calibri"/>
      <w:color w:val="auto"/>
      <w:kern w:val="2"/>
      <w:sz w:val="22"/>
      <w:szCs w:val="22"/>
      <w:lang w:val="sk-SK" w:eastAsia="en-US" w:bidi="ar-SA"/>
    </w:rPr>
  </w:style>
  <w:style w:type="paragraph" w:styleId="ListParagraph">
    <w:name w:val="List Paragraph"/>
    <w:basedOn w:val="Normal"/>
    <w:qFormat/>
    <w:pPr>
      <w:widowControl/>
      <w:spacing w:before="0" w:after="0"/>
      <w:ind w:left="720" w:hanging="0"/>
      <w:contextualSpacing/>
      <w:jc w:val="left"/>
      <w:textAlignment w:val="auto"/>
    </w:pPr>
    <w:rPr>
      <w:rFonts w:cs="Times New Roman"/>
      <w:sz w:val="24"/>
      <w:szCs w:val="24"/>
      <w:lang w:val="sk-SK" w:eastAsia="sk-SK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LibreOffice/6.2.3.2$Windows_X86_64 LibreOffice_project/aecc05fe267cc68dde00352a451aa867b3b546ac</Application>
  <Pages>2</Pages>
  <Words>324</Words>
  <Characters>1481</Characters>
  <CharactersWithSpaces>1816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2019-05-30T00:34:00Z</dcterms:created>
  <dc:creator>Nikola Švrčková</dc:creator>
  <dc:description/>
  <dc:language>sk-SK</dc:language>
  <cp:lastModifiedBy/>
  <dcterms:modified xsi:type="dcterms:W3CDTF">2019-05-31T09:17:00Z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Milan</vt:lpwstr>
  </property>
</Properties>
</file>