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2A" w:rsidRPr="00B06366" w:rsidRDefault="0006702A" w:rsidP="0006702A">
      <w:pPr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DOLOŽKA ZLUČITEĽNOSTI</w:t>
      </w:r>
    </w:p>
    <w:p w:rsidR="0006702A" w:rsidRPr="00B06366" w:rsidRDefault="0006702A" w:rsidP="0006702A">
      <w:pPr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06702A" w:rsidRPr="00B06366" w:rsidRDefault="0006702A" w:rsidP="000670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702A" w:rsidRPr="00B06366" w:rsidRDefault="0006702A" w:rsidP="0006702A">
      <w:pPr>
        <w:jc w:val="both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1</w:t>
      </w:r>
      <w:r w:rsidRPr="00B06366">
        <w:rPr>
          <w:rFonts w:ascii="Times New Roman" w:hAnsi="Times New Roman"/>
          <w:sz w:val="24"/>
          <w:szCs w:val="24"/>
        </w:rPr>
        <w:t xml:space="preserve">.  </w:t>
      </w:r>
      <w:r w:rsidRPr="00B06366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06702A" w:rsidRPr="00B06366" w:rsidRDefault="0006702A" w:rsidP="0006702A">
      <w:pPr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sz w:val="24"/>
          <w:szCs w:val="24"/>
        </w:rPr>
        <w:t>Poslanci Národnej rady Slo</w:t>
      </w:r>
      <w:r>
        <w:rPr>
          <w:rFonts w:ascii="Times New Roman" w:hAnsi="Times New Roman"/>
          <w:sz w:val="24"/>
          <w:szCs w:val="24"/>
        </w:rPr>
        <w:t>venskej republiky</w:t>
      </w:r>
      <w:r>
        <w:rPr>
          <w:rFonts w:ascii="Times New Roman" w:hAnsi="Times New Roman"/>
          <w:sz w:val="24"/>
          <w:szCs w:val="24"/>
        </w:rPr>
        <w:t xml:space="preserve"> Boris Kollár, Petra Krištúfková, Ľudovít Goga</w:t>
      </w:r>
      <w:r>
        <w:rPr>
          <w:rFonts w:ascii="Times New Roman" w:hAnsi="Times New Roman"/>
          <w:sz w:val="24"/>
          <w:szCs w:val="24"/>
        </w:rPr>
        <w:t>.</w:t>
      </w:r>
    </w:p>
    <w:p w:rsidR="0006702A" w:rsidRPr="00B06366" w:rsidRDefault="0006702A" w:rsidP="0006702A">
      <w:pPr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2.</w:t>
      </w:r>
      <w:r w:rsidRPr="00B06366">
        <w:rPr>
          <w:rFonts w:ascii="Times New Roman" w:hAnsi="Times New Roman"/>
          <w:sz w:val="24"/>
          <w:szCs w:val="24"/>
        </w:rPr>
        <w:t xml:space="preserve">  </w:t>
      </w:r>
      <w:r w:rsidRPr="00B06366">
        <w:rPr>
          <w:rFonts w:ascii="Times New Roman" w:hAnsi="Times New Roman"/>
          <w:b/>
          <w:sz w:val="24"/>
          <w:szCs w:val="24"/>
        </w:rPr>
        <w:t>Názov návrhu právneho predpisu</w:t>
      </w:r>
      <w:r w:rsidRPr="00B06366">
        <w:rPr>
          <w:rFonts w:ascii="Times New Roman" w:hAnsi="Times New Roman"/>
          <w:sz w:val="24"/>
          <w:szCs w:val="24"/>
        </w:rPr>
        <w:t xml:space="preserve">: </w:t>
      </w:r>
    </w:p>
    <w:p w:rsidR="0006702A" w:rsidRPr="0006702A" w:rsidRDefault="0006702A" w:rsidP="0006702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06702A">
        <w:rPr>
          <w:rFonts w:ascii="Times New Roman" w:hAnsi="Times New Roman"/>
          <w:sz w:val="24"/>
          <w:szCs w:val="24"/>
        </w:rPr>
        <w:t xml:space="preserve">Návrh zákona, </w:t>
      </w:r>
      <w:r w:rsidRPr="0006702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ktorým sa mení a dopĺňa zákon Národnej rady Slovenskej republiky č. 219/1996 Z. z. o ochrane pred zneužívaním alkoholických nápojov a o zriaďovaní a prevádzke protialkoholických záchytných izieb a o  doplnení zákona č. </w:t>
      </w:r>
      <w:r w:rsidRPr="0006702A">
        <w:rPr>
          <w:rFonts w:ascii="Times New Roman" w:hAnsi="Times New Roman"/>
          <w:color w:val="000000" w:themeColor="text1"/>
          <w:kern w:val="36"/>
          <w:sz w:val="24"/>
          <w:szCs w:val="24"/>
          <w:lang w:eastAsia="sk-SK"/>
        </w:rPr>
        <w:t>467/2002 Z. z. o výrobe a uvádzaní liehu na trh v znení neskorších predpisov</w:t>
      </w:r>
      <w:r>
        <w:rPr>
          <w:rFonts w:ascii="Times New Roman" w:hAnsi="Times New Roman"/>
          <w:color w:val="000000" w:themeColor="text1"/>
          <w:kern w:val="36"/>
          <w:sz w:val="24"/>
          <w:szCs w:val="24"/>
          <w:lang w:eastAsia="sk-SK"/>
        </w:rPr>
        <w:t>.</w:t>
      </w:r>
    </w:p>
    <w:p w:rsidR="0006702A" w:rsidRPr="0006702A" w:rsidRDefault="0006702A" w:rsidP="0006702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</w:p>
    <w:p w:rsidR="0006702A" w:rsidRPr="00B06366" w:rsidRDefault="0006702A" w:rsidP="000670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3.</w:t>
      </w:r>
      <w:r w:rsidRPr="00B06366">
        <w:rPr>
          <w:rFonts w:ascii="Times New Roman" w:hAnsi="Times New Roman"/>
          <w:sz w:val="24"/>
          <w:szCs w:val="24"/>
        </w:rPr>
        <w:t xml:space="preserve"> </w:t>
      </w:r>
      <w:r w:rsidRPr="00B06366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06702A" w:rsidRDefault="0006702A" w:rsidP="0006702A">
      <w:pPr>
        <w:pStyle w:val="odsek"/>
        <w:keepNext w:val="0"/>
        <w:widowControl w:val="0"/>
        <w:ind w:firstLine="0"/>
      </w:pPr>
      <w:r>
        <w:t>Je v súlade s právnou úpravou Európskej únie.</w:t>
      </w:r>
    </w:p>
    <w:p w:rsidR="0006702A" w:rsidRDefault="0006702A" w:rsidP="0006702A">
      <w:pPr>
        <w:pStyle w:val="odsek"/>
        <w:keepNext w:val="0"/>
        <w:widowControl w:val="0"/>
        <w:ind w:firstLine="0"/>
      </w:pPr>
    </w:p>
    <w:p w:rsidR="0006702A" w:rsidRDefault="0006702A" w:rsidP="0006702A">
      <w:pPr>
        <w:pStyle w:val="odsek"/>
        <w:keepNext w:val="0"/>
        <w:widowControl w:val="0"/>
        <w:ind w:firstLine="0"/>
        <w:rPr>
          <w:b/>
        </w:rPr>
      </w:pPr>
      <w:r w:rsidRPr="005B622F">
        <w:rPr>
          <w:b/>
        </w:rPr>
        <w:t>4. Záväzky Slovenskej republiky vo vzťahu k Európskej únii:</w:t>
      </w:r>
    </w:p>
    <w:p w:rsidR="0006702A" w:rsidRDefault="0006702A" w:rsidP="0006702A">
      <w:pPr>
        <w:pStyle w:val="odsek"/>
        <w:keepNext w:val="0"/>
        <w:widowControl w:val="0"/>
        <w:ind w:firstLine="0"/>
        <w:rPr>
          <w:b/>
        </w:rPr>
      </w:pPr>
    </w:p>
    <w:p w:rsidR="0006702A" w:rsidRPr="00852E26" w:rsidRDefault="0006702A" w:rsidP="0006702A">
      <w:pPr>
        <w:pStyle w:val="odsek"/>
        <w:keepNext w:val="0"/>
        <w:widowControl w:val="0"/>
        <w:ind w:firstLine="0"/>
      </w:pPr>
      <w:r w:rsidRPr="00852E26">
        <w:t>Nie sú predkladaným návrhom dotknuté.</w:t>
      </w:r>
    </w:p>
    <w:p w:rsidR="0006702A" w:rsidRDefault="0006702A" w:rsidP="0006702A">
      <w:pPr>
        <w:pStyle w:val="odsek"/>
        <w:keepNext w:val="0"/>
        <w:widowControl w:val="0"/>
        <w:ind w:firstLine="0"/>
      </w:pPr>
    </w:p>
    <w:p w:rsidR="0006702A" w:rsidRPr="005B622F" w:rsidRDefault="0006702A" w:rsidP="0006702A">
      <w:pPr>
        <w:pStyle w:val="odsek"/>
        <w:keepNext w:val="0"/>
        <w:widowControl w:val="0"/>
        <w:ind w:firstLine="0"/>
        <w:rPr>
          <w:b/>
        </w:rPr>
      </w:pPr>
      <w:r w:rsidRPr="005B622F">
        <w:rPr>
          <w:b/>
        </w:rPr>
        <w:t>5. Stupeň zlučiteľnosti návrhu právneho predpisu s právom Európskej únie:</w:t>
      </w:r>
    </w:p>
    <w:p w:rsidR="0006702A" w:rsidRPr="00B06366" w:rsidRDefault="0006702A" w:rsidP="0006702A">
      <w:pPr>
        <w:pStyle w:val="odsek"/>
        <w:keepNext w:val="0"/>
        <w:widowControl w:val="0"/>
        <w:ind w:firstLine="0"/>
      </w:pPr>
    </w:p>
    <w:p w:rsidR="0006702A" w:rsidRDefault="0006702A" w:rsidP="0006702A">
      <w:pPr>
        <w:pStyle w:val="odsek"/>
        <w:keepNext w:val="0"/>
        <w:widowControl w:val="0"/>
        <w:ind w:firstLine="0"/>
      </w:pPr>
      <w:r>
        <w:t>Stupeň zlučiteľnosti – úplný</w:t>
      </w:r>
    </w:p>
    <w:p w:rsidR="0006702A" w:rsidRDefault="0006702A" w:rsidP="0006702A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br w:type="page"/>
      </w:r>
    </w:p>
    <w:p w:rsidR="0006702A" w:rsidRPr="009B3D22" w:rsidRDefault="0006702A" w:rsidP="000670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Doložka vybraných vplyvov</w:t>
      </w:r>
    </w:p>
    <w:p w:rsidR="0006702A" w:rsidRDefault="0006702A" w:rsidP="0006702A">
      <w:pPr>
        <w:pStyle w:val="odsek"/>
        <w:keepNext w:val="0"/>
        <w:widowControl w:val="0"/>
        <w:ind w:firstLine="0"/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06702A" w:rsidTr="00DA4BBF"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9B3D22" w:rsidRDefault="0006702A" w:rsidP="00DA4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</w:t>
            </w: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1.  Základné údaje</w:t>
            </w:r>
          </w:p>
        </w:tc>
      </w:tr>
      <w:tr w:rsidR="0006702A" w:rsidTr="00DA4BBF"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</w:tcPr>
          <w:p w:rsidR="0006702A" w:rsidRPr="009B3D22" w:rsidRDefault="0006702A" w:rsidP="00DA4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702A" w:rsidRPr="009B3D22" w:rsidRDefault="0006702A" w:rsidP="00DA4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6702A" w:rsidTr="00DA4BBF"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1C0FFE" w:rsidRDefault="0006702A" w:rsidP="0006702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F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02A">
              <w:rPr>
                <w:rFonts w:ascii="Times New Roman" w:hAnsi="Times New Roman"/>
                <w:sz w:val="20"/>
                <w:szCs w:val="20"/>
              </w:rPr>
              <w:t xml:space="preserve">Návrh zákona, </w:t>
            </w:r>
            <w:r w:rsidRPr="0006702A">
              <w:rPr>
                <w:rFonts w:ascii="Times New Roman" w:hAnsi="Times New Roman"/>
                <w:color w:val="000000" w:themeColor="text1"/>
                <w:sz w:val="20"/>
                <w:szCs w:val="20"/>
                <w:lang w:eastAsia="sk-SK"/>
              </w:rPr>
              <w:t xml:space="preserve">ktorým sa mení a dopĺňa zákon Národnej rady Slovenskej republiky č. 219/1996 Z. z. o ochrane pred zneužívaním alkoholických nápojov a o zriaďovaní a prevádzke protialkoholických záchytných izieb a o  doplnení zákona č. </w:t>
            </w:r>
            <w:r w:rsidRPr="0006702A">
              <w:rPr>
                <w:rFonts w:ascii="Times New Roman" w:hAnsi="Times New Roman"/>
                <w:color w:val="000000" w:themeColor="text1"/>
                <w:kern w:val="36"/>
                <w:sz w:val="20"/>
                <w:szCs w:val="20"/>
                <w:lang w:eastAsia="sk-SK"/>
              </w:rPr>
              <w:t>467/2002 Z. z. o výrobe a uvádzaní liehu na trh v znení neskorších predpisov.</w:t>
            </w:r>
          </w:p>
        </w:tc>
      </w:tr>
      <w:tr w:rsidR="0006702A" w:rsidTr="00DA4BBF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06702A" w:rsidTr="00DA4BBF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06702A" w:rsidRDefault="0006702A" w:rsidP="000670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02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06702A">
              <w:rPr>
                <w:rFonts w:ascii="Times New Roman" w:hAnsi="Times New Roman"/>
                <w:sz w:val="20"/>
                <w:szCs w:val="20"/>
              </w:rPr>
              <w:t>Boris Kollár, Petra Krištúfková, Ľudovít Goga.</w:t>
            </w:r>
          </w:p>
          <w:p w:rsidR="0006702A" w:rsidRPr="002C07B8" w:rsidRDefault="0006702A" w:rsidP="00DA4BBF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6702A" w:rsidTr="00DA4BBF"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6702A" w:rsidRPr="002C07B8" w:rsidRDefault="0006702A" w:rsidP="00DA4BBF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06702A" w:rsidTr="00DA4BBF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06702A" w:rsidTr="00DA4BBF"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06702A" w:rsidTr="00DA4BBF"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6702A" w:rsidTr="00DA4BBF"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2C07B8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 w:rsidR="0006702A" w:rsidTr="00DA4BBF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2C07B8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 w:rsidR="0006702A" w:rsidTr="00DA4BBF"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2C07B8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06702A" w:rsidTr="00DA4BBF"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06702A" w:rsidTr="00DA4BBF"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06702A" w:rsidRDefault="0006702A" w:rsidP="0006702A">
            <w:pPr>
              <w:pStyle w:val="Zkladntext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06702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Zákon č. 219/1996 Z. z. obsahuje jednoznačný zákaz požívania alkoholu a iných návykových látok maloletými a mladistvými. Právnické osoby a fyzické osoby aj napriek uvedenému zákazu len v ojedinelých prípadov preverujú alebo nepreverujú vek zákazníka a maloletým a mladistvým  alkohol a iné návykové látky predávajú aj napriek hrozbe pokuty. V prípade, že právnické osoby a fyzické osoby tieto pokuty aj opakovane zaplatia, nehrozí im žiadna ďalšia sankcia.  </w:t>
            </w:r>
          </w:p>
          <w:p w:rsidR="0006702A" w:rsidRPr="002C07B8" w:rsidRDefault="0006702A" w:rsidP="00DA4BBF">
            <w:pPr>
              <w:autoSpaceDE w:val="0"/>
              <w:autoSpaceDN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6702A" w:rsidTr="00DA4BBF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06702A" w:rsidTr="00DA4BBF"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D02C93" w:rsidRDefault="0006702A" w:rsidP="0006702A">
            <w:pPr>
              <w:pStyle w:val="Zkladntext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06702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Cieľom navrhovanej úpravy je ochrániť maloleté osoby  pred požívaním alkoholických a iných návykových látok maloletými a mladistvými osobami a to sprísnením podmienok pre právnické osoby a fyzické osoby, ktoré alkoholické a iné návykové látky maloletým osobám do 15 rokov a mladistvým osobám do 18 rokov predávajú. </w:t>
            </w:r>
          </w:p>
        </w:tc>
      </w:tr>
      <w:tr w:rsidR="0006702A" w:rsidTr="00DA4BBF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06702A" w:rsidTr="00DA4BBF"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2C07B8" w:rsidRDefault="0006702A" w:rsidP="0006702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Maloleté a mladistvé osoby, </w:t>
            </w:r>
            <w:r>
              <w:rPr>
                <w:rFonts w:ascii="Times" w:hAnsi="Times" w:cs="Times"/>
                <w:sz w:val="20"/>
                <w:szCs w:val="20"/>
              </w:rPr>
              <w:t>právnické osoby, fyzické osoby</w:t>
            </w:r>
          </w:p>
        </w:tc>
      </w:tr>
      <w:tr w:rsidR="0006702A" w:rsidTr="00DA4BBF"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 w:rsidR="0006702A" w:rsidTr="00DA4BBF"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6702A" w:rsidTr="00DA4BBF"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bookmarkStart w:id="0" w:name="_GoBack"/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bookmarkEnd w:id="0"/>
      <w:tr w:rsidR="0006702A" w:rsidTr="00DA4BBF"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06702A" w:rsidTr="00DA4BBF"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06702A" w:rsidTr="00DA4BBF"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6702A" w:rsidTr="00DA4BBF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2C07B8" w:rsidRDefault="0006702A" w:rsidP="00DA4BB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06702A" w:rsidRDefault="0006702A" w:rsidP="0006702A">
      <w:pPr>
        <w:pStyle w:val="odsek"/>
        <w:keepNext w:val="0"/>
        <w:widowControl w:val="0"/>
        <w:ind w:firstLine="0"/>
      </w:pPr>
    </w:p>
    <w:p w:rsidR="0006702A" w:rsidRPr="00B06366" w:rsidRDefault="0006702A" w:rsidP="0006702A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813"/>
        <w:gridCol w:w="1811"/>
        <w:gridCol w:w="1811"/>
      </w:tblGrid>
      <w:tr w:rsidR="0006702A" w:rsidTr="00DA4BBF"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9.   </w:t>
            </w:r>
            <w:r w:rsidRPr="006D75BA">
              <w:rPr>
                <w:rFonts w:ascii="Times New Roman" w:hAnsi="Times New Roman"/>
                <w:b/>
                <w:bCs/>
                <w:sz w:val="20"/>
                <w:szCs w:val="20"/>
              </w:rPr>
              <w:t>Vplyvy navrhovaného materiálu</w:t>
            </w:r>
          </w:p>
        </w:tc>
      </w:tr>
      <w:tr w:rsidR="0006702A" w:rsidTr="00DA4BBF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06702A" w:rsidRPr="006D75BA" w:rsidRDefault="0006702A" w:rsidP="00DA4BBF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  </w:t>
            </w:r>
            <w:r w:rsidRPr="006D75BA">
              <w:rPr>
                <w:rFonts w:ascii="Times New Roman" w:hAnsi="Times New Roman"/>
                <w:b/>
                <w:bCs/>
                <w:sz w:val="20"/>
                <w:szCs w:val="20"/>
              </w:rPr>
              <w:t>Vplyvy na rozpočet verejnej správy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 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  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Negatívne</w:t>
            </w:r>
          </w:p>
        </w:tc>
      </w:tr>
      <w:tr w:rsidR="0006702A" w:rsidTr="00DA4BBF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06702A" w:rsidRPr="006D75BA" w:rsidRDefault="0006702A" w:rsidP="00DA4BBF">
            <w:pPr>
              <w:spacing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6D75BA">
              <w:rPr>
                <w:rFonts w:ascii="Times New Roman" w:hAnsi="Times New Roman"/>
                <w:bCs/>
                <w:sz w:val="20"/>
                <w:szCs w:val="20"/>
              </w:rPr>
              <w:t>z toho rozpočtovo zabezpečené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x    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Negatívne</w:t>
            </w:r>
          </w:p>
        </w:tc>
      </w:tr>
      <w:tr w:rsidR="0006702A" w:rsidTr="00DA4BBF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06702A" w:rsidRPr="009B3D22" w:rsidRDefault="0006702A" w:rsidP="00DA4BBF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Vplyvy na podnikateľské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A0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Negatívne</w:t>
            </w:r>
          </w:p>
        </w:tc>
      </w:tr>
      <w:tr w:rsidR="0006702A" w:rsidTr="00DA4BBF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06702A" w:rsidRPr="006D75BA" w:rsidRDefault="0006702A" w:rsidP="00DA4BBF">
            <w:pPr>
              <w:spacing w:after="0" w:line="240" w:lineRule="auto"/>
              <w:ind w:left="129" w:hanging="129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6D75BA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 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Čiastočne</w:t>
            </w:r>
          </w:p>
        </w:tc>
      </w:tr>
      <w:tr w:rsidR="0006702A" w:rsidTr="00DA4BBF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6702A" w:rsidRPr="009B3D22" w:rsidRDefault="0006702A" w:rsidP="00DA4BB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x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Negatívne</w:t>
            </w:r>
          </w:p>
        </w:tc>
      </w:tr>
      <w:tr w:rsidR="0006702A" w:rsidTr="00DA4BBF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6702A" w:rsidRPr="009B3D22" w:rsidRDefault="0006702A" w:rsidP="00DA4BB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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x 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Negatívne</w:t>
            </w:r>
          </w:p>
        </w:tc>
      </w:tr>
      <w:tr w:rsidR="0006702A" w:rsidTr="00DA4BBF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x  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Negatívne</w:t>
            </w:r>
          </w:p>
        </w:tc>
      </w:tr>
      <w:tr w:rsidR="0006702A" w:rsidTr="00DA4BBF"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služby pre občana z toho</w:t>
            </w: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  vplyvy služieb verejnej správy na občana</w:t>
            </w: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  vplyvy na procesy služieb vo verejnej</w:t>
            </w: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  správe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Negatívne</w:t>
            </w:r>
          </w:p>
        </w:tc>
      </w:tr>
      <w:tr w:rsidR="0006702A" w:rsidTr="00DA4BBF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Negatívne</w:t>
            </w:r>
          </w:p>
        </w:tc>
      </w:tr>
      <w:tr w:rsidR="0006702A" w:rsidTr="00DA4BBF">
        <w:trPr>
          <w:trHeight w:val="15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06702A" w:rsidRDefault="0006702A" w:rsidP="00DA4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02A">
              <w:rPr>
                <w:rFonts w:ascii="Times New Roman" w:hAnsi="Times New Roman"/>
                <w:b/>
                <w:bCs/>
                <w:sz w:val="20"/>
                <w:szCs w:val="20"/>
              </w:rPr>
              <w:t>Vplyvy na manželstvo, rodičovstvo a rodinu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702A" w:rsidRPr="009B3D22" w:rsidRDefault="0006702A" w:rsidP="00DA4BBF">
            <w:pPr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   Negatívne</w:t>
            </w:r>
          </w:p>
        </w:tc>
      </w:tr>
      <w:tr w:rsidR="0006702A" w:rsidTr="00DA4BBF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10.  Poznámky</w:t>
            </w:r>
          </w:p>
        </w:tc>
      </w:tr>
      <w:tr w:rsidR="0006702A" w:rsidTr="00DA4BBF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6702A" w:rsidTr="00DA4BBF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06702A" w:rsidTr="00DA4BBF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06702A" w:rsidTr="00DA4BBF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12.  Zdroje</w:t>
            </w:r>
          </w:p>
        </w:tc>
      </w:tr>
      <w:tr w:rsidR="0006702A" w:rsidTr="00DA4BBF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6702A" w:rsidTr="00DA4BBF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06702A" w:rsidTr="00DA4BBF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02A" w:rsidRPr="009B3D22" w:rsidRDefault="0006702A" w:rsidP="00DA4BB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:rsidR="0006702A" w:rsidRDefault="0006702A" w:rsidP="0006702A"/>
    <w:p w:rsidR="00BF5CA5" w:rsidRDefault="00BF5CA5" w:rsidP="0006702A"/>
    <w:sectPr w:rsidR="00BF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2A"/>
    <w:rsid w:val="0006702A"/>
    <w:rsid w:val="00B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0535"/>
  <w15:chartTrackingRefBased/>
  <w15:docId w15:val="{E9444E46-6355-46D7-A2C4-F8E6B734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702A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6702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6702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6702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1</cp:revision>
  <dcterms:created xsi:type="dcterms:W3CDTF">2019-05-29T12:42:00Z</dcterms:created>
  <dcterms:modified xsi:type="dcterms:W3CDTF">2019-05-29T12:52:00Z</dcterms:modified>
</cp:coreProperties>
</file>