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A6" w:rsidRPr="00BD62DB" w:rsidRDefault="00982CC8" w:rsidP="00982CC8">
      <w:pPr>
        <w:widowControl/>
        <w:jc w:val="center"/>
        <w:rPr>
          <w:color w:val="000000"/>
        </w:rPr>
      </w:pPr>
      <w:r w:rsidRPr="00BD62DB">
        <w:rPr>
          <w:b/>
          <w:caps/>
          <w:color w:val="000000"/>
          <w:spacing w:val="30"/>
        </w:rPr>
        <w:t>Dôvodová správa</w:t>
      </w:r>
    </w:p>
    <w:p w:rsidR="008B25A6" w:rsidRPr="00BD62DB" w:rsidRDefault="008B25A6" w:rsidP="008B25A6">
      <w:pPr>
        <w:widowControl/>
        <w:jc w:val="both"/>
        <w:rPr>
          <w:color w:val="000000"/>
        </w:rPr>
      </w:pPr>
    </w:p>
    <w:p w:rsidR="008B25A6" w:rsidRPr="00BD62DB" w:rsidRDefault="008B25A6" w:rsidP="008B25A6">
      <w:pPr>
        <w:widowControl/>
        <w:jc w:val="both"/>
        <w:rPr>
          <w:b/>
          <w:color w:val="000000"/>
        </w:rPr>
      </w:pPr>
      <w:r w:rsidRPr="00BD62DB">
        <w:rPr>
          <w:b/>
          <w:color w:val="000000"/>
        </w:rPr>
        <w:t>A. Všeobecná časť</w:t>
      </w:r>
    </w:p>
    <w:p w:rsidR="008B25A6" w:rsidRPr="00BD62DB" w:rsidRDefault="008B25A6" w:rsidP="008B25A6">
      <w:pPr>
        <w:widowControl/>
        <w:jc w:val="both"/>
        <w:rPr>
          <w:color w:val="000000"/>
        </w:rPr>
      </w:pPr>
    </w:p>
    <w:p w:rsidR="00E67C30" w:rsidRPr="00BD62DB" w:rsidRDefault="004D1FB2" w:rsidP="000151A0">
      <w:pPr>
        <w:widowControl/>
        <w:spacing w:after="280" w:afterAutospacing="1"/>
        <w:jc w:val="both"/>
        <w:rPr>
          <w:color w:val="000000"/>
        </w:rPr>
      </w:pPr>
      <w:r w:rsidRPr="00BD62DB">
        <w:rPr>
          <w:color w:val="000000"/>
        </w:rPr>
        <w:t xml:space="preserve">Návrh </w:t>
      </w:r>
      <w:r w:rsidR="00E67C30" w:rsidRPr="00BD62DB">
        <w:rPr>
          <w:color w:val="000000"/>
        </w:rPr>
        <w:t xml:space="preserve">zákona, ktorým sa mení a dopĺňa zákon č. 64/2019 Z. z. o sprístupňovaní strelných zbraní a streliva na civilné použitie na trhu </w:t>
      </w:r>
      <w:r w:rsidR="00F63CAF" w:rsidRPr="00F63CAF">
        <w:rPr>
          <w:rStyle w:val="Textzstupnhosymbolu"/>
          <w:color w:val="000000"/>
        </w:rPr>
        <w:t xml:space="preserve">a ktorým sa mení a dopĺňa zákon č. 190/2003 Z. z. </w:t>
      </w:r>
      <w:r w:rsidR="00F63CAF" w:rsidRPr="00F63CAF">
        <w:rPr>
          <w:rStyle w:val="Textzstupnhosymbolu"/>
          <w:color w:val="000000"/>
        </w:rPr>
        <w:br/>
        <w:t>o strelných zbraniach a strelive a o zmene a doplnení niektorých zákonov v znení neskorších predpisov</w:t>
      </w:r>
      <w:r w:rsidR="00F63CAF" w:rsidRPr="00BD62DB">
        <w:rPr>
          <w:color w:val="000000"/>
        </w:rPr>
        <w:t xml:space="preserve"> </w:t>
      </w:r>
      <w:r w:rsidR="00E67C30" w:rsidRPr="00BD62DB">
        <w:rPr>
          <w:color w:val="000000"/>
        </w:rPr>
        <w:t xml:space="preserve">(ďalej len „návrh zákona“) predkladá predseda Úradu pre normalizáciu, metrológiu </w:t>
      </w:r>
      <w:r w:rsidR="00F63CAF">
        <w:rPr>
          <w:color w:val="000000"/>
        </w:rPr>
        <w:br/>
      </w:r>
      <w:r w:rsidR="00E67C30" w:rsidRPr="00BD62DB">
        <w:rPr>
          <w:color w:val="000000"/>
        </w:rPr>
        <w:t xml:space="preserve">a skúšobníctvo Slovenskej republiky na základe </w:t>
      </w:r>
      <w:r w:rsidR="004D35C2" w:rsidRPr="00BD62DB">
        <w:rPr>
          <w:rStyle w:val="Textzstupnhosymbolu"/>
          <w:color w:val="000000"/>
        </w:rPr>
        <w:t>úloh B.11. a B.12. uznesenia vlády Slovenskej republiky č. 137 z 27. marca 2019</w:t>
      </w:r>
      <w:r w:rsidR="00FD5DE3" w:rsidRPr="00BD62DB">
        <w:rPr>
          <w:rStyle w:val="Textzstupnhosymbolu"/>
          <w:color w:val="000000"/>
        </w:rPr>
        <w:t xml:space="preserve"> k návrhu na určenie gestorských ústredných orgánov štátnej správy a niektorých orgánov verejnej moci zodpovedných za prebratie a aplikáciu smerníc</w:t>
      </w:r>
      <w:r w:rsidR="00E67C30" w:rsidRPr="00BD62DB">
        <w:rPr>
          <w:color w:val="000000"/>
        </w:rPr>
        <w:t>.</w:t>
      </w:r>
    </w:p>
    <w:p w:rsidR="00062CCE" w:rsidRPr="00BD62DB" w:rsidRDefault="00E67C30" w:rsidP="00E67C30">
      <w:pPr>
        <w:widowControl/>
        <w:spacing w:after="280" w:afterAutospacing="1"/>
        <w:jc w:val="both"/>
        <w:rPr>
          <w:rStyle w:val="Textzstupnhosymbolu"/>
          <w:color w:val="000000"/>
        </w:rPr>
      </w:pPr>
      <w:r w:rsidRPr="00BD62DB">
        <w:rPr>
          <w:rStyle w:val="Textzstupnhosymbolu"/>
          <w:color w:val="000000"/>
        </w:rPr>
        <w:t xml:space="preserve">Dôvodom vypracovania návrhu zákona je potreba zabezpečenia transpozície vykonávacej smernice Komisie (EÚ) 2019/68 zo 16. januára 2019, ktorou sa stanovujú technické špecifikácie označovania strelných zbraní a ich hlavných častí podľa smernice Rady 91/477/EHS o kontrole získavania a vlastnenia zbraní (Ú. v. EÚ L 15, 17.1.2019) (ďalej len „vykonávacia smernica (EÚ) 2019/68“) a vykonávacej smernice Komisie (EÚ) 2019/69 zo 16. januára 2019, ktorou </w:t>
      </w:r>
      <w:r w:rsidR="00AF1139">
        <w:rPr>
          <w:rStyle w:val="Textzstupnhosymbolu"/>
          <w:color w:val="000000"/>
        </w:rPr>
        <w:br/>
      </w:r>
      <w:r w:rsidRPr="00BD62DB">
        <w:rPr>
          <w:rStyle w:val="Textzstupnhosymbolu"/>
          <w:color w:val="000000"/>
        </w:rPr>
        <w:t xml:space="preserve">sa stanovujú technické špecifikácie pre poplašné a signálne zbrane podľa smernice Rady 91/477/EHS o kontrole získavania a vlastnenia zbraní (Ú. v. EÚ L 15, 17.1.2019) </w:t>
      </w:r>
      <w:r w:rsidR="00BD62DB">
        <w:rPr>
          <w:rStyle w:val="Textzstupnhosymbolu"/>
          <w:color w:val="000000"/>
        </w:rPr>
        <w:br/>
      </w:r>
      <w:r w:rsidRPr="00BD62DB">
        <w:rPr>
          <w:rStyle w:val="Textzstupnhosymbolu"/>
          <w:color w:val="000000"/>
        </w:rPr>
        <w:t xml:space="preserve">(ďalej len „vykonávacia smernica (EÚ) 2019/69“), ktoré sú v gescii Úradu pre normalizáciu, metrológiu a skúšobníctvo Slovenskej republiky a zabezpečiť tak kompatibilitu právneho poriadku Slovenskej republiky s právom Európskej únie. </w:t>
      </w:r>
      <w:r w:rsidR="008E3E29" w:rsidRPr="00BD62DB">
        <w:rPr>
          <w:rStyle w:val="Textzstupnhosymbolu"/>
          <w:color w:val="000000"/>
        </w:rPr>
        <w:t>Zároveň sa návrhom zákona transponuje</w:t>
      </w:r>
      <w:r w:rsidR="008E3E29" w:rsidRPr="00BD62DB">
        <w:t xml:space="preserve"> </w:t>
      </w:r>
      <w:r w:rsidR="008E3E29" w:rsidRPr="00BD62DB">
        <w:rPr>
          <w:rStyle w:val="Textzstupnhosymbolu"/>
          <w:color w:val="000000"/>
        </w:rPr>
        <w:t>článok 4 ods. 1 písm. a) a článo</w:t>
      </w:r>
      <w:r w:rsidR="00AD4297" w:rsidRPr="00BD62DB">
        <w:rPr>
          <w:rStyle w:val="Textzstupnhosymbolu"/>
          <w:color w:val="000000"/>
        </w:rPr>
        <w:t>k</w:t>
      </w:r>
      <w:r w:rsidR="008E3E29" w:rsidRPr="00BD62DB">
        <w:rPr>
          <w:rStyle w:val="Textzstupnhosymbolu"/>
          <w:color w:val="000000"/>
        </w:rPr>
        <w:t xml:space="preserve"> 4 ods. 2 smernice Európskeho parlamentu a Rady (EÚ) 2017/853 zo 17. mája 2017, ktorou sa mení smernica Rady 91/477/EHS o kontrole získavania a vlastnenia zbraní (ďalej len „smernica (EÚ) 2017/853“).</w:t>
      </w:r>
      <w:r w:rsidR="008E3E29" w:rsidRPr="00BD62DB">
        <w:t xml:space="preserve"> </w:t>
      </w:r>
      <w:r w:rsidR="00D02467">
        <w:t>Zároveň sa</w:t>
      </w:r>
      <w:r w:rsidR="00062CCE" w:rsidRPr="00BD62DB">
        <w:t xml:space="preserve"> pristúpil</w:t>
      </w:r>
      <w:r w:rsidR="00D02467">
        <w:t>o</w:t>
      </w:r>
      <w:r w:rsidR="00062CCE" w:rsidRPr="00BD62DB">
        <w:t xml:space="preserve"> </w:t>
      </w:r>
      <w:r w:rsidR="00517573">
        <w:br/>
      </w:r>
      <w:r w:rsidR="00062CCE" w:rsidRPr="00BD62DB">
        <w:t xml:space="preserve">k transpozícii článku 4 ods. 1 písm. a) a článku 4 ods. 2 smernice (EÚ) 2017/853, ktoré bezprostredne súvisia s transpozíciou vykonávacej smernice (EÚ) 2019/68, zmenou zákona </w:t>
      </w:r>
      <w:r w:rsidR="00517573">
        <w:br/>
      </w:r>
      <w:r w:rsidR="00062CCE" w:rsidRPr="00BD62DB">
        <w:t xml:space="preserve">č. 64/2019 Z. z. o sprístupňovaní strelných zbraní a streliva na civilné použitie na trhu. </w:t>
      </w:r>
    </w:p>
    <w:p w:rsidR="00E67C30" w:rsidRPr="00BD62DB" w:rsidRDefault="00E67C30" w:rsidP="00E67C30">
      <w:pPr>
        <w:widowControl/>
        <w:spacing w:after="280" w:afterAutospacing="1"/>
        <w:jc w:val="both"/>
        <w:rPr>
          <w:rStyle w:val="Textzstupnhosymbolu"/>
          <w:color w:val="000000"/>
        </w:rPr>
      </w:pPr>
      <w:r w:rsidRPr="00BD62DB">
        <w:rPr>
          <w:rStyle w:val="Textzstupnhosymbolu"/>
          <w:color w:val="000000"/>
        </w:rPr>
        <w:t xml:space="preserve">Predkladaná právna úprava vychádza z potreby zosúladenia právnej úpravy Slovenskej republiky s právom Európskej únie v oblasti označovania strelných zbraní na civilné použitie </w:t>
      </w:r>
      <w:r w:rsidR="00BD62DB">
        <w:rPr>
          <w:rStyle w:val="Textzstupnhosymbolu"/>
          <w:color w:val="000000"/>
        </w:rPr>
        <w:br/>
      </w:r>
      <w:r w:rsidRPr="00BD62DB">
        <w:rPr>
          <w:rStyle w:val="Textzstupnhosymbolu"/>
          <w:color w:val="000000"/>
        </w:rPr>
        <w:t>(napr. veľkosť písma, typ abecedy, forma číslovania) podľa vykonávacej smernice (EÚ) 2019/68</w:t>
      </w:r>
      <w:r w:rsidR="00E64A33" w:rsidRPr="00BD62DB">
        <w:rPr>
          <w:rStyle w:val="Textzstupnhosymbolu"/>
          <w:color w:val="000000"/>
        </w:rPr>
        <w:t xml:space="preserve"> a podľa smernice (EÚ) 2017/853</w:t>
      </w:r>
      <w:r w:rsidRPr="00BD62DB">
        <w:rPr>
          <w:rStyle w:val="Textzstupnhosymbolu"/>
          <w:color w:val="000000"/>
        </w:rPr>
        <w:t xml:space="preserve"> a v oblasti uplatňovania základných požiadaviek na poplašné </w:t>
      </w:r>
      <w:r w:rsidR="00BD62DB">
        <w:rPr>
          <w:rStyle w:val="Textzstupnhosymbolu"/>
          <w:color w:val="000000"/>
        </w:rPr>
        <w:br/>
      </w:r>
      <w:r w:rsidRPr="00BD62DB">
        <w:rPr>
          <w:rStyle w:val="Textzstupnhosymbolu"/>
          <w:color w:val="000000"/>
        </w:rPr>
        <w:t xml:space="preserve">a signálne zbrane podľa vykonávacej smernice (EÚ) 2019/69. Uplatnením týchto základných požiadaviek pri výrobe, úprave, oprave alebo inej úpravy poplašnej a signálnej zbrane, </w:t>
      </w:r>
      <w:r w:rsidR="00AF1139">
        <w:rPr>
          <w:rStyle w:val="Textzstupnhosymbolu"/>
          <w:color w:val="000000"/>
        </w:rPr>
        <w:br/>
      </w:r>
      <w:r w:rsidRPr="00BD62DB">
        <w:rPr>
          <w:rStyle w:val="Textzstupnhosymbolu"/>
          <w:color w:val="000000"/>
        </w:rPr>
        <w:t>by nemalo byť možné tieto predmety zmeniť s použitím bežných nástrojov buď tak, aby vystrelili, alebo aby sa dali upraviť tak, aby boli schopné vystreliť strelu, náboj alebo projektil okamžitým uvoľnením nahromadenej energie, čím sa má okrem iného zabezpečiť vyššia ochrana verejného zdravia, života a majetku.</w:t>
      </w:r>
    </w:p>
    <w:p w:rsidR="00E67C30" w:rsidRPr="00BD62DB" w:rsidRDefault="00E67C30" w:rsidP="00E67C30">
      <w:pPr>
        <w:widowControl/>
        <w:spacing w:after="280" w:afterAutospacing="1"/>
        <w:jc w:val="both"/>
        <w:rPr>
          <w:rStyle w:val="Textzstupnhosymbolu"/>
          <w:color w:val="000000"/>
        </w:rPr>
      </w:pPr>
      <w:r w:rsidRPr="00BD62DB">
        <w:rPr>
          <w:rStyle w:val="Textzstupnhosymbolu"/>
          <w:color w:val="000000"/>
        </w:rPr>
        <w:t>Predmetom návrhu zákona bude najmä úprava</w:t>
      </w:r>
    </w:p>
    <w:p w:rsidR="00E67C30" w:rsidRPr="00BD62DB" w:rsidRDefault="00E67C30" w:rsidP="000151A0">
      <w:pPr>
        <w:widowControl/>
        <w:ind w:left="709" w:hanging="283"/>
        <w:jc w:val="both"/>
        <w:rPr>
          <w:rStyle w:val="Textzstupnhosymbolu"/>
          <w:color w:val="000000"/>
        </w:rPr>
      </w:pPr>
      <w:r w:rsidRPr="00BD62DB">
        <w:rPr>
          <w:rStyle w:val="Textzstupnhosymbolu"/>
          <w:color w:val="000000"/>
        </w:rPr>
        <w:t>-</w:t>
      </w:r>
      <w:r w:rsidRPr="00BD62DB">
        <w:rPr>
          <w:rStyle w:val="Textzstupnhosymbolu"/>
          <w:color w:val="000000"/>
        </w:rPr>
        <w:tab/>
        <w:t xml:space="preserve">označovania strelných zbraní na civilné použitie (napr. veľkosť písma, typ abecedy, forma číslovania) podľa </w:t>
      </w:r>
      <w:r w:rsidR="008C5F90" w:rsidRPr="00BD62DB">
        <w:rPr>
          <w:rStyle w:val="Textzstupnhosymbolu"/>
          <w:color w:val="000000"/>
        </w:rPr>
        <w:t xml:space="preserve">smernice (EÚ) 2017/853 a </w:t>
      </w:r>
      <w:r w:rsidRPr="00BD62DB">
        <w:rPr>
          <w:rStyle w:val="Textzstupnhosymbolu"/>
          <w:color w:val="000000"/>
        </w:rPr>
        <w:t>vykonávacej smernice (EÚ) 2019/68,</w:t>
      </w:r>
    </w:p>
    <w:p w:rsidR="00E67C30" w:rsidRPr="00BD62DB" w:rsidRDefault="00E67C30" w:rsidP="000151A0">
      <w:pPr>
        <w:widowControl/>
        <w:spacing w:after="280" w:afterAutospacing="1"/>
        <w:ind w:left="709" w:hanging="283"/>
        <w:jc w:val="both"/>
        <w:rPr>
          <w:rStyle w:val="Textzstupnhosymbolu"/>
          <w:color w:val="000000"/>
        </w:rPr>
      </w:pPr>
      <w:r w:rsidRPr="00BD62DB">
        <w:rPr>
          <w:rStyle w:val="Textzstupnhosymbolu"/>
          <w:color w:val="000000"/>
        </w:rPr>
        <w:t>-</w:t>
      </w:r>
      <w:r w:rsidRPr="00BD62DB">
        <w:rPr>
          <w:rStyle w:val="Textzstupnhosymbolu"/>
          <w:color w:val="000000"/>
        </w:rPr>
        <w:tab/>
        <w:t>základných požiadaviek na poplašné a signálne zbrane vymedzené vykonávacou smernicou (EÚ) 2019/69.</w:t>
      </w:r>
    </w:p>
    <w:p w:rsidR="00E67C30" w:rsidRPr="00BD62DB" w:rsidRDefault="00E67C30" w:rsidP="00E67C30">
      <w:pPr>
        <w:widowControl/>
        <w:spacing w:after="280" w:afterAutospacing="1"/>
        <w:jc w:val="both"/>
        <w:rPr>
          <w:rStyle w:val="Textzstupnhosymbolu"/>
          <w:color w:val="000000"/>
        </w:rPr>
      </w:pPr>
      <w:r w:rsidRPr="00BD62DB">
        <w:rPr>
          <w:rStyle w:val="Textzstupnhosymbolu"/>
          <w:color w:val="000000"/>
        </w:rPr>
        <w:lastRenderedPageBreak/>
        <w:t xml:space="preserve">Návrh zákona mení a dopĺňa zákon č. 64/2019 Z. z. o sprístupňovaní strelných zbraní a streliva na civilné použitie na trhu (ďalej len „zákon č. 64/2019 Z. z.“), ktorý je technickým predpisom </w:t>
      </w:r>
      <w:r w:rsidR="00BD62DB">
        <w:rPr>
          <w:rStyle w:val="Textzstupnhosymbolu"/>
          <w:color w:val="000000"/>
        </w:rPr>
        <w:br/>
      </w:r>
      <w:r w:rsidRPr="00BD62DB">
        <w:rPr>
          <w:rStyle w:val="Textzstupnhosymbolu"/>
          <w:color w:val="000000"/>
        </w:rPr>
        <w:t>z oblasti posudzovania zhody podľa § 2 písm. e) zákona č. 56/2018 Z. z.</w:t>
      </w:r>
      <w:r w:rsidR="008B004F" w:rsidRPr="00BD62DB">
        <w:rPr>
          <w:rStyle w:val="Nadpis1Char"/>
          <w:color w:val="000000"/>
        </w:rPr>
        <w:t xml:space="preserve"> </w:t>
      </w:r>
      <w:r w:rsidR="008B004F" w:rsidRPr="00BD62DB">
        <w:rPr>
          <w:rStyle w:val="Textzstupnhosymbolu"/>
          <w:color w:val="000000"/>
        </w:rPr>
        <w:t>o posudzovaní zhody výrobku, sprístupňovaní určeného výrobku na trhu a o zmene a doplnení niektorých zákonov.</w:t>
      </w:r>
      <w:r w:rsidRPr="00BD62DB">
        <w:rPr>
          <w:rStyle w:val="Textzstupnhosymbolu"/>
          <w:color w:val="000000"/>
        </w:rPr>
        <w:t xml:space="preserve"> Zákon č. 64/2019 Z. z. zastrešuje právnu úpravu základných požiadaviek a postupov posudzovania zhody na strelné zbrane a strelivo pre civilné použitie a ďalšie podrobnosti </w:t>
      </w:r>
      <w:r w:rsidR="00BD62DB">
        <w:rPr>
          <w:rStyle w:val="Textzstupnhosymbolu"/>
          <w:color w:val="000000"/>
        </w:rPr>
        <w:br/>
      </w:r>
      <w:r w:rsidRPr="00BD62DB">
        <w:rPr>
          <w:rStyle w:val="Textzstupnhosymbolu"/>
          <w:color w:val="000000"/>
        </w:rPr>
        <w:t xml:space="preserve">ako sú označovanie strelných zbraní a streliva, dokumenty vydávané autorizovanou osobou, vyhlásenie o zhode a overovacie značky strelných zbraní a streliva, pričom uvedené sa novelou zákona nezmení. Návrhom zákona sa len spresní spôsob označovania strelných zbraní v súlade </w:t>
      </w:r>
      <w:r w:rsidR="00BD62DB">
        <w:rPr>
          <w:rStyle w:val="Textzstupnhosymbolu"/>
          <w:color w:val="000000"/>
        </w:rPr>
        <w:br/>
      </w:r>
      <w:r w:rsidRPr="00BD62DB">
        <w:rPr>
          <w:rStyle w:val="Textzstupnhosymbolu"/>
          <w:color w:val="000000"/>
        </w:rPr>
        <w:t xml:space="preserve">s požiadavkami vykonávacej smernice (EÚ) 2019/68 tak, aby sa dosiahla úplná transpozícia tejto vykonávacej smernice. Zároveň sa návrhom zákona transponujú základné požiadavky, ktoré </w:t>
      </w:r>
      <w:r w:rsidR="00BD62DB">
        <w:rPr>
          <w:rStyle w:val="Textzstupnhosymbolu"/>
          <w:color w:val="000000"/>
        </w:rPr>
        <w:br/>
      </w:r>
      <w:r w:rsidRPr="00BD62DB">
        <w:rPr>
          <w:rStyle w:val="Textzstupnhosymbolu"/>
          <w:color w:val="000000"/>
        </w:rPr>
        <w:t>sú technickými požiadavkami na strelné zbrane podľa § 4 ods. 1 písm. a) trinásteho a štrnásteho bodu zákona č. 64/2019 Z. z.</w:t>
      </w:r>
    </w:p>
    <w:p w:rsidR="0037605B" w:rsidRPr="00BD62DB" w:rsidRDefault="0037605B" w:rsidP="0037605B">
      <w:pPr>
        <w:widowControl/>
        <w:spacing w:after="100" w:afterAutospacing="1"/>
        <w:jc w:val="both"/>
        <w:rPr>
          <w:rStyle w:val="Textzstupnhosymbolu"/>
          <w:color w:val="000000"/>
        </w:rPr>
      </w:pPr>
      <w:r w:rsidRPr="00BD62DB">
        <w:rPr>
          <w:rStyle w:val="Textzstupnhosymbolu"/>
          <w:color w:val="000000"/>
        </w:rPr>
        <w:t xml:space="preserve">Návrh </w:t>
      </w:r>
      <w:r w:rsidR="00CD6DBD">
        <w:rPr>
          <w:rStyle w:val="Textzstupnhosymbolu"/>
          <w:color w:val="000000"/>
        </w:rPr>
        <w:t>zákona</w:t>
      </w:r>
      <w:r w:rsidRPr="00BD62DB">
        <w:rPr>
          <w:rStyle w:val="Textzstupnhosymbolu"/>
          <w:color w:val="000000"/>
        </w:rPr>
        <w:t xml:space="preserve"> nemá vplyv</w:t>
      </w:r>
      <w:r w:rsidR="008367D4" w:rsidRPr="00BD62DB">
        <w:rPr>
          <w:rStyle w:val="Textzstupnhosymbolu"/>
          <w:color w:val="000000"/>
        </w:rPr>
        <w:t>y</w:t>
      </w:r>
      <w:r w:rsidRPr="00BD62DB">
        <w:rPr>
          <w:rStyle w:val="Textzstupnhosymbolu"/>
          <w:color w:val="000000"/>
        </w:rPr>
        <w:t xml:space="preserve"> na rozpočet verejnej správy</w:t>
      </w:r>
      <w:r w:rsidR="008367D4" w:rsidRPr="00BD62DB">
        <w:rPr>
          <w:rStyle w:val="Nadpis1Char"/>
          <w:color w:val="000000"/>
        </w:rPr>
        <w:t xml:space="preserve"> </w:t>
      </w:r>
      <w:r w:rsidR="008367D4" w:rsidRPr="00BD62DB">
        <w:rPr>
          <w:rStyle w:val="Textzstupnhosymbolu"/>
          <w:color w:val="000000"/>
        </w:rPr>
        <w:t>ani na</w:t>
      </w:r>
      <w:r w:rsidR="008367D4" w:rsidRPr="00BD62DB">
        <w:t xml:space="preserve"> </w:t>
      </w:r>
      <w:r w:rsidR="008367D4" w:rsidRPr="00BD62DB">
        <w:rPr>
          <w:rStyle w:val="Textzstupnhosymbolu"/>
          <w:color w:val="000000"/>
        </w:rPr>
        <w:t>manželstvo, rodičovstvo a rodinu</w:t>
      </w:r>
      <w:r w:rsidRPr="00BD62DB">
        <w:rPr>
          <w:rStyle w:val="Textzstupnhosymbolu"/>
          <w:color w:val="000000"/>
        </w:rPr>
        <w:t>, na podnikateľské prostredie, nemá sociáln</w:t>
      </w:r>
      <w:r w:rsidR="008367D4" w:rsidRPr="00BD62DB">
        <w:rPr>
          <w:rStyle w:val="Textzstupnhosymbolu"/>
          <w:color w:val="000000"/>
        </w:rPr>
        <w:t>e</w:t>
      </w:r>
      <w:r w:rsidRPr="00BD62DB">
        <w:rPr>
          <w:rStyle w:val="Textzstupnhosymbolu"/>
          <w:color w:val="000000"/>
        </w:rPr>
        <w:t xml:space="preserve"> vplyv</w:t>
      </w:r>
      <w:r w:rsidR="008367D4" w:rsidRPr="00BD62DB">
        <w:rPr>
          <w:rStyle w:val="Textzstupnhosymbolu"/>
          <w:color w:val="000000"/>
        </w:rPr>
        <w:t>y</w:t>
      </w:r>
      <w:r w:rsidRPr="00BD62DB">
        <w:rPr>
          <w:rStyle w:val="Textzstupnhosymbolu"/>
          <w:color w:val="000000"/>
        </w:rPr>
        <w:t>, vplyv</w:t>
      </w:r>
      <w:r w:rsidR="008367D4" w:rsidRPr="00BD62DB">
        <w:rPr>
          <w:rStyle w:val="Textzstupnhosymbolu"/>
          <w:color w:val="000000"/>
        </w:rPr>
        <w:t>y</w:t>
      </w:r>
      <w:r w:rsidRPr="00BD62DB">
        <w:rPr>
          <w:rStyle w:val="Textzstupnhosymbolu"/>
          <w:color w:val="000000"/>
        </w:rPr>
        <w:t xml:space="preserve"> na životné prostredie, </w:t>
      </w:r>
      <w:r w:rsidR="00AF1139">
        <w:rPr>
          <w:rStyle w:val="Textzstupnhosymbolu"/>
          <w:color w:val="000000"/>
        </w:rPr>
        <w:br/>
      </w:r>
      <w:r w:rsidRPr="00BD62DB">
        <w:rPr>
          <w:rStyle w:val="Textzstupnhosymbolu"/>
          <w:color w:val="000000"/>
        </w:rPr>
        <w:t>na informatizáciu spoločnosti, ani na služby verejnej správy pre občana. </w:t>
      </w:r>
    </w:p>
    <w:p w:rsidR="00C0489E" w:rsidRDefault="001E500F" w:rsidP="00BB54C8">
      <w:pPr>
        <w:widowControl/>
        <w:spacing w:after="280" w:afterAutospacing="1"/>
        <w:jc w:val="both"/>
        <w:rPr>
          <w:rStyle w:val="Textzstupnhosymbolu"/>
          <w:color w:val="000000"/>
        </w:rPr>
      </w:pPr>
      <w:r w:rsidRPr="00BD62DB">
        <w:rPr>
          <w:rStyle w:val="Textzstupnhosymbolu"/>
          <w:color w:val="000000"/>
        </w:rPr>
        <w:t xml:space="preserve">Návrh </w:t>
      </w:r>
      <w:r w:rsidR="00CD6DBD">
        <w:rPr>
          <w:rStyle w:val="Textzstupnhosymbolu"/>
          <w:color w:val="000000"/>
        </w:rPr>
        <w:t>zákona</w:t>
      </w:r>
      <w:r w:rsidRPr="00BD62DB">
        <w:rPr>
          <w:rStyle w:val="Textzstupnhosymbolu"/>
          <w:color w:val="000000"/>
        </w:rPr>
        <w:t xml:space="preserve"> je v súlade s </w:t>
      </w:r>
      <w:r w:rsidR="00726356" w:rsidRPr="00BD62DB">
        <w:rPr>
          <w:rStyle w:val="Textzstupnhosymbolu"/>
          <w:color w:val="000000"/>
        </w:rPr>
        <w:t>Ústavou Slovenskej republiky, s </w:t>
      </w:r>
      <w:r w:rsidRPr="00BD62DB">
        <w:rPr>
          <w:rStyle w:val="Textzstupnhosymbolu"/>
          <w:color w:val="000000"/>
        </w:rPr>
        <w:t>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p w:rsidR="00D02467" w:rsidRPr="00B93223" w:rsidRDefault="00D02467" w:rsidP="00D02467">
      <w:pPr>
        <w:pStyle w:val="Normlnywebov"/>
        <w:spacing w:before="0" w:beforeAutospacing="0" w:after="0" w:afterAutospacing="0"/>
        <w:jc w:val="center"/>
        <w:rPr>
          <w:b/>
          <w:bCs/>
          <w:sz w:val="28"/>
          <w:szCs w:val="28"/>
        </w:rPr>
      </w:pPr>
      <w:r>
        <w:rPr>
          <w:rStyle w:val="Textzstupnhosymbolu"/>
          <w:color w:val="000000"/>
        </w:rPr>
        <w:br w:type="page"/>
      </w:r>
      <w:r w:rsidRPr="00B93223">
        <w:rPr>
          <w:b/>
          <w:bCs/>
          <w:sz w:val="28"/>
          <w:szCs w:val="28"/>
        </w:rPr>
        <w:lastRenderedPageBreak/>
        <w:t>Doložka vybraných vplyvov</w:t>
      </w:r>
    </w:p>
    <w:p w:rsidR="00D02467" w:rsidRPr="00B93223" w:rsidRDefault="00D02467" w:rsidP="00D0246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26"/>
        <w:gridCol w:w="3750"/>
      </w:tblGrid>
      <w:tr w:rsidR="00D02467" w:rsidRPr="00B93223" w:rsidTr="008B39B0">
        <w:trPr>
          <w:jc w:val="center"/>
        </w:trPr>
        <w:tc>
          <w:tcPr>
            <w:tcW w:w="250" w:type="pct"/>
            <w:gridSpan w:val="2"/>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1.  Základné údaje</w:t>
            </w:r>
          </w:p>
        </w:tc>
      </w:tr>
      <w:tr w:rsidR="00D02467" w:rsidRPr="00B93223" w:rsidTr="008B39B0">
        <w:trPr>
          <w:trHeight w:val="450"/>
          <w:jc w:val="center"/>
        </w:trPr>
        <w:tc>
          <w:tcPr>
            <w:tcW w:w="250" w:type="pct"/>
            <w:gridSpan w:val="2"/>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Názov materiálu</w:t>
            </w:r>
          </w:p>
        </w:tc>
      </w:tr>
      <w:tr w:rsidR="00D02467" w:rsidRPr="00B93223" w:rsidTr="008B39B0">
        <w:trPr>
          <w:trHeight w:val="450"/>
          <w:jc w:val="center"/>
        </w:trPr>
        <w:tc>
          <w:tcPr>
            <w:tcW w:w="250" w:type="pct"/>
            <w:gridSpan w:val="2"/>
            <w:tcBorders>
              <w:top w:val="outset" w:sz="6" w:space="0" w:color="000000"/>
              <w:bottom w:val="outset" w:sz="6" w:space="0" w:color="000000"/>
            </w:tcBorders>
            <w:hideMark/>
          </w:tcPr>
          <w:p w:rsidR="00D02467" w:rsidRPr="00B93223" w:rsidRDefault="00D02467" w:rsidP="008B39B0">
            <w:pPr>
              <w:jc w:val="both"/>
              <w:rPr>
                <w:rFonts w:ascii="Times" w:hAnsi="Times" w:cs="Times"/>
                <w:sz w:val="20"/>
                <w:szCs w:val="20"/>
              </w:rPr>
            </w:pPr>
            <w:r w:rsidRPr="00B93223">
              <w:rPr>
                <w:rFonts w:ascii="Times" w:hAnsi="Times" w:cs="Times"/>
                <w:sz w:val="20"/>
                <w:szCs w:val="20"/>
              </w:rPr>
              <w:t>N</w:t>
            </w:r>
            <w:r>
              <w:rPr>
                <w:rFonts w:ascii="Times" w:hAnsi="Times" w:cs="Times"/>
                <w:sz w:val="20"/>
                <w:szCs w:val="20"/>
              </w:rPr>
              <w:t>ávrh</w:t>
            </w:r>
            <w:r w:rsidRPr="00B93223">
              <w:rPr>
                <w:rFonts w:ascii="Times" w:hAnsi="Times" w:cs="Times"/>
                <w:sz w:val="20"/>
                <w:szCs w:val="20"/>
              </w:rPr>
              <w:t xml:space="preserve"> </w:t>
            </w:r>
            <w:r w:rsidRPr="00A67315">
              <w:rPr>
                <w:rFonts w:ascii="Times" w:hAnsi="Times" w:cs="Times"/>
                <w:sz w:val="20"/>
                <w:szCs w:val="20"/>
              </w:rPr>
              <w:t>zákona, ktorým sa mení a dopĺňa zákon č. 64/2019 Z. z. o sprístupňovaní strelných zbraní a streli</w:t>
            </w:r>
            <w:r>
              <w:rPr>
                <w:rFonts w:ascii="Times" w:hAnsi="Times" w:cs="Times"/>
                <w:sz w:val="20"/>
                <w:szCs w:val="20"/>
              </w:rPr>
              <w:t xml:space="preserve">va </w:t>
            </w:r>
            <w:r>
              <w:rPr>
                <w:rFonts w:ascii="Times" w:hAnsi="Times" w:cs="Times"/>
                <w:sz w:val="20"/>
                <w:szCs w:val="20"/>
              </w:rPr>
              <w:br/>
              <w:t xml:space="preserve">na civilné použitie na trhu </w:t>
            </w:r>
            <w:r w:rsidRPr="004008AC">
              <w:rPr>
                <w:rFonts w:ascii="Times" w:hAnsi="Times" w:cs="Times"/>
                <w:sz w:val="20"/>
                <w:szCs w:val="20"/>
              </w:rPr>
              <w:t xml:space="preserve">a ktorým sa mení a dopĺňa zákon č. 190/2003 Z. z. o strelných zbraniach a strelive </w:t>
            </w:r>
            <w:r>
              <w:rPr>
                <w:rFonts w:ascii="Times" w:hAnsi="Times" w:cs="Times"/>
                <w:sz w:val="20"/>
                <w:szCs w:val="20"/>
              </w:rPr>
              <w:br/>
            </w:r>
            <w:r w:rsidRPr="004008AC">
              <w:rPr>
                <w:rFonts w:ascii="Times" w:hAnsi="Times" w:cs="Times"/>
                <w:sz w:val="20"/>
                <w:szCs w:val="20"/>
              </w:rPr>
              <w:t>a o zmene a doplnení niektorých zákonov v znení neskorších predpisov</w:t>
            </w:r>
            <w:r w:rsidRPr="00B93223">
              <w:rPr>
                <w:rFonts w:ascii="Times" w:hAnsi="Times" w:cs="Times"/>
                <w:sz w:val="20"/>
                <w:szCs w:val="20"/>
              </w:rPr>
              <w:t>.</w:t>
            </w:r>
          </w:p>
        </w:tc>
      </w:tr>
      <w:tr w:rsidR="00D02467" w:rsidRPr="00B93223" w:rsidTr="008B39B0">
        <w:trPr>
          <w:trHeight w:val="450"/>
          <w:jc w:val="center"/>
        </w:trPr>
        <w:tc>
          <w:tcPr>
            <w:tcW w:w="250" w:type="pct"/>
            <w:gridSpan w:val="2"/>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Predkladateľ (a spolupredkladateľ)</w:t>
            </w:r>
          </w:p>
        </w:tc>
      </w:tr>
      <w:tr w:rsidR="00D02467" w:rsidRPr="00B93223" w:rsidTr="008B39B0">
        <w:trPr>
          <w:trHeight w:val="450"/>
          <w:jc w:val="center"/>
        </w:trPr>
        <w:tc>
          <w:tcPr>
            <w:tcW w:w="250" w:type="pct"/>
            <w:gridSpan w:val="2"/>
            <w:tcBorders>
              <w:top w:val="outset" w:sz="6" w:space="0" w:color="000000"/>
              <w:bottom w:val="outset" w:sz="6" w:space="0" w:color="000000"/>
            </w:tcBorders>
            <w:hideMark/>
          </w:tcPr>
          <w:p w:rsidR="00D02467" w:rsidRPr="00B93223" w:rsidRDefault="00D02467" w:rsidP="008B39B0">
            <w:pPr>
              <w:rPr>
                <w:rFonts w:ascii="Times" w:hAnsi="Times" w:cs="Times"/>
                <w:sz w:val="20"/>
                <w:szCs w:val="20"/>
              </w:rPr>
            </w:pPr>
            <w:r w:rsidRPr="00B93223">
              <w:rPr>
                <w:rFonts w:ascii="Times" w:hAnsi="Times" w:cs="Times"/>
                <w:sz w:val="20"/>
                <w:szCs w:val="20"/>
              </w:rPr>
              <w:t>Úrad pre normalizáciu, metrológiu a skúšobníctvo Slovenskej republiky</w:t>
            </w:r>
          </w:p>
        </w:tc>
      </w:tr>
      <w:tr w:rsidR="00D02467" w:rsidRPr="00B93223" w:rsidTr="008B39B0">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D02467" w:rsidRPr="00B93223" w:rsidRDefault="00D02467" w:rsidP="008B39B0">
            <w:pPr>
              <w:jc w:val="center"/>
              <w:rPr>
                <w:rFonts w:ascii="Times" w:hAnsi="Times" w:cs="Times"/>
                <w:b/>
                <w:bCs/>
              </w:rPr>
            </w:pPr>
            <w:r w:rsidRPr="00B93223">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D02467" w:rsidRPr="00B93223" w:rsidRDefault="00D02467" w:rsidP="008B39B0">
            <w:pPr>
              <w:rPr>
                <w:rFonts w:ascii="Times" w:hAnsi="Times" w:cs="Times"/>
                <w:sz w:val="20"/>
                <w:szCs w:val="20"/>
              </w:rPr>
            </w:pPr>
            <w:r w:rsidRPr="00B93223">
              <w:rPr>
                <w:rFonts w:ascii="Times" w:hAnsi="Times" w:cs="Times"/>
                <w:sz w:val="20"/>
                <w:szCs w:val="20"/>
              </w:rPr>
              <w:t> </w:t>
            </w:r>
            <w:r w:rsidRPr="00B93223">
              <w:rPr>
                <w:rFonts w:ascii="Wingdings 2" w:hAnsi="Wingdings 2" w:cs="Times"/>
                <w:sz w:val="28"/>
                <w:szCs w:val="28"/>
              </w:rPr>
              <w:t></w:t>
            </w:r>
            <w:r w:rsidRPr="00B93223">
              <w:rPr>
                <w:rFonts w:ascii="Times" w:hAnsi="Times" w:cs="Times"/>
                <w:sz w:val="20"/>
                <w:szCs w:val="20"/>
              </w:rPr>
              <w:t>  Materiál nelegislatívnej povahy</w:t>
            </w:r>
          </w:p>
        </w:tc>
      </w:tr>
      <w:tr w:rsidR="00D02467" w:rsidRPr="00B93223" w:rsidTr="008B39B0">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02467" w:rsidRPr="00B93223" w:rsidRDefault="00D02467" w:rsidP="008B39B0">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D02467" w:rsidRPr="00B93223" w:rsidRDefault="00D02467" w:rsidP="008B39B0">
            <w:pPr>
              <w:rPr>
                <w:rFonts w:ascii="Times" w:hAnsi="Times" w:cs="Times"/>
                <w:sz w:val="20"/>
                <w:szCs w:val="20"/>
              </w:rPr>
            </w:pPr>
            <w:r w:rsidRPr="00B93223">
              <w:rPr>
                <w:rFonts w:ascii="Times" w:hAnsi="Times" w:cs="Times"/>
                <w:sz w:val="20"/>
                <w:szCs w:val="20"/>
              </w:rPr>
              <w:t> </w:t>
            </w:r>
            <w:r w:rsidRPr="00B93223">
              <w:rPr>
                <w:rFonts w:ascii="Wingdings 2" w:hAnsi="Wingdings 2" w:cs="Times"/>
                <w:sz w:val="20"/>
                <w:szCs w:val="20"/>
              </w:rPr>
              <w:t></w:t>
            </w:r>
            <w:r w:rsidRPr="00B93223">
              <w:rPr>
                <w:rFonts w:ascii="Times" w:hAnsi="Times" w:cs="Times"/>
                <w:sz w:val="20"/>
                <w:szCs w:val="20"/>
              </w:rPr>
              <w:t xml:space="preserve">  Materiál legislatívnej povahy </w:t>
            </w:r>
          </w:p>
        </w:tc>
      </w:tr>
      <w:tr w:rsidR="00D02467" w:rsidRPr="00B93223" w:rsidTr="008B39B0">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02467" w:rsidRPr="00B93223" w:rsidRDefault="00D02467" w:rsidP="008B39B0">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D02467" w:rsidRPr="00B93223" w:rsidRDefault="00D02467" w:rsidP="008B39B0">
            <w:pPr>
              <w:rPr>
                <w:rFonts w:ascii="Times" w:hAnsi="Times" w:cs="Times"/>
                <w:sz w:val="20"/>
                <w:szCs w:val="20"/>
              </w:rPr>
            </w:pPr>
            <w:r w:rsidRPr="00B93223">
              <w:rPr>
                <w:rFonts w:ascii="Times" w:hAnsi="Times" w:cs="Times"/>
                <w:sz w:val="20"/>
                <w:szCs w:val="20"/>
              </w:rPr>
              <w:t> </w:t>
            </w:r>
            <w:r w:rsidRPr="00B93223">
              <w:rPr>
                <w:rFonts w:ascii="Wingdings 2" w:hAnsi="Wingdings 2" w:cs="Times"/>
                <w:sz w:val="20"/>
                <w:szCs w:val="20"/>
              </w:rPr>
              <w:t></w:t>
            </w:r>
            <w:r w:rsidRPr="00B93223">
              <w:rPr>
                <w:rFonts w:ascii="Times" w:hAnsi="Times" w:cs="Times"/>
                <w:sz w:val="20"/>
                <w:szCs w:val="20"/>
              </w:rPr>
              <w:t xml:space="preserve">  Transpozícia práva EÚ </w:t>
            </w:r>
          </w:p>
        </w:tc>
      </w:tr>
      <w:tr w:rsidR="00D02467" w:rsidRPr="00B93223" w:rsidTr="008B39B0">
        <w:trPr>
          <w:trHeight w:val="675"/>
          <w:jc w:val="center"/>
        </w:trPr>
        <w:tc>
          <w:tcPr>
            <w:tcW w:w="0" w:type="auto"/>
            <w:gridSpan w:val="2"/>
            <w:tcBorders>
              <w:top w:val="outset" w:sz="6" w:space="0" w:color="000000"/>
              <w:bottom w:val="outset" w:sz="6" w:space="0" w:color="000000"/>
            </w:tcBorders>
            <w:hideMark/>
          </w:tcPr>
          <w:p w:rsidR="00D02467" w:rsidRDefault="00D02467" w:rsidP="008B39B0">
            <w:pPr>
              <w:jc w:val="both"/>
              <w:rPr>
                <w:rFonts w:ascii="Times" w:hAnsi="Times" w:cs="Times"/>
                <w:sz w:val="20"/>
                <w:szCs w:val="20"/>
              </w:rPr>
            </w:pPr>
            <w:r w:rsidRPr="00A67315">
              <w:rPr>
                <w:rFonts w:ascii="Times" w:hAnsi="Times" w:cs="Times"/>
                <w:sz w:val="20"/>
                <w:szCs w:val="20"/>
              </w:rPr>
              <w:t>1.</w:t>
            </w:r>
            <w:r>
              <w:rPr>
                <w:rFonts w:ascii="Times" w:hAnsi="Times" w:cs="Times"/>
                <w:sz w:val="20"/>
                <w:szCs w:val="20"/>
              </w:rPr>
              <w:t xml:space="preserve"> </w:t>
            </w:r>
            <w:r w:rsidRPr="00A67315">
              <w:rPr>
                <w:rFonts w:ascii="Times" w:hAnsi="Times" w:cs="Times"/>
                <w:sz w:val="20"/>
                <w:szCs w:val="20"/>
              </w:rPr>
              <w:t>V</w:t>
            </w:r>
            <w:r>
              <w:rPr>
                <w:rFonts w:ascii="Times" w:hAnsi="Times" w:cs="Times"/>
                <w:sz w:val="20"/>
                <w:szCs w:val="20"/>
              </w:rPr>
              <w:t>ykonávacia</w:t>
            </w:r>
            <w:r w:rsidRPr="00A67315">
              <w:rPr>
                <w:rFonts w:ascii="Times" w:hAnsi="Times" w:cs="Times"/>
                <w:sz w:val="20"/>
                <w:szCs w:val="20"/>
              </w:rPr>
              <w:t xml:space="preserve"> smernic</w:t>
            </w:r>
            <w:r>
              <w:rPr>
                <w:rFonts w:ascii="Times" w:hAnsi="Times" w:cs="Times"/>
                <w:sz w:val="20"/>
                <w:szCs w:val="20"/>
              </w:rPr>
              <w:t>a</w:t>
            </w:r>
            <w:r w:rsidRPr="00A67315">
              <w:rPr>
                <w:rFonts w:ascii="Times" w:hAnsi="Times" w:cs="Times"/>
                <w:sz w:val="20"/>
                <w:szCs w:val="20"/>
              </w:rPr>
              <w:t xml:space="preserve"> Komisie (EÚ) 2019/68 zo 16. januára 2019, ktorou sa stanovujú technické špecifikácie označovania strelných zbraní a ich hlavných častí podľa smernice Rady 91/477/EHS o kontrole získavania a</w:t>
            </w:r>
            <w:r>
              <w:rPr>
                <w:rFonts w:ascii="Times" w:hAnsi="Times" w:cs="Times"/>
                <w:sz w:val="20"/>
                <w:szCs w:val="20"/>
              </w:rPr>
              <w:t> </w:t>
            </w:r>
            <w:r w:rsidRPr="00A67315">
              <w:rPr>
                <w:rFonts w:ascii="Times" w:hAnsi="Times" w:cs="Times"/>
                <w:sz w:val="20"/>
                <w:szCs w:val="20"/>
              </w:rPr>
              <w:t>vlastnenia zbraní (Ú. v. EÚ L 15, 17.1.2019) (ďalej len „vyko</w:t>
            </w:r>
            <w:r>
              <w:rPr>
                <w:rFonts w:ascii="Times" w:hAnsi="Times" w:cs="Times"/>
                <w:sz w:val="20"/>
                <w:szCs w:val="20"/>
              </w:rPr>
              <w:t>návacia smernica (EÚ) 2019/68“).</w:t>
            </w:r>
          </w:p>
          <w:p w:rsidR="00D02467" w:rsidRDefault="00D02467" w:rsidP="008B39B0">
            <w:pPr>
              <w:jc w:val="both"/>
              <w:rPr>
                <w:rFonts w:ascii="Times" w:hAnsi="Times" w:cs="Times"/>
                <w:sz w:val="20"/>
                <w:szCs w:val="20"/>
              </w:rPr>
            </w:pPr>
            <w:r>
              <w:rPr>
                <w:rFonts w:ascii="Times" w:hAnsi="Times" w:cs="Times"/>
                <w:sz w:val="20"/>
                <w:szCs w:val="20"/>
              </w:rPr>
              <w:t>2. Vykonávacia smernica</w:t>
            </w:r>
            <w:r w:rsidRPr="00A67315">
              <w:rPr>
                <w:rFonts w:ascii="Times" w:hAnsi="Times" w:cs="Times"/>
                <w:sz w:val="20"/>
                <w:szCs w:val="20"/>
              </w:rPr>
              <w:t xml:space="preserve"> Komisie (EÚ) 2019/69 zo 16. januára 2019, ktorou sa stanovujú technické špecifikácie pre poplašné a signálne zbrane podľa smernice Rady 91/477/EHS o kontrole získavania a vlastnenia zbraní </w:t>
            </w:r>
            <w:r>
              <w:rPr>
                <w:rFonts w:ascii="Times" w:hAnsi="Times" w:cs="Times"/>
                <w:sz w:val="20"/>
                <w:szCs w:val="20"/>
              </w:rPr>
              <w:br/>
            </w:r>
            <w:r w:rsidRPr="00A67315">
              <w:rPr>
                <w:rFonts w:ascii="Times" w:hAnsi="Times" w:cs="Times"/>
                <w:sz w:val="20"/>
                <w:szCs w:val="20"/>
              </w:rPr>
              <w:t>(Ú. v. EÚ L 15, 17.1.2019) (ďalej len „vykonávacia smernica (EÚ) 2019/69“)</w:t>
            </w:r>
            <w:r>
              <w:rPr>
                <w:rFonts w:ascii="Times" w:hAnsi="Times" w:cs="Times"/>
                <w:sz w:val="20"/>
                <w:szCs w:val="20"/>
              </w:rPr>
              <w:t>.</w:t>
            </w:r>
          </w:p>
          <w:p w:rsidR="00D02467" w:rsidRPr="00A67315" w:rsidRDefault="00D02467" w:rsidP="008B39B0">
            <w:pPr>
              <w:jc w:val="both"/>
              <w:rPr>
                <w:rFonts w:ascii="Times" w:hAnsi="Times" w:cs="Times"/>
                <w:sz w:val="20"/>
                <w:szCs w:val="20"/>
              </w:rPr>
            </w:pPr>
            <w:r>
              <w:rPr>
                <w:rFonts w:ascii="Times" w:hAnsi="Times" w:cs="Times"/>
                <w:sz w:val="20"/>
                <w:szCs w:val="20"/>
              </w:rPr>
              <w:t>3. Č</w:t>
            </w:r>
            <w:r w:rsidRPr="00391C0F">
              <w:rPr>
                <w:rFonts w:ascii="Times" w:hAnsi="Times" w:cs="Times"/>
                <w:sz w:val="20"/>
                <w:szCs w:val="20"/>
              </w:rPr>
              <w:t xml:space="preserve">lánok 4 ods. 1 písm. a) a článok 4 ods. 2 smernice Európskeho parlamentu a Rady (EÚ) 2017/853 </w:t>
            </w:r>
            <w:r>
              <w:rPr>
                <w:rFonts w:ascii="Times" w:hAnsi="Times" w:cs="Times"/>
                <w:sz w:val="20"/>
                <w:szCs w:val="20"/>
              </w:rPr>
              <w:br/>
            </w:r>
            <w:r w:rsidRPr="00391C0F">
              <w:rPr>
                <w:rFonts w:ascii="Times" w:hAnsi="Times" w:cs="Times"/>
                <w:sz w:val="20"/>
                <w:szCs w:val="20"/>
              </w:rPr>
              <w:t xml:space="preserve">zo 17. mája 2017, ktorou sa mení smernica Rady 91/477/EHS o kontrole získavania a vlastnenia zbraní </w:t>
            </w:r>
            <w:r>
              <w:rPr>
                <w:rFonts w:ascii="Times" w:hAnsi="Times" w:cs="Times"/>
                <w:sz w:val="20"/>
                <w:szCs w:val="20"/>
              </w:rPr>
              <w:br/>
            </w:r>
            <w:r w:rsidRPr="00391C0F">
              <w:rPr>
                <w:rFonts w:ascii="Times" w:hAnsi="Times" w:cs="Times"/>
                <w:sz w:val="20"/>
                <w:szCs w:val="20"/>
              </w:rPr>
              <w:t>(ďalej len „smernica (EÚ) 2017/853“)</w:t>
            </w:r>
            <w:r>
              <w:rPr>
                <w:rFonts w:ascii="Times" w:hAnsi="Times" w:cs="Times"/>
                <w:sz w:val="20"/>
                <w:szCs w:val="20"/>
              </w:rPr>
              <w:t>.</w:t>
            </w:r>
          </w:p>
        </w:tc>
      </w:tr>
      <w:tr w:rsidR="00D02467" w:rsidRPr="00B93223" w:rsidTr="008B39B0">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D02467" w:rsidRPr="00B93223" w:rsidRDefault="00D02467" w:rsidP="008B39B0">
            <w:pPr>
              <w:rPr>
                <w:rFonts w:ascii="Times" w:hAnsi="Times" w:cs="Times"/>
                <w:sz w:val="20"/>
                <w:szCs w:val="20"/>
              </w:rPr>
            </w:pPr>
            <w:r>
              <w:rPr>
                <w:rFonts w:ascii="Times" w:hAnsi="Times" w:cs="Times"/>
                <w:sz w:val="20"/>
                <w:szCs w:val="20"/>
              </w:rPr>
              <w:t>-</w:t>
            </w:r>
          </w:p>
        </w:tc>
      </w:tr>
      <w:tr w:rsidR="00D02467" w:rsidRPr="00B93223" w:rsidTr="008B39B0">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D02467" w:rsidRPr="00B93223" w:rsidRDefault="00D02467" w:rsidP="008B39B0">
            <w:pPr>
              <w:rPr>
                <w:rFonts w:ascii="Times" w:hAnsi="Times" w:cs="Times"/>
                <w:bCs/>
              </w:rPr>
            </w:pPr>
            <w:r w:rsidRPr="00166389">
              <w:rPr>
                <w:rFonts w:ascii="Times" w:hAnsi="Times" w:cs="Times"/>
                <w:bCs/>
                <w:sz w:val="22"/>
                <w:szCs w:val="22"/>
              </w:rPr>
              <w:t>od 26. marca 2019 do 15. apríla 2019</w:t>
            </w:r>
          </w:p>
        </w:tc>
      </w:tr>
      <w:tr w:rsidR="00D02467" w:rsidRPr="00B93223" w:rsidTr="008B39B0">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Predpokladaný termín predloženia na Rokovanie vlády</w:t>
            </w:r>
            <w:r w:rsidRPr="00B93223">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D02467" w:rsidRPr="00B93223" w:rsidRDefault="00D02467" w:rsidP="008B39B0">
            <w:pPr>
              <w:rPr>
                <w:rFonts w:ascii="Times" w:hAnsi="Times" w:cs="Times"/>
                <w:sz w:val="20"/>
                <w:szCs w:val="20"/>
              </w:rPr>
            </w:pPr>
            <w:r>
              <w:rPr>
                <w:rFonts w:ascii="Times" w:hAnsi="Times" w:cs="Times"/>
                <w:bCs/>
                <w:sz w:val="22"/>
                <w:szCs w:val="22"/>
              </w:rPr>
              <w:t>máj</w:t>
            </w:r>
            <w:r w:rsidRPr="00B93223">
              <w:rPr>
                <w:rFonts w:ascii="Times" w:hAnsi="Times" w:cs="Times"/>
                <w:bCs/>
                <w:sz w:val="22"/>
                <w:szCs w:val="22"/>
              </w:rPr>
              <w:t xml:space="preserve"> 2019</w:t>
            </w:r>
          </w:p>
        </w:tc>
      </w:tr>
    </w:tbl>
    <w:p w:rsidR="00D02467" w:rsidRPr="00B93223" w:rsidRDefault="00D02467" w:rsidP="00D02467">
      <w:pPr>
        <w:pStyle w:val="Normlnywebov"/>
        <w:spacing w:before="0" w:beforeAutospacing="0" w:after="0" w:afterAutospacing="0"/>
        <w:rPr>
          <w:bCs/>
          <w:sz w:val="22"/>
          <w:szCs w:val="22"/>
        </w:rPr>
      </w:pPr>
    </w:p>
    <w:p w:rsidR="00D02467" w:rsidRPr="00B93223" w:rsidRDefault="00D02467" w:rsidP="00D0246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76"/>
      </w:tblGrid>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2.  Definícia problému</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B93223" w:rsidRDefault="00D02467" w:rsidP="008B39B0">
            <w:pPr>
              <w:jc w:val="both"/>
              <w:rPr>
                <w:rFonts w:ascii="Times" w:hAnsi="Times" w:cs="Times"/>
                <w:sz w:val="20"/>
                <w:szCs w:val="20"/>
              </w:rPr>
            </w:pPr>
            <w:r w:rsidRPr="009030ED">
              <w:rPr>
                <w:rFonts w:ascii="Times" w:hAnsi="Times" w:cs="Times"/>
                <w:sz w:val="20"/>
                <w:szCs w:val="20"/>
              </w:rPr>
              <w:t xml:space="preserve">Návrh zákona bude v zmysle transpozície </w:t>
            </w:r>
            <w:r>
              <w:rPr>
                <w:rFonts w:ascii="Times" w:hAnsi="Times" w:cs="Times"/>
                <w:sz w:val="20"/>
                <w:szCs w:val="20"/>
              </w:rPr>
              <w:t>článku 4 ods. 1 písm. a) a článku 4 ods. 2 smernice</w:t>
            </w:r>
            <w:r>
              <w:t xml:space="preserve"> </w:t>
            </w:r>
            <w:r w:rsidRPr="000753B6">
              <w:rPr>
                <w:rFonts w:ascii="Times" w:hAnsi="Times" w:cs="Times"/>
                <w:sz w:val="20"/>
                <w:szCs w:val="20"/>
              </w:rPr>
              <w:t>(EÚ) 2017/853</w:t>
            </w:r>
            <w:r>
              <w:rPr>
                <w:rFonts w:ascii="Times" w:hAnsi="Times" w:cs="Times"/>
                <w:sz w:val="20"/>
                <w:szCs w:val="20"/>
              </w:rPr>
              <w:t xml:space="preserve"> </w:t>
            </w:r>
            <w:r>
              <w:rPr>
                <w:rFonts w:ascii="Times" w:hAnsi="Times" w:cs="Times"/>
                <w:sz w:val="20"/>
                <w:szCs w:val="20"/>
              </w:rPr>
              <w:br/>
              <w:t xml:space="preserve">a </w:t>
            </w:r>
            <w:r w:rsidRPr="009030ED">
              <w:rPr>
                <w:rFonts w:ascii="Times" w:hAnsi="Times" w:cs="Times"/>
                <w:sz w:val="20"/>
                <w:szCs w:val="20"/>
              </w:rPr>
              <w:t xml:space="preserve">vykonávacej smernice (EÚ) 2019/68 ustanovovať najmä úprava spôsobu </w:t>
            </w:r>
            <w:r>
              <w:rPr>
                <w:rFonts w:ascii="Times" w:hAnsi="Times" w:cs="Times"/>
                <w:sz w:val="20"/>
                <w:szCs w:val="20"/>
              </w:rPr>
              <w:t xml:space="preserve">a formy </w:t>
            </w:r>
            <w:r w:rsidRPr="009030ED">
              <w:rPr>
                <w:rFonts w:ascii="Times" w:hAnsi="Times" w:cs="Times"/>
                <w:sz w:val="20"/>
                <w:szCs w:val="20"/>
              </w:rPr>
              <w:t>označovania strelných zbraní na civilné použitie (napr. veľkosť písma, typ abecedy, forma číslovania) a</w:t>
            </w:r>
            <w:r>
              <w:rPr>
                <w:rFonts w:ascii="Times" w:hAnsi="Times" w:cs="Times"/>
                <w:sz w:val="20"/>
                <w:szCs w:val="20"/>
              </w:rPr>
              <w:t xml:space="preserve"> podľa </w:t>
            </w:r>
            <w:r w:rsidRPr="009030ED">
              <w:rPr>
                <w:rFonts w:ascii="Times" w:hAnsi="Times" w:cs="Times"/>
                <w:sz w:val="20"/>
                <w:szCs w:val="20"/>
              </w:rPr>
              <w:t>vykonávac</w:t>
            </w:r>
            <w:r>
              <w:rPr>
                <w:rFonts w:ascii="Times" w:hAnsi="Times" w:cs="Times"/>
                <w:sz w:val="20"/>
                <w:szCs w:val="20"/>
              </w:rPr>
              <w:t>ej</w:t>
            </w:r>
            <w:r w:rsidRPr="009030ED">
              <w:rPr>
                <w:rFonts w:ascii="Times" w:hAnsi="Times" w:cs="Times"/>
                <w:sz w:val="20"/>
                <w:szCs w:val="20"/>
              </w:rPr>
              <w:t xml:space="preserve"> smernic</w:t>
            </w:r>
            <w:r>
              <w:rPr>
                <w:rFonts w:ascii="Times" w:hAnsi="Times" w:cs="Times"/>
                <w:sz w:val="20"/>
                <w:szCs w:val="20"/>
              </w:rPr>
              <w:t>e</w:t>
            </w:r>
            <w:r w:rsidRPr="009030ED">
              <w:rPr>
                <w:rFonts w:ascii="Times" w:hAnsi="Times" w:cs="Times"/>
                <w:sz w:val="20"/>
                <w:szCs w:val="20"/>
              </w:rPr>
              <w:t xml:space="preserve"> (EÚ) 2019/69</w:t>
            </w:r>
            <w:r>
              <w:rPr>
                <w:rFonts w:ascii="Times" w:hAnsi="Times" w:cs="Times"/>
                <w:sz w:val="20"/>
                <w:szCs w:val="20"/>
              </w:rPr>
              <w:t xml:space="preserve"> bude upravovať </w:t>
            </w:r>
            <w:r w:rsidRPr="009030ED">
              <w:rPr>
                <w:rFonts w:ascii="Times" w:hAnsi="Times" w:cs="Times"/>
                <w:sz w:val="20"/>
                <w:szCs w:val="20"/>
              </w:rPr>
              <w:t>základn</w:t>
            </w:r>
            <w:r>
              <w:rPr>
                <w:rFonts w:ascii="Times" w:hAnsi="Times" w:cs="Times"/>
                <w:sz w:val="20"/>
                <w:szCs w:val="20"/>
              </w:rPr>
              <w:t>é</w:t>
            </w:r>
            <w:r w:rsidRPr="009030ED">
              <w:rPr>
                <w:rFonts w:ascii="Times" w:hAnsi="Times" w:cs="Times"/>
                <w:sz w:val="20"/>
                <w:szCs w:val="20"/>
              </w:rPr>
              <w:t xml:space="preserve"> požiadavk</w:t>
            </w:r>
            <w:r>
              <w:rPr>
                <w:rFonts w:ascii="Times" w:hAnsi="Times" w:cs="Times"/>
                <w:sz w:val="20"/>
                <w:szCs w:val="20"/>
              </w:rPr>
              <w:t>y</w:t>
            </w:r>
            <w:r w:rsidRPr="009030ED">
              <w:rPr>
                <w:rFonts w:ascii="Times" w:hAnsi="Times" w:cs="Times"/>
                <w:sz w:val="20"/>
                <w:szCs w:val="20"/>
              </w:rPr>
              <w:t xml:space="preserve"> na poplašné a signálne zbrane.</w:t>
            </w: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3.  Ciele a výsledný stav</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FB6163" w:rsidRDefault="00D02467" w:rsidP="008B39B0">
            <w:pPr>
              <w:jc w:val="both"/>
              <w:rPr>
                <w:rFonts w:ascii="Times" w:hAnsi="Times" w:cs="Times"/>
                <w:sz w:val="20"/>
                <w:szCs w:val="20"/>
              </w:rPr>
            </w:pPr>
            <w:r w:rsidRPr="00FB6163">
              <w:rPr>
                <w:rFonts w:ascii="Times" w:hAnsi="Times" w:cs="Times"/>
                <w:sz w:val="20"/>
                <w:szCs w:val="20"/>
              </w:rPr>
              <w:t>Dôvodom vypracovania návrhu zákona je potreba zabezpečenia transpozície vykonávacej smernice (EÚ) 2019/6</w:t>
            </w:r>
            <w:r>
              <w:rPr>
                <w:rFonts w:ascii="Times" w:hAnsi="Times" w:cs="Times"/>
                <w:sz w:val="20"/>
                <w:szCs w:val="20"/>
              </w:rPr>
              <w:t xml:space="preserve">8 </w:t>
            </w:r>
            <w:r w:rsidRPr="00FB6163">
              <w:rPr>
                <w:rFonts w:ascii="Times" w:hAnsi="Times" w:cs="Times"/>
                <w:sz w:val="20"/>
                <w:szCs w:val="20"/>
              </w:rPr>
              <w:t xml:space="preserve">a vykonávacej smernice </w:t>
            </w:r>
            <w:r>
              <w:rPr>
                <w:rFonts w:ascii="Times" w:hAnsi="Times" w:cs="Times"/>
                <w:sz w:val="20"/>
                <w:szCs w:val="20"/>
              </w:rPr>
              <w:t>(EÚ) 2019/69</w:t>
            </w:r>
            <w:r w:rsidRPr="00FB6163">
              <w:rPr>
                <w:rFonts w:ascii="Times" w:hAnsi="Times" w:cs="Times"/>
                <w:sz w:val="20"/>
                <w:szCs w:val="20"/>
              </w:rPr>
              <w:t xml:space="preserve">, ktoré sú v gescii Úradu pre normalizáciu, metrológiu </w:t>
            </w:r>
            <w:r>
              <w:rPr>
                <w:rFonts w:ascii="Times" w:hAnsi="Times" w:cs="Times"/>
                <w:sz w:val="20"/>
                <w:szCs w:val="20"/>
              </w:rPr>
              <w:br/>
            </w:r>
            <w:r w:rsidRPr="00FB6163">
              <w:rPr>
                <w:rFonts w:ascii="Times" w:hAnsi="Times" w:cs="Times"/>
                <w:sz w:val="20"/>
                <w:szCs w:val="20"/>
              </w:rPr>
              <w:t xml:space="preserve">a skúšobníctvo Slovenskej republiky a zabezpečiť tak kompatibilitu právneho poriadku Slovenskej republiky </w:t>
            </w:r>
            <w:r>
              <w:rPr>
                <w:rFonts w:ascii="Times" w:hAnsi="Times" w:cs="Times"/>
                <w:sz w:val="20"/>
                <w:szCs w:val="20"/>
              </w:rPr>
              <w:br/>
            </w:r>
            <w:r w:rsidRPr="00FB6163">
              <w:rPr>
                <w:rFonts w:ascii="Times" w:hAnsi="Times" w:cs="Times"/>
                <w:sz w:val="20"/>
                <w:szCs w:val="20"/>
              </w:rPr>
              <w:t xml:space="preserve">s právom Európskej únie. </w:t>
            </w:r>
          </w:p>
          <w:p w:rsidR="00D02467" w:rsidRDefault="00D02467" w:rsidP="008B39B0">
            <w:pPr>
              <w:jc w:val="both"/>
              <w:rPr>
                <w:rFonts w:ascii="Times" w:hAnsi="Times" w:cs="Times"/>
                <w:sz w:val="20"/>
                <w:szCs w:val="20"/>
              </w:rPr>
            </w:pPr>
            <w:r w:rsidRPr="00391C0F">
              <w:rPr>
                <w:rFonts w:ascii="Times" w:hAnsi="Times" w:cs="Times"/>
                <w:sz w:val="20"/>
                <w:szCs w:val="20"/>
              </w:rPr>
              <w:t>Zároveň sa návrhom zákona transponuje článok 4 ods. 1 písm. a) a člán</w:t>
            </w:r>
            <w:r>
              <w:rPr>
                <w:rFonts w:ascii="Times" w:hAnsi="Times" w:cs="Times"/>
                <w:sz w:val="20"/>
                <w:szCs w:val="20"/>
              </w:rPr>
              <w:t>o</w:t>
            </w:r>
            <w:r w:rsidRPr="00391C0F">
              <w:rPr>
                <w:rFonts w:ascii="Times" w:hAnsi="Times" w:cs="Times"/>
                <w:sz w:val="20"/>
                <w:szCs w:val="20"/>
              </w:rPr>
              <w:t xml:space="preserve">k 4 ods. 2 smernice (EÚ) 2017/853. </w:t>
            </w:r>
            <w:r>
              <w:t xml:space="preserve"> </w:t>
            </w:r>
            <w:r w:rsidRPr="009905B4">
              <w:rPr>
                <w:rFonts w:ascii="Times" w:hAnsi="Times" w:cs="Times"/>
                <w:sz w:val="20"/>
                <w:szCs w:val="20"/>
              </w:rPr>
              <w:t xml:space="preserve">Úrad po dohode s Ministerstvom vnútra Slovenskej republiky pristúpil k transpozícii článku 4 ods. 1 písm. a) </w:t>
            </w:r>
            <w:r>
              <w:rPr>
                <w:rFonts w:ascii="Times" w:hAnsi="Times" w:cs="Times"/>
                <w:sz w:val="20"/>
                <w:szCs w:val="20"/>
              </w:rPr>
              <w:br/>
            </w:r>
            <w:r w:rsidRPr="009905B4">
              <w:rPr>
                <w:rFonts w:ascii="Times" w:hAnsi="Times" w:cs="Times"/>
                <w:sz w:val="20"/>
                <w:szCs w:val="20"/>
              </w:rPr>
              <w:t>a článku 4 ods. 2 smernice (EÚ) 2017/853, ktoré bezprostredne súvisia s transpozíciou vykonávacej smernice (EÚ) 2019/68</w:t>
            </w:r>
            <w:r>
              <w:rPr>
                <w:rFonts w:ascii="Times" w:hAnsi="Times" w:cs="Times"/>
                <w:sz w:val="20"/>
                <w:szCs w:val="20"/>
              </w:rPr>
              <w:t>,</w:t>
            </w:r>
            <w:r w:rsidRPr="009905B4">
              <w:rPr>
                <w:rFonts w:ascii="Times" w:hAnsi="Times" w:cs="Times"/>
                <w:sz w:val="20"/>
                <w:szCs w:val="20"/>
              </w:rPr>
              <w:t xml:space="preserve"> zmenou zákona č. 64/2019 Z. z. o sprístupňovaní strelných zbraní a streliva na civilné použitie </w:t>
            </w:r>
            <w:r>
              <w:rPr>
                <w:rFonts w:ascii="Times" w:hAnsi="Times" w:cs="Times"/>
                <w:sz w:val="20"/>
                <w:szCs w:val="20"/>
              </w:rPr>
              <w:br/>
            </w:r>
            <w:r w:rsidRPr="009905B4">
              <w:rPr>
                <w:rFonts w:ascii="Times" w:hAnsi="Times" w:cs="Times"/>
                <w:sz w:val="20"/>
                <w:szCs w:val="20"/>
              </w:rPr>
              <w:t>na trhu.</w:t>
            </w:r>
            <w:r>
              <w:rPr>
                <w:rFonts w:ascii="Times" w:hAnsi="Times" w:cs="Times"/>
                <w:sz w:val="20"/>
                <w:szCs w:val="20"/>
              </w:rPr>
              <w:t xml:space="preserve"> </w:t>
            </w:r>
          </w:p>
          <w:p w:rsidR="00D02467" w:rsidRDefault="00D02467" w:rsidP="008B39B0">
            <w:pPr>
              <w:jc w:val="both"/>
              <w:rPr>
                <w:rFonts w:ascii="Times" w:hAnsi="Times" w:cs="Times"/>
                <w:sz w:val="20"/>
                <w:szCs w:val="20"/>
              </w:rPr>
            </w:pPr>
            <w:r w:rsidRPr="00FB6163">
              <w:rPr>
                <w:rFonts w:ascii="Times" w:hAnsi="Times" w:cs="Times"/>
                <w:sz w:val="20"/>
                <w:szCs w:val="20"/>
              </w:rPr>
              <w:t xml:space="preserve">Predkladaná právna úprava vychádza z potreby zosúladenia právnej úpravy Slovenskej republiky s právom Európskej únie v oblasti označovania strelných zbraní na civilné použitie (napr. veľkosť písma, typ abecedy, forma číslovania) podľa vykonávacej smernice (EÚ) 2019/68 a v oblasti uplatňovania základných požiadaviek na poplašné a signálne zbrane podľa vykonávacej smernice (EÚ) 2019/69. Uplatnením týchto základných požiadaviek pri výrobe, úprave, oprave alebo inej úpravy poplašnej a signálnej zbrane, by nemalo byť možné tieto predmety zmeniť s použitím bežných nástrojov buď tak, aby vystrelili, alebo aby sa dali upraviť </w:t>
            </w:r>
            <w:r>
              <w:rPr>
                <w:rFonts w:ascii="Times" w:hAnsi="Times" w:cs="Times"/>
                <w:sz w:val="20"/>
                <w:szCs w:val="20"/>
              </w:rPr>
              <w:br/>
            </w:r>
            <w:r w:rsidRPr="00FB6163">
              <w:rPr>
                <w:rFonts w:ascii="Times" w:hAnsi="Times" w:cs="Times"/>
                <w:sz w:val="20"/>
                <w:szCs w:val="20"/>
              </w:rPr>
              <w:lastRenderedPageBreak/>
              <w:t xml:space="preserve">tak, aby boli schopné vystreliť strelu, náboj alebo projektil okamžitým uvoľnením nahromadenej energie, </w:t>
            </w:r>
            <w:r>
              <w:rPr>
                <w:rFonts w:ascii="Times" w:hAnsi="Times" w:cs="Times"/>
                <w:sz w:val="20"/>
                <w:szCs w:val="20"/>
              </w:rPr>
              <w:br/>
            </w:r>
            <w:r w:rsidRPr="00FB6163">
              <w:rPr>
                <w:rFonts w:ascii="Times" w:hAnsi="Times" w:cs="Times"/>
                <w:sz w:val="20"/>
                <w:szCs w:val="20"/>
              </w:rPr>
              <w:t>čím sa má okrem iného zabezpečiť vyššia ochrana verejného zdravia, života a majetku.</w:t>
            </w:r>
          </w:p>
          <w:p w:rsidR="00D02467" w:rsidRDefault="00D02467" w:rsidP="008B39B0">
            <w:pPr>
              <w:jc w:val="both"/>
              <w:rPr>
                <w:rFonts w:ascii="Times" w:hAnsi="Times" w:cs="Times"/>
                <w:sz w:val="20"/>
                <w:szCs w:val="20"/>
              </w:rPr>
            </w:pPr>
          </w:p>
          <w:p w:rsidR="00D02467" w:rsidRDefault="00D02467" w:rsidP="008B39B0">
            <w:pPr>
              <w:jc w:val="both"/>
              <w:rPr>
                <w:rFonts w:ascii="Times" w:hAnsi="Times" w:cs="Times"/>
                <w:sz w:val="20"/>
                <w:szCs w:val="20"/>
              </w:rPr>
            </w:pPr>
          </w:p>
          <w:p w:rsidR="00D02467" w:rsidRPr="00B93223" w:rsidRDefault="00D02467" w:rsidP="008B39B0">
            <w:pPr>
              <w:jc w:val="both"/>
              <w:rPr>
                <w:rFonts w:ascii="Times" w:hAnsi="Times" w:cs="Times"/>
                <w:sz w:val="20"/>
                <w:szCs w:val="20"/>
              </w:rPr>
            </w:pP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lastRenderedPageBreak/>
              <w:t>  4.  Dotknuté subjekty</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B93223" w:rsidRDefault="00D02467" w:rsidP="008B39B0">
            <w:pPr>
              <w:jc w:val="both"/>
              <w:rPr>
                <w:rFonts w:ascii="Times" w:hAnsi="Times" w:cs="Times"/>
                <w:sz w:val="20"/>
                <w:szCs w:val="20"/>
              </w:rPr>
            </w:pPr>
            <w:r w:rsidRPr="00836F73">
              <w:rPr>
                <w:rFonts w:ascii="Times" w:hAnsi="Times" w:cs="Times"/>
                <w:sz w:val="20"/>
                <w:szCs w:val="20"/>
              </w:rPr>
              <w:t>Autorizované osoby, výrobcovia, dovozcovia a distribútori strelných zbraní a streliva.</w:t>
            </w: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5.  Alternatívne riešenia</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Default="00D02467" w:rsidP="008B39B0">
            <w:pPr>
              <w:jc w:val="both"/>
              <w:rPr>
                <w:rFonts w:ascii="Times" w:hAnsi="Times" w:cs="Times"/>
                <w:sz w:val="20"/>
                <w:szCs w:val="20"/>
              </w:rPr>
            </w:pPr>
            <w:r w:rsidRPr="00B93223">
              <w:rPr>
                <w:rFonts w:ascii="Times" w:hAnsi="Times" w:cs="Times"/>
                <w:sz w:val="20"/>
                <w:szCs w:val="20"/>
              </w:rPr>
              <w:t xml:space="preserve">Alternatívne riešenia neboli zvažované. Nulový variant v rámci alternatívnych riešení predkladateľ neuplatnil, keďže ide o transpozíciu právneho predpisu vyššej sily, a to </w:t>
            </w:r>
            <w:r>
              <w:rPr>
                <w:rFonts w:ascii="Times" w:hAnsi="Times" w:cs="Times"/>
                <w:sz w:val="20"/>
                <w:szCs w:val="20"/>
              </w:rPr>
              <w:t>vykonávacej smernice</w:t>
            </w:r>
            <w:r w:rsidRPr="00836F73">
              <w:rPr>
                <w:rFonts w:ascii="Times" w:hAnsi="Times" w:cs="Times"/>
                <w:sz w:val="20"/>
                <w:szCs w:val="20"/>
              </w:rPr>
              <w:t xml:space="preserve"> (EÚ) 2019/68</w:t>
            </w:r>
            <w:r>
              <w:rPr>
                <w:rFonts w:ascii="Times" w:hAnsi="Times" w:cs="Times"/>
                <w:sz w:val="20"/>
                <w:szCs w:val="20"/>
              </w:rPr>
              <w:t>, vykonávacej</w:t>
            </w:r>
            <w:r w:rsidRPr="00836F73">
              <w:rPr>
                <w:rFonts w:ascii="Times" w:hAnsi="Times" w:cs="Times"/>
                <w:sz w:val="20"/>
                <w:szCs w:val="20"/>
              </w:rPr>
              <w:t xml:space="preserve"> smernic</w:t>
            </w:r>
            <w:r>
              <w:rPr>
                <w:rFonts w:ascii="Times" w:hAnsi="Times" w:cs="Times"/>
                <w:sz w:val="20"/>
                <w:szCs w:val="20"/>
              </w:rPr>
              <w:t>e</w:t>
            </w:r>
            <w:r w:rsidRPr="00836F73">
              <w:rPr>
                <w:rFonts w:ascii="Times" w:hAnsi="Times" w:cs="Times"/>
                <w:sz w:val="20"/>
                <w:szCs w:val="20"/>
              </w:rPr>
              <w:t xml:space="preserve"> (EÚ) 2019/69</w:t>
            </w:r>
            <w:r>
              <w:rPr>
                <w:rFonts w:ascii="Times" w:hAnsi="Times" w:cs="Times"/>
                <w:sz w:val="20"/>
                <w:szCs w:val="20"/>
              </w:rPr>
              <w:t xml:space="preserve"> a </w:t>
            </w:r>
            <w:r w:rsidRPr="0087116D">
              <w:rPr>
                <w:rFonts w:ascii="Times" w:hAnsi="Times" w:cs="Times"/>
                <w:sz w:val="20"/>
                <w:szCs w:val="20"/>
              </w:rPr>
              <w:t xml:space="preserve"> článku 4 ods. 1 písm. a) a ods. 2 </w:t>
            </w:r>
            <w:r>
              <w:rPr>
                <w:rFonts w:ascii="Times" w:hAnsi="Times" w:cs="Times"/>
                <w:sz w:val="20"/>
                <w:szCs w:val="20"/>
              </w:rPr>
              <w:t>smernice (EÚ) 2017/853.</w:t>
            </w:r>
          </w:p>
          <w:p w:rsidR="00D02467" w:rsidRPr="00B93223" w:rsidRDefault="00D02467" w:rsidP="008B39B0">
            <w:pPr>
              <w:jc w:val="both"/>
              <w:rPr>
                <w:rFonts w:ascii="Times" w:hAnsi="Times" w:cs="Times"/>
                <w:sz w:val="20"/>
                <w:szCs w:val="20"/>
              </w:rPr>
            </w:pP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6.  Vykonávacie predpisy</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B93223" w:rsidRDefault="00D02467" w:rsidP="008B39B0">
            <w:pPr>
              <w:rPr>
                <w:rFonts w:ascii="Times" w:hAnsi="Times" w:cs="Times"/>
                <w:sz w:val="20"/>
                <w:szCs w:val="20"/>
              </w:rPr>
            </w:pPr>
            <w:r w:rsidRPr="00B93223">
              <w:rPr>
                <w:rFonts w:ascii="Times" w:hAnsi="Times" w:cs="Times"/>
                <w:sz w:val="20"/>
                <w:szCs w:val="20"/>
              </w:rPr>
              <w:t>Predpokladá sa prijatie/zmena vykonávacích predpisov?                          </w:t>
            </w:r>
            <w:r w:rsidRPr="00B93223">
              <w:rPr>
                <w:rFonts w:ascii="Wingdings 2" w:hAnsi="Wingdings 2" w:cs="Times"/>
                <w:sz w:val="28"/>
                <w:szCs w:val="28"/>
              </w:rPr>
              <w:t></w:t>
            </w:r>
            <w:r w:rsidRPr="00B93223">
              <w:rPr>
                <w:rFonts w:ascii="Times" w:hAnsi="Times" w:cs="Times"/>
                <w:sz w:val="20"/>
                <w:szCs w:val="20"/>
              </w:rPr>
              <w:t xml:space="preserve">   Áno            </w:t>
            </w:r>
            <w:r w:rsidRPr="00B93223">
              <w:rPr>
                <w:rFonts w:ascii="Wingdings 2" w:hAnsi="Wingdings 2" w:cs="Times"/>
                <w:sz w:val="20"/>
                <w:szCs w:val="20"/>
              </w:rPr>
              <w:t></w:t>
            </w:r>
            <w:r w:rsidRPr="00B93223">
              <w:rPr>
                <w:rFonts w:ascii="Times" w:hAnsi="Times" w:cs="Times"/>
                <w:sz w:val="20"/>
                <w:szCs w:val="20"/>
              </w:rPr>
              <w:t>  Nie</w:t>
            </w: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xml:space="preserve">  7.  Transpozícia práva EÚ </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B93223" w:rsidRDefault="00D02467" w:rsidP="008B39B0">
            <w:pPr>
              <w:rPr>
                <w:rFonts w:ascii="Times" w:hAnsi="Times" w:cs="Times"/>
                <w:b/>
                <w:bCs/>
                <w:color w:val="FF0000"/>
                <w:sz w:val="20"/>
                <w:szCs w:val="20"/>
              </w:rPr>
            </w:pPr>
            <w:r w:rsidRPr="00B93223">
              <w:rPr>
                <w:sz w:val="20"/>
                <w:szCs w:val="20"/>
              </w:rPr>
              <w:t>Národná právna úprava nejde nad rámec minimálnych požiadaviek EÚ.</w:t>
            </w:r>
          </w:p>
        </w:tc>
      </w:tr>
      <w:tr w:rsidR="00D02467" w:rsidRPr="00B93223" w:rsidTr="008B39B0">
        <w:trPr>
          <w:jc w:val="center"/>
        </w:trPr>
        <w:tc>
          <w:tcPr>
            <w:tcW w:w="25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8.  Preskúmanie účelnosti**</w:t>
            </w:r>
          </w:p>
        </w:tc>
      </w:tr>
      <w:tr w:rsidR="00D02467" w:rsidRPr="00B93223" w:rsidTr="008B39B0">
        <w:trPr>
          <w:trHeight w:val="600"/>
          <w:jc w:val="center"/>
        </w:trPr>
        <w:tc>
          <w:tcPr>
            <w:tcW w:w="250" w:type="pct"/>
            <w:tcBorders>
              <w:top w:val="outset" w:sz="6" w:space="0" w:color="000000"/>
              <w:bottom w:val="outset" w:sz="6" w:space="0" w:color="000000"/>
            </w:tcBorders>
            <w:hideMark/>
          </w:tcPr>
          <w:p w:rsidR="00D02467" w:rsidRPr="00B93223" w:rsidRDefault="00D02467" w:rsidP="008B39B0">
            <w:pPr>
              <w:rPr>
                <w:rFonts w:ascii="Times" w:hAnsi="Times" w:cs="Times"/>
                <w:b/>
                <w:bCs/>
              </w:rPr>
            </w:pPr>
          </w:p>
        </w:tc>
      </w:tr>
    </w:tbl>
    <w:p w:rsidR="00D02467" w:rsidRPr="00B93223" w:rsidRDefault="00D02467" w:rsidP="00D02467">
      <w:pPr>
        <w:pStyle w:val="Normlnywebov"/>
        <w:spacing w:before="0" w:beforeAutospacing="0" w:after="0" w:afterAutospacing="0"/>
        <w:rPr>
          <w:bCs/>
          <w:sz w:val="22"/>
          <w:szCs w:val="22"/>
        </w:rPr>
      </w:pPr>
    </w:p>
    <w:p w:rsidR="00D02467" w:rsidRPr="00B93223" w:rsidRDefault="00D02467" w:rsidP="00D02467">
      <w:pPr>
        <w:ind w:left="142" w:hanging="142"/>
        <w:rPr>
          <w:sz w:val="20"/>
          <w:szCs w:val="20"/>
        </w:rPr>
      </w:pPr>
      <w:r w:rsidRPr="00B93223">
        <w:rPr>
          <w:sz w:val="20"/>
          <w:szCs w:val="20"/>
        </w:rPr>
        <w:t xml:space="preserve">* vyplniť iba v prípade, ak materiál nie je zahrnutý do Plánu práce vlády Slovenskej republiky alebo Plánu        legislatívnych úloh vlády Slovenskej republiky. </w:t>
      </w:r>
    </w:p>
    <w:p w:rsidR="00D02467" w:rsidRDefault="00D02467" w:rsidP="00D02467">
      <w:pPr>
        <w:pStyle w:val="Normlnywebov"/>
        <w:spacing w:before="0" w:beforeAutospacing="0" w:after="0" w:afterAutospacing="0"/>
        <w:rPr>
          <w:sz w:val="20"/>
          <w:szCs w:val="20"/>
        </w:rPr>
      </w:pPr>
      <w:r w:rsidRPr="00B93223">
        <w:rPr>
          <w:sz w:val="20"/>
          <w:szCs w:val="20"/>
        </w:rPr>
        <w:t>** nepovinné</w:t>
      </w:r>
    </w:p>
    <w:p w:rsidR="00D02467" w:rsidRDefault="00D02467" w:rsidP="00D02467">
      <w:pPr>
        <w:pStyle w:val="Normlnywebov"/>
        <w:spacing w:before="0" w:beforeAutospacing="0" w:after="0" w:afterAutospacing="0"/>
        <w:rPr>
          <w:sz w:val="20"/>
          <w:szCs w:val="20"/>
        </w:rPr>
      </w:pPr>
    </w:p>
    <w:p w:rsidR="00D02467" w:rsidRPr="00B93223" w:rsidRDefault="00D02467" w:rsidP="00D02467">
      <w:pPr>
        <w:pStyle w:val="Normlnywebov"/>
        <w:spacing w:before="0" w:beforeAutospacing="0" w:after="0" w:afterAutospacing="0"/>
        <w:rPr>
          <w:sz w:val="20"/>
          <w:szCs w:val="20"/>
        </w:rPr>
      </w:pPr>
    </w:p>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D02467" w:rsidRPr="00A179AE" w:rsidTr="00D02467">
        <w:trPr>
          <w:trHeight w:val="577"/>
        </w:trPr>
        <w:tc>
          <w:tcPr>
            <w:tcW w:w="9180" w:type="dxa"/>
            <w:gridSpan w:val="7"/>
            <w:tcBorders>
              <w:bottom w:val="single" w:sz="4" w:space="0" w:color="FFFFFF"/>
            </w:tcBorders>
            <w:shd w:val="clear" w:color="auto" w:fill="E2E2E2"/>
            <w:vAlign w:val="center"/>
          </w:tcPr>
          <w:p w:rsidR="00D02467" w:rsidRPr="00057A67" w:rsidRDefault="00D02467" w:rsidP="008B39B0">
            <w:pPr>
              <w:rPr>
                <w:b/>
              </w:rPr>
            </w:pPr>
            <w:r w:rsidRPr="00057A67">
              <w:rPr>
                <w:b/>
                <w:bCs/>
                <w:lang w:eastAsia="sk-SK"/>
              </w:rPr>
              <w:t>9. Vplyvy navrhovaného materiálu</w:t>
            </w:r>
          </w:p>
        </w:tc>
      </w:tr>
      <w:tr w:rsidR="00D02467" w:rsidRPr="00A179AE" w:rsidTr="008B39B0">
        <w:tc>
          <w:tcPr>
            <w:tcW w:w="3812" w:type="dxa"/>
            <w:tcBorders>
              <w:bottom w:val="nil"/>
            </w:tcBorders>
            <w:shd w:val="clear" w:color="auto" w:fill="E2E2E2"/>
          </w:tcPr>
          <w:p w:rsidR="00D02467" w:rsidRPr="00057A67" w:rsidRDefault="00D02467" w:rsidP="008B39B0">
            <w:pPr>
              <w:rPr>
                <w:b/>
              </w:rPr>
            </w:pPr>
            <w:r w:rsidRPr="00057A67">
              <w:rPr>
                <w:b/>
              </w:rPr>
              <w:t>Vplyvy na rozpočet verejnej správy</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r w:rsidRPr="00B93223">
              <w:rPr>
                <w:rFonts w:ascii="Times" w:hAnsi="Times" w:cs="Times"/>
                <w:sz w:val="20"/>
                <w:szCs w:val="20"/>
              </w:rPr>
              <w:t xml:space="preserve">   </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ind w:left="-107" w:right="-108"/>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34"/>
              <w:rPr>
                <w:b/>
              </w:rPr>
            </w:pPr>
            <w:r w:rsidRPr="00A179AE">
              <w:rPr>
                <w:b/>
              </w:rPr>
              <w:t>Negatívne</w:t>
            </w:r>
          </w:p>
        </w:tc>
      </w:tr>
      <w:tr w:rsidR="00D02467" w:rsidRPr="00A179AE" w:rsidTr="00D02467">
        <w:tc>
          <w:tcPr>
            <w:tcW w:w="3812" w:type="dxa"/>
            <w:tcBorders>
              <w:top w:val="nil"/>
              <w:bottom w:val="single" w:sz="4" w:space="0" w:color="000000"/>
            </w:tcBorders>
            <w:shd w:val="clear" w:color="auto" w:fill="E2E2E2"/>
          </w:tcPr>
          <w:p w:rsidR="00D02467" w:rsidRPr="00057A67" w:rsidRDefault="00D02467" w:rsidP="008B39B0">
            <w:r w:rsidRPr="00057A67">
              <w:t xml:space="preserve">    z toho rozpočtovo zabezpečené vplyvy</w:t>
            </w:r>
          </w:p>
        </w:tc>
        <w:tc>
          <w:tcPr>
            <w:tcW w:w="541" w:type="dxa"/>
            <w:tcBorders>
              <w:right w:val="nil"/>
            </w:tcBorders>
          </w:tcPr>
          <w:p w:rsidR="00D02467" w:rsidRPr="00A179AE" w:rsidRDefault="00D02467" w:rsidP="008B39B0">
            <w:pPr>
              <w:jc w:val="center"/>
            </w:pPr>
            <w:r w:rsidRPr="00A179AE">
              <w:rPr>
                <w:rFonts w:ascii="MS Mincho" w:eastAsia="MS Mincho" w:hAnsi="MS Mincho" w:cs="MS Mincho" w:hint="eastAsia"/>
              </w:rPr>
              <w:t>☐</w:t>
            </w:r>
          </w:p>
        </w:tc>
        <w:tc>
          <w:tcPr>
            <w:tcW w:w="1281" w:type="dxa"/>
            <w:tcBorders>
              <w:left w:val="nil"/>
              <w:right w:val="nil"/>
            </w:tcBorders>
          </w:tcPr>
          <w:p w:rsidR="00D02467" w:rsidRPr="00A179AE" w:rsidRDefault="00D02467" w:rsidP="008B39B0">
            <w:r w:rsidRPr="00A179AE">
              <w:t>Áno</w:t>
            </w:r>
          </w:p>
        </w:tc>
        <w:tc>
          <w:tcPr>
            <w:tcW w:w="569" w:type="dxa"/>
            <w:tcBorders>
              <w:left w:val="nil"/>
              <w:right w:val="nil"/>
            </w:tcBorders>
          </w:tcPr>
          <w:p w:rsidR="00D02467" w:rsidRPr="00A179AE" w:rsidRDefault="00D02467" w:rsidP="008B39B0">
            <w:pPr>
              <w:jc w:val="center"/>
            </w:pPr>
            <w:r w:rsidRPr="00A179AE">
              <w:rPr>
                <w:rFonts w:ascii="MS Mincho" w:eastAsia="MS Mincho" w:hAnsi="MS Mincho" w:cs="MS Mincho" w:hint="eastAsia"/>
              </w:rPr>
              <w:t>☐</w:t>
            </w:r>
          </w:p>
        </w:tc>
        <w:tc>
          <w:tcPr>
            <w:tcW w:w="1133" w:type="dxa"/>
            <w:tcBorders>
              <w:left w:val="nil"/>
              <w:right w:val="nil"/>
            </w:tcBorders>
          </w:tcPr>
          <w:p w:rsidR="00D02467" w:rsidRPr="00A179AE" w:rsidRDefault="00D02467" w:rsidP="008B39B0">
            <w:r w:rsidRPr="00A179AE">
              <w:t>Nie</w:t>
            </w:r>
          </w:p>
        </w:tc>
        <w:tc>
          <w:tcPr>
            <w:tcW w:w="547" w:type="dxa"/>
            <w:tcBorders>
              <w:left w:val="nil"/>
              <w:right w:val="nil"/>
            </w:tcBorders>
          </w:tcPr>
          <w:p w:rsidR="00D02467" w:rsidRPr="00A179AE" w:rsidRDefault="00D02467" w:rsidP="008B39B0">
            <w:pPr>
              <w:ind w:left="-107" w:right="-108"/>
              <w:jc w:val="center"/>
            </w:pPr>
            <w:r w:rsidRPr="00A179AE">
              <w:rPr>
                <w:rFonts w:ascii="MS Mincho" w:eastAsia="MS Mincho" w:hAnsi="MS Mincho" w:cs="MS Mincho" w:hint="eastAsia"/>
              </w:rPr>
              <w:t>☐</w:t>
            </w:r>
          </w:p>
        </w:tc>
        <w:tc>
          <w:tcPr>
            <w:tcW w:w="1297" w:type="dxa"/>
            <w:tcBorders>
              <w:left w:val="nil"/>
            </w:tcBorders>
          </w:tcPr>
          <w:p w:rsidR="00D02467" w:rsidRPr="00A179AE" w:rsidRDefault="00D02467" w:rsidP="008B39B0">
            <w:pPr>
              <w:ind w:left="34"/>
            </w:pPr>
            <w:r w:rsidRPr="00A179AE">
              <w:t>Čiastočne</w:t>
            </w:r>
          </w:p>
        </w:tc>
      </w:tr>
      <w:tr w:rsidR="00D02467" w:rsidRPr="00A179AE" w:rsidTr="00D02467">
        <w:tc>
          <w:tcPr>
            <w:tcW w:w="3812" w:type="dxa"/>
            <w:tcBorders>
              <w:top w:val="single" w:sz="4" w:space="0" w:color="000000"/>
              <w:bottom w:val="nil"/>
            </w:tcBorders>
            <w:shd w:val="clear" w:color="auto" w:fill="E2E2E2"/>
          </w:tcPr>
          <w:p w:rsidR="00D02467" w:rsidRPr="00057A67" w:rsidRDefault="00D02467" w:rsidP="008B39B0">
            <w:pPr>
              <w:rPr>
                <w:b/>
              </w:rPr>
            </w:pPr>
            <w:r w:rsidRPr="00057A67">
              <w:rPr>
                <w:b/>
              </w:rPr>
              <w:t>Vplyvy na podnikateľské prostredie</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ind w:right="-108"/>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54"/>
              <w:rPr>
                <w:b/>
              </w:rPr>
            </w:pPr>
            <w:r w:rsidRPr="00A179AE">
              <w:rPr>
                <w:b/>
              </w:rPr>
              <w:t>Negatívne</w:t>
            </w:r>
          </w:p>
        </w:tc>
      </w:tr>
      <w:tr w:rsidR="00D02467" w:rsidRPr="00A179AE" w:rsidTr="00D02467">
        <w:tc>
          <w:tcPr>
            <w:tcW w:w="3812" w:type="dxa"/>
            <w:tcBorders>
              <w:top w:val="nil"/>
              <w:left w:val="single" w:sz="4" w:space="0" w:color="000000"/>
              <w:bottom w:val="single" w:sz="4" w:space="0" w:color="000000"/>
              <w:right w:val="single" w:sz="4" w:space="0" w:color="000000"/>
            </w:tcBorders>
            <w:shd w:val="clear" w:color="auto" w:fill="E2E2E2"/>
          </w:tcPr>
          <w:p w:rsidR="00D02467" w:rsidRPr="00057A67" w:rsidRDefault="00D02467" w:rsidP="008B39B0">
            <w:r w:rsidRPr="00057A67">
              <w:t xml:space="preserve">    z toho vplyvy na MSP</w:t>
            </w:r>
          </w:p>
        </w:tc>
        <w:tc>
          <w:tcPr>
            <w:tcW w:w="541" w:type="dxa"/>
            <w:tcBorders>
              <w:left w:val="single" w:sz="4" w:space="0" w:color="000000"/>
              <w:right w:val="nil"/>
            </w:tcBorders>
          </w:tcPr>
          <w:p w:rsidR="00D02467" w:rsidRPr="00A179AE" w:rsidRDefault="00D02467" w:rsidP="008B39B0">
            <w:pPr>
              <w:jc w:val="center"/>
            </w:pPr>
            <w:r w:rsidRPr="00A179AE">
              <w:rPr>
                <w:rFonts w:ascii="MS Mincho" w:eastAsia="MS Mincho" w:hAnsi="MS Mincho" w:cs="MS Mincho" w:hint="eastAsia"/>
              </w:rPr>
              <w:t>☐</w:t>
            </w:r>
          </w:p>
        </w:tc>
        <w:tc>
          <w:tcPr>
            <w:tcW w:w="1281" w:type="dxa"/>
            <w:tcBorders>
              <w:left w:val="nil"/>
              <w:right w:val="nil"/>
            </w:tcBorders>
          </w:tcPr>
          <w:p w:rsidR="00D02467" w:rsidRPr="00A179AE" w:rsidRDefault="00D02467" w:rsidP="008B39B0">
            <w:pPr>
              <w:ind w:right="-108"/>
            </w:pPr>
            <w:r w:rsidRPr="00A179AE">
              <w:t>Pozitívne</w:t>
            </w:r>
          </w:p>
        </w:tc>
        <w:tc>
          <w:tcPr>
            <w:tcW w:w="569" w:type="dxa"/>
            <w:tcBorders>
              <w:left w:val="nil"/>
              <w:right w:val="nil"/>
            </w:tcBorders>
          </w:tcPr>
          <w:p w:rsidR="00D02467" w:rsidRPr="00A179AE" w:rsidRDefault="00D02467" w:rsidP="008B39B0">
            <w:pPr>
              <w:jc w:val="center"/>
            </w:pPr>
            <w:r w:rsidRPr="00A179AE">
              <w:rPr>
                <w:rFonts w:ascii="MS Mincho" w:eastAsia="MS Mincho" w:hAnsi="MS Mincho" w:cs="MS Mincho" w:hint="eastAsia"/>
              </w:rPr>
              <w:t>☐</w:t>
            </w:r>
          </w:p>
        </w:tc>
        <w:tc>
          <w:tcPr>
            <w:tcW w:w="1133" w:type="dxa"/>
            <w:tcBorders>
              <w:left w:val="nil"/>
              <w:right w:val="nil"/>
            </w:tcBorders>
          </w:tcPr>
          <w:p w:rsidR="00D02467" w:rsidRPr="00A179AE" w:rsidRDefault="00D02467" w:rsidP="008B39B0">
            <w:r w:rsidRPr="00A179AE">
              <w:t>Žiadne</w:t>
            </w:r>
          </w:p>
        </w:tc>
        <w:tc>
          <w:tcPr>
            <w:tcW w:w="547" w:type="dxa"/>
            <w:tcBorders>
              <w:left w:val="nil"/>
              <w:right w:val="nil"/>
            </w:tcBorders>
          </w:tcPr>
          <w:p w:rsidR="00D02467" w:rsidRPr="00A179AE" w:rsidRDefault="00D02467" w:rsidP="008B39B0">
            <w:pPr>
              <w:jc w:val="center"/>
            </w:pPr>
            <w:r w:rsidRPr="00A179AE">
              <w:rPr>
                <w:rFonts w:ascii="MS Mincho" w:eastAsia="MS Mincho" w:hAnsi="MS Mincho" w:cs="MS Mincho" w:hint="eastAsia"/>
              </w:rPr>
              <w:t>☐</w:t>
            </w:r>
          </w:p>
        </w:tc>
        <w:tc>
          <w:tcPr>
            <w:tcW w:w="1297" w:type="dxa"/>
            <w:tcBorders>
              <w:left w:val="nil"/>
            </w:tcBorders>
          </w:tcPr>
          <w:p w:rsidR="00D02467" w:rsidRPr="00A179AE" w:rsidRDefault="00D02467" w:rsidP="008B39B0">
            <w:pPr>
              <w:ind w:left="54"/>
            </w:pPr>
            <w:r w:rsidRPr="00A179AE">
              <w:t>Negatívne</w:t>
            </w:r>
          </w:p>
        </w:tc>
      </w:tr>
      <w:tr w:rsidR="00D02467" w:rsidRPr="00A179AE" w:rsidTr="00D02467">
        <w:tc>
          <w:tcPr>
            <w:tcW w:w="3812" w:type="dxa"/>
            <w:tcBorders>
              <w:top w:val="single" w:sz="4" w:space="0" w:color="000000"/>
            </w:tcBorders>
            <w:shd w:val="clear" w:color="auto" w:fill="E2E2E2"/>
          </w:tcPr>
          <w:p w:rsidR="00D02467" w:rsidRPr="00057A67" w:rsidRDefault="00D02467" w:rsidP="008B39B0">
            <w:pPr>
              <w:rPr>
                <w:b/>
              </w:rPr>
            </w:pPr>
            <w:r w:rsidRPr="00057A67">
              <w:rPr>
                <w:b/>
              </w:rPr>
              <w:t>Sociálne vplyvy</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ind w:right="-108"/>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54"/>
              <w:rPr>
                <w:b/>
              </w:rPr>
            </w:pPr>
            <w:r w:rsidRPr="00A179AE">
              <w:rPr>
                <w:b/>
              </w:rPr>
              <w:t>Negatívne</w:t>
            </w:r>
          </w:p>
        </w:tc>
      </w:tr>
      <w:tr w:rsidR="00D02467" w:rsidRPr="00A179AE" w:rsidTr="008B39B0">
        <w:tc>
          <w:tcPr>
            <w:tcW w:w="3812" w:type="dxa"/>
            <w:shd w:val="clear" w:color="auto" w:fill="E2E2E2"/>
          </w:tcPr>
          <w:p w:rsidR="00D02467" w:rsidRPr="00057A67" w:rsidRDefault="00D02467" w:rsidP="008B39B0">
            <w:pPr>
              <w:rPr>
                <w:b/>
              </w:rPr>
            </w:pPr>
            <w:r w:rsidRPr="00057A67">
              <w:rPr>
                <w:b/>
              </w:rPr>
              <w:t>Vplyvy na životné prostredie</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ind w:right="-108"/>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54"/>
              <w:rPr>
                <w:b/>
              </w:rPr>
            </w:pPr>
            <w:r w:rsidRPr="00A179AE">
              <w:rPr>
                <w:b/>
              </w:rPr>
              <w:t>Negatívne</w:t>
            </w:r>
          </w:p>
        </w:tc>
      </w:tr>
      <w:tr w:rsidR="00D02467" w:rsidRPr="00A179AE" w:rsidTr="008B39B0">
        <w:trPr>
          <w:trHeight w:val="406"/>
        </w:trPr>
        <w:tc>
          <w:tcPr>
            <w:tcW w:w="3812" w:type="dxa"/>
            <w:shd w:val="clear" w:color="auto" w:fill="E2E2E2"/>
          </w:tcPr>
          <w:p w:rsidR="00D02467" w:rsidRPr="00057A67" w:rsidRDefault="00D02467" w:rsidP="008B39B0">
            <w:pPr>
              <w:rPr>
                <w:b/>
              </w:rPr>
            </w:pPr>
            <w:r w:rsidRPr="00057A67">
              <w:rPr>
                <w:b/>
              </w:rPr>
              <w:t>Vplyvy na informatizáciu</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ind w:right="-108"/>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54"/>
              <w:rPr>
                <w:b/>
              </w:rPr>
            </w:pPr>
            <w:r w:rsidRPr="00A179AE">
              <w:rPr>
                <w:b/>
              </w:rPr>
              <w:t>Negatívne</w:t>
            </w:r>
          </w:p>
        </w:tc>
      </w:tr>
      <w:tr w:rsidR="00D02467" w:rsidRPr="00A179AE" w:rsidTr="008B39B0">
        <w:trPr>
          <w:trHeight w:val="1688"/>
        </w:trPr>
        <w:tc>
          <w:tcPr>
            <w:tcW w:w="3812" w:type="dxa"/>
            <w:shd w:val="clear" w:color="auto" w:fill="E2E2E2"/>
          </w:tcPr>
          <w:p w:rsidR="00D02467" w:rsidRDefault="00D02467" w:rsidP="008B39B0">
            <w:pPr>
              <w:rPr>
                <w:b/>
              </w:rPr>
            </w:pPr>
            <w:r w:rsidRPr="00166389">
              <w:rPr>
                <w:b/>
              </w:rPr>
              <w:t>Vplyvy na služby verejnej správy pre občana, z</w:t>
            </w:r>
            <w:r>
              <w:rPr>
                <w:b/>
              </w:rPr>
              <w:t> </w:t>
            </w:r>
            <w:r w:rsidRPr="00166389">
              <w:rPr>
                <w:b/>
              </w:rPr>
              <w:t>toho</w:t>
            </w:r>
          </w:p>
          <w:p w:rsidR="00D02467" w:rsidRPr="00166389" w:rsidRDefault="00D02467" w:rsidP="008B39B0">
            <w:r w:rsidRPr="00166389">
              <w:rPr>
                <w:b/>
              </w:rPr>
              <w:t xml:space="preserve">    </w:t>
            </w:r>
            <w:r w:rsidRPr="00166389">
              <w:t xml:space="preserve">vplyvy služieb verejnej správy </w:t>
            </w:r>
            <w:r w:rsidRPr="00D02467">
              <w:rPr>
                <w:rFonts w:ascii="Calibri" w:hAnsi="Calibri"/>
              </w:rPr>
              <w:br/>
            </w:r>
            <w:r w:rsidRPr="00166389">
              <w:t>na občana</w:t>
            </w:r>
          </w:p>
          <w:p w:rsidR="00D02467" w:rsidRPr="00166389" w:rsidRDefault="00D02467" w:rsidP="008B39B0">
            <w:pPr>
              <w:rPr>
                <w:b/>
              </w:rPr>
            </w:pPr>
            <w:r w:rsidRPr="00166389">
              <w:t>vplyvy na procesy služieb vo verejnej správe</w:t>
            </w:r>
          </w:p>
        </w:tc>
        <w:tc>
          <w:tcPr>
            <w:tcW w:w="541" w:type="dxa"/>
            <w:tcBorders>
              <w:right w:val="nil"/>
            </w:tcBorders>
          </w:tcPr>
          <w:p w:rsidR="00D02467" w:rsidRDefault="00D02467" w:rsidP="008B39B0">
            <w:pPr>
              <w:ind w:right="-108"/>
              <w:rPr>
                <w:rFonts w:ascii="MS Gothic" w:eastAsia="MS Gothic" w:hAnsi="MS Gothic" w:cs="MS Gothic"/>
                <w:b/>
              </w:rPr>
            </w:pPr>
          </w:p>
          <w:p w:rsidR="00D02467" w:rsidRDefault="00D02467" w:rsidP="008B39B0">
            <w:pPr>
              <w:ind w:right="-108"/>
              <w:rPr>
                <w:rFonts w:ascii="MS Gothic" w:eastAsia="MS Gothic" w:hAnsi="MS Gothic" w:cs="MS Gothic"/>
                <w:b/>
              </w:rPr>
            </w:pPr>
          </w:p>
          <w:p w:rsidR="00D02467" w:rsidRDefault="00D02467" w:rsidP="008B39B0">
            <w:pPr>
              <w:ind w:right="-108"/>
              <w:rPr>
                <w:rFonts w:ascii="MS Gothic" w:eastAsia="MS Gothic" w:hAnsi="MS Gothic" w:cs="MS Gothic"/>
                <w:b/>
              </w:rPr>
            </w:pPr>
            <w:r w:rsidRPr="00166389">
              <w:rPr>
                <w:rFonts w:ascii="MS Gothic" w:eastAsia="MS Gothic" w:hAnsi="MS Gothic" w:cs="MS Gothic" w:hint="eastAsia"/>
                <w:b/>
              </w:rPr>
              <w:t>☐</w:t>
            </w:r>
          </w:p>
          <w:p w:rsidR="00D02467" w:rsidRPr="00166389" w:rsidRDefault="00D02467" w:rsidP="008B39B0">
            <w:pPr>
              <w:ind w:right="-108"/>
              <w:rPr>
                <w:b/>
              </w:rPr>
            </w:pPr>
            <w:r w:rsidRPr="00166389">
              <w:rPr>
                <w:rFonts w:ascii="MS Gothic" w:eastAsia="MS Gothic" w:hAnsi="MS Gothic" w:cs="MS Gothic" w:hint="eastAsia"/>
                <w:b/>
              </w:rPr>
              <w:t>☐</w:t>
            </w:r>
          </w:p>
        </w:tc>
        <w:tc>
          <w:tcPr>
            <w:tcW w:w="1281" w:type="dxa"/>
            <w:tcBorders>
              <w:left w:val="nil"/>
              <w:right w:val="nil"/>
            </w:tcBorders>
          </w:tcPr>
          <w:p w:rsidR="00D02467" w:rsidRDefault="00D02467" w:rsidP="008B39B0">
            <w:pPr>
              <w:ind w:right="-108"/>
              <w:rPr>
                <w:b/>
              </w:rPr>
            </w:pPr>
          </w:p>
          <w:p w:rsidR="00D02467" w:rsidRDefault="00D02467" w:rsidP="008B39B0">
            <w:pPr>
              <w:ind w:right="-108"/>
              <w:rPr>
                <w:b/>
              </w:rPr>
            </w:pPr>
          </w:p>
          <w:p w:rsidR="00D02467" w:rsidRDefault="00D02467" w:rsidP="008B39B0">
            <w:pPr>
              <w:ind w:right="-108"/>
              <w:rPr>
                <w:b/>
              </w:rPr>
            </w:pPr>
            <w:r w:rsidRPr="00166389">
              <w:rPr>
                <w:b/>
              </w:rPr>
              <w:t>Pozitívne</w:t>
            </w:r>
          </w:p>
          <w:p w:rsidR="00D02467" w:rsidRPr="00166389" w:rsidRDefault="00D02467" w:rsidP="008B39B0">
            <w:pPr>
              <w:ind w:right="-108"/>
              <w:rPr>
                <w:b/>
              </w:rPr>
            </w:pPr>
            <w:r w:rsidRPr="00166389">
              <w:rPr>
                <w:b/>
              </w:rPr>
              <w:t>Pozitívne</w:t>
            </w:r>
          </w:p>
        </w:tc>
        <w:tc>
          <w:tcPr>
            <w:tcW w:w="569" w:type="dxa"/>
            <w:tcBorders>
              <w:left w:val="nil"/>
              <w:right w:val="nil"/>
            </w:tcBorders>
          </w:tcPr>
          <w:p w:rsidR="00D02467" w:rsidRDefault="00D02467" w:rsidP="008B39B0">
            <w:pPr>
              <w:ind w:right="-108"/>
              <w:rPr>
                <w:rFonts w:ascii="Wingdings 2" w:hAnsi="Wingdings 2" w:cs="Times"/>
                <w:sz w:val="20"/>
                <w:szCs w:val="20"/>
              </w:rPr>
            </w:pPr>
          </w:p>
          <w:p w:rsidR="00D02467" w:rsidRDefault="00D02467" w:rsidP="008B39B0">
            <w:pPr>
              <w:ind w:right="-108"/>
              <w:rPr>
                <w:rFonts w:ascii="Wingdings 2" w:hAnsi="Wingdings 2" w:cs="Times"/>
                <w:sz w:val="20"/>
                <w:szCs w:val="20"/>
              </w:rPr>
            </w:pPr>
          </w:p>
          <w:p w:rsidR="00D02467" w:rsidRDefault="00D02467" w:rsidP="008B39B0">
            <w:pPr>
              <w:ind w:right="-108"/>
              <w:rPr>
                <w:rFonts w:ascii="Wingdings 2" w:hAnsi="Wingdings 2" w:cs="Times"/>
                <w:sz w:val="20"/>
                <w:szCs w:val="20"/>
              </w:rPr>
            </w:pPr>
          </w:p>
          <w:p w:rsidR="00D02467" w:rsidRDefault="00D02467" w:rsidP="008B39B0">
            <w:pPr>
              <w:ind w:right="-108"/>
              <w:rPr>
                <w:rFonts w:ascii="Wingdings 2" w:hAnsi="Wingdings 2" w:cs="Times"/>
                <w:sz w:val="20"/>
                <w:szCs w:val="20"/>
              </w:rPr>
            </w:pPr>
            <w:r>
              <w:rPr>
                <w:rFonts w:ascii="Wingdings 2" w:hAnsi="Wingdings 2" w:cs="Times"/>
                <w:sz w:val="20"/>
                <w:szCs w:val="20"/>
              </w:rPr>
              <w:t></w:t>
            </w:r>
          </w:p>
          <w:p w:rsidR="00D02467" w:rsidRPr="00166389" w:rsidRDefault="00D02467" w:rsidP="008B39B0">
            <w:pPr>
              <w:ind w:right="-108"/>
              <w:rPr>
                <w:b/>
              </w:rPr>
            </w:pPr>
            <w:r>
              <w:rPr>
                <w:rFonts w:ascii="Wingdings 2" w:hAnsi="Wingdings 2" w:cs="Times"/>
                <w:sz w:val="20"/>
                <w:szCs w:val="20"/>
              </w:rPr>
              <w:t></w:t>
            </w:r>
          </w:p>
        </w:tc>
        <w:tc>
          <w:tcPr>
            <w:tcW w:w="1133" w:type="dxa"/>
            <w:tcBorders>
              <w:left w:val="nil"/>
              <w:right w:val="nil"/>
            </w:tcBorders>
          </w:tcPr>
          <w:p w:rsidR="00D02467" w:rsidRDefault="00D02467" w:rsidP="008B39B0">
            <w:pPr>
              <w:ind w:right="-108"/>
              <w:rPr>
                <w:b/>
              </w:rPr>
            </w:pPr>
          </w:p>
          <w:p w:rsidR="00D02467" w:rsidRDefault="00D02467" w:rsidP="008B39B0">
            <w:pPr>
              <w:ind w:right="-108"/>
              <w:rPr>
                <w:b/>
              </w:rPr>
            </w:pPr>
          </w:p>
          <w:p w:rsidR="00D02467" w:rsidRPr="00166389" w:rsidRDefault="00D02467" w:rsidP="008B39B0">
            <w:pPr>
              <w:ind w:right="-108"/>
              <w:rPr>
                <w:b/>
              </w:rPr>
            </w:pPr>
            <w:r w:rsidRPr="00166389">
              <w:rPr>
                <w:b/>
              </w:rPr>
              <w:t>Žiadne Žiadne</w:t>
            </w:r>
          </w:p>
        </w:tc>
        <w:tc>
          <w:tcPr>
            <w:tcW w:w="547" w:type="dxa"/>
            <w:tcBorders>
              <w:left w:val="nil"/>
              <w:right w:val="nil"/>
            </w:tcBorders>
          </w:tcPr>
          <w:p w:rsidR="00D02467" w:rsidRDefault="00D02467" w:rsidP="008B39B0">
            <w:pPr>
              <w:ind w:right="-108"/>
              <w:rPr>
                <w:rFonts w:ascii="MS Gothic" w:eastAsia="MS Gothic" w:hAnsi="MS Gothic" w:cs="MS Gothic"/>
                <w:b/>
              </w:rPr>
            </w:pPr>
          </w:p>
          <w:p w:rsidR="00D02467" w:rsidRDefault="00D02467" w:rsidP="008B39B0">
            <w:pPr>
              <w:ind w:right="-108"/>
              <w:rPr>
                <w:rFonts w:ascii="MS Gothic" w:eastAsia="MS Gothic" w:hAnsi="MS Gothic" w:cs="MS Gothic"/>
                <w:b/>
              </w:rPr>
            </w:pPr>
          </w:p>
          <w:p w:rsidR="00D02467" w:rsidRDefault="00D02467" w:rsidP="008B39B0">
            <w:pPr>
              <w:ind w:right="-108"/>
              <w:rPr>
                <w:rFonts w:ascii="MS Gothic" w:eastAsia="MS Gothic" w:hAnsi="MS Gothic" w:cs="MS Gothic"/>
                <w:b/>
              </w:rPr>
            </w:pPr>
            <w:r w:rsidRPr="00166389">
              <w:rPr>
                <w:rFonts w:ascii="MS Gothic" w:eastAsia="MS Gothic" w:hAnsi="MS Gothic" w:cs="MS Gothic" w:hint="eastAsia"/>
                <w:b/>
              </w:rPr>
              <w:t>☐</w:t>
            </w:r>
          </w:p>
          <w:p w:rsidR="00D02467" w:rsidRPr="00166389" w:rsidRDefault="00D02467" w:rsidP="008B39B0">
            <w:pPr>
              <w:ind w:right="-108"/>
              <w:rPr>
                <w:b/>
              </w:rPr>
            </w:pPr>
            <w:r w:rsidRPr="00166389">
              <w:rPr>
                <w:rFonts w:ascii="MS Gothic" w:eastAsia="MS Gothic" w:hAnsi="MS Gothic" w:cs="MS Gothic" w:hint="eastAsia"/>
                <w:b/>
              </w:rPr>
              <w:t>☐</w:t>
            </w:r>
          </w:p>
        </w:tc>
        <w:tc>
          <w:tcPr>
            <w:tcW w:w="1297" w:type="dxa"/>
            <w:tcBorders>
              <w:left w:val="nil"/>
            </w:tcBorders>
          </w:tcPr>
          <w:p w:rsidR="00D02467" w:rsidRDefault="00D02467" w:rsidP="008B39B0">
            <w:pPr>
              <w:ind w:left="54" w:right="-108"/>
              <w:rPr>
                <w:b/>
              </w:rPr>
            </w:pPr>
          </w:p>
          <w:p w:rsidR="00D02467" w:rsidRDefault="00D02467" w:rsidP="008B39B0">
            <w:pPr>
              <w:ind w:left="54" w:right="-108"/>
              <w:rPr>
                <w:b/>
              </w:rPr>
            </w:pPr>
          </w:p>
          <w:p w:rsidR="00D02467" w:rsidRPr="00166389" w:rsidRDefault="00D02467" w:rsidP="008B39B0">
            <w:pPr>
              <w:ind w:left="54" w:right="-108"/>
              <w:rPr>
                <w:b/>
              </w:rPr>
            </w:pPr>
            <w:r w:rsidRPr="00166389">
              <w:rPr>
                <w:b/>
              </w:rPr>
              <w:t>Negatívne Negatívne</w:t>
            </w:r>
          </w:p>
        </w:tc>
      </w:tr>
      <w:tr w:rsidR="00D02467" w:rsidRPr="00A179AE" w:rsidTr="008B39B0">
        <w:trPr>
          <w:trHeight w:val="563"/>
        </w:trPr>
        <w:tc>
          <w:tcPr>
            <w:tcW w:w="3812" w:type="dxa"/>
            <w:shd w:val="clear" w:color="auto" w:fill="E2E2E2"/>
          </w:tcPr>
          <w:p w:rsidR="00D02467" w:rsidRPr="0097235E" w:rsidRDefault="00D02467" w:rsidP="008B39B0">
            <w:pPr>
              <w:rPr>
                <w:b/>
              </w:rPr>
            </w:pPr>
            <w:r w:rsidRPr="0097235E">
              <w:rPr>
                <w:b/>
                <w:bCs/>
              </w:rPr>
              <w:t xml:space="preserve">Vplyvy na manželstvo, rodičovstvo </w:t>
            </w:r>
            <w:r w:rsidRPr="00D02467">
              <w:rPr>
                <w:rFonts w:ascii="Calibri" w:hAnsi="Calibri"/>
                <w:b/>
                <w:bCs/>
              </w:rPr>
              <w:br/>
            </w:r>
            <w:r w:rsidRPr="0097235E">
              <w:rPr>
                <w:b/>
                <w:bCs/>
              </w:rPr>
              <w:t>a rodinu</w:t>
            </w:r>
          </w:p>
        </w:tc>
        <w:tc>
          <w:tcPr>
            <w:tcW w:w="541" w:type="dxa"/>
            <w:tcBorders>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81" w:type="dxa"/>
            <w:tcBorders>
              <w:left w:val="nil"/>
              <w:right w:val="nil"/>
            </w:tcBorders>
          </w:tcPr>
          <w:p w:rsidR="00D02467" w:rsidRPr="00A179AE" w:rsidRDefault="00D02467" w:rsidP="008B39B0">
            <w:pPr>
              <w:ind w:right="-108"/>
              <w:rPr>
                <w:b/>
              </w:rPr>
            </w:pPr>
            <w:r w:rsidRPr="00A179AE">
              <w:rPr>
                <w:b/>
              </w:rPr>
              <w:t>Pozitívne</w:t>
            </w:r>
          </w:p>
        </w:tc>
        <w:tc>
          <w:tcPr>
            <w:tcW w:w="569" w:type="dxa"/>
            <w:tcBorders>
              <w:left w:val="nil"/>
              <w:right w:val="nil"/>
            </w:tcBorders>
          </w:tcPr>
          <w:p w:rsidR="00D02467" w:rsidRPr="00A179AE" w:rsidRDefault="00D02467" w:rsidP="008B39B0">
            <w:pPr>
              <w:jc w:val="center"/>
              <w:rPr>
                <w:b/>
              </w:rPr>
            </w:pPr>
            <w:r w:rsidRPr="00B93223">
              <w:rPr>
                <w:rFonts w:ascii="Wingdings 2" w:hAnsi="Wingdings 2" w:cs="Times"/>
                <w:sz w:val="20"/>
                <w:szCs w:val="20"/>
              </w:rPr>
              <w:t></w:t>
            </w:r>
          </w:p>
        </w:tc>
        <w:tc>
          <w:tcPr>
            <w:tcW w:w="1133" w:type="dxa"/>
            <w:tcBorders>
              <w:left w:val="nil"/>
              <w:right w:val="nil"/>
            </w:tcBorders>
          </w:tcPr>
          <w:p w:rsidR="00D02467" w:rsidRPr="00A179AE" w:rsidRDefault="00D02467" w:rsidP="008B39B0">
            <w:pPr>
              <w:rPr>
                <w:b/>
              </w:rPr>
            </w:pPr>
            <w:r w:rsidRPr="00A179AE">
              <w:rPr>
                <w:b/>
              </w:rPr>
              <w:t>Žiadne</w:t>
            </w:r>
          </w:p>
        </w:tc>
        <w:tc>
          <w:tcPr>
            <w:tcW w:w="547" w:type="dxa"/>
            <w:tcBorders>
              <w:left w:val="nil"/>
              <w:right w:val="nil"/>
            </w:tcBorders>
          </w:tcPr>
          <w:p w:rsidR="00D02467" w:rsidRPr="00A179AE" w:rsidRDefault="00D02467" w:rsidP="008B39B0">
            <w:pPr>
              <w:jc w:val="center"/>
              <w:rPr>
                <w:b/>
              </w:rPr>
            </w:pPr>
            <w:r w:rsidRPr="00A179AE">
              <w:rPr>
                <w:rFonts w:ascii="MS Mincho" w:eastAsia="MS Mincho" w:hAnsi="MS Mincho" w:cs="MS Mincho" w:hint="eastAsia"/>
                <w:b/>
              </w:rPr>
              <w:t>☐</w:t>
            </w:r>
          </w:p>
        </w:tc>
        <w:tc>
          <w:tcPr>
            <w:tcW w:w="1297" w:type="dxa"/>
            <w:tcBorders>
              <w:left w:val="nil"/>
            </w:tcBorders>
          </w:tcPr>
          <w:p w:rsidR="00D02467" w:rsidRPr="00A179AE" w:rsidRDefault="00D02467" w:rsidP="008B39B0">
            <w:pPr>
              <w:ind w:left="54"/>
              <w:rPr>
                <w:b/>
              </w:rPr>
            </w:pPr>
            <w:r w:rsidRPr="00A179AE">
              <w:rPr>
                <w:b/>
              </w:rPr>
              <w:t>Negatívne</w:t>
            </w:r>
          </w:p>
        </w:tc>
      </w:tr>
    </w:tbl>
    <w:p w:rsidR="00D02467" w:rsidRDefault="00D02467" w:rsidP="00D02467">
      <w:pPr>
        <w:pStyle w:val="Normlnywebov"/>
        <w:spacing w:before="0" w:beforeAutospacing="0" w:after="0" w:afterAutospacing="0"/>
        <w:rPr>
          <w:bCs/>
          <w:sz w:val="22"/>
          <w:szCs w:val="22"/>
        </w:rPr>
      </w:pPr>
    </w:p>
    <w:p w:rsidR="00D02467" w:rsidRDefault="00D02467" w:rsidP="00D02467">
      <w:pPr>
        <w:pStyle w:val="Normlnywebov"/>
        <w:spacing w:before="0" w:beforeAutospacing="0" w:after="0" w:afterAutospacing="0"/>
        <w:rPr>
          <w:bCs/>
          <w:sz w:val="22"/>
          <w:szCs w:val="22"/>
        </w:rPr>
      </w:pPr>
    </w:p>
    <w:p w:rsidR="00D02467" w:rsidRPr="00B93223" w:rsidRDefault="00D02467" w:rsidP="00D02467">
      <w:pPr>
        <w:pStyle w:val="Normlnywebov"/>
        <w:spacing w:before="0" w:beforeAutospacing="0" w:after="0" w:afterAutospacing="0"/>
        <w:rPr>
          <w:bCs/>
          <w:sz w:val="22"/>
          <w:szCs w:val="22"/>
        </w:rPr>
      </w:pPr>
    </w:p>
    <w:tbl>
      <w:tblPr>
        <w:tblW w:w="5074" w:type="pct"/>
        <w:jc w:val="center"/>
        <w:tblInd w:w="-1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5"/>
      </w:tblGrid>
      <w:tr w:rsidR="00D02467" w:rsidRPr="00B93223" w:rsidTr="008B39B0">
        <w:trPr>
          <w:jc w:val="center"/>
        </w:trPr>
        <w:tc>
          <w:tcPr>
            <w:tcW w:w="500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10.  Poznámky</w:t>
            </w:r>
          </w:p>
        </w:tc>
      </w:tr>
      <w:tr w:rsidR="00D02467" w:rsidRPr="00B93223" w:rsidTr="008B39B0">
        <w:trPr>
          <w:trHeight w:val="600"/>
          <w:jc w:val="center"/>
        </w:trPr>
        <w:tc>
          <w:tcPr>
            <w:tcW w:w="5000" w:type="pct"/>
            <w:tcBorders>
              <w:top w:val="outset" w:sz="6" w:space="0" w:color="000000"/>
              <w:bottom w:val="outset" w:sz="6" w:space="0" w:color="000000"/>
            </w:tcBorders>
            <w:hideMark/>
          </w:tcPr>
          <w:p w:rsidR="00D02467" w:rsidRDefault="00D02467" w:rsidP="008B39B0">
            <w:pPr>
              <w:jc w:val="both"/>
              <w:rPr>
                <w:rFonts w:ascii="Times" w:hAnsi="Times" w:cs="Times"/>
                <w:sz w:val="20"/>
                <w:szCs w:val="20"/>
              </w:rPr>
            </w:pPr>
          </w:p>
          <w:p w:rsidR="00D02467" w:rsidRDefault="00D02467" w:rsidP="008B39B0">
            <w:pPr>
              <w:jc w:val="both"/>
              <w:rPr>
                <w:rFonts w:ascii="Times" w:hAnsi="Times" w:cs="Times"/>
                <w:sz w:val="20"/>
                <w:szCs w:val="20"/>
              </w:rPr>
            </w:pPr>
          </w:p>
          <w:p w:rsidR="00D02467" w:rsidRDefault="00D02467" w:rsidP="008B39B0">
            <w:pPr>
              <w:jc w:val="both"/>
              <w:rPr>
                <w:rFonts w:ascii="Times" w:hAnsi="Times" w:cs="Times"/>
                <w:sz w:val="20"/>
                <w:szCs w:val="20"/>
              </w:rPr>
            </w:pPr>
          </w:p>
          <w:p w:rsidR="00D02467" w:rsidRPr="00B93223" w:rsidRDefault="00D02467" w:rsidP="008B39B0">
            <w:pPr>
              <w:jc w:val="both"/>
              <w:rPr>
                <w:rFonts w:ascii="Times" w:hAnsi="Times" w:cs="Times"/>
                <w:sz w:val="20"/>
                <w:szCs w:val="20"/>
              </w:rPr>
            </w:pPr>
          </w:p>
        </w:tc>
      </w:tr>
      <w:tr w:rsidR="00D02467" w:rsidRPr="00B93223" w:rsidTr="008B39B0">
        <w:trPr>
          <w:jc w:val="center"/>
        </w:trPr>
        <w:tc>
          <w:tcPr>
            <w:tcW w:w="500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11.  Kontakt na spracovateľa</w:t>
            </w:r>
          </w:p>
        </w:tc>
      </w:tr>
      <w:tr w:rsidR="00D02467" w:rsidRPr="00B93223" w:rsidTr="008B39B0">
        <w:trPr>
          <w:trHeight w:val="600"/>
          <w:jc w:val="center"/>
        </w:trPr>
        <w:tc>
          <w:tcPr>
            <w:tcW w:w="5000" w:type="pct"/>
            <w:tcBorders>
              <w:top w:val="outset" w:sz="6" w:space="0" w:color="000000"/>
              <w:bottom w:val="outset" w:sz="6" w:space="0" w:color="000000"/>
            </w:tcBorders>
            <w:hideMark/>
          </w:tcPr>
          <w:p w:rsidR="00D02467" w:rsidRPr="00B93223" w:rsidRDefault="00D02467" w:rsidP="008B39B0">
            <w:pPr>
              <w:jc w:val="both"/>
              <w:rPr>
                <w:rFonts w:ascii="Times" w:hAnsi="Times" w:cs="Times"/>
                <w:sz w:val="20"/>
                <w:szCs w:val="20"/>
              </w:rPr>
            </w:pPr>
            <w:r w:rsidRPr="00B93223">
              <w:rPr>
                <w:rFonts w:ascii="Times" w:hAnsi="Times" w:cs="Times"/>
                <w:sz w:val="20"/>
                <w:szCs w:val="20"/>
              </w:rPr>
              <w:t xml:space="preserve">Mgr. Veronika Kalužská, </w:t>
            </w:r>
            <w:hyperlink r:id="rId8" w:history="1">
              <w:r w:rsidRPr="00B93223">
                <w:rPr>
                  <w:rStyle w:val="Hypertextovprepojenie"/>
                  <w:rFonts w:ascii="Times" w:hAnsi="Times" w:cs="Times"/>
                  <w:sz w:val="20"/>
                  <w:szCs w:val="20"/>
                </w:rPr>
                <w:t>veronika.kaluzska@normoff.gov.sk</w:t>
              </w:r>
            </w:hyperlink>
            <w:r w:rsidRPr="00B93223">
              <w:rPr>
                <w:rFonts w:ascii="Times" w:hAnsi="Times" w:cs="Times"/>
                <w:sz w:val="20"/>
                <w:szCs w:val="20"/>
              </w:rPr>
              <w:t xml:space="preserve"> .</w:t>
            </w:r>
          </w:p>
        </w:tc>
      </w:tr>
      <w:tr w:rsidR="00D02467" w:rsidRPr="00B93223" w:rsidTr="008B39B0">
        <w:trPr>
          <w:jc w:val="center"/>
        </w:trPr>
        <w:tc>
          <w:tcPr>
            <w:tcW w:w="5000" w:type="pct"/>
            <w:tcBorders>
              <w:top w:val="outset" w:sz="6" w:space="0" w:color="000000"/>
              <w:bottom w:val="outset" w:sz="6" w:space="0" w:color="000000"/>
            </w:tcBorders>
            <w:shd w:val="clear" w:color="auto" w:fill="E6E6E6"/>
            <w:hideMark/>
          </w:tcPr>
          <w:p w:rsidR="00D02467" w:rsidRPr="00B93223" w:rsidRDefault="00D02467" w:rsidP="008B39B0">
            <w:pPr>
              <w:rPr>
                <w:rFonts w:ascii="Times" w:hAnsi="Times" w:cs="Times"/>
                <w:b/>
                <w:bCs/>
              </w:rPr>
            </w:pPr>
            <w:r w:rsidRPr="00B93223">
              <w:rPr>
                <w:rFonts w:ascii="Times" w:hAnsi="Times" w:cs="Times"/>
                <w:b/>
                <w:bCs/>
                <w:sz w:val="22"/>
                <w:szCs w:val="22"/>
              </w:rPr>
              <w:t>  12.  Zdroje</w:t>
            </w:r>
          </w:p>
        </w:tc>
      </w:tr>
      <w:tr w:rsidR="00D02467" w:rsidRPr="00B93223" w:rsidTr="008B39B0">
        <w:trPr>
          <w:trHeight w:val="600"/>
          <w:jc w:val="center"/>
        </w:trPr>
        <w:tc>
          <w:tcPr>
            <w:tcW w:w="5000" w:type="pct"/>
            <w:tcBorders>
              <w:top w:val="outset" w:sz="6" w:space="0" w:color="000000"/>
              <w:bottom w:val="outset" w:sz="6" w:space="0" w:color="000000"/>
            </w:tcBorders>
            <w:hideMark/>
          </w:tcPr>
          <w:p w:rsidR="00D02467" w:rsidRDefault="00D02467" w:rsidP="008B39B0">
            <w:pPr>
              <w:jc w:val="both"/>
              <w:rPr>
                <w:rFonts w:ascii="Times" w:hAnsi="Times" w:cs="Times"/>
                <w:sz w:val="20"/>
                <w:szCs w:val="20"/>
              </w:rPr>
            </w:pPr>
            <w:r w:rsidRPr="00B93223">
              <w:rPr>
                <w:rFonts w:ascii="Times" w:hAnsi="Times" w:cs="Times"/>
                <w:sz w:val="20"/>
                <w:szCs w:val="20"/>
              </w:rPr>
              <w:t xml:space="preserve">Keďže ide o transpozíciu </w:t>
            </w:r>
            <w:r w:rsidRPr="00201CF0">
              <w:rPr>
                <w:rFonts w:ascii="Times" w:hAnsi="Times" w:cs="Times"/>
                <w:sz w:val="20"/>
                <w:szCs w:val="20"/>
              </w:rPr>
              <w:t>vykonávacej smernice (EÚ) 2019/68</w:t>
            </w:r>
            <w:r>
              <w:rPr>
                <w:rFonts w:ascii="Times" w:hAnsi="Times" w:cs="Times"/>
                <w:sz w:val="20"/>
                <w:szCs w:val="20"/>
              </w:rPr>
              <w:t>,</w:t>
            </w:r>
            <w:r w:rsidRPr="00201CF0">
              <w:rPr>
                <w:rFonts w:ascii="Times" w:hAnsi="Times" w:cs="Times"/>
                <w:sz w:val="20"/>
                <w:szCs w:val="20"/>
              </w:rPr>
              <w:t xml:space="preserve"> vykonávacej smernice (EÚ) 2019</w:t>
            </w:r>
            <w:r>
              <w:rPr>
                <w:rFonts w:ascii="Times" w:hAnsi="Times" w:cs="Times"/>
                <w:sz w:val="20"/>
                <w:szCs w:val="20"/>
              </w:rPr>
              <w:t xml:space="preserve">/69 a </w:t>
            </w:r>
            <w:r w:rsidRPr="00391C0F">
              <w:rPr>
                <w:rFonts w:ascii="Times" w:hAnsi="Times" w:cs="Times"/>
                <w:sz w:val="20"/>
                <w:szCs w:val="20"/>
              </w:rPr>
              <w:t>článk</w:t>
            </w:r>
            <w:r>
              <w:rPr>
                <w:rFonts w:ascii="Times" w:hAnsi="Times" w:cs="Times"/>
                <w:sz w:val="20"/>
                <w:szCs w:val="20"/>
              </w:rPr>
              <w:t>u</w:t>
            </w:r>
            <w:r w:rsidRPr="00391C0F">
              <w:rPr>
                <w:rFonts w:ascii="Times" w:hAnsi="Times" w:cs="Times"/>
                <w:sz w:val="20"/>
                <w:szCs w:val="20"/>
              </w:rPr>
              <w:t xml:space="preserve"> 4 ods. 1 písm. a) a ods. 2 smernice</w:t>
            </w:r>
            <w:r>
              <w:rPr>
                <w:rFonts w:ascii="Times" w:hAnsi="Times" w:cs="Times"/>
                <w:sz w:val="20"/>
                <w:szCs w:val="20"/>
              </w:rPr>
              <w:t xml:space="preserve"> </w:t>
            </w:r>
            <w:r w:rsidRPr="00391C0F">
              <w:rPr>
                <w:rFonts w:ascii="Times" w:hAnsi="Times" w:cs="Times"/>
                <w:sz w:val="20"/>
                <w:szCs w:val="20"/>
              </w:rPr>
              <w:t>(EÚ) 2017/853</w:t>
            </w:r>
            <w:r>
              <w:rPr>
                <w:rFonts w:ascii="Times" w:hAnsi="Times" w:cs="Times"/>
                <w:sz w:val="20"/>
                <w:szCs w:val="20"/>
              </w:rPr>
              <w:t>,</w:t>
            </w:r>
            <w:r w:rsidRPr="00B93223">
              <w:rPr>
                <w:rFonts w:ascii="Times" w:hAnsi="Times" w:cs="Times"/>
                <w:sz w:val="20"/>
                <w:szCs w:val="20"/>
              </w:rPr>
              <w:t xml:space="preserve"> predkladateľ pri získavaní</w:t>
            </w:r>
            <w:r>
              <w:rPr>
                <w:rFonts w:ascii="Times" w:hAnsi="Times" w:cs="Times"/>
                <w:sz w:val="20"/>
                <w:szCs w:val="20"/>
              </w:rPr>
              <w:t xml:space="preserve"> relevantných údajov </w:t>
            </w:r>
            <w:r w:rsidRPr="00B93223">
              <w:rPr>
                <w:rFonts w:ascii="Times" w:hAnsi="Times" w:cs="Times"/>
                <w:sz w:val="20"/>
                <w:szCs w:val="20"/>
              </w:rPr>
              <w:t>a</w:t>
            </w:r>
            <w:r>
              <w:rPr>
                <w:rFonts w:ascii="Times" w:hAnsi="Times" w:cs="Times"/>
                <w:sz w:val="20"/>
                <w:szCs w:val="20"/>
              </w:rPr>
              <w:t xml:space="preserve"> informácií vychádzal výlučne z</w:t>
            </w:r>
            <w:r w:rsidRPr="00B93223">
              <w:rPr>
                <w:rFonts w:ascii="Times" w:hAnsi="Times" w:cs="Times"/>
                <w:sz w:val="20"/>
                <w:szCs w:val="20"/>
              </w:rPr>
              <w:t xml:space="preserve"> </w:t>
            </w:r>
            <w:r w:rsidRPr="00201CF0">
              <w:rPr>
                <w:rFonts w:ascii="Times" w:hAnsi="Times" w:cs="Times"/>
                <w:sz w:val="20"/>
                <w:szCs w:val="20"/>
              </w:rPr>
              <w:t>vykonávacej smernice (EÚ) 2019/68</w:t>
            </w:r>
            <w:r>
              <w:rPr>
                <w:rFonts w:ascii="Times" w:hAnsi="Times" w:cs="Times"/>
                <w:sz w:val="20"/>
                <w:szCs w:val="20"/>
              </w:rPr>
              <w:t>,</w:t>
            </w:r>
            <w:r w:rsidRPr="00201CF0">
              <w:rPr>
                <w:rFonts w:ascii="Times" w:hAnsi="Times" w:cs="Times"/>
                <w:sz w:val="20"/>
                <w:szCs w:val="20"/>
              </w:rPr>
              <w:t xml:space="preserve"> vykonávacej smernice (EÚ) 2019/69</w:t>
            </w:r>
            <w:r>
              <w:rPr>
                <w:rFonts w:ascii="Times" w:hAnsi="Times" w:cs="Times"/>
                <w:sz w:val="20"/>
                <w:szCs w:val="20"/>
              </w:rPr>
              <w:t xml:space="preserve"> a smernice </w:t>
            </w:r>
            <w:r w:rsidRPr="00391C0F">
              <w:rPr>
                <w:rFonts w:ascii="Times" w:hAnsi="Times" w:cs="Times"/>
                <w:sz w:val="20"/>
                <w:szCs w:val="20"/>
              </w:rPr>
              <w:t>(EÚ) 2017/853</w:t>
            </w:r>
            <w:r>
              <w:rPr>
                <w:rFonts w:ascii="Times" w:hAnsi="Times" w:cs="Times"/>
                <w:sz w:val="20"/>
                <w:szCs w:val="20"/>
              </w:rPr>
              <w:t>.</w:t>
            </w:r>
          </w:p>
          <w:p w:rsidR="00D02467" w:rsidRPr="00B93223" w:rsidRDefault="00D02467" w:rsidP="008B39B0">
            <w:pPr>
              <w:jc w:val="both"/>
              <w:rPr>
                <w:rFonts w:ascii="Times" w:hAnsi="Times" w:cs="Times"/>
                <w:bCs/>
              </w:rPr>
            </w:pPr>
          </w:p>
        </w:tc>
      </w:tr>
      <w:tr w:rsidR="00D02467" w:rsidTr="008B39B0">
        <w:trPr>
          <w:jc w:val="center"/>
        </w:trPr>
        <w:tc>
          <w:tcPr>
            <w:tcW w:w="5000" w:type="pct"/>
            <w:tcBorders>
              <w:top w:val="outset" w:sz="6" w:space="0" w:color="000000"/>
              <w:bottom w:val="outset" w:sz="6" w:space="0" w:color="000000"/>
            </w:tcBorders>
            <w:shd w:val="clear" w:color="auto" w:fill="E6E6E6"/>
            <w:hideMark/>
          </w:tcPr>
          <w:p w:rsidR="00D02467" w:rsidRDefault="00D02467" w:rsidP="008B39B0">
            <w:pPr>
              <w:rPr>
                <w:rFonts w:ascii="Times" w:hAnsi="Times" w:cs="Times"/>
                <w:b/>
                <w:bCs/>
              </w:rPr>
            </w:pPr>
            <w:r w:rsidRPr="00B93223">
              <w:rPr>
                <w:rFonts w:ascii="Times" w:hAnsi="Times" w:cs="Times"/>
                <w:b/>
                <w:bCs/>
                <w:sz w:val="22"/>
                <w:szCs w:val="22"/>
              </w:rPr>
              <w:t>  13.  Stanovisko Komisie pre posudzovanie vybraných vplyvov z PPK</w:t>
            </w:r>
          </w:p>
        </w:tc>
      </w:tr>
      <w:tr w:rsidR="00D02467" w:rsidTr="008B39B0">
        <w:trPr>
          <w:trHeight w:val="1200"/>
          <w:jc w:val="center"/>
        </w:trPr>
        <w:tc>
          <w:tcPr>
            <w:tcW w:w="5000" w:type="pct"/>
            <w:tcBorders>
              <w:top w:val="outset" w:sz="6" w:space="0" w:color="000000"/>
              <w:bottom w:val="outset" w:sz="6" w:space="0" w:color="000000"/>
            </w:tcBorders>
            <w:hideMark/>
          </w:tcPr>
          <w:p w:rsidR="00D02467" w:rsidRPr="00AC587B" w:rsidRDefault="00D02467" w:rsidP="008B39B0">
            <w:pPr>
              <w:jc w:val="both"/>
              <w:rPr>
                <w:rFonts w:ascii="Times" w:hAnsi="Times" w:cs="Times"/>
                <w:bCs/>
                <w:sz w:val="20"/>
                <w:szCs w:val="20"/>
              </w:rPr>
            </w:pPr>
            <w:r>
              <w:rPr>
                <w:rFonts w:ascii="Times" w:hAnsi="Times" w:cs="Times"/>
                <w:bCs/>
                <w:sz w:val="20"/>
                <w:szCs w:val="20"/>
              </w:rPr>
              <w:t>Nakoľko predkladateľ neidentifikoval žiadne vplyvy predkladaného materiálu, tento nebol predmetom predbežného pripomienkového konania.</w:t>
            </w:r>
          </w:p>
        </w:tc>
      </w:tr>
    </w:tbl>
    <w:p w:rsidR="00D02467" w:rsidRPr="00543B8E" w:rsidRDefault="00D02467" w:rsidP="00D02467">
      <w:pPr>
        <w:pStyle w:val="Normlnywebov"/>
        <w:spacing w:before="0" w:beforeAutospacing="0" w:after="0" w:afterAutospacing="0"/>
        <w:rPr>
          <w:bCs/>
          <w:sz w:val="20"/>
          <w:szCs w:val="2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Pr="00BA2467" w:rsidRDefault="00D02467" w:rsidP="00D02467">
      <w:pPr>
        <w:jc w:val="center"/>
        <w:rPr>
          <w:b/>
          <w:caps/>
          <w:spacing w:val="30"/>
        </w:rPr>
      </w:pPr>
      <w:r>
        <w:rPr>
          <w:rStyle w:val="Textzstupnhosymbolu"/>
          <w:color w:val="000000"/>
        </w:rPr>
        <w:br w:type="page"/>
      </w:r>
      <w:r w:rsidRPr="00BA2467">
        <w:rPr>
          <w:b/>
          <w:caps/>
          <w:spacing w:val="30"/>
        </w:rPr>
        <w:t>Doložka zlučiteľnosti</w:t>
      </w:r>
    </w:p>
    <w:p w:rsidR="00D02467" w:rsidRPr="00BA2467" w:rsidRDefault="00D02467" w:rsidP="00D02467">
      <w:pPr>
        <w:jc w:val="center"/>
        <w:rPr>
          <w:b/>
        </w:rPr>
      </w:pPr>
      <w:r w:rsidRPr="00BA2467">
        <w:rPr>
          <w:b/>
        </w:rPr>
        <w:t>návrhu právneho predpisu s právom Európskej únie</w:t>
      </w:r>
    </w:p>
    <w:p w:rsidR="00D02467" w:rsidRPr="00BA2467" w:rsidRDefault="00D02467" w:rsidP="00D02467">
      <w:pPr>
        <w:jc w:val="both"/>
        <w:rPr>
          <w:b/>
        </w:rPr>
      </w:pPr>
    </w:p>
    <w:p w:rsidR="00D02467" w:rsidRPr="00BA2467" w:rsidRDefault="00D02467" w:rsidP="00D02467">
      <w:pPr>
        <w:jc w:val="both"/>
        <w:rPr>
          <w:b/>
        </w:rPr>
      </w:pPr>
    </w:p>
    <w:tbl>
      <w:tblPr>
        <w:tblStyle w:val="Mriekatabuky"/>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9206"/>
      </w:tblGrid>
      <w:tr w:rsidR="00D02467" w:rsidRPr="00BA2467" w:rsidTr="008B39B0">
        <w:trPr>
          <w:trHeight w:val="562"/>
        </w:trPr>
        <w:tc>
          <w:tcPr>
            <w:tcW w:w="364" w:type="dxa"/>
          </w:tcPr>
          <w:p w:rsidR="00D02467" w:rsidRPr="00BA2467" w:rsidRDefault="00D02467" w:rsidP="008B39B0">
            <w:pPr>
              <w:tabs>
                <w:tab w:val="left" w:pos="360"/>
              </w:tabs>
              <w:jc w:val="both"/>
              <w:rPr>
                <w:b/>
              </w:rPr>
            </w:pPr>
            <w:r w:rsidRPr="00BA2467">
              <w:rPr>
                <w:b/>
              </w:rPr>
              <w:t>1.</w:t>
            </w:r>
          </w:p>
        </w:tc>
        <w:tc>
          <w:tcPr>
            <w:tcW w:w="9223" w:type="dxa"/>
          </w:tcPr>
          <w:p w:rsidR="00D02467" w:rsidRPr="00BA2467" w:rsidRDefault="00D02467" w:rsidP="008B39B0">
            <w:pPr>
              <w:tabs>
                <w:tab w:val="left" w:pos="360"/>
              </w:tabs>
              <w:jc w:val="both"/>
            </w:pPr>
            <w:r w:rsidRPr="00BA2467">
              <w:rPr>
                <w:b/>
              </w:rPr>
              <w:t>Navrhovateľ návrhu právneho predpisu:</w:t>
            </w:r>
            <w:r w:rsidRPr="00BA2467">
              <w:t xml:space="preserve"> </w:t>
            </w:r>
            <w:r w:rsidR="00DC29AE">
              <w:fldChar w:fldCharType="begin"/>
            </w:r>
            <w:r w:rsidR="00DC29AE">
              <w:instrText xml:space="preserve"> DOCPROPERTY  FSC#SKEDITIONSLOVLEX@103.510:zodpinstitucia  \* MERGEFORMAT </w:instrText>
            </w:r>
            <w:r w:rsidR="00DC29AE">
              <w:fldChar w:fldCharType="separate"/>
            </w:r>
            <w:r w:rsidRPr="00BA2467">
              <w:t>Úrad pre normalizáciu, metrológiu a skúšobníctvo Slovenskej republiky</w:t>
            </w:r>
            <w:r w:rsidR="00DC29AE">
              <w:fldChar w:fldCharType="end"/>
            </w:r>
          </w:p>
        </w:tc>
      </w:tr>
      <w:tr w:rsidR="00D02467" w:rsidRPr="00BA2467" w:rsidTr="008B39B0">
        <w:trPr>
          <w:trHeight w:val="289"/>
        </w:trPr>
        <w:tc>
          <w:tcPr>
            <w:tcW w:w="364" w:type="dxa"/>
          </w:tcPr>
          <w:p w:rsidR="00D02467" w:rsidRPr="00BA2467" w:rsidRDefault="00D02467" w:rsidP="008B39B0">
            <w:pPr>
              <w:tabs>
                <w:tab w:val="left" w:pos="360"/>
              </w:tabs>
              <w:jc w:val="both"/>
            </w:pPr>
          </w:p>
        </w:tc>
        <w:tc>
          <w:tcPr>
            <w:tcW w:w="9223" w:type="dxa"/>
          </w:tcPr>
          <w:p w:rsidR="00D02467" w:rsidRPr="00BA2467" w:rsidRDefault="00D02467" w:rsidP="008B39B0">
            <w:pPr>
              <w:tabs>
                <w:tab w:val="left" w:pos="360"/>
              </w:tabs>
              <w:jc w:val="both"/>
            </w:pPr>
          </w:p>
        </w:tc>
      </w:tr>
      <w:tr w:rsidR="00D02467" w:rsidRPr="00BA2467" w:rsidTr="008B39B0">
        <w:trPr>
          <w:trHeight w:val="562"/>
        </w:trPr>
        <w:tc>
          <w:tcPr>
            <w:tcW w:w="364" w:type="dxa"/>
          </w:tcPr>
          <w:p w:rsidR="00D02467" w:rsidRPr="00BA2467" w:rsidRDefault="00D02467" w:rsidP="008B39B0">
            <w:pPr>
              <w:tabs>
                <w:tab w:val="left" w:pos="360"/>
              </w:tabs>
              <w:jc w:val="both"/>
              <w:rPr>
                <w:b/>
              </w:rPr>
            </w:pPr>
            <w:r w:rsidRPr="00BA2467">
              <w:rPr>
                <w:b/>
              </w:rPr>
              <w:t>2.</w:t>
            </w:r>
          </w:p>
        </w:tc>
        <w:tc>
          <w:tcPr>
            <w:tcW w:w="9223" w:type="dxa"/>
          </w:tcPr>
          <w:p w:rsidR="00D02467" w:rsidRPr="00BA2467" w:rsidRDefault="00D02467" w:rsidP="008B39B0">
            <w:pPr>
              <w:tabs>
                <w:tab w:val="left" w:pos="360"/>
              </w:tabs>
              <w:jc w:val="both"/>
            </w:pPr>
            <w:r w:rsidRPr="00BA2467">
              <w:rPr>
                <w:b/>
              </w:rPr>
              <w:t>Názov návrhu právneho predpisu:</w:t>
            </w:r>
            <w:r w:rsidRPr="00BA2467">
              <w:t xml:space="preserve"> Návrh zákona, ktorým sa mení a dopĺňa zákon č. 64/2019 Z. z. </w:t>
            </w:r>
            <w:r>
              <w:br/>
            </w:r>
            <w:r w:rsidRPr="00BA2467">
              <w:t>o sprístupňovaní strelných zbraní a streliva na civilné použitie na trhu</w:t>
            </w:r>
            <w:r>
              <w:t xml:space="preserve"> </w:t>
            </w:r>
            <w:r w:rsidRPr="00D1437B">
              <w:rPr>
                <w:rStyle w:val="Textzstupnhosymbolu"/>
                <w:color w:val="000000"/>
              </w:rPr>
              <w:t>a ktorým sa mení a dopĺňa zákon č. 190/20</w:t>
            </w:r>
            <w:r>
              <w:rPr>
                <w:rStyle w:val="Textzstupnhosymbolu"/>
                <w:color w:val="000000"/>
              </w:rPr>
              <w:t xml:space="preserve">03 Z. z. o strelných zbraniach </w:t>
            </w:r>
            <w:r w:rsidRPr="00D1437B">
              <w:rPr>
                <w:rStyle w:val="Textzstupnhosymbolu"/>
                <w:color w:val="000000"/>
              </w:rPr>
              <w:t>a strelive a o zmene</w:t>
            </w:r>
            <w:r>
              <w:rPr>
                <w:rStyle w:val="Textzstupnhosymbolu"/>
                <w:color w:val="000000"/>
              </w:rPr>
              <w:t xml:space="preserve"> a doplnení niektorých zákonov </w:t>
            </w:r>
            <w:r>
              <w:rPr>
                <w:rStyle w:val="Textzstupnhosymbolu"/>
                <w:color w:val="000000"/>
              </w:rPr>
              <w:br/>
            </w:r>
            <w:r w:rsidRPr="00D1437B">
              <w:rPr>
                <w:rStyle w:val="Textzstupnhosymbolu"/>
                <w:color w:val="000000"/>
              </w:rPr>
              <w:t>v znení neskorších predpisov</w:t>
            </w:r>
          </w:p>
        </w:tc>
      </w:tr>
      <w:tr w:rsidR="00D02467" w:rsidRPr="00BA2467" w:rsidTr="008B39B0">
        <w:trPr>
          <w:trHeight w:val="289"/>
        </w:trPr>
        <w:tc>
          <w:tcPr>
            <w:tcW w:w="364" w:type="dxa"/>
          </w:tcPr>
          <w:p w:rsidR="00D02467" w:rsidRPr="00BA2467" w:rsidRDefault="00D02467" w:rsidP="008B39B0">
            <w:pPr>
              <w:tabs>
                <w:tab w:val="left" w:pos="360"/>
              </w:tabs>
              <w:jc w:val="both"/>
            </w:pPr>
          </w:p>
        </w:tc>
        <w:tc>
          <w:tcPr>
            <w:tcW w:w="9223" w:type="dxa"/>
          </w:tcPr>
          <w:p w:rsidR="00D02467" w:rsidRPr="00BA2467" w:rsidRDefault="00D02467" w:rsidP="008B39B0">
            <w:pPr>
              <w:tabs>
                <w:tab w:val="left" w:pos="360"/>
              </w:tabs>
              <w:jc w:val="both"/>
            </w:pPr>
          </w:p>
        </w:tc>
      </w:tr>
      <w:tr w:rsidR="00D02467" w:rsidRPr="00BA2467" w:rsidTr="008B39B0">
        <w:trPr>
          <w:trHeight w:val="273"/>
        </w:trPr>
        <w:tc>
          <w:tcPr>
            <w:tcW w:w="364" w:type="dxa"/>
          </w:tcPr>
          <w:p w:rsidR="00D02467" w:rsidRPr="00BA2467" w:rsidRDefault="00D02467" w:rsidP="008B39B0">
            <w:pPr>
              <w:tabs>
                <w:tab w:val="left" w:pos="360"/>
              </w:tabs>
              <w:jc w:val="both"/>
              <w:rPr>
                <w:b/>
              </w:rPr>
            </w:pPr>
            <w:r w:rsidRPr="00BA2467">
              <w:rPr>
                <w:b/>
              </w:rPr>
              <w:t>3.</w:t>
            </w:r>
          </w:p>
        </w:tc>
        <w:tc>
          <w:tcPr>
            <w:tcW w:w="9223" w:type="dxa"/>
          </w:tcPr>
          <w:p w:rsidR="00D02467" w:rsidRPr="00BA2467" w:rsidRDefault="00D02467" w:rsidP="008B39B0">
            <w:pPr>
              <w:tabs>
                <w:tab w:val="left" w:pos="360"/>
              </w:tabs>
              <w:jc w:val="both"/>
            </w:pPr>
            <w:r w:rsidRPr="00BA2467">
              <w:rPr>
                <w:b/>
              </w:rPr>
              <w:t xml:space="preserve">Predmet návrhu právneho predpisu je upravený v práve Európskej únie: </w:t>
            </w:r>
          </w:p>
        </w:tc>
      </w:tr>
      <w:tr w:rsidR="00D02467" w:rsidRPr="00BA2467" w:rsidTr="008B39B0">
        <w:trPr>
          <w:trHeight w:val="3724"/>
        </w:trPr>
        <w:tc>
          <w:tcPr>
            <w:tcW w:w="364" w:type="dxa"/>
          </w:tcPr>
          <w:p w:rsidR="00D02467" w:rsidRPr="00BA2467" w:rsidRDefault="00D02467" w:rsidP="008B39B0">
            <w:pPr>
              <w:tabs>
                <w:tab w:val="left" w:pos="360"/>
              </w:tabs>
              <w:jc w:val="both"/>
            </w:pPr>
          </w:p>
        </w:tc>
        <w:tc>
          <w:tcPr>
            <w:tcW w:w="9223" w:type="dxa"/>
          </w:tcPr>
          <w:p w:rsidR="00D02467" w:rsidRPr="00BA2467" w:rsidRDefault="00D02467" w:rsidP="008B39B0">
            <w:pPr>
              <w:pStyle w:val="Odsekzoznamu"/>
              <w:numPr>
                <w:ilvl w:val="0"/>
                <w:numId w:val="1"/>
              </w:numPr>
              <w:tabs>
                <w:tab w:val="left" w:pos="360"/>
              </w:tabs>
              <w:jc w:val="both"/>
            </w:pPr>
            <w:r w:rsidRPr="00BA2467">
              <w:t>v primárnom práve</w:t>
            </w:r>
          </w:p>
          <w:p w:rsidR="00D02467" w:rsidRPr="00BA2467" w:rsidRDefault="00D02467" w:rsidP="008B39B0">
            <w:pPr>
              <w:pStyle w:val="Odsekzoznamu"/>
              <w:tabs>
                <w:tab w:val="left" w:pos="360"/>
              </w:tabs>
              <w:ind w:left="360"/>
              <w:jc w:val="both"/>
            </w:pPr>
          </w:p>
          <w:p w:rsidR="00D02467" w:rsidRPr="00BA2467" w:rsidRDefault="00D02467" w:rsidP="008B39B0">
            <w:pPr>
              <w:tabs>
                <w:tab w:val="left" w:pos="360"/>
              </w:tabs>
              <w:jc w:val="both"/>
              <w:rPr>
                <w:i/>
              </w:rPr>
            </w:pPr>
            <w:r w:rsidRPr="00BA2467">
              <w:rPr>
                <w:i/>
              </w:rPr>
              <w:t>Zmluva o fungovaní Európskej únie – článok 114</w:t>
            </w:r>
          </w:p>
          <w:p w:rsidR="00D02467" w:rsidRPr="00BA2467" w:rsidRDefault="00D02467" w:rsidP="008B39B0">
            <w:pPr>
              <w:pStyle w:val="Odsekzoznamu"/>
              <w:tabs>
                <w:tab w:val="left" w:pos="360"/>
              </w:tabs>
              <w:ind w:left="360"/>
              <w:jc w:val="both"/>
              <w:rPr>
                <w:i/>
              </w:rPr>
            </w:pPr>
          </w:p>
          <w:p w:rsidR="00D02467" w:rsidRPr="00BA2467" w:rsidRDefault="00D02467" w:rsidP="008B39B0">
            <w:pPr>
              <w:pStyle w:val="Odsekzoznamu"/>
              <w:numPr>
                <w:ilvl w:val="0"/>
                <w:numId w:val="1"/>
              </w:numPr>
              <w:tabs>
                <w:tab w:val="left" w:pos="360"/>
              </w:tabs>
              <w:jc w:val="both"/>
            </w:pPr>
            <w:r w:rsidRPr="00BA2467">
              <w:t>v sekundárnom práve</w:t>
            </w:r>
          </w:p>
          <w:p w:rsidR="00D02467" w:rsidRPr="00BA2467" w:rsidRDefault="00D02467" w:rsidP="008B39B0">
            <w:pPr>
              <w:jc w:val="both"/>
              <w:rPr>
                <w:i/>
                <w:iCs/>
              </w:rPr>
            </w:pPr>
            <w:r w:rsidRPr="00BA2467">
              <w:br/>
            </w:r>
            <w:r w:rsidRPr="00BA2467">
              <w:rPr>
                <w:i/>
                <w:iCs/>
              </w:rPr>
              <w:t>Smernica Európskeho parlamentu a Rady (EÚ) 2017/853 zo 17. mája 2017, ktorou sa mení smernica Rady 91/477/EHS o kontrole získavania a vlastnenia zbraní (Ú. v. EÚ L 137, 24.5.2017), gestor: Ministerstvo vnútra Slovenskej republiky, spolugestor: Úrad pre normalizáciu, metrológiu a skúšobníctvo Slovenskej republiky.</w:t>
            </w:r>
          </w:p>
          <w:p w:rsidR="00D02467" w:rsidRPr="00BA2467" w:rsidRDefault="00D02467" w:rsidP="008B39B0">
            <w:pPr>
              <w:jc w:val="both"/>
              <w:rPr>
                <w:i/>
                <w:iCs/>
              </w:rPr>
            </w:pPr>
          </w:p>
          <w:p w:rsidR="00D02467" w:rsidRPr="00BA2467" w:rsidRDefault="00D02467" w:rsidP="008B39B0">
            <w:pPr>
              <w:jc w:val="both"/>
              <w:rPr>
                <w:i/>
              </w:rPr>
            </w:pPr>
            <w:r w:rsidRPr="00BA2467">
              <w:rPr>
                <w:i/>
              </w:rPr>
              <w:t xml:space="preserve">Vykonávacia smernica Komisie (EÚ) 2019/68 zo 16. januára 2019, ktorou sa stanovujú technické špecifikácie označovania strelných zbraní a ich hlavných častí podľa smernice Rady 91/477/EHS </w:t>
            </w:r>
            <w:r>
              <w:rPr>
                <w:i/>
              </w:rPr>
              <w:br/>
            </w:r>
            <w:r w:rsidRPr="00BA2467">
              <w:rPr>
                <w:i/>
              </w:rPr>
              <w:t>o kontrole získavania a vlastnenia zbraní (Ú. v. EÚ L 15, 17.1.2019), gestor: Úrad pre normalizáciu, metrológiu a skúšobníctvo Slovenskej republiky, spolugestor: Ministerstvo vnútra Slovenskej republiky.</w:t>
            </w:r>
          </w:p>
          <w:p w:rsidR="00D02467" w:rsidRPr="00BA2467" w:rsidRDefault="00D02467" w:rsidP="008B39B0">
            <w:pPr>
              <w:jc w:val="both"/>
            </w:pPr>
          </w:p>
          <w:p w:rsidR="00D02467" w:rsidRPr="00BA2467" w:rsidRDefault="00D02467" w:rsidP="008B39B0">
            <w:pPr>
              <w:jc w:val="both"/>
              <w:rPr>
                <w:i/>
                <w:iCs/>
              </w:rPr>
            </w:pPr>
            <w:r w:rsidRPr="00BA2467">
              <w:rPr>
                <w:i/>
                <w:iCs/>
              </w:rPr>
              <w:t>Vykonávacia smernica Komisie (EÚ) 2019/69 zo 16. januára 2019, ktorou sa stanovujú technické špecifikácie pre poplašné a signálne zbrane podľa smernice Rady 91/477/EHS o kontrole získavania a vlastnenia zbraní (Ú. v. EÚ L 15, 17.1.2019),</w:t>
            </w:r>
            <w:r w:rsidRPr="00BA2467">
              <w:t xml:space="preserve"> </w:t>
            </w:r>
            <w:r w:rsidRPr="00BA2467">
              <w:rPr>
                <w:i/>
                <w:iCs/>
              </w:rPr>
              <w:t xml:space="preserve">gestor: Úrad pre normalizáciu, metrológiu </w:t>
            </w:r>
            <w:r>
              <w:rPr>
                <w:i/>
                <w:iCs/>
              </w:rPr>
              <w:br/>
            </w:r>
            <w:r w:rsidRPr="00BA2467">
              <w:rPr>
                <w:i/>
                <w:iCs/>
              </w:rPr>
              <w:t>a skúšobníctvo Slovenskej republiky, spolugestor: Ministerstvo vnútra Slovenskej republiky.</w:t>
            </w:r>
          </w:p>
          <w:p w:rsidR="00D02467" w:rsidRPr="00BA2467" w:rsidRDefault="00D02467" w:rsidP="008B39B0">
            <w:pPr>
              <w:jc w:val="both"/>
              <w:rPr>
                <w:i/>
              </w:rPr>
            </w:pPr>
          </w:p>
        </w:tc>
      </w:tr>
      <w:tr w:rsidR="00D02467" w:rsidRPr="00BA2467" w:rsidTr="008B39B0">
        <w:trPr>
          <w:trHeight w:val="562"/>
        </w:trPr>
        <w:tc>
          <w:tcPr>
            <w:tcW w:w="364" w:type="dxa"/>
          </w:tcPr>
          <w:p w:rsidR="00D02467" w:rsidRPr="00BA2467" w:rsidRDefault="00D02467" w:rsidP="008B39B0">
            <w:pPr>
              <w:tabs>
                <w:tab w:val="left" w:pos="360"/>
              </w:tabs>
              <w:jc w:val="both"/>
            </w:pPr>
          </w:p>
        </w:tc>
        <w:tc>
          <w:tcPr>
            <w:tcW w:w="9223" w:type="dxa"/>
          </w:tcPr>
          <w:p w:rsidR="00D02467" w:rsidRPr="00BA2467" w:rsidRDefault="00D02467" w:rsidP="008B39B0">
            <w:pPr>
              <w:pStyle w:val="Odsekzoznamu"/>
              <w:numPr>
                <w:ilvl w:val="0"/>
                <w:numId w:val="1"/>
              </w:numPr>
              <w:tabs>
                <w:tab w:val="left" w:pos="360"/>
              </w:tabs>
              <w:jc w:val="both"/>
            </w:pPr>
            <w:r w:rsidRPr="00BA2467">
              <w:rPr>
                <w:rFonts w:ascii="Times" w:hAnsi="Times" w:cs="Times"/>
              </w:rPr>
              <w:t>v judikatúre Súdneho dvora Európskej únie</w:t>
            </w:r>
          </w:p>
          <w:p w:rsidR="00D02467" w:rsidRPr="00BA2467" w:rsidRDefault="00D02467" w:rsidP="008B39B0">
            <w:pPr>
              <w:pStyle w:val="Odsekzoznamu"/>
              <w:tabs>
                <w:tab w:val="left" w:pos="360"/>
              </w:tabs>
              <w:ind w:left="360"/>
              <w:jc w:val="both"/>
            </w:pPr>
          </w:p>
        </w:tc>
      </w:tr>
      <w:tr w:rsidR="00D02467" w:rsidRPr="00BA2467" w:rsidTr="008B39B0">
        <w:trPr>
          <w:trHeight w:val="562"/>
        </w:trPr>
        <w:tc>
          <w:tcPr>
            <w:tcW w:w="364" w:type="dxa"/>
          </w:tcPr>
          <w:p w:rsidR="00D02467" w:rsidRPr="00BA2467" w:rsidRDefault="00D02467" w:rsidP="008B39B0">
            <w:pPr>
              <w:tabs>
                <w:tab w:val="left" w:pos="360"/>
              </w:tabs>
              <w:jc w:val="both"/>
            </w:pPr>
            <w:r w:rsidRPr="00BA2467">
              <w:t xml:space="preserve">                 </w:t>
            </w:r>
          </w:p>
        </w:tc>
        <w:tc>
          <w:tcPr>
            <w:tcW w:w="9223" w:type="dxa"/>
          </w:tcPr>
          <w:p w:rsidR="00D02467" w:rsidRPr="00BA2467" w:rsidRDefault="00D02467" w:rsidP="008B39B0">
            <w:pPr>
              <w:pStyle w:val="Odsekzoznamu"/>
              <w:tabs>
                <w:tab w:val="left" w:pos="360"/>
              </w:tabs>
              <w:ind w:left="360"/>
              <w:jc w:val="both"/>
              <w:rPr>
                <w:i/>
              </w:rPr>
            </w:pPr>
            <w:r w:rsidRPr="00BA2467">
              <w:rPr>
                <w:i/>
              </w:rPr>
              <w:t>Nie</w:t>
            </w:r>
          </w:p>
          <w:p w:rsidR="00D02467" w:rsidRPr="00BA2467" w:rsidRDefault="00D02467" w:rsidP="008B39B0">
            <w:pPr>
              <w:pStyle w:val="Odsekzoznamu"/>
              <w:tabs>
                <w:tab w:val="left" w:pos="360"/>
              </w:tabs>
              <w:ind w:left="360"/>
              <w:jc w:val="both"/>
              <w:rPr>
                <w:rFonts w:ascii="Times" w:hAnsi="Times" w:cs="Times"/>
                <w:i/>
              </w:rPr>
            </w:pPr>
          </w:p>
        </w:tc>
      </w:tr>
    </w:tbl>
    <w:p w:rsidR="00D02467" w:rsidRPr="00BA2467" w:rsidRDefault="00D02467" w:rsidP="00D02467">
      <w:pPr>
        <w:tabs>
          <w:tab w:val="left" w:pos="360"/>
        </w:tabs>
        <w:jc w:val="both"/>
        <w:rPr>
          <w:b/>
        </w:rPr>
      </w:pPr>
      <w:r w:rsidRPr="00BA2467">
        <w:rPr>
          <w:b/>
        </w:rPr>
        <w:t xml:space="preserve">4. </w:t>
      </w:r>
      <w:r w:rsidRPr="00BA2467">
        <w:rPr>
          <w:b/>
        </w:rPr>
        <w:tab/>
        <w:t>Záväzky Slovenskej republiky vo vzťahu k Európskej únii:</w:t>
      </w:r>
    </w:p>
    <w:p w:rsidR="00D02467" w:rsidRPr="00BA2467" w:rsidRDefault="00D02467" w:rsidP="00D02467">
      <w:pPr>
        <w:pStyle w:val="Odsekzoznamu"/>
        <w:numPr>
          <w:ilvl w:val="0"/>
          <w:numId w:val="2"/>
        </w:numPr>
        <w:tabs>
          <w:tab w:val="left" w:pos="360"/>
        </w:tabs>
        <w:jc w:val="both"/>
        <w:rPr>
          <w:b/>
        </w:rPr>
      </w:pPr>
      <w:r w:rsidRPr="00BA2467">
        <w:t>uviesť lehotu na prebranie príslušného právneho aktu Európskej únie, príp. aj osobitnú lehotu účinnosti jeho ustanovení:</w:t>
      </w:r>
    </w:p>
    <w:p w:rsidR="00D02467" w:rsidRPr="00BA2467" w:rsidRDefault="00D02467" w:rsidP="00D02467">
      <w:pPr>
        <w:pStyle w:val="Odsekzoznamu"/>
        <w:tabs>
          <w:tab w:val="left" w:pos="360"/>
        </w:tabs>
        <w:ind w:left="644"/>
        <w:jc w:val="both"/>
        <w:rPr>
          <w:b/>
        </w:rPr>
      </w:pPr>
      <w:r w:rsidRPr="00BA2467">
        <w:t xml:space="preserve"> </w:t>
      </w:r>
    </w:p>
    <w:p w:rsidR="00D02467" w:rsidRPr="00BA2467" w:rsidRDefault="00D02467" w:rsidP="00D02467">
      <w:pPr>
        <w:pStyle w:val="Odsekzoznamu"/>
        <w:tabs>
          <w:tab w:val="left" w:pos="360"/>
        </w:tabs>
        <w:ind w:left="644"/>
        <w:jc w:val="both"/>
      </w:pPr>
      <w:r w:rsidRPr="00BA2467">
        <w:t xml:space="preserve">vykonávacie smernice Komisie (EÚ) 2019/68 a (EÚ) 2019/69 do 17. januára 2020 </w:t>
      </w:r>
    </w:p>
    <w:p w:rsidR="00D02467" w:rsidRPr="00BA2467" w:rsidRDefault="00D02467" w:rsidP="00D02467">
      <w:pPr>
        <w:pStyle w:val="Odsekzoznamu"/>
        <w:tabs>
          <w:tab w:val="left" w:pos="360"/>
        </w:tabs>
        <w:ind w:left="644"/>
        <w:jc w:val="both"/>
      </w:pPr>
      <w:r w:rsidRPr="00BA2467">
        <w:t>smernica Európskeho parlamentu a Rady (EÚ) 2017/853 do 14. septembra 2018</w:t>
      </w:r>
    </w:p>
    <w:p w:rsidR="00D02467" w:rsidRPr="00BA2467" w:rsidRDefault="00D02467" w:rsidP="00D02467">
      <w:pPr>
        <w:pStyle w:val="Odsekzoznamu"/>
        <w:tabs>
          <w:tab w:val="left" w:pos="360"/>
        </w:tabs>
        <w:ind w:left="644"/>
        <w:jc w:val="both"/>
        <w:rPr>
          <w:b/>
        </w:rPr>
      </w:pPr>
    </w:p>
    <w:p w:rsidR="00D02467" w:rsidRPr="00BA2467" w:rsidRDefault="00D02467" w:rsidP="00D02467">
      <w:pPr>
        <w:pStyle w:val="Odsekzoznamu"/>
        <w:numPr>
          <w:ilvl w:val="0"/>
          <w:numId w:val="2"/>
        </w:numPr>
        <w:tabs>
          <w:tab w:val="left" w:pos="360"/>
        </w:tabs>
        <w:jc w:val="both"/>
        <w:rPr>
          <w:b/>
        </w:rPr>
      </w:pPr>
      <w:r w:rsidRPr="00BA2467">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w:t>
      </w:r>
      <w:r w:rsidRPr="00BA2467">
        <w:br/>
        <w:t>o prístupe verejnosti k dokumentom Európskeho parlamentu, Rady a Komisie:</w:t>
      </w:r>
    </w:p>
    <w:p w:rsidR="00D02467" w:rsidRPr="00BA2467" w:rsidRDefault="00D02467" w:rsidP="00D02467">
      <w:pPr>
        <w:pStyle w:val="Odsekzoznamu"/>
        <w:tabs>
          <w:tab w:val="left" w:pos="360"/>
        </w:tabs>
        <w:ind w:left="644"/>
        <w:jc w:val="both"/>
      </w:pPr>
    </w:p>
    <w:p w:rsidR="00D02467" w:rsidRPr="00BA2467" w:rsidRDefault="00D02467" w:rsidP="00D02467">
      <w:pPr>
        <w:pStyle w:val="Odsekzoznamu"/>
        <w:tabs>
          <w:tab w:val="left" w:pos="360"/>
        </w:tabs>
        <w:ind w:left="644"/>
        <w:jc w:val="both"/>
      </w:pPr>
      <w:r w:rsidRPr="00BA2467">
        <w:t>Konanie o porušení zmlúv č. 2018/0394, ktoré Európska komisia dňa 22. novembra 2018 adresovala Slovenskej republike formou formálneho oznámenia, ktorým iniciuje nové konanie o porušení zmlúv vedené podľa čl. 258 Zmluvy o fungovaní EÚ z dôvodu netransponovania Smernice Európskeho parlamentu a Rady (EÚ) 2017/853.</w:t>
      </w:r>
      <w:r w:rsidRPr="00BA2467" w:rsidDel="00207B64">
        <w:t xml:space="preserve"> </w:t>
      </w:r>
    </w:p>
    <w:p w:rsidR="00D02467" w:rsidRPr="00BA2467" w:rsidRDefault="00D02467" w:rsidP="00D02467">
      <w:pPr>
        <w:pStyle w:val="Odsekzoznamu"/>
        <w:tabs>
          <w:tab w:val="left" w:pos="360"/>
        </w:tabs>
        <w:ind w:left="644"/>
        <w:jc w:val="both"/>
      </w:pPr>
    </w:p>
    <w:p w:rsidR="00D02467" w:rsidRPr="00BA2467" w:rsidRDefault="00D02467" w:rsidP="00D02467">
      <w:pPr>
        <w:pStyle w:val="Odsekzoznamu"/>
        <w:tabs>
          <w:tab w:val="left" w:pos="360"/>
        </w:tabs>
        <w:ind w:left="644"/>
        <w:jc w:val="both"/>
        <w:rPr>
          <w:b/>
        </w:rPr>
      </w:pPr>
      <w:r w:rsidRPr="00BA2467">
        <w:t>Vo veci vykonávacích smerníc Komisie (EÚ) 2019/68 a (EÚ) 2019/69 konanie nebolo začaté.</w:t>
      </w:r>
      <w:r w:rsidRPr="00BA2467">
        <w:br/>
      </w:r>
    </w:p>
    <w:p w:rsidR="00D02467" w:rsidRPr="00BA2467" w:rsidRDefault="00D02467" w:rsidP="00D02467">
      <w:pPr>
        <w:pStyle w:val="Odsekzoznamu"/>
        <w:numPr>
          <w:ilvl w:val="0"/>
          <w:numId w:val="2"/>
        </w:numPr>
        <w:tabs>
          <w:tab w:val="left" w:pos="360"/>
        </w:tabs>
        <w:jc w:val="both"/>
        <w:rPr>
          <w:b/>
        </w:rPr>
      </w:pPr>
      <w:r w:rsidRPr="00BA2467">
        <w:t>uviesť informáciu o právnych predpisoch, v ktorých sú uvádzané právne akty Európskej únie už prebrané, spolu s uvedením rozsahu ich prebrania, príp. potreby prijatia ďalších úprav:</w:t>
      </w:r>
    </w:p>
    <w:p w:rsidR="00D02467" w:rsidRPr="00BA2467" w:rsidRDefault="00D02467" w:rsidP="00D02467">
      <w:pPr>
        <w:pStyle w:val="Odsekzoznamu"/>
        <w:tabs>
          <w:tab w:val="left" w:pos="360"/>
        </w:tabs>
        <w:ind w:left="644"/>
        <w:jc w:val="both"/>
      </w:pPr>
    </w:p>
    <w:p w:rsidR="00D02467" w:rsidRPr="00BA2467" w:rsidRDefault="00D02467" w:rsidP="00D02467">
      <w:pPr>
        <w:pStyle w:val="Odsekzoznamu"/>
        <w:tabs>
          <w:tab w:val="left" w:pos="360"/>
        </w:tabs>
        <w:ind w:left="644"/>
        <w:jc w:val="both"/>
      </w:pPr>
      <w:r w:rsidRPr="00BA2467">
        <w:t>Nie.</w:t>
      </w:r>
    </w:p>
    <w:p w:rsidR="00D02467" w:rsidRPr="00BA2467" w:rsidRDefault="00D02467" w:rsidP="00D02467">
      <w:pPr>
        <w:pStyle w:val="Odsekzoznamu"/>
        <w:tabs>
          <w:tab w:val="left" w:pos="360"/>
        </w:tabs>
        <w:ind w:left="644"/>
        <w:jc w:val="both"/>
        <w:rPr>
          <w:b/>
        </w:rPr>
      </w:pPr>
    </w:p>
    <w:p w:rsidR="00D02467" w:rsidRPr="00BA2467" w:rsidRDefault="00D02467" w:rsidP="00D02467">
      <w:pPr>
        <w:tabs>
          <w:tab w:val="left" w:pos="360"/>
        </w:tabs>
        <w:jc w:val="both"/>
        <w:rPr>
          <w:b/>
        </w:rPr>
      </w:pPr>
      <w:r w:rsidRPr="00BA2467">
        <w:rPr>
          <w:b/>
        </w:rPr>
        <w:t>5. Návrh právneho predpisu je zlučiteľný s právom Európskej únie:</w:t>
      </w:r>
    </w:p>
    <w:p w:rsidR="00D02467" w:rsidRPr="009A33A5" w:rsidRDefault="00D02467" w:rsidP="00D02467">
      <w:pPr>
        <w:pStyle w:val="Odsekzoznamu"/>
        <w:numPr>
          <w:ilvl w:val="0"/>
          <w:numId w:val="3"/>
        </w:numPr>
        <w:tabs>
          <w:tab w:val="left" w:pos="360"/>
        </w:tabs>
        <w:jc w:val="both"/>
      </w:pPr>
      <w:r w:rsidRPr="00BA2467">
        <w:t xml:space="preserve">úplne (ak je právny akt prebraný náležite, t. j. v zodpovedajúcej právnej forme, včas, </w:t>
      </w:r>
      <w:r>
        <w:br/>
      </w:r>
      <w:r w:rsidRPr="00BA2467">
        <w:t xml:space="preserve">v celom rozsahu a správne) (Pozn. ÚNMS SR ako spolugestor zabezpečuje v rámci smernice (EÚ) 2017/853 len transpozíciu článku 4 ods. 1 písm. a) a ods. 2, pričom úplnú transpozíciu ostatných článkov smernice (EÚ) 2017/853 zabezpečuje Ministerstvo vnútra </w:t>
      </w:r>
      <w:r w:rsidRPr="009A33A5">
        <w:t>Slovenskej republiky, ktorý je gestorom smernice (EÚ) 2017/853),</w:t>
      </w:r>
    </w:p>
    <w:p w:rsidR="009A33A5" w:rsidRPr="009A33A5" w:rsidRDefault="00D02467" w:rsidP="00D02467">
      <w:pPr>
        <w:pStyle w:val="Odsekzoznamu"/>
        <w:numPr>
          <w:ilvl w:val="0"/>
          <w:numId w:val="3"/>
        </w:numPr>
        <w:tabs>
          <w:tab w:val="left" w:pos="360"/>
        </w:tabs>
        <w:jc w:val="both"/>
        <w:rPr>
          <w:b/>
        </w:rPr>
      </w:pPr>
      <w:r w:rsidRPr="009A33A5">
        <w:t>čiastočne (uviesť dôvody, predpokladaný termín a spôsob dosiahnutia úplného sú- ladu),</w:t>
      </w:r>
    </w:p>
    <w:p w:rsidR="00D02467" w:rsidRPr="009A33A5" w:rsidRDefault="00D02467" w:rsidP="009A33A5">
      <w:pPr>
        <w:pStyle w:val="Odsekzoznamu"/>
        <w:numPr>
          <w:ilvl w:val="0"/>
          <w:numId w:val="4"/>
        </w:numPr>
        <w:tabs>
          <w:tab w:val="left" w:pos="360"/>
        </w:tabs>
        <w:jc w:val="both"/>
        <w:rPr>
          <w:b/>
        </w:rPr>
      </w:pPr>
    </w:p>
    <w:p w:rsidR="00D02467" w:rsidRPr="009A33A5" w:rsidRDefault="00D02467" w:rsidP="00D02467">
      <w:pPr>
        <w:pStyle w:val="Odsekzoznamu"/>
        <w:numPr>
          <w:ilvl w:val="0"/>
          <w:numId w:val="3"/>
        </w:numPr>
        <w:tabs>
          <w:tab w:val="left" w:pos="360"/>
        </w:tabs>
        <w:jc w:val="both"/>
        <w:rPr>
          <w:b/>
        </w:rPr>
      </w:pPr>
      <w:r w:rsidRPr="009A33A5">
        <w:t>ak nie je, uviesť dôvody, predpokladaný termín a spôsob dosiahnutia úplného sú- ladu</w:t>
      </w:r>
    </w:p>
    <w:p w:rsidR="009A33A5" w:rsidRPr="009A33A5" w:rsidRDefault="009A33A5" w:rsidP="009A33A5">
      <w:pPr>
        <w:pStyle w:val="Odsekzoznamu"/>
        <w:numPr>
          <w:ilvl w:val="0"/>
          <w:numId w:val="4"/>
        </w:numPr>
        <w:tabs>
          <w:tab w:val="left" w:pos="360"/>
        </w:tabs>
        <w:jc w:val="both"/>
        <w:rPr>
          <w:b/>
        </w:rPr>
      </w:pPr>
      <w:bookmarkStart w:id="0" w:name="_GoBack"/>
      <w:bookmarkEnd w:id="0"/>
    </w:p>
    <w:p w:rsidR="00D02467" w:rsidRPr="001C39E0" w:rsidRDefault="00D02467" w:rsidP="00D02467">
      <w:pPr>
        <w:pStyle w:val="Odsekzoznamu"/>
        <w:tabs>
          <w:tab w:val="left" w:pos="360"/>
        </w:tabs>
        <w:ind w:left="644"/>
        <w:jc w:val="both"/>
        <w:rPr>
          <w:b/>
        </w:rPr>
      </w:pPr>
    </w:p>
    <w:p w:rsidR="00D02467" w:rsidRPr="00531FA5" w:rsidRDefault="00D02467" w:rsidP="00D02467">
      <w:pPr>
        <w:pStyle w:val="Odsekzoznamu"/>
        <w:tabs>
          <w:tab w:val="left" w:pos="360"/>
        </w:tabs>
        <w:ind w:left="0"/>
        <w:jc w:val="both"/>
        <w:rPr>
          <w:strike/>
        </w:rPr>
      </w:pPr>
    </w:p>
    <w:p w:rsidR="00D02467" w:rsidRPr="00F06B08" w:rsidRDefault="00D02467" w:rsidP="00D02467"/>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Pr="001A62FA" w:rsidRDefault="00D02467" w:rsidP="00D02467">
      <w:pPr>
        <w:pStyle w:val="Nadpis1"/>
        <w:rPr>
          <w:rFonts w:ascii="Times New Roman" w:hAnsi="Times New Roman"/>
          <w:b w:val="0"/>
          <w:sz w:val="24"/>
          <w:szCs w:val="24"/>
        </w:rPr>
      </w:pPr>
      <w:r>
        <w:rPr>
          <w:rStyle w:val="Textzstupnhosymbolu"/>
          <w:color w:val="000000"/>
        </w:rPr>
        <w:br w:type="page"/>
      </w:r>
      <w:r w:rsidRPr="001A62FA">
        <w:rPr>
          <w:rFonts w:ascii="Times New Roman" w:hAnsi="Times New Roman"/>
          <w:sz w:val="24"/>
          <w:szCs w:val="24"/>
        </w:rPr>
        <w:t>B. Osobitná časť</w:t>
      </w:r>
    </w:p>
    <w:p w:rsidR="00D02467" w:rsidRPr="001A62FA" w:rsidRDefault="00D02467" w:rsidP="00D02467">
      <w:pPr>
        <w:widowControl/>
        <w:jc w:val="both"/>
        <w:rPr>
          <w:color w:val="000000"/>
        </w:rPr>
      </w:pPr>
    </w:p>
    <w:p w:rsidR="00D02467" w:rsidRPr="001A62FA" w:rsidRDefault="00D02467" w:rsidP="00D02467">
      <w:pPr>
        <w:widowControl/>
        <w:jc w:val="both"/>
        <w:rPr>
          <w:color w:val="000000"/>
        </w:rPr>
      </w:pPr>
    </w:p>
    <w:p w:rsidR="00D02467" w:rsidRPr="00D02467" w:rsidRDefault="00D02467" w:rsidP="00D02467">
      <w:pPr>
        <w:widowControl/>
        <w:spacing w:after="280" w:afterAutospacing="1"/>
        <w:jc w:val="both"/>
        <w:rPr>
          <w:rStyle w:val="Textzstupnhosymbolu"/>
          <w:b/>
          <w:color w:val="000000"/>
        </w:rPr>
      </w:pPr>
      <w:r w:rsidRPr="00D02467">
        <w:rPr>
          <w:rStyle w:val="Textzstupnhosymbolu"/>
          <w:b/>
          <w:color w:val="000000"/>
        </w:rPr>
        <w:t>K Čl. I </w:t>
      </w: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1</w:t>
      </w:r>
    </w:p>
    <w:p w:rsidR="00D02467" w:rsidRPr="00D02467" w:rsidRDefault="00D02467" w:rsidP="00D02467">
      <w:pPr>
        <w:tabs>
          <w:tab w:val="left" w:pos="567"/>
          <w:tab w:val="left" w:pos="3261"/>
        </w:tabs>
        <w:spacing w:before="120" w:after="120"/>
        <w:jc w:val="both"/>
        <w:rPr>
          <w:rStyle w:val="Textzstupnhosymbolu"/>
          <w:color w:val="000000"/>
          <w:sz w:val="22"/>
          <w:szCs w:val="22"/>
        </w:rPr>
      </w:pPr>
      <w:r w:rsidRPr="00D02467">
        <w:rPr>
          <w:rStyle w:val="Textzstupnhosymbolu"/>
          <w:color w:val="000000"/>
        </w:rPr>
        <w:t>Ustanovuje sa pôsobnosť Úradu pre normalizáciu, metrológiu a skúšobníctvo Slovenskej republiky (ďalej len „úrad“), ktorý bude v zmysle vykonávacej smernice Komisie (EÚ) 2019/69 zo 16. januára 2019, ktorou sa stanovujú technické špecifikácie pre poplašné a signálne zbrane podľa smernice Rady 91/477/EHS o kontrole získavania a vlastnenia zbraní (Ú. v. EÚ L 15, 17.1.2019)</w:t>
      </w:r>
      <w:r w:rsidRPr="001A62FA">
        <w:t xml:space="preserve"> </w:t>
      </w:r>
      <w:r w:rsidRPr="00D02467">
        <w:rPr>
          <w:rStyle w:val="Textzstupnhosymbolu"/>
          <w:color w:val="000000"/>
        </w:rPr>
        <w:t xml:space="preserve">(ďalej len „vykonávacia smernica (EÚ) 2019/69“) </w:t>
      </w:r>
      <w:r w:rsidRPr="001A62FA">
        <w:t>národným kontaktným miestom,</w:t>
      </w:r>
      <w:r w:rsidRPr="003627EF">
        <w:t xml:space="preserve"> ako aj povinnosť úradu zabezpečiť spoluprácu s </w:t>
      </w:r>
      <w:r w:rsidRPr="0096541F">
        <w:t>iným členskými štátmi Európskej únie a štátmi, ktorý sú zmluvnou stranou Dohody o Európskom hospodárskom priestore pri posudzovaní zhody podľa prílohy č. 1 časti A tretieho bodu návrhu zákona</w:t>
      </w:r>
      <w:r w:rsidRPr="00D02467">
        <w:rPr>
          <w:rStyle w:val="Textzstupnhosymbolu"/>
          <w:color w:val="000000"/>
        </w:rPr>
        <w:t>.</w:t>
      </w:r>
    </w:p>
    <w:p w:rsidR="00D02467" w:rsidRPr="00D02467" w:rsidRDefault="00D02467" w:rsidP="00D02467">
      <w:pPr>
        <w:tabs>
          <w:tab w:val="left" w:pos="567"/>
          <w:tab w:val="left" w:pos="3261"/>
        </w:tabs>
        <w:spacing w:before="120" w:after="120"/>
        <w:jc w:val="both"/>
        <w:rPr>
          <w:rStyle w:val="Textzstupnhosymbolu"/>
          <w:color w:val="000000"/>
          <w:sz w:val="22"/>
          <w:szCs w:val="22"/>
        </w:rPr>
      </w:pPr>
    </w:p>
    <w:p w:rsidR="00D02467" w:rsidRPr="00D02467" w:rsidRDefault="00D02467" w:rsidP="00D02467">
      <w:pPr>
        <w:widowControl/>
        <w:spacing w:before="120" w:after="120"/>
        <w:jc w:val="both"/>
        <w:rPr>
          <w:b/>
          <w:color w:val="000000"/>
        </w:rPr>
      </w:pPr>
      <w:r w:rsidRPr="00D02467">
        <w:rPr>
          <w:rStyle w:val="Textzstupnhosymbolu"/>
          <w:b/>
          <w:color w:val="000000"/>
        </w:rPr>
        <w:t>K bodu 2</w:t>
      </w:r>
    </w:p>
    <w:p w:rsidR="00D02467" w:rsidRPr="00D02467" w:rsidRDefault="00D02467" w:rsidP="00D02467">
      <w:pPr>
        <w:widowControl/>
        <w:jc w:val="both"/>
        <w:rPr>
          <w:rStyle w:val="Textzstupnhosymbolu"/>
          <w:color w:val="000000"/>
          <w:sz w:val="22"/>
          <w:szCs w:val="22"/>
        </w:rPr>
      </w:pPr>
      <w:r w:rsidRPr="00D02467">
        <w:rPr>
          <w:rStyle w:val="Textzstupnhosymbolu"/>
          <w:color w:val="000000"/>
        </w:rPr>
        <w:t xml:space="preserve">Doplnením predmetného ustanovenia sa zosúlaďuje predmetný pojem so znením vykonávacej smernice (EÚ) 2019/69. Zároveň predkladateľ zdôrazňuje, že podľa § 4 ods. 1 za určené výrobky považujeme všetky druhy strelných zbraní uvedené v § 4 ods. 1, ktorými rozumieme tak strelné zbrane novo vyrobené, ako aj strelné zbrane po podstatnej úprave, t.j. strelné zbrane vyrobené podstatnou úpravou podľa § 2 písm. c), inak nazývané aj prerábané strelné zbrane. Tieto strelné zbrane vyrobené podstatnou úpravou sú následne považované za novo vyrobené strelné zbrane, nakoľko podľa § 7 ods. 1 sa za výrobcu považuje aj ten, kto vykoná podstatnú úpravu strelnej zbrane a na ktorého sa následne vzťahujú povinnosti výrobcu podľa tohto zákona. </w:t>
      </w:r>
    </w:p>
    <w:p w:rsidR="00D02467" w:rsidRPr="00D02467" w:rsidRDefault="00D02467" w:rsidP="00D02467">
      <w:pPr>
        <w:widowControl/>
        <w:jc w:val="both"/>
        <w:rPr>
          <w:rStyle w:val="Textzstupnhosymbolu"/>
          <w:color w:val="000000"/>
          <w:sz w:val="22"/>
          <w:szCs w:val="22"/>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3</w:t>
      </w:r>
    </w:p>
    <w:p w:rsidR="00D02467" w:rsidRPr="00D02467" w:rsidRDefault="00D02467" w:rsidP="00D02467">
      <w:pPr>
        <w:widowControl/>
        <w:spacing w:after="100" w:afterAutospacing="1"/>
        <w:jc w:val="both"/>
        <w:rPr>
          <w:rStyle w:val="Textzstupnhosymbolu"/>
          <w:color w:val="000000"/>
        </w:rPr>
      </w:pPr>
      <w:r w:rsidRPr="00D02467">
        <w:rPr>
          <w:rStyle w:val="Textzstupnhosymbolu"/>
          <w:color w:val="000000"/>
        </w:rPr>
        <w:t xml:space="preserve">V bode 3 sa zosúlaďuje znenie § 7 ods. 2 písm. g) návrhu zákona s článkom 4 ods. 1 písm. a) a článkom 4 ods. 2 smernice Európskeho parlamentu a Rady (EÚ) 2017/853 zo 17. mája 2017, ktorou sa mení smernica Rady 91/477/EHS o kontrole získavania a vlastnenia zbraní (ďalej len „smernica (EÚ) 2017/853“), ktorým sa transponuje spôsob označovania strelných zbraní podľa predmetného článku do právneho poriadku Slovenskej republiky. Výrobca je povinný označiť strelnú zbraň na hlavnej časti strelnej zbrane podľa požiadaviek uvedených v tomto ustanovení, ktoré spája požiadavky na označovanie podľa rozhodnutí Medzinárodnej stálej komisie na skúšky ručných palných zbraní (ďalej len „stála komisia“) a čl. 4 ods. 2 smernice (EÚ) 2017/853. Úrad po dohode s Ministerstvom vnútra Slovenskej republiky pristúpil k transpozícii článku 4 ods. 1 písm. a) a článku 4 ods. 2 smernice (EÚ) 2017/853, ktoré bezprostredne súvisia s transpozíciou vykonávacej smernice (EÚ) 2019/68, zmenou zákona č. 64/2019 Z. z. o sprístupňovaní strelných zbraní a streliva na civilné použitie na trhu. </w:t>
      </w: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4</w:t>
      </w:r>
    </w:p>
    <w:p w:rsidR="00D02467" w:rsidRPr="001A62FA" w:rsidRDefault="00D02467" w:rsidP="00D02467">
      <w:pPr>
        <w:tabs>
          <w:tab w:val="left" w:pos="567"/>
          <w:tab w:val="left" w:pos="3261"/>
        </w:tabs>
        <w:spacing w:before="120" w:after="120"/>
        <w:jc w:val="both"/>
        <w:rPr>
          <w:color w:val="000000"/>
        </w:rPr>
      </w:pPr>
      <w:r w:rsidRPr="0096541F">
        <w:rPr>
          <w:color w:val="000000"/>
        </w:rPr>
        <w:t xml:space="preserve">V § 7 ods. 2 písm. h) návrhu zákona sa zosúlaďuje a spresňuje znenie tohto ustanovenia so znením rozhodnutí </w:t>
      </w:r>
      <w:r>
        <w:rPr>
          <w:color w:val="000000"/>
        </w:rPr>
        <w:t>stálej komisie</w:t>
      </w:r>
      <w:r w:rsidRPr="0096541F">
        <w:rPr>
          <w:color w:val="000000"/>
        </w:rPr>
        <w:t>.</w:t>
      </w:r>
      <w:r>
        <w:rPr>
          <w:color w:val="000000"/>
        </w:rPr>
        <w:t xml:space="preserve"> </w:t>
      </w:r>
    </w:p>
    <w:p w:rsidR="00D02467" w:rsidRDefault="00D02467" w:rsidP="00D02467">
      <w:pPr>
        <w:tabs>
          <w:tab w:val="left" w:pos="567"/>
          <w:tab w:val="left" w:pos="3261"/>
        </w:tabs>
        <w:spacing w:before="120" w:after="120"/>
        <w:jc w:val="both"/>
        <w:rPr>
          <w:rStyle w:val="Textzstupnhosymbolu"/>
          <w:b/>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5</w:t>
      </w:r>
    </w:p>
    <w:p w:rsidR="00D02467" w:rsidRPr="0096541F" w:rsidRDefault="00D02467" w:rsidP="00D02467">
      <w:pPr>
        <w:tabs>
          <w:tab w:val="left" w:pos="567"/>
          <w:tab w:val="left" w:pos="3261"/>
        </w:tabs>
        <w:spacing w:before="120" w:after="120"/>
        <w:jc w:val="both"/>
        <w:rPr>
          <w:color w:val="000000"/>
        </w:rPr>
      </w:pPr>
      <w:r w:rsidRPr="0096541F">
        <w:rPr>
          <w:color w:val="000000"/>
        </w:rPr>
        <w:t>Zosúlaďuje sa znenie zákona č. 64/2019 Z. z.</w:t>
      </w:r>
      <w:r w:rsidRPr="00A044A9">
        <w:t xml:space="preserve"> </w:t>
      </w:r>
      <w:r w:rsidRPr="00A044A9">
        <w:rPr>
          <w:color w:val="000000"/>
        </w:rPr>
        <w:t>o sprístupňovaní strelných zbraní a streliva na civilné použitie na trhu</w:t>
      </w:r>
      <w:r w:rsidRPr="0096541F">
        <w:rPr>
          <w:color w:val="000000"/>
        </w:rPr>
        <w:t xml:space="preserve"> s článkom 4 ods. 2 smernice (EÚ) 2017/853, ktorým sa transponuje spôsob označovania spotrebiteľského</w:t>
      </w:r>
      <w:r>
        <w:rPr>
          <w:color w:val="000000"/>
        </w:rPr>
        <w:t xml:space="preserve"> </w:t>
      </w:r>
      <w:r w:rsidRPr="0096541F">
        <w:rPr>
          <w:color w:val="000000"/>
        </w:rPr>
        <w:t xml:space="preserve">balenia streliva podľa predmetného článku do právneho poriadku Slovenskej republiky. Výrobca je povinný označiť spotrebiteľské balenie streliva podľa požiadaviek uvedených v tomto ustanovení, ktoré spája požiadavky na označovanie </w:t>
      </w:r>
      <w:r>
        <w:rPr>
          <w:color w:val="000000"/>
        </w:rPr>
        <w:t>podľa rozhodnutí stálej komisie</w:t>
      </w:r>
      <w:r w:rsidRPr="0096541F">
        <w:rPr>
          <w:color w:val="000000"/>
        </w:rPr>
        <w:t xml:space="preserve"> a čl. 4 ods. 2 smernice (EÚ) 2017/853. </w:t>
      </w:r>
    </w:p>
    <w:p w:rsidR="00D02467" w:rsidRPr="00D02467" w:rsidRDefault="00D02467" w:rsidP="00D02467">
      <w:pPr>
        <w:tabs>
          <w:tab w:val="left" w:pos="567"/>
          <w:tab w:val="left" w:pos="3261"/>
        </w:tabs>
        <w:spacing w:before="120" w:after="120"/>
        <w:jc w:val="both"/>
        <w:rPr>
          <w:rStyle w:val="Textzstupnhosymbolu"/>
          <w:b/>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6</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 7 zákona č. 64/2019 Z. z. o sprístupňovaní strelných zbraní a streliva na civilné použitie na trhu sa dopĺňa novým odsekom 4, ktorý upravuje situáciu, kedy výrobca strelnej zbrane alebo streliva, ktorý má vlastnú ochrannú známku, ktorou označí, ak to považuje sa potrebné strelnú zbraň alebo spotrebiteľské balenie streliva svojou ochrannou známkou. Ide o ďalšie označenie strelnej zbrane, ktoré môže výrobca označiť na strelnej zbrani popri povinných označeniach, ktoré sú vymedzené v § 7 ods. 2 písm. g) návrhu zákona, čo rovnako platí aj pre označenie spotrebiteľského balenia streliva, ktoré môže označiť svojou ochrannou známkou popri povinných označeniach podľa § 7 ods. 2 písm. l) návrhu zákona.</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V nadväznosti na úpravu prechodných ustanovení bolo zároveň potrebné doplniť § 7 odsekom 5 tak, aby výrobca pri strelnej zbrani, ktorá bola upravená podľa § 2 psím. d) mal povinnosť označiť údajmi podľa § 7 ods. 2 písm. g) a podľa ods. 4 hlavnú časť strelnej zbrane alebo časť strelnej zbrane, ktorá bola v rámci tejto úpravy vymenená, opravená alebo zmenená a má zároveň možnosť, nie povinnosť, označiť údajmi podľa § 7 ods. 2 písm. g) a podľa § 7 ods. 4 návrhu zákona hlavnú časť strelnej zbrane alebo časť strelnej zbrane, ktorá nebola počas predmetnej úpravy strelnej zbrane vymenená, opravená alebo zmenená podľa § 2 písm. d) návrhu zákona.</w:t>
      </w:r>
    </w:p>
    <w:p w:rsidR="00D02467" w:rsidRPr="00D02467" w:rsidRDefault="00D02467" w:rsidP="00D02467">
      <w:pPr>
        <w:tabs>
          <w:tab w:val="left" w:pos="567"/>
          <w:tab w:val="left" w:pos="3261"/>
        </w:tabs>
        <w:spacing w:before="120" w:after="120"/>
        <w:jc w:val="both"/>
        <w:rPr>
          <w:rStyle w:val="Textzstupnhosymbolu"/>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7</w:t>
      </w:r>
    </w:p>
    <w:p w:rsidR="00D02467" w:rsidRPr="0096541F" w:rsidRDefault="00D02467" w:rsidP="00D02467">
      <w:pPr>
        <w:tabs>
          <w:tab w:val="left" w:pos="567"/>
          <w:tab w:val="left" w:pos="3261"/>
        </w:tabs>
        <w:spacing w:before="120" w:after="120"/>
        <w:jc w:val="both"/>
        <w:rPr>
          <w:color w:val="000000"/>
        </w:rPr>
      </w:pPr>
      <w:r w:rsidRPr="0096541F">
        <w:rPr>
          <w:color w:val="000000"/>
        </w:rPr>
        <w:t xml:space="preserve">Vypúšťajú </w:t>
      </w:r>
      <w:r>
        <w:rPr>
          <w:color w:val="000000"/>
        </w:rPr>
        <w:t xml:space="preserve">sa </w:t>
      </w:r>
      <w:r w:rsidRPr="0096541F">
        <w:rPr>
          <w:color w:val="000000"/>
        </w:rPr>
        <w:t>časti ustanovenia § 14 ods. 5 zákona č. 64/2019 Z. z.</w:t>
      </w:r>
      <w:r w:rsidRPr="00A044A9">
        <w:t xml:space="preserve"> </w:t>
      </w:r>
      <w:r w:rsidRPr="00A044A9">
        <w:rPr>
          <w:color w:val="000000"/>
        </w:rPr>
        <w:t>o sprístupňovaní strelných zbraní a streliva na civilné použitie na trhu</w:t>
      </w:r>
      <w:r w:rsidRPr="0096541F">
        <w:rPr>
          <w:color w:val="000000"/>
        </w:rPr>
        <w:t xml:space="preserve">, ktoré sa stali nadbytočnými v kontexte ustanovení transponujúcimi </w:t>
      </w:r>
      <w:r w:rsidRPr="0096541F">
        <w:t>vykonávaciu smernicu Komisie (EÚ) 2019/68 zo 16. januára 2019, ktorou sa stanovujú technické špecifikácie označovania strelných zbraní a ich hlavných častí podľa smernice Rady 91/477/EHS o kontrole získavania a vlastnenia zbraní (Ú. v. EÚ L 15, 17.1.2019) (ďalej len „vykonávacia smernica (EÚ) 2019/68“).</w:t>
      </w:r>
    </w:p>
    <w:p w:rsidR="00D02467" w:rsidRPr="00D02467" w:rsidRDefault="00D02467" w:rsidP="00D02467">
      <w:pPr>
        <w:tabs>
          <w:tab w:val="left" w:pos="567"/>
          <w:tab w:val="left" w:pos="3261"/>
        </w:tabs>
        <w:spacing w:before="120" w:after="120"/>
        <w:jc w:val="both"/>
        <w:rPr>
          <w:rStyle w:val="Textzstupnhosymbolu"/>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8</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Dopĺňa sa transpozičný odkaz o vykonávaciu smernicu (EÚ) 2019/68, vykonávaciu smernicu (EÚ) 2019/69 a smernicu (EÚ) 2017/853, nakoľko účinný právny predpis ho neobsahuje.</w:t>
      </w:r>
    </w:p>
    <w:p w:rsidR="00D02467" w:rsidRPr="00D02467" w:rsidRDefault="00D02467" w:rsidP="00D02467">
      <w:pPr>
        <w:tabs>
          <w:tab w:val="left" w:pos="567"/>
          <w:tab w:val="left" w:pos="3261"/>
        </w:tabs>
        <w:spacing w:before="120" w:after="120"/>
        <w:jc w:val="both"/>
        <w:rPr>
          <w:rStyle w:val="Textzstupnhosymbolu"/>
          <w:b/>
          <w:color w:val="000000"/>
        </w:rPr>
      </w:pPr>
    </w:p>
    <w:p w:rsidR="00D02467" w:rsidRPr="00D02467" w:rsidRDefault="00D02467" w:rsidP="00D02467">
      <w:pPr>
        <w:tabs>
          <w:tab w:val="left" w:pos="567"/>
          <w:tab w:val="left" w:pos="3261"/>
        </w:tabs>
        <w:spacing w:before="120" w:after="120"/>
        <w:jc w:val="both"/>
        <w:rPr>
          <w:b/>
          <w:color w:val="000000"/>
        </w:rPr>
      </w:pPr>
      <w:r w:rsidRPr="00D02467">
        <w:rPr>
          <w:rStyle w:val="Textzstupnhosymbolu"/>
          <w:b/>
          <w:color w:val="000000"/>
        </w:rPr>
        <w:t>K bodu 9</w:t>
      </w:r>
    </w:p>
    <w:p w:rsidR="00D02467" w:rsidRPr="00854C63" w:rsidRDefault="00D02467" w:rsidP="00D02467">
      <w:pPr>
        <w:tabs>
          <w:tab w:val="left" w:pos="567"/>
          <w:tab w:val="left" w:pos="3261"/>
        </w:tabs>
        <w:spacing w:before="120" w:after="120"/>
        <w:jc w:val="both"/>
        <w:rPr>
          <w:color w:val="000000"/>
        </w:rPr>
      </w:pPr>
      <w:r w:rsidRPr="00854C63">
        <w:rPr>
          <w:color w:val="000000"/>
        </w:rPr>
        <w:t>Dopĺňa sa prechodné ustanovenie k úpravám účinným od 17. januára 2020, nakoľko nové požiadavky na strelné zbrane a strelivo v zmysle vykonávacej smernice (EÚ) 2019/69 sa budú uplatňovať na tieto strelné zbrane až od účinnosti týchto smerníc.</w:t>
      </w:r>
    </w:p>
    <w:p w:rsidR="00D02467" w:rsidRPr="00854C63" w:rsidRDefault="00D02467" w:rsidP="00D02467">
      <w:pPr>
        <w:tabs>
          <w:tab w:val="left" w:pos="567"/>
          <w:tab w:val="left" w:pos="3261"/>
        </w:tabs>
        <w:spacing w:before="120" w:after="120"/>
        <w:jc w:val="both"/>
        <w:rPr>
          <w:color w:val="000000"/>
        </w:rPr>
      </w:pPr>
      <w:r w:rsidRPr="00854C63">
        <w:rPr>
          <w:color w:val="000000"/>
        </w:rPr>
        <w:t>Uvedené sa ustanovuje v kontexte ustanovenia článku 10a tretieho bodu smernice (EÚ) 2017/853</w:t>
      </w:r>
      <w:r>
        <w:rPr>
          <w:color w:val="000000"/>
        </w:rPr>
        <w:t>, podľa ktorého</w:t>
      </w:r>
      <w:r w:rsidRPr="00854C63">
        <w:rPr>
          <w:color w:val="000000"/>
        </w:rPr>
        <w:t xml:space="preserve"> „3.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 pričom dátum bol ustanovený podľa vstupu do účinnosti vykonávacej smernice (EÚ) 2019/69. Uvedené prechodné ustanovenie sa dotýka iba strelných zbraní podľa § 4 ods. 1 písm. a) trinásteho a štrnásteho bodu, predložených na nové kusové overenie</w:t>
      </w:r>
      <w:r>
        <w:rPr>
          <w:color w:val="000000"/>
        </w:rPr>
        <w:t>,</w:t>
      </w:r>
      <w:r w:rsidRPr="00854C63">
        <w:rPr>
          <w:color w:val="000000"/>
        </w:rPr>
        <w:t xml:space="preserve"> a to z dôvodu, že pri týchto zbraniach predložených na nové kusové overenie nie je predpoklad, že ide o zbrane vyrobené alebo dovezené do </w:t>
      </w:r>
      <w:r>
        <w:rPr>
          <w:color w:val="000000"/>
        </w:rPr>
        <w:t>EÚ</w:t>
      </w:r>
      <w:r w:rsidRPr="00854C63">
        <w:rPr>
          <w:color w:val="000000"/>
        </w:rPr>
        <w:t xml:space="preserve"> (čiže zbrane novovyrobené alebo vyrobené podstatnou úpravou), ale iba o zbrane po úprave strelnej zbrane (oprave strelnej zbrane) alebo o zbrane, pri ktorých sa z nejakého dôvodu kontroluje aktuálny technický stav.   </w:t>
      </w:r>
    </w:p>
    <w:p w:rsidR="00D02467" w:rsidRPr="0096541F" w:rsidRDefault="00D02467" w:rsidP="00D02467">
      <w:pPr>
        <w:tabs>
          <w:tab w:val="left" w:pos="567"/>
          <w:tab w:val="left" w:pos="3261"/>
        </w:tabs>
        <w:spacing w:before="120" w:after="120"/>
        <w:jc w:val="both"/>
        <w:rPr>
          <w:color w:val="000000"/>
        </w:rPr>
      </w:pPr>
      <w:r w:rsidRPr="00854C63">
        <w:rPr>
          <w:color w:val="000000"/>
        </w:rPr>
        <w:t>Ustanovenie uvedeného prechodného ustanovenia pre „kusové overenie po podstatnej úprave“  nie je možné. Zákon č. 64/2019 Z. z. o sprístupňovaní strelných zbraní a streliva na civilné použitie na trhu ako taký rozlišuje podstatnú úpravu strelnej zbrane, ktorou sa rozumie prerobenie strelnej zbrane a úpravu strelnej zbrane, ktorou sa rozumie oprava strelnej zbrane. Strelná zbraň po podstatnej úprave strelnej zbrane (prerobená strelná zbraň) sa v zmysle zákona č. 64/2019 Z. z. o sprístupňovaní strelných zbraní a streliva na civilné použitie na trhu ako aj zákona č. 56/2018 Z. z. o posudzovaní zhody výrobku, sprístupňovaní určeného výrobku na trhu a o zmene a doplnení niektorých zákonov považuje za „nový“ výrobok, čiže za vyrobenú strelnú zbraň, a z toho dôvodu je aj posudzovanie zhody vykonávané precíznejším spôsobom, a to kusovým overením. Uvedené je zároveň v súlade s ustanovením článku 10a tretieho bodu smernice (EÚ) 2017/853, ktoré sa týka vykonávacích aktov, ktorým je aj vykonávacia smernica (EÚ) 2019/69, v zmysle ktorého bolo pripravené ustanovenie § 21a - Prechodné ustanovenie k úpravám účinným od 17. januára 2020.</w:t>
      </w:r>
    </w:p>
    <w:p w:rsidR="00D02467" w:rsidRDefault="00D02467" w:rsidP="00D02467">
      <w:pPr>
        <w:tabs>
          <w:tab w:val="left" w:pos="567"/>
          <w:tab w:val="left" w:pos="3261"/>
        </w:tabs>
        <w:spacing w:before="120" w:after="120"/>
        <w:jc w:val="both"/>
        <w:rPr>
          <w:b/>
          <w:color w:val="000000"/>
        </w:rPr>
      </w:pPr>
    </w:p>
    <w:p w:rsidR="00D02467" w:rsidRPr="00306569" w:rsidRDefault="00D02467" w:rsidP="00D02467">
      <w:pPr>
        <w:tabs>
          <w:tab w:val="left" w:pos="567"/>
          <w:tab w:val="left" w:pos="3261"/>
        </w:tabs>
        <w:spacing w:before="120" w:after="120"/>
        <w:jc w:val="both"/>
        <w:rPr>
          <w:color w:val="000000"/>
        </w:rPr>
      </w:pPr>
      <w:r w:rsidRPr="00306569">
        <w:rPr>
          <w:b/>
          <w:color w:val="000000"/>
        </w:rPr>
        <w:t>K bodu 10</w:t>
      </w:r>
    </w:p>
    <w:p w:rsidR="00D02467" w:rsidRPr="001A62FA" w:rsidRDefault="00D02467" w:rsidP="00D02467">
      <w:pPr>
        <w:tabs>
          <w:tab w:val="left" w:pos="567"/>
          <w:tab w:val="left" w:pos="3261"/>
        </w:tabs>
        <w:spacing w:before="120" w:after="120"/>
        <w:jc w:val="both"/>
        <w:rPr>
          <w:rFonts w:ascii="Times" w:hAnsi="Times" w:cs="Times"/>
          <w:sz w:val="25"/>
          <w:szCs w:val="25"/>
        </w:rPr>
      </w:pPr>
      <w:r w:rsidRPr="00D02467">
        <w:rPr>
          <w:rStyle w:val="Textzstupnhosymbolu"/>
          <w:color w:val="000000"/>
        </w:rPr>
        <w:t xml:space="preserve">Spresnenie ustanovenia z dôvodu jeho zosúladenia s rozhodnutiami stálej komisie a vypúšťa sa slovo „nabíjaná“ z dôvodu nadbytočnosti. </w:t>
      </w:r>
    </w:p>
    <w:p w:rsidR="00D02467" w:rsidRDefault="00D02467" w:rsidP="00D02467">
      <w:pPr>
        <w:tabs>
          <w:tab w:val="left" w:pos="567"/>
          <w:tab w:val="left" w:pos="3261"/>
        </w:tabs>
        <w:spacing w:before="120" w:after="120"/>
        <w:jc w:val="both"/>
        <w:rPr>
          <w:b/>
          <w:color w:val="000000"/>
        </w:rPr>
      </w:pPr>
    </w:p>
    <w:p w:rsidR="00D02467" w:rsidRPr="00306569" w:rsidRDefault="00D02467" w:rsidP="00D02467">
      <w:pPr>
        <w:tabs>
          <w:tab w:val="left" w:pos="567"/>
          <w:tab w:val="left" w:pos="3261"/>
        </w:tabs>
        <w:spacing w:before="120" w:after="120"/>
        <w:jc w:val="both"/>
        <w:rPr>
          <w:b/>
          <w:color w:val="000000"/>
        </w:rPr>
      </w:pPr>
      <w:r>
        <w:rPr>
          <w:b/>
          <w:color w:val="000000"/>
        </w:rPr>
        <w:t>K bodu 11</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 xml:space="preserve">V  prílohe č. 1 časti A treťom bode návrhu zákona sa ustanovujú základné požiadavky na strelnú zbraň podľa § 4 ods. 1 písm. a) trinásteho a štrnásteho bodu tohto zákona v súlade so znením vykonávacej smernice (EÚ) 2019/69. Z dôvodu právnej istoty je potrebné uviesť, že ide o novovyrobenú </w:t>
      </w:r>
      <w:r w:rsidRPr="00567A50">
        <w:t xml:space="preserve">strelnú zbraň podľa § 4 ods. 1 písm. a) trinásteho </w:t>
      </w:r>
      <w:r>
        <w:t>bodu</w:t>
      </w:r>
      <w:r w:rsidRPr="00567A50">
        <w:t xml:space="preserve"> a štrnásteho bodu </w:t>
      </w:r>
      <w:r>
        <w:t xml:space="preserve">a strelnú zbraň </w:t>
      </w:r>
      <w:r w:rsidRPr="00567A50">
        <w:t xml:space="preserve">podľa § 4 ods. 1 písm. a) trinásteho </w:t>
      </w:r>
      <w:r>
        <w:t>bodu</w:t>
      </w:r>
      <w:r w:rsidRPr="00567A50">
        <w:t xml:space="preserve"> a štrnásteho bodu</w:t>
      </w:r>
      <w:r>
        <w:t xml:space="preserve"> </w:t>
      </w:r>
      <w:r w:rsidRPr="009E012B">
        <w:t xml:space="preserve">vyrobenej podstatnou úpravou strelnej </w:t>
      </w:r>
      <w:r w:rsidRPr="000D2FF0">
        <w:t>zbrane</w:t>
      </w:r>
      <w:r>
        <w:t xml:space="preserve">, čím sa má na mysli v súlade s § 4 ods. 1 písm. e) návrhu zákona novovyrobená strelná zbraň ako aj strelná zbraň po podstatnej úprave, čiže všetky </w:t>
      </w:r>
      <w:r w:rsidRPr="00D02467">
        <w:rPr>
          <w:rStyle w:val="Textzstupnhosymbolu"/>
          <w:color w:val="000000"/>
        </w:rPr>
        <w:t>strelné zbrane podľa § 4 ods. 1 písm. a) trinásteho a štrnásteho bodu tohto zákona majú spĺňať požiadavky tohto ustanovenia.</w:t>
      </w:r>
    </w:p>
    <w:p w:rsidR="00D02467" w:rsidRPr="00D02467" w:rsidRDefault="00D02467" w:rsidP="00D02467">
      <w:pPr>
        <w:tabs>
          <w:tab w:val="left" w:pos="567"/>
          <w:tab w:val="left" w:pos="3261"/>
        </w:tabs>
        <w:spacing w:before="120" w:after="120"/>
        <w:jc w:val="both"/>
        <w:rPr>
          <w:rStyle w:val="Textzstupnhosymbolu"/>
          <w:color w:val="000000"/>
        </w:rPr>
      </w:pPr>
      <w:r>
        <w:t xml:space="preserve">Z dôvodu zjednodušenia písania jednotlivých ustanovení zákona sa pre </w:t>
      </w:r>
      <w:r w:rsidRPr="00814F38">
        <w:rPr>
          <w:i/>
        </w:rPr>
        <w:t>„strelnú zbraň podľa § 4 ods. 1 písm. a) trinásteho bodu a štrnásteho bodu</w:t>
      </w:r>
      <w:r>
        <w:rPr>
          <w:i/>
        </w:rPr>
        <w:t xml:space="preserve"> </w:t>
      </w:r>
      <w:r w:rsidRPr="001B4F75">
        <w:rPr>
          <w:i/>
        </w:rPr>
        <w:t>a na strelnú zbraň podľa § 4 ods. 1 písm. a) trinásteho bodu a štrnásteho bodu vyrobenej podstatnou úpravou strelnej zbrane</w:t>
      </w:r>
      <w:r w:rsidRPr="00D37663">
        <w:t>“</w:t>
      </w:r>
      <w:r w:rsidRPr="00D37663" w:rsidDel="00F3558C">
        <w:t xml:space="preserve"> </w:t>
      </w:r>
      <w:r>
        <w:t>zaviedol spoločný pojem „</w:t>
      </w:r>
      <w:r w:rsidRPr="0096541F">
        <w:rPr>
          <w:i/>
        </w:rPr>
        <w:t>vybraná zbraň</w:t>
      </w:r>
      <w:r>
        <w:t>“.</w:t>
      </w:r>
    </w:p>
    <w:p w:rsidR="00D02467" w:rsidRPr="0096541F" w:rsidRDefault="00D02467" w:rsidP="00D02467">
      <w:pPr>
        <w:tabs>
          <w:tab w:val="left" w:pos="567"/>
          <w:tab w:val="left" w:pos="3261"/>
        </w:tabs>
        <w:spacing w:before="120" w:after="120"/>
        <w:jc w:val="both"/>
      </w:pPr>
      <w:r w:rsidRPr="00D02467">
        <w:rPr>
          <w:rStyle w:val="Textzstupnhosymbolu"/>
          <w:color w:val="000000"/>
        </w:rPr>
        <w:t>Smernica (EÚ) 2019/69 nerozlišuje novovyrobené alebo prerobené strelné zbrane podľa § 4 ods. 1 písm. a) trinásteho a štrnásteho bodu návrhu zákona, z toho dôvodu sa ustanovenia prílohy č. 1 časti A tretieho bodu a štvrtého bodu vzťahujú na novovyrábané ako aj na prerábané strelné zbrane a predpokladá sa zrušenie vyhlášky Úradu pre normalizáciu, metrológiu a skúšobníctvo Slovenskej republiky č. 169/2015 Z. z. o technickom postupe pri úprave zbrane kategórie A, kategórie B alebo kategórie C na expanznú zbraň kategórie D.</w:t>
      </w:r>
      <w:r w:rsidRPr="0096541F">
        <w:t xml:space="preserve"> </w:t>
      </w:r>
    </w:p>
    <w:p w:rsidR="00D02467" w:rsidRPr="00D02467" w:rsidRDefault="00D02467" w:rsidP="00D02467">
      <w:pPr>
        <w:tabs>
          <w:tab w:val="left" w:pos="567"/>
          <w:tab w:val="left" w:pos="3261"/>
        </w:tabs>
        <w:spacing w:before="120" w:after="120"/>
        <w:jc w:val="both"/>
        <w:rPr>
          <w:rStyle w:val="Textzstupnhosymbolu"/>
          <w:color w:val="000000"/>
        </w:rPr>
      </w:pPr>
      <w:r w:rsidRPr="0096541F">
        <w:t xml:space="preserve">Hlavné časti strelnej zbrane podľa § 4 ods. 1 písm. a) trinásteho a štrnásteho bodu nemožno namontovať alebo použiť ako hlavné časti strelnej zbrane inej ako strelná zbraň podľa tretieho bodu. </w:t>
      </w:r>
      <w:r w:rsidRPr="00D02467">
        <w:rPr>
          <w:rStyle w:val="Textzstupnhosymbolu"/>
          <w:color w:val="000000"/>
        </w:rPr>
        <w:t>Zo strany výrobcu je možné prijať len také opatrenia, ktoré zabezpečia, aby hlavné časti strelnej zbrane podľa § 4 ods. 1 písm. a) trinásteho a štrnásteho bodu nebolo možné namontovať alebo použiť ako hlavné časti strelnej zbrane inej ako strelná zbraň podľa tretieho bodu v rámci vlastnej produkcie výrobcu. Nie je možné zaručiť, že hlavná časť strelnej zbrane nie je, alebo nebude použiteľná s výrobkami iných výrobcov, najmä tých, ktoré budú tretími stranami ešte len vyrobené v budúcnosti. Nezameniteľnosť hlavných častí strelnej zbrane vie výrobca zaručiť len ak nedôjde k zásahu do predmetnej hlavnej časti zo strany tretej osoby. V tom prípade sa táto tretia osoba stáva výrobcom, nakoľko vykonala podstatnú úpravu predmetnej strelnej zbrane a je teda povinná, rovnako ako pôvodný výrobca, dodržiavať základné požiadavky kladené na túto strelnú zbraň podľa prílohy č. 1 časti A tretieho bodu návrhu zákona.</w:t>
      </w:r>
    </w:p>
    <w:p w:rsidR="00D02467" w:rsidRPr="00D02467" w:rsidRDefault="00D02467" w:rsidP="00D02467">
      <w:pPr>
        <w:tabs>
          <w:tab w:val="left" w:pos="567"/>
          <w:tab w:val="left" w:pos="3261"/>
        </w:tabs>
        <w:spacing w:before="120" w:after="120"/>
        <w:jc w:val="both"/>
        <w:rPr>
          <w:rStyle w:val="Textzstupnhosymbolu"/>
          <w:b/>
          <w:color w:val="000000"/>
        </w:rPr>
      </w:pPr>
    </w:p>
    <w:p w:rsidR="00D02467" w:rsidRPr="00D02467" w:rsidRDefault="00D02467" w:rsidP="00D02467">
      <w:pPr>
        <w:tabs>
          <w:tab w:val="left" w:pos="567"/>
          <w:tab w:val="left" w:pos="3261"/>
        </w:tabs>
        <w:spacing w:before="120" w:after="120"/>
        <w:jc w:val="both"/>
        <w:rPr>
          <w:b/>
          <w:color w:val="000000"/>
        </w:rPr>
      </w:pPr>
      <w:r w:rsidRPr="00D02467">
        <w:rPr>
          <w:rStyle w:val="Textzstupnhosymbolu"/>
          <w:b/>
          <w:color w:val="000000"/>
        </w:rPr>
        <w:t>K bodu 12</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V  prílohe č. 1 časti A štvrtom bode návrhu zákona sa vymedzujú z</w:t>
      </w:r>
      <w:r w:rsidRPr="0096541F">
        <w:t>ákladné požiadavky na expanznú strelnú zbraň okrem vybranej zbrane (legislatívna skratka pre strelné zbrane podľa § 4 ods. 1 písm. a) trinásteho a štrnásteho bodu tohto zákona). N</w:t>
      </w:r>
      <w:r w:rsidRPr="00D02467">
        <w:rPr>
          <w:rStyle w:val="Textzstupnhosymbolu"/>
          <w:color w:val="000000"/>
        </w:rPr>
        <w:t>erozlišujú sa  novovyrobené alebo prerobené expanzné strelné zbrane iné ako podľa § 4 ods. 1 písm. a) trinásteho a štrnásteho bodu tohto zákona, z toho dôvodu sa ustanovenia prílohy č. 1 časti A tretieho bodu a štvrtého bodu vzťahujú na novovyrábané ako aj na prerábané strelné zbrane a predpokladá sa zrušenie vyhlášky Úradu pre normalizáciu, metrológiu a skúšobníctvo Slovenskej republiky č. 169/2015 Z. z. o technickom postupe pri úprave zbrane kategórie A, kategórie B alebo kategórie C na expanznú zbraň kategórie D.</w:t>
      </w:r>
    </w:p>
    <w:p w:rsidR="00D02467" w:rsidRPr="0096541F" w:rsidRDefault="00D02467" w:rsidP="00D02467">
      <w:pPr>
        <w:tabs>
          <w:tab w:val="left" w:pos="567"/>
          <w:tab w:val="left" w:pos="3261"/>
        </w:tabs>
        <w:spacing w:before="120" w:after="120"/>
        <w:jc w:val="both"/>
      </w:pPr>
      <w:r w:rsidRPr="0096541F">
        <w:t xml:space="preserve">V  prílohe č. 1 časti A piatom bode </w:t>
      </w:r>
      <w:r w:rsidRPr="00D02467">
        <w:rPr>
          <w:rStyle w:val="Textzstupnhosymbolu"/>
          <w:color w:val="000000"/>
        </w:rPr>
        <w:t xml:space="preserve">návrhu zákona </w:t>
      </w:r>
      <w:r w:rsidRPr="0096541F">
        <w:t xml:space="preserve">sa ustanovujú špecifické požiadavky na spôsob označovania strelných zbraní podľa § 7 ods. 2 písm. g) </w:t>
      </w:r>
      <w:r>
        <w:t xml:space="preserve">a 7 ods. 4 návrhu </w:t>
      </w:r>
      <w:r w:rsidRPr="0096541F">
        <w:t>zákona v súlade so znením vykonávacej smernice (EÚ) 2019/68.</w:t>
      </w:r>
    </w:p>
    <w:p w:rsidR="00D02467" w:rsidRPr="0096541F" w:rsidRDefault="00D02467" w:rsidP="00D02467">
      <w:pPr>
        <w:tabs>
          <w:tab w:val="left" w:pos="567"/>
          <w:tab w:val="left" w:pos="3261"/>
        </w:tabs>
        <w:spacing w:before="120" w:after="120"/>
        <w:jc w:val="both"/>
      </w:pPr>
      <w:r w:rsidRPr="0096541F">
        <w:t>V prílohe druhom bode tretia veta k vykonávacej smernici (EÚ) 2019/68</w:t>
      </w:r>
      <w:r>
        <w:t xml:space="preserve"> ustanovenie</w:t>
      </w:r>
      <w:r w:rsidRPr="003627EF">
        <w:t>: „Pri určovaní, na ktoré nekovové materiály by sa táto špecifikácia mala vzťahovať, členské štáty zohľadnia rozsah, v </w:t>
      </w:r>
      <w:r w:rsidRPr="0096541F">
        <w:t>akom môže materiál ohroziť jasnosť a stálosť označenia.“ predstavuje dobrovoľnú transpozíciu, ktorú členský štát môže podľa uváženia transponovať alebo netransponovať do svojho právneho poriadku. Predmetné ustanovenie smernice nebude do právneho poriadku Slovenskej republiky transponované, nakoľko by predstavovalo negatívny gold-plating, keďže by musel</w:t>
      </w:r>
      <w:r>
        <w:t>o</w:t>
      </w:r>
      <w:r w:rsidRPr="003627EF">
        <w:t xml:space="preserve"> byť v rámci Slovenskej republiky ustanovené a následne dodržiavané používanie odlišných techník na označovanie rámov a tiel strelných zbraní ako bude dodržiavané v ostatných členských štátoch Európskej únie. </w:t>
      </w:r>
      <w:r w:rsidRPr="0096541F">
        <w:t xml:space="preserve">Netransponovanie predmetného ustanovenia vykonávacej smernice (EÚ) 2019/68, ktoré členskému štátu dáva možnosť výberu bolo zvolené, nakoľko transponovanie tohto ustanovenia by mohlo viesť k zníženiu konkurencieschopnosti domácich firiem v porovnaní s krajinami, kde právne predpisy nie sú natoľko prísne.   </w:t>
      </w:r>
    </w:p>
    <w:p w:rsidR="00D02467" w:rsidRPr="00D02467" w:rsidRDefault="00D02467" w:rsidP="00D02467">
      <w:pPr>
        <w:tabs>
          <w:tab w:val="left" w:pos="567"/>
          <w:tab w:val="left" w:pos="3261"/>
        </w:tabs>
        <w:spacing w:before="120" w:after="120"/>
        <w:jc w:val="both"/>
        <w:rPr>
          <w:rStyle w:val="Textzstupnhosymbolu"/>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13</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Upravuje sa príloha č. 5</w:t>
      </w:r>
      <w:r w:rsidRPr="00306569">
        <w:t xml:space="preserve"> </w:t>
      </w:r>
      <w:r w:rsidRPr="00D02467">
        <w:rPr>
          <w:rStyle w:val="Textzstupnhosymbolu"/>
          <w:color w:val="000000"/>
        </w:rPr>
        <w:t>ôsmy bod podbod 8.2 písm. a) zákona č. 64/2019 Z. z. o sprístupňovaní strelných zbraní a streliva na civilné použitie na trhu v súlade so zmenami v § 7 ods. 2 písm. g) a § 7 ods. 4 návrhu zákona.</w:t>
      </w:r>
    </w:p>
    <w:p w:rsidR="00D02467" w:rsidRPr="0096541F" w:rsidRDefault="00D02467" w:rsidP="00D02467">
      <w:pPr>
        <w:tabs>
          <w:tab w:val="left" w:pos="567"/>
          <w:tab w:val="left" w:pos="3261"/>
        </w:tabs>
        <w:spacing w:before="120" w:after="120"/>
        <w:jc w:val="both"/>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14</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Spresnenie slov v prílohe č. 5 ôsmom bode podbode 8.2 písm. e) šiestom bode zákona č. 64/2019 Z. z. o sprístupňovaní strelných zbraní a streliva na civilné použitie na trhu z dôvodu právnej istoty (slovo „spúšťacieho“ sa nahrádza slovom „spúšťového“.).</w:t>
      </w:r>
      <w:r w:rsidRPr="00D02467" w:rsidDel="006F0722">
        <w:rPr>
          <w:rStyle w:val="Textzstupnhosymbolu"/>
          <w:color w:val="000000"/>
        </w:rPr>
        <w:t xml:space="preserve"> </w:t>
      </w:r>
    </w:p>
    <w:p w:rsidR="00D02467" w:rsidRPr="00D02467" w:rsidRDefault="00D02467" w:rsidP="00D02467">
      <w:pPr>
        <w:tabs>
          <w:tab w:val="left" w:pos="567"/>
          <w:tab w:val="left" w:pos="3261"/>
        </w:tabs>
        <w:spacing w:before="120" w:after="120"/>
        <w:jc w:val="both"/>
        <w:rPr>
          <w:rStyle w:val="Textzstupnhosymbolu"/>
          <w:b/>
          <w:color w:val="000000"/>
        </w:rPr>
      </w:pPr>
    </w:p>
    <w:p w:rsidR="00D02467" w:rsidRPr="00D02467" w:rsidRDefault="00D02467" w:rsidP="00D02467">
      <w:pPr>
        <w:tabs>
          <w:tab w:val="left" w:pos="567"/>
          <w:tab w:val="left" w:pos="3261"/>
        </w:tabs>
        <w:spacing w:before="120" w:after="120"/>
        <w:jc w:val="both"/>
        <w:rPr>
          <w:rStyle w:val="Textzstupnhosymbolu"/>
          <w:b/>
          <w:color w:val="000000"/>
        </w:rPr>
      </w:pPr>
      <w:r w:rsidRPr="00D02467">
        <w:rPr>
          <w:rStyle w:val="Textzstupnhosymbolu"/>
          <w:b/>
          <w:color w:val="000000"/>
        </w:rPr>
        <w:t>K bodu 15</w:t>
      </w:r>
    </w:p>
    <w:p w:rsidR="00D02467" w:rsidRPr="001B4F75" w:rsidRDefault="00D02467" w:rsidP="00D02467">
      <w:pPr>
        <w:tabs>
          <w:tab w:val="left" w:pos="3261"/>
        </w:tabs>
        <w:spacing w:before="120" w:after="120"/>
        <w:jc w:val="both"/>
      </w:pPr>
      <w:r w:rsidRPr="00D02467">
        <w:rPr>
          <w:rStyle w:val="Textzstupnhosymbolu"/>
          <w:color w:val="000000"/>
        </w:rPr>
        <w:t xml:space="preserve">Upravuje sa ustanovenie prílohy č. 6 prvý bod o novom kusovom overení tak, aby sa neupravená hlavná časť strelnej zbrane alebo neupravená časť strelnej zbrane predložená na nové kusové overenie označovala údajmi podľa prílohy č. 5 ôsmeho bodu podbodu 8.2 písm. a) prvého bodu alebo údajmi ustanovenými pri jej uvedení na trh; to neplatí pre upravenú hlavnú časť strelnej zbrane alebo upravenú časť strelnej zbrane, nakoľko v tom prípade sa </w:t>
      </w:r>
      <w:r w:rsidRPr="00D02467">
        <w:t>hlavná časť strelnej zbrane alebo časť strelnej zbrane, ktorá je počas tejto úpravy strelnej zbrane vymenená, opravená alebo zmenená podľa § 2 písm. d) označí údajmi podľa prílohy č. 5 ôsmeho bodu podbodu 8.2 písm. a) prvého bodu.</w:t>
      </w:r>
    </w:p>
    <w:p w:rsidR="00D02467" w:rsidRPr="00D02467" w:rsidRDefault="00D02467" w:rsidP="00D02467">
      <w:pPr>
        <w:tabs>
          <w:tab w:val="left" w:pos="567"/>
          <w:tab w:val="left" w:pos="3261"/>
        </w:tabs>
        <w:spacing w:before="120" w:after="120"/>
        <w:jc w:val="both"/>
        <w:rPr>
          <w:rStyle w:val="Textzstupnhosymbolu"/>
          <w:color w:val="000000"/>
        </w:rPr>
      </w:pPr>
      <w:r w:rsidRPr="00D02467">
        <w:rPr>
          <w:rStyle w:val="Textzstupnhosymbolu"/>
          <w:color w:val="000000"/>
        </w:rPr>
        <w:t>Uvedené je ustanovené z dôvodu právnej istoty, že strelné zbrane, ktoré sú predmetom úpravy strelnej zbrane (opravy) alebo z dôvodu preverenia technického stavu predložené na nové kusové overenie nemusia mať všetky nové označenia podľa § 7 ods. 2 písmeno g) na tých častiach a hlavných častiach strelnej zbrane, ktoré neboli predmetom úpravy podľa § 2 písm. d).</w:t>
      </w:r>
    </w:p>
    <w:p w:rsidR="00D02467" w:rsidRPr="00D02467" w:rsidRDefault="00D02467" w:rsidP="00D02467">
      <w:pPr>
        <w:tabs>
          <w:tab w:val="left" w:pos="567"/>
          <w:tab w:val="left" w:pos="3261"/>
        </w:tabs>
        <w:spacing w:before="120" w:after="120"/>
        <w:jc w:val="both"/>
        <w:rPr>
          <w:rStyle w:val="Textzstupnhosymbolu"/>
          <w:color w:val="000000"/>
        </w:rPr>
      </w:pPr>
    </w:p>
    <w:p w:rsidR="00D02467" w:rsidRPr="00D02467" w:rsidRDefault="00D02467" w:rsidP="00D02467">
      <w:pPr>
        <w:tabs>
          <w:tab w:val="left" w:pos="567"/>
          <w:tab w:val="left" w:pos="3261"/>
        </w:tabs>
        <w:spacing w:before="120" w:after="120"/>
        <w:jc w:val="both"/>
        <w:rPr>
          <w:b/>
          <w:color w:val="000000"/>
        </w:rPr>
      </w:pPr>
      <w:r w:rsidRPr="00D02467">
        <w:rPr>
          <w:rStyle w:val="Textzstupnhosymbolu"/>
          <w:b/>
          <w:color w:val="000000"/>
        </w:rPr>
        <w:t>K bodu 16</w:t>
      </w:r>
    </w:p>
    <w:p w:rsidR="00D02467" w:rsidRPr="00D02467" w:rsidRDefault="00D02467" w:rsidP="00D02467">
      <w:pPr>
        <w:widowControl/>
        <w:spacing w:after="100" w:afterAutospacing="1"/>
        <w:jc w:val="both"/>
        <w:rPr>
          <w:rStyle w:val="Textzstupnhosymbolu"/>
          <w:color w:val="000000"/>
        </w:rPr>
      </w:pPr>
      <w:r w:rsidRPr="00D02467">
        <w:rPr>
          <w:rStyle w:val="Textzstupnhosymbolu"/>
          <w:color w:val="000000"/>
        </w:rPr>
        <w:t>Dopĺňa sa príloha č. 11 návrhu zákona, ktorá vymedzuje zoznam preberaných právne záväzných aktov Európskej únie.</w:t>
      </w:r>
    </w:p>
    <w:p w:rsidR="00D02467" w:rsidRPr="00D02467" w:rsidRDefault="00D02467" w:rsidP="00D02467">
      <w:pPr>
        <w:widowControl/>
        <w:spacing w:after="120"/>
        <w:jc w:val="both"/>
        <w:rPr>
          <w:rStyle w:val="Textzstupnhosymbolu"/>
          <w:b/>
          <w:color w:val="000000"/>
        </w:rPr>
      </w:pPr>
      <w:r w:rsidRPr="00D02467">
        <w:rPr>
          <w:rStyle w:val="Textzstupnhosymbolu"/>
          <w:b/>
          <w:color w:val="000000"/>
        </w:rPr>
        <w:t>K Čl. II </w:t>
      </w:r>
    </w:p>
    <w:p w:rsidR="00D02467" w:rsidRPr="00D02467" w:rsidRDefault="00D02467" w:rsidP="00D02467">
      <w:pPr>
        <w:widowControl/>
        <w:spacing w:after="120"/>
        <w:jc w:val="both"/>
        <w:rPr>
          <w:rStyle w:val="Textzstupnhosymbolu"/>
          <w:b/>
          <w:color w:val="000000"/>
        </w:rPr>
      </w:pPr>
      <w:r w:rsidRPr="00D02467">
        <w:rPr>
          <w:rStyle w:val="Textzstupnhosymbolu"/>
          <w:b/>
          <w:color w:val="000000"/>
        </w:rPr>
        <w:t xml:space="preserve">K bodom 1 a 2 </w:t>
      </w:r>
    </w:p>
    <w:p w:rsidR="00D02467" w:rsidRPr="00D02467" w:rsidRDefault="00D02467" w:rsidP="00D02467">
      <w:pPr>
        <w:widowControl/>
        <w:spacing w:after="120"/>
        <w:jc w:val="both"/>
        <w:rPr>
          <w:rStyle w:val="Textzstupnhosymbolu"/>
          <w:b/>
          <w:color w:val="000000"/>
        </w:rPr>
      </w:pPr>
      <w:r w:rsidRPr="00D02467">
        <w:rPr>
          <w:rStyle w:val="Textzstupnhosymbolu"/>
          <w:color w:val="000000"/>
        </w:rPr>
        <w:t>Novelizuje sa zákon č. 190/2003 Z. z. o strelných zbraniach a strelive a o zmene a doplnení niektorých zákonov v znení neskorších predpisov (ďalej len „zákon č. 190/2003 Z. z.“)</w:t>
      </w:r>
    </w:p>
    <w:p w:rsidR="00D02467" w:rsidRPr="00D02467" w:rsidRDefault="00D02467" w:rsidP="00D02467">
      <w:pPr>
        <w:widowControl/>
        <w:spacing w:after="120"/>
        <w:jc w:val="both"/>
        <w:rPr>
          <w:rStyle w:val="Textzstupnhosymbolu"/>
          <w:b/>
          <w:color w:val="000000"/>
        </w:rPr>
      </w:pPr>
    </w:p>
    <w:p w:rsidR="00D02467" w:rsidRPr="00D02467" w:rsidRDefault="00D02467" w:rsidP="00D02467">
      <w:pPr>
        <w:widowControl/>
        <w:jc w:val="both"/>
        <w:rPr>
          <w:rStyle w:val="Textzstupnhosymbolu"/>
          <w:color w:val="000000"/>
        </w:rPr>
      </w:pPr>
      <w:r w:rsidRPr="00D02467">
        <w:rPr>
          <w:rStyle w:val="Textzstupnhosymbolu"/>
          <w:color w:val="000000"/>
        </w:rPr>
        <w:t>tak, že  sa mení znenie § 35 zákona č. 190/2003 Z. z. tak, že</w:t>
      </w:r>
      <w:r w:rsidRPr="00BB7987">
        <w:t xml:space="preserve"> </w:t>
      </w:r>
      <w:r w:rsidRPr="00D02467">
        <w:rPr>
          <w:rStyle w:val="Textzstupnhosymbolu"/>
          <w:color w:val="000000"/>
        </w:rPr>
        <w:t>technický postup pri úprave zbrane ustanoví osobitný predpis, ktorým je zákon č. 64/2019 Z. z. v znení predkladaného návrhu zákona. Predmetné ustanovenie sa upravuje v nadväznosti na to, že technický postup pri úprave strelnej zbrane podľa § 4 ods. 1 písm. a) trinásteho a štrnásteho bodu sa ustanovuje v prílohe č. 1 časť A bod 3 návrhu zákona.</w:t>
      </w:r>
    </w:p>
    <w:p w:rsidR="00D02467" w:rsidRPr="00D02467" w:rsidRDefault="00D02467" w:rsidP="00D02467">
      <w:pPr>
        <w:widowControl/>
        <w:jc w:val="both"/>
        <w:rPr>
          <w:rStyle w:val="Textzstupnhosymbolu"/>
          <w:color w:val="000000"/>
        </w:rPr>
      </w:pPr>
    </w:p>
    <w:p w:rsidR="00D02467" w:rsidRPr="00D02467" w:rsidRDefault="00D02467" w:rsidP="00D02467">
      <w:pPr>
        <w:widowControl/>
        <w:spacing w:after="120"/>
        <w:jc w:val="both"/>
        <w:rPr>
          <w:rStyle w:val="Textzstupnhosymbolu"/>
          <w:b/>
          <w:color w:val="000000"/>
        </w:rPr>
      </w:pPr>
      <w:r w:rsidRPr="00D02467">
        <w:rPr>
          <w:rStyle w:val="Textzstupnhosymbolu"/>
          <w:b/>
          <w:color w:val="000000"/>
        </w:rPr>
        <w:t>K bodu 3</w:t>
      </w:r>
    </w:p>
    <w:p w:rsidR="00D02467" w:rsidRPr="00D02467" w:rsidRDefault="00D02467" w:rsidP="00D02467">
      <w:pPr>
        <w:widowControl/>
        <w:jc w:val="both"/>
        <w:rPr>
          <w:rStyle w:val="Textzstupnhosymbolu"/>
          <w:color w:val="000000"/>
        </w:rPr>
      </w:pPr>
      <w:r w:rsidRPr="00D02467">
        <w:rPr>
          <w:rStyle w:val="Textzstupnhosymbolu"/>
          <w:color w:val="000000"/>
        </w:rPr>
        <w:t>V nadväznosti na predchádzajúce novelizačné body sa zrušuje vyhláška Úradu pre normalizáciu, metrológiu a skúšobníctvo Slovenskej republiky č. 169/2015 Z. z. o technickom postupe pri úprave zbrane kategórie A, kategórie B alebo kategórie C na expanznú zbraň kategórie D (ďalej len „vyhláška č. 169/2015 Z. z.“), nakoľko predstavuje čisto vnútroštátnu právnu úpravu technických t.j. základných požiadaviek na expanzné strelné zbrane, ktorá však musí byť zrušená v nadväznosti na prijatie a transpozíciu smernice (EÚ) 2019/69, ktorá nahradí na európskej harmonizovanej úrovni celú vyhlášku č. 169/2015 Z. z.</w:t>
      </w:r>
    </w:p>
    <w:p w:rsidR="00D02467" w:rsidRPr="00D02467" w:rsidRDefault="00D02467" w:rsidP="00D02467">
      <w:pPr>
        <w:widowControl/>
        <w:jc w:val="both"/>
        <w:rPr>
          <w:rStyle w:val="Textzstupnhosymbolu"/>
          <w:color w:val="000000"/>
        </w:rPr>
      </w:pPr>
      <w:r w:rsidRPr="00D02467">
        <w:rPr>
          <w:rStyle w:val="Textzstupnhosymbolu"/>
          <w:color w:val="000000"/>
        </w:rPr>
        <w:t xml:space="preserve"> </w:t>
      </w:r>
    </w:p>
    <w:p w:rsidR="00D02467" w:rsidRPr="00D02467" w:rsidRDefault="00D02467" w:rsidP="00D02467">
      <w:pPr>
        <w:widowControl/>
        <w:spacing w:after="120"/>
        <w:jc w:val="both"/>
        <w:rPr>
          <w:rStyle w:val="Textzstupnhosymbolu"/>
          <w:b/>
          <w:color w:val="000000"/>
        </w:rPr>
      </w:pPr>
      <w:r w:rsidRPr="00D02467">
        <w:rPr>
          <w:rStyle w:val="Textzstupnhosymbolu"/>
          <w:b/>
          <w:color w:val="000000"/>
        </w:rPr>
        <w:t>K Čl. III </w:t>
      </w:r>
    </w:p>
    <w:p w:rsidR="00D02467" w:rsidRPr="00D02467" w:rsidRDefault="00D02467" w:rsidP="00D02467">
      <w:pPr>
        <w:widowControl/>
        <w:jc w:val="both"/>
        <w:rPr>
          <w:rStyle w:val="Textzstupnhosymbolu"/>
          <w:color w:val="000000"/>
        </w:rPr>
      </w:pPr>
      <w:r w:rsidRPr="00D02467">
        <w:rPr>
          <w:rStyle w:val="Textzstupnhosymbolu"/>
          <w:color w:val="000000"/>
        </w:rPr>
        <w:t xml:space="preserve">Navrhuje sa účinnosť návrhu zákona od 17. januára 2020 v súlade s účinnosťou vykonávacích smerníc (EÚ) 2019/68 a 2019/69. </w:t>
      </w: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r>
        <w:rPr>
          <w:rStyle w:val="Textzstupnhosymbolu"/>
          <w:color w:val="000000"/>
        </w:rPr>
        <w:t>Bratislava 29. mája 2019</w:t>
      </w:r>
    </w:p>
    <w:p w:rsidR="00D02467" w:rsidRDefault="00D02467" w:rsidP="00D02467">
      <w:pPr>
        <w:widowControl/>
        <w:spacing w:after="100" w:afterAutospacing="1"/>
        <w:jc w:val="both"/>
        <w:rPr>
          <w:rStyle w:val="Textzstupnhosymbolu"/>
          <w:color w:val="000000"/>
        </w:rPr>
      </w:pPr>
    </w:p>
    <w:p w:rsidR="00D02467" w:rsidRDefault="00D02467" w:rsidP="00D02467">
      <w:pPr>
        <w:widowControl/>
        <w:spacing w:after="100" w:afterAutospacing="1"/>
        <w:jc w:val="both"/>
        <w:rPr>
          <w:rStyle w:val="Textzstupnhosymbolu"/>
          <w:color w:val="000000"/>
        </w:rPr>
      </w:pPr>
    </w:p>
    <w:p w:rsidR="00D02467" w:rsidRDefault="00D02467" w:rsidP="00D02467">
      <w:pPr>
        <w:widowControl/>
        <w:jc w:val="center"/>
        <w:rPr>
          <w:rStyle w:val="Textzstupnhosymbolu"/>
          <w:b/>
          <w:color w:val="000000"/>
        </w:rPr>
      </w:pPr>
    </w:p>
    <w:p w:rsidR="00D02467" w:rsidRPr="00D02467" w:rsidRDefault="00D02467" w:rsidP="00D02467">
      <w:pPr>
        <w:widowControl/>
        <w:jc w:val="center"/>
        <w:rPr>
          <w:rStyle w:val="Textzstupnhosymbolu"/>
          <w:color w:val="000000"/>
        </w:rPr>
      </w:pPr>
      <w:r w:rsidRPr="00D02467">
        <w:rPr>
          <w:rStyle w:val="Textzstupnhosymbolu"/>
          <w:b/>
          <w:color w:val="000000"/>
        </w:rPr>
        <w:t>Peter Pellegrini v. r.</w:t>
      </w:r>
    </w:p>
    <w:p w:rsidR="00D02467" w:rsidRPr="00D02467" w:rsidRDefault="00D02467" w:rsidP="00D02467">
      <w:pPr>
        <w:widowControl/>
        <w:jc w:val="center"/>
        <w:rPr>
          <w:rStyle w:val="Textzstupnhosymbolu"/>
          <w:color w:val="000000"/>
        </w:rPr>
      </w:pPr>
      <w:r w:rsidRPr="00D02467">
        <w:rPr>
          <w:rStyle w:val="Textzstupnhosymbolu"/>
          <w:color w:val="000000"/>
        </w:rPr>
        <w:t>predseda vlády Slovenskej republiky</w:t>
      </w:r>
    </w:p>
    <w:p w:rsidR="00D02467" w:rsidRPr="00D02467" w:rsidRDefault="00D02467" w:rsidP="00D02467">
      <w:pPr>
        <w:widowControl/>
        <w:spacing w:after="100" w:afterAutospacing="1"/>
        <w:rPr>
          <w:rStyle w:val="Textzstupnhosymbolu"/>
          <w:color w:val="000000"/>
        </w:rPr>
      </w:pPr>
    </w:p>
    <w:p w:rsidR="00D02467" w:rsidRPr="00D02467" w:rsidRDefault="00D02467" w:rsidP="00D02467">
      <w:pPr>
        <w:widowControl/>
        <w:spacing w:after="100" w:afterAutospacing="1"/>
        <w:rPr>
          <w:rStyle w:val="Textzstupnhosymbolu"/>
          <w:color w:val="000000"/>
        </w:rPr>
      </w:pPr>
    </w:p>
    <w:p w:rsidR="00D02467" w:rsidRPr="00D02467" w:rsidRDefault="00D02467" w:rsidP="00D02467">
      <w:pPr>
        <w:widowControl/>
        <w:spacing w:after="100" w:afterAutospacing="1"/>
        <w:rPr>
          <w:rStyle w:val="Textzstupnhosymbolu"/>
          <w:color w:val="000000"/>
        </w:rPr>
      </w:pPr>
    </w:p>
    <w:p w:rsidR="00D02467" w:rsidRPr="00D02467" w:rsidRDefault="00D02467" w:rsidP="00D02467">
      <w:pPr>
        <w:widowControl/>
        <w:jc w:val="center"/>
        <w:rPr>
          <w:rStyle w:val="Textzstupnhosymbolu"/>
          <w:b/>
          <w:color w:val="000000"/>
        </w:rPr>
      </w:pPr>
      <w:r w:rsidRPr="00D02467">
        <w:rPr>
          <w:rStyle w:val="Textzstupnhosymbolu"/>
          <w:b/>
          <w:color w:val="000000"/>
        </w:rPr>
        <w:t>Pavol Pavlis v. r.</w:t>
      </w:r>
    </w:p>
    <w:p w:rsidR="00D02467" w:rsidRPr="00D02467" w:rsidRDefault="00D02467" w:rsidP="00D02467">
      <w:pPr>
        <w:widowControl/>
        <w:jc w:val="center"/>
        <w:rPr>
          <w:rStyle w:val="Textzstupnhosymbolu"/>
          <w:color w:val="000000"/>
        </w:rPr>
      </w:pPr>
      <w:r w:rsidRPr="00D02467">
        <w:rPr>
          <w:rStyle w:val="Textzstupnhosymbolu"/>
          <w:color w:val="000000"/>
        </w:rPr>
        <w:t>predseda Úradu pre normalizáciu, metrológiu</w:t>
      </w:r>
    </w:p>
    <w:p w:rsidR="00D02467" w:rsidRDefault="00D02467" w:rsidP="00D02467">
      <w:pPr>
        <w:widowControl/>
        <w:spacing w:after="100" w:afterAutospacing="1"/>
        <w:jc w:val="center"/>
        <w:rPr>
          <w:rStyle w:val="Textzstupnhosymbolu"/>
          <w:color w:val="000000"/>
        </w:rPr>
      </w:pPr>
      <w:r w:rsidRPr="00D02467">
        <w:rPr>
          <w:rStyle w:val="Textzstupnhosymbolu"/>
          <w:color w:val="000000"/>
        </w:rPr>
        <w:t>a s</w:t>
      </w:r>
      <w:r>
        <w:rPr>
          <w:rStyle w:val="Textzstupnhosymbolu"/>
          <w:color w:val="000000"/>
        </w:rPr>
        <w:t>kúšobníctvo Slovenskej republiky</w:t>
      </w:r>
    </w:p>
    <w:p w:rsidR="00D02467" w:rsidRDefault="00D02467" w:rsidP="00D02467">
      <w:pPr>
        <w:widowControl/>
        <w:spacing w:after="100" w:afterAutospacing="1"/>
        <w:jc w:val="both"/>
        <w:rPr>
          <w:rStyle w:val="Textzstupnhosymbolu"/>
          <w:color w:val="000000"/>
        </w:rPr>
      </w:pPr>
    </w:p>
    <w:p w:rsidR="00D02467" w:rsidRDefault="00D02467" w:rsidP="00BB54C8">
      <w:pPr>
        <w:widowControl/>
        <w:spacing w:after="280" w:afterAutospacing="1"/>
        <w:jc w:val="both"/>
        <w:rPr>
          <w:rStyle w:val="Textzstupnhosymbolu"/>
          <w:color w:val="000000"/>
        </w:rPr>
      </w:pPr>
    </w:p>
    <w:sectPr w:rsidR="00D0246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78" w:rsidRDefault="00691178" w:rsidP="00E80CDA">
      <w:r>
        <w:separator/>
      </w:r>
    </w:p>
  </w:endnote>
  <w:endnote w:type="continuationSeparator" w:id="0">
    <w:p w:rsidR="00691178" w:rsidRDefault="00691178" w:rsidP="00E8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DA" w:rsidRPr="00E80CDA" w:rsidRDefault="00E80CDA">
    <w:pPr>
      <w:pStyle w:val="Pta"/>
      <w:jc w:val="center"/>
      <w:rPr>
        <w:sz w:val="22"/>
        <w:szCs w:val="22"/>
      </w:rPr>
    </w:pPr>
    <w:r w:rsidRPr="00E80CDA">
      <w:rPr>
        <w:sz w:val="22"/>
        <w:szCs w:val="22"/>
      </w:rPr>
      <w:fldChar w:fldCharType="begin"/>
    </w:r>
    <w:r w:rsidRPr="00E80CDA">
      <w:rPr>
        <w:sz w:val="22"/>
        <w:szCs w:val="22"/>
      </w:rPr>
      <w:instrText>PAGE   \* MERGEFORMAT</w:instrText>
    </w:r>
    <w:r w:rsidRPr="00E80CDA">
      <w:rPr>
        <w:sz w:val="22"/>
        <w:szCs w:val="22"/>
      </w:rPr>
      <w:fldChar w:fldCharType="separate"/>
    </w:r>
    <w:r w:rsidR="00DC29AE">
      <w:rPr>
        <w:noProof/>
        <w:sz w:val="22"/>
        <w:szCs w:val="22"/>
      </w:rPr>
      <w:t>7</w:t>
    </w:r>
    <w:r w:rsidRPr="00E80CDA">
      <w:rPr>
        <w:sz w:val="22"/>
        <w:szCs w:val="22"/>
      </w:rPr>
      <w:fldChar w:fldCharType="end"/>
    </w:r>
  </w:p>
  <w:p w:rsidR="00E80CDA" w:rsidRDefault="00E80C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78" w:rsidRDefault="00691178" w:rsidP="00E80CDA">
      <w:r>
        <w:separator/>
      </w:r>
    </w:p>
  </w:footnote>
  <w:footnote w:type="continuationSeparator" w:id="0">
    <w:p w:rsidR="00691178" w:rsidRDefault="00691178" w:rsidP="00E8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2593"/>
    <w:multiLevelType w:val="hybridMultilevel"/>
    <w:tmpl w:val="74AC6046"/>
    <w:lvl w:ilvl="0" w:tplc="2EE0BEC8">
      <w:start w:val="5"/>
      <w:numFmt w:val="bullet"/>
      <w:lvlText w:val="-"/>
      <w:lvlJc w:val="left"/>
      <w:pPr>
        <w:ind w:left="1004" w:hanging="360"/>
      </w:pPr>
      <w:rPr>
        <w:rFonts w:ascii="Times New Roman" w:eastAsia="Times New Roman" w:hAnsi="Times New Roman" w:cs="Times New Roman" w:hint="default"/>
        <w:b w:val="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nsid w:val="55A43918"/>
    <w:multiLevelType w:val="hybridMultilevel"/>
    <w:tmpl w:val="5276E4AC"/>
    <w:lvl w:ilvl="0" w:tplc="4EC40A92">
      <w:start w:val="1"/>
      <w:numFmt w:val="lowerLetter"/>
      <w:lvlText w:val="%1)"/>
      <w:lvlJc w:val="left"/>
      <w:pPr>
        <w:ind w:left="644" w:hanging="360"/>
      </w:pPr>
      <w:rPr>
        <w:rFonts w:cs="Times New Roman" w:hint="default"/>
        <w:b w:val="0"/>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6DAF2D25"/>
    <w:multiLevelType w:val="hybridMultilevel"/>
    <w:tmpl w:val="5276E4AC"/>
    <w:lvl w:ilvl="0" w:tplc="4EC40A92">
      <w:start w:val="1"/>
      <w:numFmt w:val="lowerLetter"/>
      <w:lvlText w:val="%1)"/>
      <w:lvlJc w:val="left"/>
      <w:pPr>
        <w:ind w:left="644" w:hanging="360"/>
      </w:pPr>
      <w:rPr>
        <w:rFonts w:cs="Times New Roman" w:hint="default"/>
        <w:b w:val="0"/>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FB2"/>
    <w:rsid w:val="000151A0"/>
    <w:rsid w:val="00036858"/>
    <w:rsid w:val="000472B8"/>
    <w:rsid w:val="00057A67"/>
    <w:rsid w:val="0006159D"/>
    <w:rsid w:val="00062CCE"/>
    <w:rsid w:val="000753B6"/>
    <w:rsid w:val="000A4026"/>
    <w:rsid w:val="000C00CE"/>
    <w:rsid w:val="000D2FF0"/>
    <w:rsid w:val="000D35F9"/>
    <w:rsid w:val="000F52B8"/>
    <w:rsid w:val="00166389"/>
    <w:rsid w:val="00187613"/>
    <w:rsid w:val="001A17B7"/>
    <w:rsid w:val="001A62FA"/>
    <w:rsid w:val="001B0023"/>
    <w:rsid w:val="001B4F75"/>
    <w:rsid w:val="001C39E0"/>
    <w:rsid w:val="001E500F"/>
    <w:rsid w:val="001F4947"/>
    <w:rsid w:val="00201CF0"/>
    <w:rsid w:val="00204B88"/>
    <w:rsid w:val="00207B64"/>
    <w:rsid w:val="002147F4"/>
    <w:rsid w:val="00242EF0"/>
    <w:rsid w:val="002430DE"/>
    <w:rsid w:val="00292E85"/>
    <w:rsid w:val="002A5E9E"/>
    <w:rsid w:val="00306569"/>
    <w:rsid w:val="003524A2"/>
    <w:rsid w:val="003627EF"/>
    <w:rsid w:val="0037605B"/>
    <w:rsid w:val="00391C0F"/>
    <w:rsid w:val="003C497B"/>
    <w:rsid w:val="004008AC"/>
    <w:rsid w:val="00407572"/>
    <w:rsid w:val="00456877"/>
    <w:rsid w:val="004D1FB2"/>
    <w:rsid w:val="004D35C2"/>
    <w:rsid w:val="00517573"/>
    <w:rsid w:val="00527F30"/>
    <w:rsid w:val="00531FA5"/>
    <w:rsid w:val="00543B8E"/>
    <w:rsid w:val="0055483A"/>
    <w:rsid w:val="00564BDA"/>
    <w:rsid w:val="00567A50"/>
    <w:rsid w:val="005D48D4"/>
    <w:rsid w:val="006034DE"/>
    <w:rsid w:val="006362B3"/>
    <w:rsid w:val="0064422E"/>
    <w:rsid w:val="006724D0"/>
    <w:rsid w:val="00691178"/>
    <w:rsid w:val="006E01F7"/>
    <w:rsid w:val="006E1F82"/>
    <w:rsid w:val="006F0722"/>
    <w:rsid w:val="00721578"/>
    <w:rsid w:val="00726356"/>
    <w:rsid w:val="00730317"/>
    <w:rsid w:val="00734394"/>
    <w:rsid w:val="00801794"/>
    <w:rsid w:val="00814F38"/>
    <w:rsid w:val="008367D4"/>
    <w:rsid w:val="00836F73"/>
    <w:rsid w:val="00854C63"/>
    <w:rsid w:val="00861DCD"/>
    <w:rsid w:val="0087116D"/>
    <w:rsid w:val="008B004F"/>
    <w:rsid w:val="008B25A6"/>
    <w:rsid w:val="008B39B0"/>
    <w:rsid w:val="008C1376"/>
    <w:rsid w:val="008C5F90"/>
    <w:rsid w:val="008D33A2"/>
    <w:rsid w:val="008E3E29"/>
    <w:rsid w:val="008F604A"/>
    <w:rsid w:val="008F61EC"/>
    <w:rsid w:val="009030ED"/>
    <w:rsid w:val="00952D08"/>
    <w:rsid w:val="00962493"/>
    <w:rsid w:val="0096541F"/>
    <w:rsid w:val="0097235E"/>
    <w:rsid w:val="00982CC8"/>
    <w:rsid w:val="009905B4"/>
    <w:rsid w:val="009A33A5"/>
    <w:rsid w:val="009B0239"/>
    <w:rsid w:val="009E012B"/>
    <w:rsid w:val="009E6C02"/>
    <w:rsid w:val="00A044A9"/>
    <w:rsid w:val="00A1693A"/>
    <w:rsid w:val="00A179AE"/>
    <w:rsid w:val="00A24D13"/>
    <w:rsid w:val="00A56880"/>
    <w:rsid w:val="00A61E30"/>
    <w:rsid w:val="00A639C6"/>
    <w:rsid w:val="00A63EE6"/>
    <w:rsid w:val="00A64D2D"/>
    <w:rsid w:val="00A67315"/>
    <w:rsid w:val="00AC4C44"/>
    <w:rsid w:val="00AC587B"/>
    <w:rsid w:val="00AD4297"/>
    <w:rsid w:val="00AF1139"/>
    <w:rsid w:val="00AF18F7"/>
    <w:rsid w:val="00B0104C"/>
    <w:rsid w:val="00B0350B"/>
    <w:rsid w:val="00B93223"/>
    <w:rsid w:val="00BA2467"/>
    <w:rsid w:val="00BB2881"/>
    <w:rsid w:val="00BB54C8"/>
    <w:rsid w:val="00BB7987"/>
    <w:rsid w:val="00BC0C09"/>
    <w:rsid w:val="00BD62DB"/>
    <w:rsid w:val="00C0489E"/>
    <w:rsid w:val="00CC2954"/>
    <w:rsid w:val="00CD6DBD"/>
    <w:rsid w:val="00CD6DDE"/>
    <w:rsid w:val="00CE322D"/>
    <w:rsid w:val="00D02467"/>
    <w:rsid w:val="00D1437B"/>
    <w:rsid w:val="00D37663"/>
    <w:rsid w:val="00D73D7A"/>
    <w:rsid w:val="00DC29AE"/>
    <w:rsid w:val="00DD2A34"/>
    <w:rsid w:val="00E16786"/>
    <w:rsid w:val="00E16FEA"/>
    <w:rsid w:val="00E57FD8"/>
    <w:rsid w:val="00E62EAB"/>
    <w:rsid w:val="00E64A33"/>
    <w:rsid w:val="00E67C30"/>
    <w:rsid w:val="00E80CDA"/>
    <w:rsid w:val="00E870E1"/>
    <w:rsid w:val="00E95179"/>
    <w:rsid w:val="00EE260C"/>
    <w:rsid w:val="00EF7832"/>
    <w:rsid w:val="00F06B08"/>
    <w:rsid w:val="00F32958"/>
    <w:rsid w:val="00F3558C"/>
    <w:rsid w:val="00F63CAF"/>
    <w:rsid w:val="00F774B1"/>
    <w:rsid w:val="00F90DBE"/>
    <w:rsid w:val="00F9528E"/>
    <w:rsid w:val="00FB6163"/>
    <w:rsid w:val="00FD5D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982CC8"/>
    <w:pPr>
      <w:keepNext/>
      <w:spacing w:before="240" w:after="60"/>
      <w:outlineLvl w:val="0"/>
    </w:pPr>
    <w:rPr>
      <w:rFonts w:asciiTheme="majorHAnsi" w:eastAsiaTheme="majorEastAsia" w:hAnsiTheme="majorHAns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82CC8"/>
    <w:rPr>
      <w:rFonts w:asciiTheme="majorHAnsi" w:eastAsiaTheme="majorEastAsia" w:hAnsiTheme="majorHAnsi" w:cs="Times New Roman"/>
      <w:b/>
      <w:bCs/>
      <w:kern w:val="32"/>
      <w:sz w:val="32"/>
      <w:szCs w:val="32"/>
    </w:rPr>
  </w:style>
  <w:style w:type="character" w:styleId="Textzstupnhosymbolu">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customStyle="1" w:styleId="TableMsoNormalTable">
    <w:name w:val="Table_MsoNormalTable"/>
    <w:basedOn w:val="Normlny"/>
    <w:pPr>
      <w:spacing w:line="276" w:lineRule="auto"/>
    </w:pPr>
    <w:rPr>
      <w:rFonts w:ascii="Calibri" w:hAnsi="Calibri" w:cs="Calibri"/>
      <w:sz w:val="22"/>
    </w:rPr>
  </w:style>
  <w:style w:type="character" w:styleId="Odkaznakomentr">
    <w:name w:val="annotation reference"/>
    <w:basedOn w:val="Predvolenpsmoodseku"/>
    <w:uiPriority w:val="99"/>
    <w:semiHidden/>
    <w:unhideWhenUsed/>
    <w:rsid w:val="00242EF0"/>
    <w:rPr>
      <w:rFonts w:cs="Times New Roman"/>
      <w:sz w:val="16"/>
      <w:szCs w:val="16"/>
    </w:rPr>
  </w:style>
  <w:style w:type="paragraph" w:styleId="Textkomentra">
    <w:name w:val="annotation text"/>
    <w:basedOn w:val="Normlny"/>
    <w:link w:val="TextkomentraChar"/>
    <w:uiPriority w:val="99"/>
    <w:semiHidden/>
    <w:unhideWhenUsed/>
    <w:rsid w:val="00242EF0"/>
    <w:rPr>
      <w:sz w:val="20"/>
      <w:szCs w:val="20"/>
    </w:rPr>
  </w:style>
  <w:style w:type="character" w:customStyle="1" w:styleId="TextkomentraChar">
    <w:name w:val="Text komentára Char"/>
    <w:basedOn w:val="Predvolenpsmoodseku"/>
    <w:link w:val="Textkomentra"/>
    <w:uiPriority w:val="99"/>
    <w:semiHidden/>
    <w:locked/>
    <w:rsid w:val="00242EF0"/>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42EF0"/>
    <w:rPr>
      <w:b/>
      <w:bCs/>
    </w:rPr>
  </w:style>
  <w:style w:type="character" w:customStyle="1" w:styleId="PredmetkomentraChar">
    <w:name w:val="Predmet komentára Char"/>
    <w:basedOn w:val="TextkomentraChar"/>
    <w:link w:val="Predmetkomentra"/>
    <w:uiPriority w:val="99"/>
    <w:semiHidden/>
    <w:locked/>
    <w:rsid w:val="00242EF0"/>
    <w:rPr>
      <w:rFonts w:ascii="Times New Roman" w:hAnsi="Times New Roman" w:cs="Times New Roman"/>
      <w:b/>
      <w:bCs/>
      <w:sz w:val="20"/>
      <w:szCs w:val="20"/>
    </w:rPr>
  </w:style>
  <w:style w:type="paragraph" w:styleId="Hlavika">
    <w:name w:val="header"/>
    <w:basedOn w:val="Normlny"/>
    <w:link w:val="HlavikaChar"/>
    <w:uiPriority w:val="99"/>
    <w:unhideWhenUsed/>
    <w:rsid w:val="00E80CDA"/>
    <w:pPr>
      <w:tabs>
        <w:tab w:val="center" w:pos="4536"/>
        <w:tab w:val="right" w:pos="9072"/>
      </w:tabs>
    </w:pPr>
  </w:style>
  <w:style w:type="character" w:customStyle="1" w:styleId="HlavikaChar">
    <w:name w:val="Hlavička Char"/>
    <w:basedOn w:val="Predvolenpsmoodseku"/>
    <w:link w:val="Hlavika"/>
    <w:uiPriority w:val="99"/>
    <w:locked/>
    <w:rsid w:val="00E80CDA"/>
    <w:rPr>
      <w:rFonts w:ascii="Times New Roman" w:hAnsi="Times New Roman" w:cs="Times New Roman"/>
      <w:sz w:val="24"/>
      <w:szCs w:val="24"/>
    </w:rPr>
  </w:style>
  <w:style w:type="paragraph" w:styleId="Pta">
    <w:name w:val="footer"/>
    <w:basedOn w:val="Normlny"/>
    <w:link w:val="PtaChar"/>
    <w:uiPriority w:val="99"/>
    <w:unhideWhenUsed/>
    <w:rsid w:val="00E80CDA"/>
    <w:pPr>
      <w:tabs>
        <w:tab w:val="center" w:pos="4536"/>
        <w:tab w:val="right" w:pos="9072"/>
      </w:tabs>
    </w:pPr>
  </w:style>
  <w:style w:type="character" w:customStyle="1" w:styleId="PtaChar">
    <w:name w:val="Päta Char"/>
    <w:basedOn w:val="Predvolenpsmoodseku"/>
    <w:link w:val="Pta"/>
    <w:uiPriority w:val="99"/>
    <w:locked/>
    <w:rsid w:val="00E80CDA"/>
    <w:rPr>
      <w:rFonts w:ascii="Times New Roman" w:hAnsi="Times New Roman" w:cs="Times New Roman"/>
      <w:sz w:val="24"/>
      <w:szCs w:val="24"/>
    </w:rPr>
  </w:style>
  <w:style w:type="paragraph" w:styleId="Normlnywebov">
    <w:name w:val="Normal (Web)"/>
    <w:basedOn w:val="Normlny"/>
    <w:uiPriority w:val="99"/>
    <w:rsid w:val="00D02467"/>
    <w:pPr>
      <w:widowControl/>
      <w:adjustRightInd/>
      <w:spacing w:before="100" w:beforeAutospacing="1" w:after="100" w:afterAutospacing="1"/>
    </w:pPr>
  </w:style>
  <w:style w:type="character" w:styleId="Hypertextovprepojenie">
    <w:name w:val="Hyperlink"/>
    <w:basedOn w:val="Predvolenpsmoodseku"/>
    <w:uiPriority w:val="99"/>
    <w:unhideWhenUsed/>
    <w:rsid w:val="00D02467"/>
    <w:rPr>
      <w:color w:val="0000FF"/>
      <w:u w:val="single"/>
    </w:rPr>
  </w:style>
  <w:style w:type="table" w:styleId="Mriekatabuky">
    <w:name w:val="Table Grid"/>
    <w:basedOn w:val="Normlnatabuka"/>
    <w:uiPriority w:val="99"/>
    <w:locked/>
    <w:rsid w:val="00D0246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locked/>
    <w:rsid w:val="00D02467"/>
    <w:pPr>
      <w:autoSpaceDE w:val="0"/>
      <w:autoSpaceDN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22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zka.pankievicova@normoff.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26414</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lubor.lysak@normoff.gov.sk</dc:creator>
  <cp:lastModifiedBy>Pankievičová Anežka</cp:lastModifiedBy>
  <cp:revision>5</cp:revision>
  <cp:lastPrinted>2019-05-27T07:16:00Z</cp:lastPrinted>
  <dcterms:created xsi:type="dcterms:W3CDTF">2019-05-28T12:35:00Z</dcterms:created>
  <dcterms:modified xsi:type="dcterms:W3CDTF">2019-05-30T08:07:00Z</dcterms:modified>
</cp:coreProperties>
</file>