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6B" w:rsidRDefault="006C6F6B" w:rsidP="00DA01F2">
      <w:pPr>
        <w:spacing w:after="0" w:line="240" w:lineRule="auto"/>
        <w:jc w:val="center"/>
        <w:rPr>
          <w:rFonts w:ascii="Times New Roman" w:hAnsi="Times New Roman" w:cs="Times New Roman"/>
          <w:b/>
          <w:sz w:val="24"/>
          <w:szCs w:val="24"/>
        </w:rPr>
      </w:pPr>
    </w:p>
    <w:p w:rsidR="006C6F6B" w:rsidRDefault="006C6F6B" w:rsidP="00DA01F2">
      <w:pPr>
        <w:spacing w:after="0" w:line="240" w:lineRule="auto"/>
        <w:jc w:val="center"/>
        <w:rPr>
          <w:rFonts w:ascii="Times New Roman" w:hAnsi="Times New Roman" w:cs="Times New Roman"/>
          <w:b/>
          <w:sz w:val="24"/>
          <w:szCs w:val="24"/>
        </w:rPr>
      </w:pPr>
    </w:p>
    <w:p w:rsidR="00E008FB" w:rsidRPr="00C0323B" w:rsidRDefault="00E008FB" w:rsidP="00DA01F2">
      <w:pPr>
        <w:spacing w:after="0" w:line="240" w:lineRule="auto"/>
        <w:jc w:val="center"/>
        <w:rPr>
          <w:rFonts w:ascii="Times New Roman" w:hAnsi="Times New Roman" w:cs="Times New Roman"/>
          <w:b/>
          <w:sz w:val="24"/>
          <w:szCs w:val="24"/>
        </w:rPr>
      </w:pPr>
      <w:r w:rsidRPr="00C0323B">
        <w:rPr>
          <w:rFonts w:ascii="Times New Roman" w:hAnsi="Times New Roman" w:cs="Times New Roman"/>
          <w:b/>
          <w:sz w:val="24"/>
          <w:szCs w:val="24"/>
        </w:rPr>
        <w:t>Dôvodová správa</w:t>
      </w:r>
    </w:p>
    <w:p w:rsidR="00E008FB" w:rsidRPr="00C0323B" w:rsidRDefault="00E008FB" w:rsidP="00DA01F2">
      <w:pPr>
        <w:spacing w:after="0" w:line="240" w:lineRule="auto"/>
        <w:outlineLvl w:val="0"/>
        <w:rPr>
          <w:rFonts w:ascii="Times New Roman" w:hAnsi="Times New Roman" w:cs="Times New Roman"/>
          <w:b/>
          <w:bCs/>
          <w:sz w:val="24"/>
          <w:szCs w:val="24"/>
          <w:u w:val="single"/>
        </w:rPr>
      </w:pPr>
    </w:p>
    <w:p w:rsidR="00E008FB" w:rsidRPr="00C0323B" w:rsidRDefault="00E008FB" w:rsidP="00DA01F2">
      <w:pPr>
        <w:spacing w:after="0" w:line="240" w:lineRule="auto"/>
        <w:outlineLvl w:val="0"/>
        <w:rPr>
          <w:rFonts w:ascii="Times New Roman" w:hAnsi="Times New Roman" w:cs="Times New Roman"/>
          <w:b/>
          <w:bCs/>
          <w:sz w:val="24"/>
          <w:szCs w:val="24"/>
          <w:u w:val="single"/>
        </w:rPr>
      </w:pPr>
      <w:r w:rsidRPr="00C0323B">
        <w:rPr>
          <w:rFonts w:ascii="Times New Roman" w:hAnsi="Times New Roman" w:cs="Times New Roman"/>
          <w:b/>
          <w:bCs/>
          <w:sz w:val="24"/>
          <w:szCs w:val="24"/>
          <w:u w:val="single"/>
        </w:rPr>
        <w:t xml:space="preserve">Všeobecná časť  </w:t>
      </w:r>
    </w:p>
    <w:p w:rsidR="00BE0AA4" w:rsidRDefault="00BE0AA4" w:rsidP="005E2690">
      <w:pPr>
        <w:spacing w:after="0" w:line="240" w:lineRule="auto"/>
        <w:jc w:val="both"/>
        <w:rPr>
          <w:rFonts w:ascii="Times New Roman" w:hAnsi="Times New Roman" w:cs="Times New Roman"/>
          <w:sz w:val="24"/>
          <w:szCs w:val="24"/>
        </w:rPr>
      </w:pPr>
    </w:p>
    <w:p w:rsidR="006467BB" w:rsidRDefault="006467BB" w:rsidP="006467BB">
      <w:pPr>
        <w:spacing w:after="0" w:line="240" w:lineRule="auto"/>
        <w:jc w:val="both"/>
        <w:rPr>
          <w:rFonts w:ascii="Times New Roman" w:hAnsi="Times New Roman" w:cs="Times New Roman"/>
          <w:sz w:val="24"/>
          <w:szCs w:val="24"/>
        </w:rPr>
      </w:pPr>
      <w:r w:rsidRPr="006467BB">
        <w:rPr>
          <w:rFonts w:ascii="Times New Roman" w:hAnsi="Times New Roman" w:cs="Times New Roman"/>
          <w:sz w:val="24"/>
          <w:szCs w:val="24"/>
        </w:rPr>
        <w:t xml:space="preserve">Ministerstvo financií Slovenskej republiky predkladá návrh zákona, </w:t>
      </w:r>
      <w:r w:rsidR="00B70433" w:rsidRPr="00B70433">
        <w:rPr>
          <w:rFonts w:ascii="Times New Roman" w:hAnsi="Times New Roman" w:cs="Times New Roman"/>
          <w:sz w:val="24"/>
          <w:szCs w:val="24"/>
        </w:rPr>
        <w:t>ktorým sa mení a dopĺňa zákon č. 442/2012 Z. z. o medzinárodnej pomoci a spolupráci pri správe daní v znení neskorších predpisov a ktorým sa menia a dopĺňajú niektoré zákony</w:t>
      </w:r>
      <w:r w:rsidR="008C4D7B" w:rsidRPr="008C4D7B">
        <w:rPr>
          <w:rFonts w:ascii="Times New Roman" w:hAnsi="Times New Roman" w:cs="Times New Roman"/>
          <w:sz w:val="24"/>
          <w:szCs w:val="24"/>
        </w:rPr>
        <w:t xml:space="preserve"> </w:t>
      </w:r>
      <w:r w:rsidRPr="006467BB">
        <w:rPr>
          <w:rFonts w:ascii="Times New Roman" w:hAnsi="Times New Roman" w:cs="Times New Roman"/>
          <w:sz w:val="24"/>
          <w:szCs w:val="24"/>
        </w:rPr>
        <w:t>(ďalej len ,,</w:t>
      </w:r>
      <w:r w:rsidR="008C4D7B">
        <w:rPr>
          <w:rFonts w:ascii="Times New Roman" w:hAnsi="Times New Roman" w:cs="Times New Roman"/>
          <w:sz w:val="24"/>
          <w:szCs w:val="24"/>
        </w:rPr>
        <w:t>návrh zákona“)</w:t>
      </w:r>
      <w:r w:rsidRPr="006467BB">
        <w:rPr>
          <w:rFonts w:ascii="Times New Roman" w:hAnsi="Times New Roman" w:cs="Times New Roman"/>
          <w:sz w:val="24"/>
          <w:szCs w:val="24"/>
        </w:rPr>
        <w:t>, ktorým sa implementuje smernica Rady EÚ 2018/822 z 25. mája 2018, ktorou sa mení smernica 2011/16/EÚ, pokiaľ ide o povinnú automatickú výmenu informácií v oblasti daní v súvislosti s cezhraničnými opatren</w:t>
      </w:r>
      <w:r w:rsidR="008C4D7B">
        <w:rPr>
          <w:rFonts w:ascii="Times New Roman" w:hAnsi="Times New Roman" w:cs="Times New Roman"/>
          <w:sz w:val="24"/>
          <w:szCs w:val="24"/>
        </w:rPr>
        <w:t>iami podliehajúcimi oznamovaniu, tzv. DAC 6.</w:t>
      </w:r>
    </w:p>
    <w:p w:rsidR="006467BB" w:rsidRPr="006467BB" w:rsidRDefault="006467BB" w:rsidP="006467BB">
      <w:pPr>
        <w:spacing w:after="0" w:line="240" w:lineRule="auto"/>
        <w:jc w:val="both"/>
        <w:rPr>
          <w:rFonts w:ascii="Times New Roman" w:hAnsi="Times New Roman" w:cs="Times New Roman"/>
          <w:sz w:val="24"/>
          <w:szCs w:val="24"/>
        </w:rPr>
      </w:pPr>
    </w:p>
    <w:p w:rsidR="006467BB" w:rsidRPr="006467BB" w:rsidRDefault="006467BB" w:rsidP="006467BB">
      <w:pPr>
        <w:spacing w:after="0" w:line="240" w:lineRule="auto"/>
        <w:jc w:val="both"/>
        <w:rPr>
          <w:rFonts w:ascii="Times New Roman" w:hAnsi="Times New Roman" w:cs="Times New Roman"/>
          <w:sz w:val="24"/>
          <w:szCs w:val="24"/>
        </w:rPr>
      </w:pPr>
    </w:p>
    <w:p w:rsidR="006467BB" w:rsidRPr="006467BB" w:rsidRDefault="006467BB" w:rsidP="006467BB">
      <w:pPr>
        <w:spacing w:after="0" w:line="240" w:lineRule="auto"/>
        <w:jc w:val="both"/>
        <w:rPr>
          <w:rFonts w:ascii="Times New Roman" w:hAnsi="Times New Roman" w:cs="Times New Roman"/>
          <w:sz w:val="24"/>
          <w:szCs w:val="24"/>
        </w:rPr>
      </w:pPr>
      <w:r w:rsidRPr="006467BB">
        <w:rPr>
          <w:rFonts w:ascii="Times New Roman" w:hAnsi="Times New Roman" w:cs="Times New Roman"/>
          <w:sz w:val="24"/>
          <w:szCs w:val="24"/>
        </w:rPr>
        <w:t xml:space="preserve">Cieľom predkladaného materiálu je zvýšenie daňovej transparentnosti a účinný boj proti nežiaducim cezhraničným daňovým praktikám spoločností. Predložený návrh zákona má odradiť sprostredkovateľov aj daňovníkov od používania praktík potenciálne agresívneho daňového plánovania a prostredníctvom neho sa má účinne prispieť k úsiliu smerujúcemu k tomu, aby sa vytvorilo prostredie spravodlivého zdaňovania. </w:t>
      </w:r>
      <w:r w:rsidR="00B70433" w:rsidRPr="00B70433">
        <w:rPr>
          <w:rFonts w:ascii="Times New Roman" w:hAnsi="Times New Roman" w:cs="Times New Roman"/>
          <w:sz w:val="24"/>
          <w:szCs w:val="24"/>
        </w:rPr>
        <w:t>Zákonom sa bude riadiť informovaná a odborne zdatná verejnosť, ktorá navrhuje vysoko sofistikované opatrenia cezhraničného daňového plánovania.</w:t>
      </w:r>
    </w:p>
    <w:p w:rsidR="006467BB" w:rsidRPr="006467BB" w:rsidRDefault="006467BB" w:rsidP="006467BB">
      <w:pPr>
        <w:spacing w:after="0" w:line="240" w:lineRule="auto"/>
        <w:jc w:val="both"/>
        <w:rPr>
          <w:rFonts w:ascii="Times New Roman" w:hAnsi="Times New Roman" w:cs="Times New Roman"/>
          <w:sz w:val="24"/>
          <w:szCs w:val="24"/>
        </w:rPr>
      </w:pPr>
    </w:p>
    <w:p w:rsidR="006467BB" w:rsidRPr="006467BB" w:rsidRDefault="006467BB" w:rsidP="006467BB">
      <w:pPr>
        <w:spacing w:after="0" w:line="240" w:lineRule="auto"/>
        <w:jc w:val="both"/>
        <w:rPr>
          <w:rFonts w:ascii="Times New Roman" w:hAnsi="Times New Roman" w:cs="Times New Roman"/>
          <w:sz w:val="24"/>
          <w:szCs w:val="24"/>
        </w:rPr>
      </w:pPr>
    </w:p>
    <w:p w:rsidR="006467BB" w:rsidRPr="006467BB" w:rsidRDefault="006467BB" w:rsidP="006467BB">
      <w:pPr>
        <w:spacing w:after="0" w:line="240" w:lineRule="auto"/>
        <w:jc w:val="both"/>
        <w:rPr>
          <w:rFonts w:ascii="Times New Roman" w:hAnsi="Times New Roman" w:cs="Times New Roman"/>
          <w:sz w:val="24"/>
          <w:szCs w:val="24"/>
        </w:rPr>
      </w:pPr>
      <w:r w:rsidRPr="006467BB">
        <w:rPr>
          <w:rFonts w:ascii="Times New Roman" w:hAnsi="Times New Roman" w:cs="Times New Roman"/>
          <w:sz w:val="24"/>
          <w:szCs w:val="24"/>
        </w:rPr>
        <w:t xml:space="preserve">Predmetný návrh zákona nadväzuje na doterajší dynamický vývoj v oblasti automatickej výmeny informácií a zavádza sa ním automatická výmena informácií o cezhraničných opatreniach podliehajúcich oznamovaniu medzi príslušnými orgánmi členských štátov EÚ. Na zabezpečenie tejto automatickej výmeny informácií sa zaviedla povinnosť </w:t>
      </w:r>
      <w:r w:rsidR="00B651B3">
        <w:rPr>
          <w:rFonts w:ascii="Times New Roman" w:hAnsi="Times New Roman" w:cs="Times New Roman"/>
          <w:sz w:val="24"/>
          <w:szCs w:val="24"/>
        </w:rPr>
        <w:t xml:space="preserve">tzv. </w:t>
      </w:r>
      <w:r w:rsidRPr="006467BB">
        <w:rPr>
          <w:rFonts w:ascii="Times New Roman" w:hAnsi="Times New Roman" w:cs="Times New Roman"/>
          <w:sz w:val="24"/>
          <w:szCs w:val="24"/>
        </w:rPr>
        <w:t>povinných osôb (sprostredkovateľa alebo príslušného daňovníka</w:t>
      </w:r>
      <w:r w:rsidR="00B651B3">
        <w:rPr>
          <w:rFonts w:ascii="Times New Roman" w:hAnsi="Times New Roman" w:cs="Times New Roman"/>
          <w:sz w:val="24"/>
          <w:szCs w:val="24"/>
        </w:rPr>
        <w:t>, t.</w:t>
      </w:r>
      <w:r w:rsidR="007812EB">
        <w:rPr>
          <w:rFonts w:ascii="Times New Roman" w:hAnsi="Times New Roman" w:cs="Times New Roman"/>
          <w:sz w:val="24"/>
          <w:szCs w:val="24"/>
        </w:rPr>
        <w:t xml:space="preserve"> </w:t>
      </w:r>
      <w:r w:rsidR="00B651B3">
        <w:rPr>
          <w:rFonts w:ascii="Times New Roman" w:hAnsi="Times New Roman" w:cs="Times New Roman"/>
          <w:sz w:val="24"/>
          <w:szCs w:val="24"/>
        </w:rPr>
        <w:t>j. používateľa</w:t>
      </w:r>
      <w:r w:rsidRPr="006467BB">
        <w:rPr>
          <w:rFonts w:ascii="Times New Roman" w:hAnsi="Times New Roman" w:cs="Times New Roman"/>
          <w:sz w:val="24"/>
          <w:szCs w:val="24"/>
        </w:rPr>
        <w:t>) podať informácie o cezhraničných opatreniach, ktoré spĺňajú aspoň jeden</w:t>
      </w:r>
      <w:r w:rsidR="008C4D7B">
        <w:rPr>
          <w:rFonts w:ascii="Times New Roman" w:hAnsi="Times New Roman" w:cs="Times New Roman"/>
          <w:sz w:val="24"/>
          <w:szCs w:val="24"/>
        </w:rPr>
        <w:t xml:space="preserve"> charakteristický znak uvedený</w:t>
      </w:r>
      <w:r w:rsidRPr="006467BB">
        <w:rPr>
          <w:rFonts w:ascii="Times New Roman" w:hAnsi="Times New Roman" w:cs="Times New Roman"/>
          <w:sz w:val="24"/>
          <w:szCs w:val="24"/>
        </w:rPr>
        <w:t xml:space="preserve"> v prílohe č. </w:t>
      </w:r>
      <w:r w:rsidR="007812EB">
        <w:rPr>
          <w:rFonts w:ascii="Times New Roman" w:hAnsi="Times New Roman" w:cs="Times New Roman"/>
          <w:sz w:val="24"/>
          <w:szCs w:val="24"/>
        </w:rPr>
        <w:t>1a</w:t>
      </w:r>
      <w:r w:rsidR="006D4C7D">
        <w:rPr>
          <w:rFonts w:ascii="Times New Roman" w:hAnsi="Times New Roman" w:cs="Times New Roman"/>
          <w:sz w:val="24"/>
          <w:szCs w:val="24"/>
        </w:rPr>
        <w:t xml:space="preserve"> návrhu</w:t>
      </w:r>
      <w:r w:rsidRPr="006467BB">
        <w:rPr>
          <w:rFonts w:ascii="Times New Roman" w:hAnsi="Times New Roman" w:cs="Times New Roman"/>
          <w:sz w:val="24"/>
          <w:szCs w:val="24"/>
        </w:rPr>
        <w:t xml:space="preserve"> zákona. Uvedená povinnosť sa vzťahuje na sprostredkovateľa t. j. osobu, ktorá cezhraničné opatrenie navrhuje, ponúka na trhu, resp. ktorá takéto opatrenie pripravuje, sprístupňuje daňovníkovi alebo ktorá riadi jeho aplikáciu u daňovníka. Sprostredkovateľom môže byť aj osoba, ktorá pri týchto aktivitách poskytuje pomoc, podporu alebo poradenstvo iným osobám. Za určitých okolností sa oznamovacia povinnosť týka aj samotného daňovníka. </w:t>
      </w:r>
    </w:p>
    <w:p w:rsidR="006467BB" w:rsidRPr="006467BB" w:rsidRDefault="006467BB" w:rsidP="006467BB">
      <w:pPr>
        <w:spacing w:after="0" w:line="240" w:lineRule="auto"/>
        <w:jc w:val="both"/>
        <w:rPr>
          <w:rFonts w:ascii="Times New Roman" w:hAnsi="Times New Roman" w:cs="Times New Roman"/>
          <w:sz w:val="24"/>
          <w:szCs w:val="24"/>
        </w:rPr>
      </w:pPr>
    </w:p>
    <w:p w:rsidR="006467BB" w:rsidRPr="006467BB" w:rsidRDefault="006467BB" w:rsidP="006467BB">
      <w:pPr>
        <w:spacing w:after="0" w:line="240" w:lineRule="auto"/>
        <w:jc w:val="both"/>
        <w:rPr>
          <w:rFonts w:ascii="Times New Roman" w:hAnsi="Times New Roman" w:cs="Times New Roman"/>
          <w:sz w:val="24"/>
          <w:szCs w:val="24"/>
        </w:rPr>
      </w:pPr>
    </w:p>
    <w:p w:rsidR="006467BB" w:rsidRPr="006467BB" w:rsidRDefault="006467BB" w:rsidP="006467BB">
      <w:pPr>
        <w:spacing w:after="0" w:line="240" w:lineRule="auto"/>
        <w:jc w:val="both"/>
        <w:rPr>
          <w:rFonts w:ascii="Times New Roman" w:hAnsi="Times New Roman" w:cs="Times New Roman"/>
          <w:sz w:val="24"/>
          <w:szCs w:val="24"/>
        </w:rPr>
      </w:pPr>
      <w:r w:rsidRPr="006467BB">
        <w:rPr>
          <w:rFonts w:ascii="Times New Roman" w:hAnsi="Times New Roman" w:cs="Times New Roman"/>
          <w:sz w:val="24"/>
          <w:szCs w:val="24"/>
        </w:rPr>
        <w:t xml:space="preserve">Návrh zákona má pozitívny vplyv </w:t>
      </w:r>
      <w:r w:rsidR="008F5EB3">
        <w:rPr>
          <w:rFonts w:ascii="Times New Roman" w:hAnsi="Times New Roman" w:cs="Times New Roman"/>
          <w:sz w:val="24"/>
          <w:szCs w:val="24"/>
        </w:rPr>
        <w:t xml:space="preserve">aj negatívny vplyv </w:t>
      </w:r>
      <w:r w:rsidRPr="006467BB">
        <w:rPr>
          <w:rFonts w:ascii="Times New Roman" w:hAnsi="Times New Roman" w:cs="Times New Roman"/>
          <w:sz w:val="24"/>
          <w:szCs w:val="24"/>
        </w:rPr>
        <w:t xml:space="preserve">na štátny rozpočet, pozitívny vplyv aj negatívny vplyv na podnikateľské prostredie a nemá sociálne vplyvy, vplyv na životné prostredie, na služby </w:t>
      </w:r>
      <w:r w:rsidR="007812EB">
        <w:rPr>
          <w:rFonts w:ascii="Times New Roman" w:hAnsi="Times New Roman" w:cs="Times New Roman"/>
          <w:sz w:val="24"/>
          <w:szCs w:val="24"/>
        </w:rPr>
        <w:t xml:space="preserve">verejnej správy pre </w:t>
      </w:r>
      <w:r w:rsidRPr="006467BB">
        <w:rPr>
          <w:rFonts w:ascii="Times New Roman" w:hAnsi="Times New Roman" w:cs="Times New Roman"/>
          <w:sz w:val="24"/>
          <w:szCs w:val="24"/>
        </w:rPr>
        <w:t>občana</w:t>
      </w:r>
      <w:r w:rsidR="00973C2A">
        <w:rPr>
          <w:rFonts w:ascii="Times New Roman" w:hAnsi="Times New Roman" w:cs="Times New Roman"/>
          <w:sz w:val="24"/>
          <w:szCs w:val="24"/>
        </w:rPr>
        <w:t xml:space="preserve">, </w:t>
      </w:r>
      <w:r w:rsidRPr="006467BB">
        <w:rPr>
          <w:rFonts w:ascii="Times New Roman" w:hAnsi="Times New Roman" w:cs="Times New Roman"/>
          <w:sz w:val="24"/>
          <w:szCs w:val="24"/>
        </w:rPr>
        <w:t>na informatizáciu spoločnosti</w:t>
      </w:r>
      <w:r w:rsidR="00973C2A">
        <w:rPr>
          <w:rFonts w:ascii="Times New Roman" w:hAnsi="Times New Roman" w:cs="Times New Roman"/>
          <w:sz w:val="24"/>
          <w:szCs w:val="24"/>
        </w:rPr>
        <w:t>, ani na manželstvo, rodičovstvo a rodinu</w:t>
      </w:r>
      <w:r w:rsidRPr="006467BB">
        <w:rPr>
          <w:rFonts w:ascii="Times New Roman" w:hAnsi="Times New Roman" w:cs="Times New Roman"/>
          <w:sz w:val="24"/>
          <w:szCs w:val="24"/>
        </w:rPr>
        <w:t xml:space="preserve">. </w:t>
      </w:r>
    </w:p>
    <w:p w:rsidR="006467BB" w:rsidRPr="006467BB" w:rsidRDefault="006467BB" w:rsidP="006467BB">
      <w:pPr>
        <w:spacing w:after="0" w:line="240" w:lineRule="auto"/>
        <w:jc w:val="both"/>
        <w:rPr>
          <w:rFonts w:ascii="Times New Roman" w:hAnsi="Times New Roman" w:cs="Times New Roman"/>
          <w:sz w:val="24"/>
          <w:szCs w:val="24"/>
        </w:rPr>
      </w:pPr>
    </w:p>
    <w:p w:rsidR="006467BB" w:rsidRPr="006467BB" w:rsidRDefault="006467BB" w:rsidP="006467BB">
      <w:pPr>
        <w:spacing w:after="0" w:line="240" w:lineRule="auto"/>
        <w:jc w:val="both"/>
        <w:rPr>
          <w:rFonts w:ascii="Times New Roman" w:hAnsi="Times New Roman" w:cs="Times New Roman"/>
          <w:sz w:val="24"/>
          <w:szCs w:val="24"/>
        </w:rPr>
      </w:pPr>
      <w:r w:rsidRPr="006467BB">
        <w:rPr>
          <w:rFonts w:ascii="Times New Roman" w:hAnsi="Times New Roman" w:cs="Times New Roman"/>
          <w:sz w:val="24"/>
          <w:szCs w:val="24"/>
        </w:rPr>
        <w:t>Návrh zákona je v súlade s Ústavou Slovenskej republiky, ústavnými zákonmi, s nálezmi Ústavného súdu Slovenskej republiky, zákonmi a inými všeobecne záväznými právnymi predpismi, medzinárodnými zmluvami a dokumentmi, ktorými je Slovenská republika viazaná, ako aj v súlade s právom Európskej únie.</w:t>
      </w:r>
    </w:p>
    <w:p w:rsidR="006467BB" w:rsidRPr="006467BB" w:rsidRDefault="006467BB" w:rsidP="006467BB">
      <w:pPr>
        <w:spacing w:after="0" w:line="240" w:lineRule="auto"/>
        <w:jc w:val="both"/>
        <w:rPr>
          <w:rFonts w:ascii="Times New Roman" w:hAnsi="Times New Roman" w:cs="Times New Roman"/>
          <w:sz w:val="24"/>
          <w:szCs w:val="24"/>
        </w:rPr>
      </w:pPr>
    </w:p>
    <w:p w:rsidR="00470D8D" w:rsidRPr="00470D8D" w:rsidRDefault="006467BB" w:rsidP="006467BB">
      <w:pPr>
        <w:spacing w:after="0" w:line="240" w:lineRule="auto"/>
        <w:jc w:val="both"/>
        <w:rPr>
          <w:rFonts w:ascii="Times New Roman" w:hAnsi="Times New Roman" w:cs="Times New Roman"/>
          <w:sz w:val="24"/>
          <w:szCs w:val="24"/>
        </w:rPr>
      </w:pPr>
      <w:r w:rsidRPr="006467BB">
        <w:rPr>
          <w:rFonts w:ascii="Times New Roman" w:hAnsi="Times New Roman" w:cs="Times New Roman"/>
          <w:sz w:val="24"/>
          <w:szCs w:val="24"/>
        </w:rPr>
        <w:t>Úči</w:t>
      </w:r>
      <w:r w:rsidR="00441518">
        <w:rPr>
          <w:rFonts w:ascii="Times New Roman" w:hAnsi="Times New Roman" w:cs="Times New Roman"/>
          <w:sz w:val="24"/>
          <w:szCs w:val="24"/>
        </w:rPr>
        <w:t>nno</w:t>
      </w:r>
      <w:r w:rsidR="00C352DB">
        <w:rPr>
          <w:rFonts w:ascii="Times New Roman" w:hAnsi="Times New Roman" w:cs="Times New Roman"/>
          <w:sz w:val="24"/>
          <w:szCs w:val="24"/>
        </w:rPr>
        <w:t>sť zákona sa navrhuje 1. júla</w:t>
      </w:r>
      <w:r w:rsidR="00930AD4">
        <w:rPr>
          <w:rFonts w:ascii="Times New Roman" w:hAnsi="Times New Roman" w:cs="Times New Roman"/>
          <w:sz w:val="24"/>
          <w:szCs w:val="24"/>
        </w:rPr>
        <w:t xml:space="preserve"> 2020 </w:t>
      </w:r>
      <w:r w:rsidR="007812EB">
        <w:rPr>
          <w:rFonts w:ascii="Times New Roman" w:hAnsi="Times New Roman" w:cs="Times New Roman"/>
          <w:sz w:val="24"/>
          <w:szCs w:val="24"/>
        </w:rPr>
        <w:t>a to vzhľadom na to</w:t>
      </w:r>
      <w:r w:rsidR="00930AD4" w:rsidRPr="00930AD4">
        <w:rPr>
          <w:rFonts w:ascii="Times New Roman" w:hAnsi="Times New Roman" w:cs="Times New Roman"/>
          <w:sz w:val="24"/>
          <w:szCs w:val="24"/>
        </w:rPr>
        <w:t>, že podľa smernice DAC 6 sa jej ustanovenia majú uplatňovať od 1. júla 2020.</w:t>
      </w:r>
    </w:p>
    <w:p w:rsidR="00B5458A" w:rsidRPr="000B2D95" w:rsidRDefault="00B5458A" w:rsidP="00470D8D">
      <w:pPr>
        <w:spacing w:after="0" w:line="240" w:lineRule="auto"/>
        <w:jc w:val="both"/>
        <w:rPr>
          <w:rFonts w:ascii="Times New Roman" w:hAnsi="Times New Roman" w:cs="Times New Roman"/>
          <w:sz w:val="24"/>
          <w:szCs w:val="24"/>
        </w:rPr>
      </w:pPr>
    </w:p>
    <w:p w:rsidR="00E008FB" w:rsidRDefault="00E008FB" w:rsidP="00A241DB">
      <w:pPr>
        <w:shd w:val="clear" w:color="auto" w:fill="FFFFFF" w:themeFill="background1"/>
        <w:spacing w:after="0" w:line="240" w:lineRule="auto"/>
        <w:jc w:val="both"/>
        <w:rPr>
          <w:rFonts w:ascii="Times New Roman" w:hAnsi="Times New Roman" w:cs="Times New Roman"/>
          <w:sz w:val="24"/>
          <w:szCs w:val="24"/>
        </w:rPr>
      </w:pPr>
    </w:p>
    <w:p w:rsidR="006C6F6B" w:rsidRDefault="006C6F6B" w:rsidP="00A241DB">
      <w:pPr>
        <w:shd w:val="clear" w:color="auto" w:fill="FFFFFF" w:themeFill="background1"/>
        <w:spacing w:after="0" w:line="240" w:lineRule="auto"/>
        <w:jc w:val="both"/>
        <w:rPr>
          <w:rFonts w:ascii="Times New Roman" w:hAnsi="Times New Roman" w:cs="Times New Roman"/>
          <w:sz w:val="24"/>
          <w:szCs w:val="24"/>
        </w:rPr>
      </w:pPr>
    </w:p>
    <w:p w:rsidR="006C6F6B" w:rsidRDefault="006C6F6B" w:rsidP="00A241DB">
      <w:pPr>
        <w:shd w:val="clear" w:color="auto" w:fill="FFFFFF" w:themeFill="background1"/>
        <w:spacing w:after="0" w:line="240" w:lineRule="auto"/>
        <w:jc w:val="both"/>
        <w:rPr>
          <w:rFonts w:ascii="Times New Roman" w:hAnsi="Times New Roman" w:cs="Times New Roman"/>
          <w:sz w:val="24"/>
          <w:szCs w:val="24"/>
        </w:rPr>
      </w:pPr>
    </w:p>
    <w:p w:rsidR="0045196E" w:rsidRDefault="0045196E" w:rsidP="00A241DB">
      <w:pPr>
        <w:shd w:val="clear" w:color="auto" w:fill="FFFFFF" w:themeFill="background1"/>
        <w:spacing w:after="0" w:line="240" w:lineRule="auto"/>
        <w:jc w:val="both"/>
        <w:rPr>
          <w:rFonts w:ascii="Times New Roman" w:hAnsi="Times New Roman" w:cs="Times New Roman"/>
          <w:sz w:val="24"/>
          <w:szCs w:val="24"/>
        </w:rPr>
      </w:pPr>
    </w:p>
    <w:p w:rsidR="0045196E" w:rsidRDefault="0045196E" w:rsidP="00A241DB">
      <w:pPr>
        <w:shd w:val="clear" w:color="auto" w:fill="FFFFFF" w:themeFill="background1"/>
        <w:spacing w:after="0" w:line="240" w:lineRule="auto"/>
        <w:jc w:val="both"/>
        <w:rPr>
          <w:rFonts w:ascii="Times New Roman" w:hAnsi="Times New Roman" w:cs="Times New Roman"/>
          <w:sz w:val="24"/>
          <w:szCs w:val="24"/>
        </w:rPr>
      </w:pPr>
    </w:p>
    <w:p w:rsidR="0045196E" w:rsidRPr="0045196E" w:rsidRDefault="0045196E" w:rsidP="0045196E">
      <w:pPr>
        <w:spacing w:after="0" w:line="240" w:lineRule="auto"/>
        <w:jc w:val="center"/>
        <w:rPr>
          <w:rFonts w:ascii="Times New Roman" w:eastAsia="Times New Roman" w:hAnsi="Times New Roman" w:cs="Times New Roman"/>
          <w:b/>
          <w:bCs/>
          <w:sz w:val="28"/>
          <w:szCs w:val="28"/>
          <w:lang w:eastAsia="sk-SK"/>
        </w:rPr>
      </w:pPr>
      <w:r w:rsidRPr="0045196E">
        <w:rPr>
          <w:rFonts w:ascii="Times New Roman" w:eastAsia="Times New Roman" w:hAnsi="Times New Roman" w:cs="Times New Roman"/>
          <w:b/>
          <w:bCs/>
          <w:sz w:val="28"/>
          <w:szCs w:val="28"/>
          <w:lang w:eastAsia="sk-SK"/>
        </w:rPr>
        <w:lastRenderedPageBreak/>
        <w:t>Doložka vybraných vplyvov</w:t>
      </w:r>
    </w:p>
    <w:p w:rsidR="0045196E" w:rsidRPr="0045196E" w:rsidRDefault="0045196E" w:rsidP="0045196E">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45196E" w:rsidRPr="0045196E" w:rsidTr="0045196E">
        <w:tc>
          <w:tcPr>
            <w:tcW w:w="9180" w:type="dxa"/>
            <w:gridSpan w:val="10"/>
            <w:tcBorders>
              <w:bottom w:val="single" w:sz="4" w:space="0" w:color="FFFFFF"/>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Základné údaje</w:t>
            </w:r>
          </w:p>
        </w:tc>
      </w:tr>
      <w:tr w:rsidR="0045196E" w:rsidRPr="0045196E" w:rsidTr="0045196E">
        <w:tc>
          <w:tcPr>
            <w:tcW w:w="9180" w:type="dxa"/>
            <w:gridSpan w:val="10"/>
            <w:tcBorders>
              <w:bottom w:val="single" w:sz="4" w:space="0" w:color="FFFFFF"/>
            </w:tcBorders>
            <w:shd w:val="clear" w:color="auto" w:fill="E2E2E2"/>
          </w:tcPr>
          <w:p w:rsidR="0045196E" w:rsidRPr="0045196E" w:rsidRDefault="0045196E" w:rsidP="0045196E">
            <w:pPr>
              <w:spacing w:after="200" w:line="276" w:lineRule="auto"/>
              <w:ind w:left="142"/>
              <w:rPr>
                <w:rFonts w:eastAsia="Calibri"/>
                <w:b/>
              </w:rPr>
            </w:pPr>
            <w:r w:rsidRPr="0045196E">
              <w:rPr>
                <w:rFonts w:eastAsia="Calibri"/>
                <w:b/>
              </w:rPr>
              <w:t>Názov materiálu</w:t>
            </w:r>
          </w:p>
        </w:tc>
      </w:tr>
      <w:tr w:rsidR="0045196E" w:rsidRPr="0045196E" w:rsidTr="0045196E">
        <w:tc>
          <w:tcPr>
            <w:tcW w:w="9180" w:type="dxa"/>
            <w:gridSpan w:val="10"/>
            <w:tcBorders>
              <w:top w:val="single" w:sz="4" w:space="0" w:color="FFFFFF"/>
              <w:bottom w:val="single" w:sz="4" w:space="0" w:color="auto"/>
            </w:tcBorders>
          </w:tcPr>
          <w:p w:rsidR="0045196E" w:rsidRPr="0045196E" w:rsidRDefault="0045196E" w:rsidP="005C65D8">
            <w:pPr>
              <w:jc w:val="both"/>
              <w:rPr>
                <w:sz w:val="20"/>
                <w:szCs w:val="20"/>
              </w:rPr>
            </w:pPr>
            <w:r w:rsidRPr="0045196E">
              <w:rPr>
                <w:b/>
                <w:bCs/>
              </w:rPr>
              <w:t>Návrh zákona, ktorým sa mení a dopĺňa zákon č. 442/2012 Z. z. o medzinárodnej pomoci a spolupráci pri správe daní v znení neskorších predpisov a ktorým sa menia a dopĺňajú niektoré zákony</w:t>
            </w:r>
          </w:p>
        </w:tc>
      </w:tr>
      <w:tr w:rsidR="0045196E" w:rsidRPr="0045196E" w:rsidTr="0045196E">
        <w:tc>
          <w:tcPr>
            <w:tcW w:w="9180" w:type="dxa"/>
            <w:gridSpan w:val="10"/>
            <w:tcBorders>
              <w:top w:val="single" w:sz="4" w:space="0" w:color="auto"/>
              <w:left w:val="single" w:sz="4" w:space="0" w:color="auto"/>
              <w:bottom w:val="single" w:sz="4" w:space="0" w:color="FFFFFF"/>
            </w:tcBorders>
            <w:shd w:val="clear" w:color="auto" w:fill="E2E2E2"/>
          </w:tcPr>
          <w:p w:rsidR="0045196E" w:rsidRPr="0045196E" w:rsidRDefault="0045196E" w:rsidP="0045196E">
            <w:pPr>
              <w:spacing w:after="200" w:line="276" w:lineRule="auto"/>
              <w:ind w:left="142"/>
              <w:rPr>
                <w:rFonts w:eastAsia="Calibri"/>
                <w:b/>
              </w:rPr>
            </w:pPr>
            <w:r w:rsidRPr="0045196E">
              <w:rPr>
                <w:rFonts w:eastAsia="Calibri"/>
                <w:b/>
              </w:rPr>
              <w:t>Predkladateľ (a spolupredkladateľ)</w:t>
            </w:r>
          </w:p>
        </w:tc>
      </w:tr>
      <w:tr w:rsidR="0045196E" w:rsidRPr="0045196E" w:rsidTr="0045196E">
        <w:tc>
          <w:tcPr>
            <w:tcW w:w="9180" w:type="dxa"/>
            <w:gridSpan w:val="10"/>
            <w:tcBorders>
              <w:top w:val="single" w:sz="4" w:space="0" w:color="FFFFFF"/>
              <w:left w:val="single" w:sz="4" w:space="0" w:color="auto"/>
              <w:bottom w:val="single" w:sz="4" w:space="0" w:color="auto"/>
            </w:tcBorders>
            <w:shd w:val="clear" w:color="auto" w:fill="FFFFFF"/>
          </w:tcPr>
          <w:p w:rsidR="0045196E" w:rsidRPr="0045196E" w:rsidRDefault="0045196E" w:rsidP="0045196E">
            <w:pPr>
              <w:widowControl w:val="0"/>
              <w:adjustRightInd w:val="0"/>
              <w:spacing w:after="160" w:line="259" w:lineRule="auto"/>
            </w:pPr>
            <w:r w:rsidRPr="0045196E">
              <w:t>Ministerstvo financií Slovenskej republiky</w:t>
            </w:r>
          </w:p>
        </w:tc>
      </w:tr>
      <w:tr w:rsidR="0045196E" w:rsidRPr="0045196E" w:rsidTr="0045196E">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45196E" w:rsidRPr="0045196E" w:rsidRDefault="0045196E" w:rsidP="0045196E">
            <w:pPr>
              <w:spacing w:after="200" w:line="276" w:lineRule="auto"/>
              <w:ind w:left="142"/>
              <w:rPr>
                <w:rFonts w:eastAsia="Calibri"/>
                <w:b/>
              </w:rPr>
            </w:pPr>
            <w:r w:rsidRPr="0045196E">
              <w:rPr>
                <w:rFonts w:eastAsia="Calibri"/>
                <w:b/>
              </w:rPr>
              <w:t>Charakter predkladaného materiálu</w:t>
            </w:r>
          </w:p>
        </w:tc>
        <w:sdt>
          <w:sdtPr>
            <w:rPr>
              <w:sz w:val="20"/>
              <w:szCs w:val="20"/>
            </w:rPr>
            <w:id w:val="-6989077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45196E" w:rsidRPr="0045196E" w:rsidRDefault="0045196E" w:rsidP="0045196E">
                <w:pPr>
                  <w:jc w:val="center"/>
                  <w:rPr>
                    <w:sz w:val="20"/>
                    <w:szCs w:val="20"/>
                  </w:rPr>
                </w:pPr>
                <w:r w:rsidRPr="0045196E">
                  <w:rPr>
                    <w:rFonts w:ascii="Segoe UI Symbol" w:hAnsi="Segoe UI Symbol" w:cs="Segoe UI Symbol"/>
                    <w:sz w:val="20"/>
                    <w:szCs w:val="20"/>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cPr>
          <w:p w:rsidR="0045196E" w:rsidRPr="0045196E" w:rsidRDefault="0045196E" w:rsidP="0045196E">
            <w:pPr>
              <w:rPr>
                <w:sz w:val="20"/>
                <w:szCs w:val="20"/>
              </w:rPr>
            </w:pPr>
            <w:r w:rsidRPr="0045196E">
              <w:rPr>
                <w:sz w:val="20"/>
                <w:szCs w:val="20"/>
              </w:rPr>
              <w:t>Materiál nelegislatívnej povahy</w:t>
            </w:r>
          </w:p>
        </w:tc>
      </w:tr>
      <w:tr w:rsidR="0045196E" w:rsidRPr="0045196E" w:rsidTr="0045196E">
        <w:tc>
          <w:tcPr>
            <w:tcW w:w="4212" w:type="dxa"/>
            <w:gridSpan w:val="2"/>
            <w:vMerge/>
            <w:tcBorders>
              <w:top w:val="nil"/>
              <w:left w:val="single" w:sz="4" w:space="0" w:color="auto"/>
              <w:bottom w:val="single" w:sz="4" w:space="0" w:color="FFFFFF"/>
            </w:tcBorders>
            <w:shd w:val="clear" w:color="auto" w:fill="E2E2E2"/>
          </w:tcPr>
          <w:p w:rsidR="0045196E" w:rsidRPr="0045196E" w:rsidRDefault="0045196E" w:rsidP="0045196E">
            <w:pPr>
              <w:rPr>
                <w:sz w:val="20"/>
                <w:szCs w:val="20"/>
              </w:rPr>
            </w:pPr>
          </w:p>
        </w:tc>
        <w:sdt>
          <w:sdtPr>
            <w:rPr>
              <w:sz w:val="20"/>
              <w:szCs w:val="20"/>
            </w:rPr>
            <w:id w:val="-145588339"/>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45196E" w:rsidRPr="0045196E" w:rsidRDefault="0045196E" w:rsidP="0045196E">
                <w:pPr>
                  <w:jc w:val="center"/>
                  <w:rPr>
                    <w:sz w:val="20"/>
                    <w:szCs w:val="20"/>
                  </w:rPr>
                </w:pPr>
                <w:r w:rsidRPr="0045196E">
                  <w:rPr>
                    <w:rFonts w:ascii="Segoe UI Symbol" w:hAnsi="Segoe UI Symbol" w:cs="Segoe UI Symbol"/>
                    <w:sz w:val="20"/>
                    <w:szCs w:val="20"/>
                  </w:rPr>
                  <w:t>☒</w:t>
                </w:r>
              </w:p>
            </w:tc>
          </w:sdtContent>
        </w:sdt>
        <w:tc>
          <w:tcPr>
            <w:tcW w:w="4263" w:type="dxa"/>
            <w:gridSpan w:val="6"/>
            <w:tcBorders>
              <w:top w:val="single" w:sz="4" w:space="0" w:color="auto"/>
              <w:left w:val="nil"/>
              <w:bottom w:val="single" w:sz="4" w:space="0" w:color="auto"/>
            </w:tcBorders>
            <w:shd w:val="clear" w:color="auto" w:fill="FFFFFF"/>
          </w:tcPr>
          <w:p w:rsidR="0045196E" w:rsidRPr="0045196E" w:rsidRDefault="0045196E" w:rsidP="0045196E">
            <w:pPr>
              <w:ind w:left="175" w:hanging="175"/>
              <w:rPr>
                <w:sz w:val="20"/>
                <w:szCs w:val="20"/>
              </w:rPr>
            </w:pPr>
            <w:r w:rsidRPr="0045196E">
              <w:rPr>
                <w:sz w:val="20"/>
                <w:szCs w:val="20"/>
              </w:rPr>
              <w:t>Materiál legislatívnej povahy</w:t>
            </w:r>
          </w:p>
        </w:tc>
      </w:tr>
      <w:tr w:rsidR="0045196E" w:rsidRPr="0045196E" w:rsidTr="0045196E">
        <w:tc>
          <w:tcPr>
            <w:tcW w:w="4212" w:type="dxa"/>
            <w:gridSpan w:val="2"/>
            <w:vMerge/>
            <w:tcBorders>
              <w:top w:val="nil"/>
              <w:left w:val="single" w:sz="4" w:space="0" w:color="auto"/>
              <w:bottom w:val="single" w:sz="4" w:space="0" w:color="auto"/>
            </w:tcBorders>
            <w:shd w:val="clear" w:color="auto" w:fill="E2E2E2"/>
          </w:tcPr>
          <w:p w:rsidR="0045196E" w:rsidRPr="0045196E" w:rsidRDefault="0045196E" w:rsidP="0045196E">
            <w:pPr>
              <w:rPr>
                <w:sz w:val="20"/>
                <w:szCs w:val="20"/>
              </w:rPr>
            </w:pPr>
          </w:p>
        </w:tc>
        <w:sdt>
          <w:sdtPr>
            <w:rPr>
              <w:sz w:val="20"/>
              <w:szCs w:val="20"/>
            </w:rPr>
            <w:id w:val="-1883475976"/>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45196E" w:rsidRPr="0045196E" w:rsidRDefault="0045196E" w:rsidP="0045196E">
                <w:pPr>
                  <w:jc w:val="center"/>
                  <w:rPr>
                    <w:sz w:val="20"/>
                    <w:szCs w:val="20"/>
                  </w:rPr>
                </w:pPr>
                <w:r w:rsidRPr="0045196E">
                  <w:rPr>
                    <w:rFonts w:ascii="Segoe UI Symbol" w:hAnsi="Segoe UI Symbol" w:cs="Segoe UI Symbol"/>
                    <w:sz w:val="20"/>
                    <w:szCs w:val="20"/>
                  </w:rPr>
                  <w:t>☒</w:t>
                </w:r>
              </w:p>
            </w:tc>
          </w:sdtContent>
        </w:sdt>
        <w:tc>
          <w:tcPr>
            <w:tcW w:w="4263" w:type="dxa"/>
            <w:gridSpan w:val="6"/>
            <w:tcBorders>
              <w:top w:val="single" w:sz="4" w:space="0" w:color="auto"/>
              <w:left w:val="nil"/>
              <w:bottom w:val="single" w:sz="4" w:space="0" w:color="auto"/>
            </w:tcBorders>
            <w:shd w:val="clear" w:color="auto" w:fill="FFFFFF"/>
          </w:tcPr>
          <w:p w:rsidR="0045196E" w:rsidRPr="0045196E" w:rsidRDefault="0045196E" w:rsidP="0045196E">
            <w:pPr>
              <w:rPr>
                <w:sz w:val="20"/>
                <w:szCs w:val="20"/>
              </w:rPr>
            </w:pPr>
            <w:r w:rsidRPr="0045196E">
              <w:rPr>
                <w:sz w:val="20"/>
                <w:szCs w:val="20"/>
              </w:rPr>
              <w:t>Transpozícia práva EÚ</w:t>
            </w:r>
          </w:p>
        </w:tc>
      </w:tr>
      <w:tr w:rsidR="0045196E" w:rsidRPr="0045196E" w:rsidTr="0045196E">
        <w:tc>
          <w:tcPr>
            <w:tcW w:w="9180" w:type="dxa"/>
            <w:gridSpan w:val="10"/>
            <w:tcBorders>
              <w:top w:val="single" w:sz="4" w:space="0" w:color="auto"/>
              <w:left w:val="single" w:sz="4" w:space="0" w:color="auto"/>
              <w:bottom w:val="single" w:sz="4" w:space="0" w:color="FFFFFF"/>
            </w:tcBorders>
            <w:shd w:val="clear" w:color="auto" w:fill="FFFFFF"/>
          </w:tcPr>
          <w:p w:rsidR="0045196E" w:rsidRPr="0045196E" w:rsidRDefault="0045196E" w:rsidP="0045196E">
            <w:pPr>
              <w:rPr>
                <w:i/>
                <w:sz w:val="20"/>
                <w:szCs w:val="20"/>
              </w:rPr>
            </w:pPr>
            <w:r w:rsidRPr="0045196E">
              <w:rPr>
                <w:i/>
                <w:sz w:val="20"/>
                <w:szCs w:val="20"/>
              </w:rPr>
              <w:t>V prípade transpozície uveďte zoznam transponovaných predpisov:</w:t>
            </w:r>
          </w:p>
          <w:p w:rsidR="0045196E" w:rsidRPr="0045196E" w:rsidRDefault="0045196E" w:rsidP="0045196E">
            <w:pPr>
              <w:jc w:val="both"/>
            </w:pPr>
            <w:r w:rsidRPr="0045196E">
              <w:t>Smernica Rady (EÚ) 2018/822 z 25. mája 2018, ktorou sa mení smernica 2011/16/EÚ, pokiaľ ide o povinnú automatickú výmenu informácií v oblasti daní v súvislosti s cezhraničnými opatreniami podliehajúcimi oznamovaniu</w:t>
            </w:r>
          </w:p>
          <w:p w:rsidR="0045196E" w:rsidRPr="0045196E" w:rsidRDefault="0045196E" w:rsidP="0045196E">
            <w:pPr>
              <w:jc w:val="both"/>
            </w:pPr>
          </w:p>
        </w:tc>
      </w:tr>
      <w:tr w:rsidR="0045196E" w:rsidRPr="0045196E" w:rsidTr="0045196E">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cPr>
          <w:p w:rsidR="0045196E" w:rsidRPr="0045196E" w:rsidRDefault="0045196E" w:rsidP="0045196E">
            <w:pPr>
              <w:spacing w:after="200" w:line="276" w:lineRule="auto"/>
              <w:ind w:left="142"/>
              <w:rPr>
                <w:rFonts w:eastAsia="Calibri"/>
                <w:b/>
              </w:rPr>
            </w:pPr>
            <w:r w:rsidRPr="0045196E">
              <w:rPr>
                <w:rFonts w:eastAsia="Calibri"/>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cPr>
          <w:p w:rsidR="0045196E" w:rsidRPr="0045196E" w:rsidRDefault="0045196E" w:rsidP="0045196E">
            <w:pPr>
              <w:rPr>
                <w:sz w:val="20"/>
                <w:szCs w:val="20"/>
              </w:rPr>
            </w:pPr>
            <w:r w:rsidRPr="0045196E">
              <w:t>15. januára 2019 – 28. januára 2019</w:t>
            </w:r>
          </w:p>
        </w:tc>
      </w:tr>
      <w:tr w:rsidR="0045196E" w:rsidRPr="0045196E" w:rsidTr="0045196E">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spacing w:after="200" w:line="276" w:lineRule="auto"/>
              <w:ind w:left="142"/>
              <w:rPr>
                <w:rFonts w:eastAsia="Calibri"/>
                <w:b/>
              </w:rPr>
            </w:pPr>
            <w:r w:rsidRPr="0045196E">
              <w:rPr>
                <w:rFonts w:eastAsia="Calibri"/>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rsidR="0045196E" w:rsidRPr="0045196E" w:rsidRDefault="0045196E" w:rsidP="0045196E">
            <w:pPr>
              <w:rPr>
                <w:sz w:val="20"/>
                <w:szCs w:val="20"/>
              </w:rPr>
            </w:pPr>
            <w:r w:rsidRPr="0045196E">
              <w:t>Január 2019</w:t>
            </w:r>
          </w:p>
        </w:tc>
      </w:tr>
      <w:tr w:rsidR="0045196E" w:rsidRPr="0045196E" w:rsidTr="0045196E">
        <w:tc>
          <w:tcPr>
            <w:tcW w:w="5634" w:type="dxa"/>
            <w:gridSpan w:val="5"/>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spacing w:after="200" w:line="276" w:lineRule="auto"/>
              <w:ind w:left="142"/>
              <w:rPr>
                <w:rFonts w:eastAsia="Calibri"/>
                <w:b/>
              </w:rPr>
            </w:pPr>
            <w:r w:rsidRPr="0045196E">
              <w:rPr>
                <w:rFonts w:eastAsia="Calibri"/>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rsidR="0045196E" w:rsidRPr="0045196E" w:rsidRDefault="0045196E" w:rsidP="0045196E">
            <w:pPr>
              <w:rPr>
                <w:sz w:val="20"/>
                <w:szCs w:val="20"/>
              </w:rPr>
            </w:pPr>
            <w:r w:rsidRPr="0045196E">
              <w:t>Marec 2019</w:t>
            </w:r>
          </w:p>
        </w:tc>
      </w:tr>
      <w:tr w:rsidR="0045196E" w:rsidRPr="0045196E" w:rsidTr="0045196E">
        <w:tc>
          <w:tcPr>
            <w:tcW w:w="9180" w:type="dxa"/>
            <w:gridSpan w:val="10"/>
            <w:tcBorders>
              <w:top w:val="single" w:sz="4" w:space="0" w:color="auto"/>
              <w:left w:val="nil"/>
              <w:bottom w:val="single" w:sz="4" w:space="0" w:color="auto"/>
              <w:right w:val="nil"/>
            </w:tcBorders>
            <w:shd w:val="clear" w:color="auto" w:fill="FFFFFF"/>
          </w:tcPr>
          <w:p w:rsidR="0045196E" w:rsidRPr="0045196E" w:rsidRDefault="0045196E" w:rsidP="0045196E">
            <w:pPr>
              <w:rPr>
                <w:sz w:val="20"/>
                <w:szCs w:val="20"/>
              </w:rPr>
            </w:pPr>
          </w:p>
        </w:tc>
      </w:tr>
      <w:tr w:rsidR="0045196E" w:rsidRPr="0045196E" w:rsidTr="0045196E">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Definovanie problému</w:t>
            </w:r>
          </w:p>
        </w:tc>
      </w:tr>
      <w:tr w:rsidR="0045196E" w:rsidRPr="0045196E" w:rsidTr="0045196E">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45196E" w:rsidRPr="0045196E" w:rsidRDefault="0045196E" w:rsidP="0045196E">
            <w:pPr>
              <w:jc w:val="both"/>
              <w:rPr>
                <w:b/>
                <w:sz w:val="20"/>
                <w:szCs w:val="20"/>
              </w:rPr>
            </w:pPr>
            <w:r w:rsidRPr="0045196E">
              <w:t>Transpozícia smernice EÚ a zavedenie automatickej výmeny informácií o cezhraničných opatreniach podliehajúcich oznamovaniu medzi príslušnými orgánmi členských štátov a EK</w:t>
            </w:r>
            <w:r w:rsidRPr="0045196E">
              <w:rPr>
                <w:b/>
                <w:sz w:val="20"/>
                <w:szCs w:val="20"/>
              </w:rPr>
              <w:t>.</w:t>
            </w:r>
          </w:p>
        </w:tc>
      </w:tr>
      <w:tr w:rsidR="0045196E" w:rsidRPr="0045196E" w:rsidTr="004B6BB8">
        <w:tc>
          <w:tcPr>
            <w:tcW w:w="9180" w:type="dxa"/>
            <w:gridSpan w:val="10"/>
            <w:tcBorders>
              <w:top w:val="single" w:sz="4" w:space="0" w:color="auto"/>
              <w:left w:val="single" w:sz="4" w:space="0" w:color="auto"/>
              <w:bottom w:val="nil"/>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Ciele a výsledný stav</w:t>
            </w:r>
          </w:p>
        </w:tc>
      </w:tr>
      <w:tr w:rsidR="0045196E" w:rsidRPr="0045196E" w:rsidTr="0045196E">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cPr>
          <w:p w:rsidR="0045196E" w:rsidRPr="0045196E" w:rsidRDefault="0045196E" w:rsidP="0045196E">
            <w:pPr>
              <w:jc w:val="both"/>
              <w:rPr>
                <w:i/>
                <w:sz w:val="20"/>
                <w:szCs w:val="20"/>
              </w:rPr>
            </w:pPr>
            <w:r w:rsidRPr="0045196E">
              <w:t>Zabezpečenie automatickej výmeny informácií o cezhraničných opatreniach podliehajúcich oznamovaniu medzi príslušnými orgánmi členských štátov a EK.</w:t>
            </w:r>
          </w:p>
          <w:p w:rsidR="0045196E" w:rsidRPr="0045196E" w:rsidRDefault="0045196E" w:rsidP="0045196E">
            <w:pPr>
              <w:rPr>
                <w:sz w:val="20"/>
                <w:szCs w:val="20"/>
              </w:rPr>
            </w:pPr>
          </w:p>
        </w:tc>
      </w:tr>
      <w:tr w:rsidR="0045196E" w:rsidRPr="0045196E" w:rsidTr="004B6BB8">
        <w:tc>
          <w:tcPr>
            <w:tcW w:w="9180" w:type="dxa"/>
            <w:gridSpan w:val="10"/>
            <w:tcBorders>
              <w:top w:val="single" w:sz="4" w:space="0" w:color="auto"/>
              <w:left w:val="single" w:sz="4" w:space="0" w:color="auto"/>
              <w:bottom w:val="nil"/>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Dotknuté subjekty</w:t>
            </w:r>
          </w:p>
        </w:tc>
      </w:tr>
      <w:tr w:rsidR="0045196E" w:rsidRPr="0045196E" w:rsidTr="0045196E">
        <w:tc>
          <w:tcPr>
            <w:tcW w:w="9180" w:type="dxa"/>
            <w:gridSpan w:val="10"/>
            <w:tcBorders>
              <w:top w:val="nil"/>
              <w:left w:val="single" w:sz="4" w:space="0" w:color="auto"/>
              <w:bottom w:val="single" w:sz="4" w:space="0" w:color="auto"/>
              <w:right w:val="single" w:sz="4" w:space="0" w:color="auto"/>
            </w:tcBorders>
            <w:shd w:val="clear" w:color="auto" w:fill="FFFFFF"/>
          </w:tcPr>
          <w:p w:rsidR="0045196E" w:rsidRPr="0045196E" w:rsidRDefault="0045196E" w:rsidP="0045196E">
            <w:pPr>
              <w:rPr>
                <w:i/>
                <w:sz w:val="20"/>
                <w:szCs w:val="20"/>
              </w:rPr>
            </w:pPr>
            <w:r w:rsidRPr="0045196E">
              <w:rPr>
                <w:i/>
                <w:sz w:val="20"/>
                <w:szCs w:val="20"/>
              </w:rPr>
              <w:t>Uveďte subjekty, ktorých sa zmeny návrhu dotknú priamo aj nepriamo:</w:t>
            </w:r>
          </w:p>
          <w:p w:rsidR="0045196E" w:rsidRPr="0045196E" w:rsidRDefault="0045196E" w:rsidP="0045196E">
            <w:pPr>
              <w:widowControl w:val="0"/>
              <w:adjustRightInd w:val="0"/>
              <w:spacing w:after="160" w:line="259" w:lineRule="auto"/>
            </w:pPr>
            <w:r w:rsidRPr="0045196E">
              <w:t>Finančná správa SR, sprostredkovatelia, daňovníci</w:t>
            </w:r>
          </w:p>
        </w:tc>
      </w:tr>
      <w:tr w:rsidR="0045196E" w:rsidRPr="0045196E" w:rsidTr="004B6BB8">
        <w:tc>
          <w:tcPr>
            <w:tcW w:w="9180" w:type="dxa"/>
            <w:gridSpan w:val="10"/>
            <w:tcBorders>
              <w:top w:val="single" w:sz="4" w:space="0" w:color="auto"/>
              <w:left w:val="single" w:sz="4" w:space="0" w:color="auto"/>
              <w:bottom w:val="nil"/>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Alternatívne riešenia</w:t>
            </w:r>
          </w:p>
        </w:tc>
      </w:tr>
      <w:tr w:rsidR="0045196E" w:rsidRPr="0045196E" w:rsidTr="0045196E">
        <w:trPr>
          <w:trHeight w:val="536"/>
        </w:trPr>
        <w:tc>
          <w:tcPr>
            <w:tcW w:w="9180" w:type="dxa"/>
            <w:gridSpan w:val="10"/>
            <w:tcBorders>
              <w:top w:val="nil"/>
              <w:left w:val="single" w:sz="4" w:space="0" w:color="auto"/>
              <w:bottom w:val="single" w:sz="4" w:space="0" w:color="auto"/>
              <w:right w:val="single" w:sz="4" w:space="0" w:color="auto"/>
            </w:tcBorders>
            <w:shd w:val="clear" w:color="auto" w:fill="FFFFFF"/>
          </w:tcPr>
          <w:p w:rsidR="0045196E" w:rsidRPr="0045196E" w:rsidRDefault="0045196E" w:rsidP="0045196E">
            <w:pPr>
              <w:rPr>
                <w:i/>
                <w:sz w:val="20"/>
                <w:szCs w:val="20"/>
              </w:rPr>
            </w:pPr>
            <w:r w:rsidRPr="0045196E">
              <w:t>Neboli posudzované alternatívne riešenia.</w:t>
            </w:r>
          </w:p>
        </w:tc>
      </w:tr>
      <w:tr w:rsidR="0045196E" w:rsidRPr="0045196E" w:rsidTr="0045196E">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Vykonávacie predpisy</w:t>
            </w:r>
          </w:p>
        </w:tc>
      </w:tr>
      <w:tr w:rsidR="0045196E" w:rsidRPr="0045196E" w:rsidTr="0045196E">
        <w:tc>
          <w:tcPr>
            <w:tcW w:w="6203" w:type="dxa"/>
            <w:gridSpan w:val="6"/>
            <w:tcBorders>
              <w:top w:val="single" w:sz="4" w:space="0" w:color="FFFFFF"/>
              <w:left w:val="single" w:sz="4" w:space="0" w:color="auto"/>
              <w:bottom w:val="nil"/>
              <w:right w:val="nil"/>
            </w:tcBorders>
            <w:shd w:val="clear" w:color="auto" w:fill="FFFFFF"/>
          </w:tcPr>
          <w:p w:rsidR="0045196E" w:rsidRPr="0045196E" w:rsidRDefault="0045196E" w:rsidP="0045196E">
            <w:pPr>
              <w:rPr>
                <w:i/>
                <w:sz w:val="20"/>
                <w:szCs w:val="20"/>
              </w:rPr>
            </w:pPr>
            <w:r w:rsidRPr="0045196E">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45196E" w:rsidRPr="0045196E" w:rsidRDefault="0045196E" w:rsidP="0045196E">
            <w:pPr>
              <w:jc w:val="center"/>
              <w:rPr>
                <w:sz w:val="20"/>
                <w:szCs w:val="20"/>
              </w:rPr>
            </w:pPr>
            <w:sdt>
              <w:sdtPr>
                <w:rPr>
                  <w:sz w:val="20"/>
                  <w:szCs w:val="20"/>
                </w:rPr>
                <w:id w:val="-1407611648"/>
                <w14:checkbox>
                  <w14:checked w14:val="0"/>
                  <w14:checkedState w14:val="2612" w14:font="MS Gothic"/>
                  <w14:uncheckedState w14:val="2610" w14:font="MS Gothic"/>
                </w14:checkbox>
              </w:sdtPr>
              <w:sdtContent>
                <w:r w:rsidRPr="0045196E">
                  <w:rPr>
                    <w:rFonts w:ascii="Segoe UI Symbol" w:hAnsi="Segoe UI Symbol" w:cs="Segoe UI Symbol"/>
                    <w:sz w:val="20"/>
                    <w:szCs w:val="20"/>
                  </w:rPr>
                  <w:t>☐</w:t>
                </w:r>
              </w:sdtContent>
            </w:sdt>
            <w:r w:rsidRPr="0045196E">
              <w:rPr>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45196E" w:rsidRPr="0045196E" w:rsidRDefault="0045196E" w:rsidP="0045196E">
            <w:pPr>
              <w:jc w:val="center"/>
              <w:rPr>
                <w:sz w:val="20"/>
                <w:szCs w:val="20"/>
              </w:rPr>
            </w:pPr>
            <w:sdt>
              <w:sdtPr>
                <w:rPr>
                  <w:sz w:val="20"/>
                  <w:szCs w:val="20"/>
                </w:rPr>
                <w:id w:val="-1625842802"/>
                <w14:checkbox>
                  <w14:checked w14:val="1"/>
                  <w14:checkedState w14:val="2612" w14:font="MS Gothic"/>
                  <w14:uncheckedState w14:val="2610" w14:font="MS Gothic"/>
                </w14:checkbox>
              </w:sdtPr>
              <w:sdtContent>
                <w:r w:rsidRPr="0045196E">
                  <w:rPr>
                    <w:rFonts w:ascii="Segoe UI Symbol" w:hAnsi="Segoe UI Symbol" w:cs="Segoe UI Symbol"/>
                    <w:sz w:val="20"/>
                    <w:szCs w:val="20"/>
                  </w:rPr>
                  <w:t>☒</w:t>
                </w:r>
              </w:sdtContent>
            </w:sdt>
            <w:r w:rsidRPr="0045196E">
              <w:rPr>
                <w:sz w:val="20"/>
                <w:szCs w:val="20"/>
              </w:rPr>
              <w:t xml:space="preserve">  Nie</w:t>
            </w:r>
          </w:p>
        </w:tc>
      </w:tr>
      <w:tr w:rsidR="0045196E" w:rsidRPr="0045196E" w:rsidTr="0045196E">
        <w:tc>
          <w:tcPr>
            <w:tcW w:w="9180" w:type="dxa"/>
            <w:gridSpan w:val="10"/>
            <w:tcBorders>
              <w:top w:val="nil"/>
              <w:left w:val="single" w:sz="4" w:space="0" w:color="auto"/>
              <w:bottom w:val="single" w:sz="4" w:space="0" w:color="auto"/>
              <w:right w:val="single" w:sz="4" w:space="0" w:color="auto"/>
            </w:tcBorders>
            <w:shd w:val="clear" w:color="auto" w:fill="FFFFFF"/>
          </w:tcPr>
          <w:p w:rsidR="0045196E" w:rsidRPr="0045196E" w:rsidRDefault="0045196E" w:rsidP="0045196E">
            <w:pPr>
              <w:rPr>
                <w:i/>
                <w:sz w:val="20"/>
                <w:szCs w:val="20"/>
              </w:rPr>
            </w:pPr>
            <w:r w:rsidRPr="0045196E">
              <w:rPr>
                <w:i/>
                <w:sz w:val="20"/>
                <w:szCs w:val="20"/>
              </w:rPr>
              <w:t>Ak áno, uveďte ktoré oblasti budú nimi upravené, resp. ktorých vykonávacích predpisov sa zmena dotkne:</w:t>
            </w:r>
          </w:p>
          <w:p w:rsidR="0045196E" w:rsidRPr="0045196E" w:rsidRDefault="0045196E" w:rsidP="0045196E">
            <w:pPr>
              <w:rPr>
                <w:sz w:val="20"/>
                <w:szCs w:val="20"/>
              </w:rPr>
            </w:pPr>
          </w:p>
        </w:tc>
      </w:tr>
      <w:tr w:rsidR="0045196E" w:rsidRPr="0045196E" w:rsidTr="0045196E">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 xml:space="preserve">Transpozícia práva EÚ </w:t>
            </w:r>
          </w:p>
        </w:tc>
      </w:tr>
      <w:tr w:rsidR="0045196E" w:rsidRPr="0045196E" w:rsidTr="0045196E">
        <w:trPr>
          <w:trHeight w:val="157"/>
        </w:trPr>
        <w:tc>
          <w:tcPr>
            <w:tcW w:w="9180" w:type="dxa"/>
            <w:gridSpan w:val="10"/>
            <w:tcBorders>
              <w:top w:val="nil"/>
              <w:left w:val="single" w:sz="4" w:space="0" w:color="000000"/>
              <w:bottom w:val="nil"/>
              <w:right w:val="single" w:sz="4" w:space="0" w:color="auto"/>
            </w:tcBorders>
            <w:shd w:val="clear" w:color="auto" w:fill="FFFFFF"/>
          </w:tcPr>
          <w:p w:rsidR="0045196E" w:rsidRPr="0045196E" w:rsidRDefault="0045196E" w:rsidP="0045196E">
            <w:pPr>
              <w:rPr>
                <w:i/>
                <w:sz w:val="20"/>
                <w:szCs w:val="20"/>
              </w:rPr>
            </w:pPr>
            <w:r w:rsidRPr="0045196E">
              <w:rPr>
                <w:i/>
                <w:sz w:val="20"/>
                <w:szCs w:val="20"/>
              </w:rPr>
              <w:t>Uveďte, v ktorých ustanoveniach ide národná právna úprava nad rámec minimálnych požiadaviek EÚ spolu s odôvodnením.</w:t>
            </w:r>
          </w:p>
          <w:p w:rsidR="0045196E" w:rsidRPr="0045196E" w:rsidRDefault="0045196E" w:rsidP="0045196E">
            <w:pPr>
              <w:jc w:val="both"/>
            </w:pPr>
            <w:r w:rsidRPr="0045196E">
              <w:t>Ide o transpozíciu práva EÚ, pričom národná právna úprava nejde nad rámec minimálnych požiadaviek EÚ.</w:t>
            </w:r>
          </w:p>
        </w:tc>
      </w:tr>
      <w:tr w:rsidR="0045196E" w:rsidRPr="0045196E" w:rsidTr="0045196E">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rsidR="0045196E" w:rsidRPr="0045196E" w:rsidRDefault="0045196E" w:rsidP="0045196E">
            <w:pPr>
              <w:jc w:val="center"/>
              <w:rPr>
                <w:sz w:val="20"/>
                <w:szCs w:val="20"/>
              </w:rPr>
            </w:pPr>
          </w:p>
        </w:tc>
      </w:tr>
      <w:tr w:rsidR="0045196E" w:rsidRPr="0045196E" w:rsidTr="0045196E">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Preskúmanie účelnosti**</w:t>
            </w:r>
          </w:p>
        </w:tc>
      </w:tr>
      <w:tr w:rsidR="0045196E" w:rsidRPr="0045196E" w:rsidTr="0045196E">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45196E" w:rsidRPr="0045196E" w:rsidRDefault="0045196E" w:rsidP="0045196E">
            <w:pPr>
              <w:rPr>
                <w:i/>
                <w:sz w:val="20"/>
                <w:szCs w:val="20"/>
              </w:rPr>
            </w:pPr>
            <w:r w:rsidRPr="0045196E">
              <w:rPr>
                <w:i/>
                <w:sz w:val="20"/>
                <w:szCs w:val="20"/>
              </w:rPr>
              <w:t>Uveďte termín, kedy by malo dôjsť k preskúmaniu účinnosti a účelnosti navrhovaného predpisu.</w:t>
            </w:r>
          </w:p>
          <w:p w:rsidR="0045196E" w:rsidRPr="0045196E" w:rsidRDefault="0045196E" w:rsidP="0045196E">
            <w:pPr>
              <w:rPr>
                <w:i/>
                <w:sz w:val="20"/>
                <w:szCs w:val="20"/>
              </w:rPr>
            </w:pPr>
            <w:r w:rsidRPr="0045196E">
              <w:rPr>
                <w:i/>
                <w:sz w:val="20"/>
                <w:szCs w:val="20"/>
              </w:rPr>
              <w:t>Uveďte kritériá, na základe ktorých bude preskúmanie vykonané.</w:t>
            </w:r>
          </w:p>
          <w:p w:rsidR="0045196E" w:rsidRPr="0045196E" w:rsidRDefault="0045196E" w:rsidP="0045196E">
            <w:pPr>
              <w:rPr>
                <w:i/>
                <w:sz w:val="20"/>
                <w:szCs w:val="20"/>
              </w:rPr>
            </w:pPr>
          </w:p>
        </w:tc>
      </w:tr>
      <w:tr w:rsidR="0045196E" w:rsidRPr="0045196E" w:rsidTr="0045196E">
        <w:trPr>
          <w:trHeight w:val="715"/>
        </w:trPr>
        <w:tc>
          <w:tcPr>
            <w:tcW w:w="9180" w:type="dxa"/>
            <w:gridSpan w:val="10"/>
            <w:tcBorders>
              <w:top w:val="single" w:sz="4" w:space="0" w:color="auto"/>
              <w:left w:val="nil"/>
              <w:bottom w:val="nil"/>
              <w:right w:val="nil"/>
            </w:tcBorders>
            <w:shd w:val="clear" w:color="auto" w:fill="FFFFFF"/>
          </w:tcPr>
          <w:p w:rsidR="0045196E" w:rsidRPr="0045196E" w:rsidRDefault="0045196E" w:rsidP="0045196E">
            <w:pPr>
              <w:ind w:left="142" w:hanging="142"/>
              <w:rPr>
                <w:sz w:val="20"/>
                <w:szCs w:val="20"/>
              </w:rPr>
            </w:pPr>
          </w:p>
          <w:p w:rsidR="0045196E" w:rsidRPr="0045196E" w:rsidRDefault="0045196E" w:rsidP="0045196E">
            <w:pPr>
              <w:ind w:left="142" w:hanging="142"/>
              <w:rPr>
                <w:sz w:val="20"/>
                <w:szCs w:val="20"/>
              </w:rPr>
            </w:pPr>
          </w:p>
          <w:p w:rsidR="0045196E" w:rsidRPr="0045196E" w:rsidRDefault="0045196E" w:rsidP="0045196E">
            <w:pPr>
              <w:ind w:left="142" w:hanging="142"/>
              <w:rPr>
                <w:sz w:val="20"/>
                <w:szCs w:val="20"/>
              </w:rPr>
            </w:pPr>
            <w:r w:rsidRPr="0045196E">
              <w:rPr>
                <w:sz w:val="20"/>
                <w:szCs w:val="20"/>
              </w:rPr>
              <w:t xml:space="preserve">* vyplniť iba v prípade, ak materiál nie je zahrnutý do Plánu práce vlády Slovenskej republiky alebo Plánu        legislatívnych úloh vlády Slovenskej republiky. </w:t>
            </w:r>
          </w:p>
          <w:p w:rsidR="0045196E" w:rsidRPr="0045196E" w:rsidRDefault="0045196E" w:rsidP="0045196E">
            <w:pPr>
              <w:rPr>
                <w:sz w:val="20"/>
                <w:szCs w:val="20"/>
              </w:rPr>
            </w:pPr>
            <w:r w:rsidRPr="0045196E">
              <w:rPr>
                <w:sz w:val="20"/>
                <w:szCs w:val="20"/>
              </w:rPr>
              <w:t>** nepovinné</w:t>
            </w:r>
          </w:p>
        </w:tc>
      </w:tr>
      <w:tr w:rsidR="0045196E" w:rsidRPr="0045196E" w:rsidTr="0045196E">
        <w:tc>
          <w:tcPr>
            <w:tcW w:w="9180" w:type="dxa"/>
            <w:gridSpan w:val="10"/>
            <w:tcBorders>
              <w:top w:val="nil"/>
              <w:left w:val="nil"/>
              <w:bottom w:val="single" w:sz="4" w:space="0" w:color="auto"/>
              <w:right w:val="nil"/>
            </w:tcBorders>
            <w:shd w:val="clear" w:color="auto" w:fill="FFFFFF"/>
          </w:tcPr>
          <w:p w:rsidR="0045196E" w:rsidRPr="0045196E" w:rsidRDefault="0045196E" w:rsidP="0045196E">
            <w:pPr>
              <w:rPr>
                <w:b/>
                <w:sz w:val="20"/>
                <w:szCs w:val="20"/>
              </w:rPr>
            </w:pPr>
          </w:p>
        </w:tc>
      </w:tr>
      <w:tr w:rsidR="0045196E" w:rsidRPr="0045196E" w:rsidTr="0045196E">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rsidR="0045196E" w:rsidRPr="0045196E" w:rsidRDefault="0045196E" w:rsidP="0045196E">
            <w:pPr>
              <w:numPr>
                <w:ilvl w:val="0"/>
                <w:numId w:val="4"/>
              </w:numPr>
              <w:ind w:left="426"/>
              <w:rPr>
                <w:rFonts w:eastAsia="Calibri"/>
                <w:b/>
              </w:rPr>
            </w:pPr>
            <w:r w:rsidRPr="0045196E">
              <w:rPr>
                <w:rFonts w:eastAsia="Calibri"/>
                <w:b/>
              </w:rPr>
              <w:t>Vplyvy navrhovaného materiálu</w:t>
            </w:r>
          </w:p>
        </w:tc>
      </w:tr>
      <w:tr w:rsidR="0045196E" w:rsidRPr="0045196E" w:rsidTr="004B6BB8">
        <w:tc>
          <w:tcPr>
            <w:tcW w:w="3812" w:type="dxa"/>
            <w:tcBorders>
              <w:top w:val="single" w:sz="4" w:space="0" w:color="auto"/>
              <w:left w:val="single" w:sz="4" w:space="0" w:color="auto"/>
              <w:bottom w:val="nil"/>
              <w:right w:val="single" w:sz="4" w:space="0" w:color="auto"/>
            </w:tcBorders>
            <w:shd w:val="clear" w:color="auto" w:fill="E2E2E2"/>
          </w:tcPr>
          <w:p w:rsidR="0045196E" w:rsidRPr="0045196E" w:rsidRDefault="0045196E" w:rsidP="0045196E">
            <w:pPr>
              <w:rPr>
                <w:b/>
                <w:sz w:val="20"/>
                <w:szCs w:val="20"/>
              </w:rPr>
            </w:pPr>
            <w:r w:rsidRPr="0045196E">
              <w:rPr>
                <w:b/>
                <w:sz w:val="20"/>
                <w:szCs w:val="20"/>
              </w:rPr>
              <w:t>Vplyvy na rozpočet verejnej správy</w:t>
            </w:r>
          </w:p>
        </w:tc>
        <w:sdt>
          <w:sdtPr>
            <w:rPr>
              <w:b/>
              <w:sz w:val="20"/>
              <w:szCs w:val="20"/>
            </w:rPr>
            <w:id w:val="1121575439"/>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81" w:type="dxa"/>
            <w:gridSpan w:val="2"/>
            <w:tcBorders>
              <w:top w:val="single" w:sz="4" w:space="0" w:color="auto"/>
              <w:left w:val="nil"/>
              <w:bottom w:val="single" w:sz="4" w:space="0" w:color="auto"/>
              <w:right w:val="nil"/>
            </w:tcBorders>
          </w:tcPr>
          <w:p w:rsidR="0045196E" w:rsidRPr="0045196E" w:rsidRDefault="0045196E" w:rsidP="0045196E">
            <w:pPr>
              <w:rPr>
                <w:b/>
                <w:sz w:val="20"/>
                <w:szCs w:val="20"/>
              </w:rPr>
            </w:pPr>
            <w:r w:rsidRPr="0045196E">
              <w:rPr>
                <w:b/>
                <w:sz w:val="20"/>
                <w:szCs w:val="20"/>
              </w:rPr>
              <w:t>Pozitívne</w:t>
            </w:r>
          </w:p>
        </w:tc>
        <w:sdt>
          <w:sdtPr>
            <w:rPr>
              <w:b/>
              <w:sz w:val="20"/>
              <w:szCs w:val="20"/>
            </w:rPr>
            <w:id w:val="-916405887"/>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45196E" w:rsidRPr="0045196E" w:rsidRDefault="0045196E" w:rsidP="0045196E">
            <w:pPr>
              <w:rPr>
                <w:b/>
                <w:sz w:val="20"/>
                <w:szCs w:val="20"/>
              </w:rPr>
            </w:pPr>
            <w:r w:rsidRPr="0045196E">
              <w:rPr>
                <w:b/>
                <w:sz w:val="20"/>
                <w:szCs w:val="20"/>
              </w:rPr>
              <w:t>Žiadne</w:t>
            </w:r>
          </w:p>
        </w:tc>
        <w:sdt>
          <w:sdtPr>
            <w:rPr>
              <w:b/>
              <w:sz w:val="20"/>
              <w:szCs w:val="20"/>
            </w:rPr>
            <w:id w:val="-853649096"/>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45196E" w:rsidRPr="0045196E" w:rsidRDefault="0045196E" w:rsidP="0045196E">
                <w:pPr>
                  <w:ind w:left="-107" w:right="-108"/>
                  <w:jc w:val="center"/>
                  <w:rPr>
                    <w:b/>
                    <w:sz w:val="20"/>
                    <w:szCs w:val="20"/>
                  </w:rPr>
                </w:pPr>
                <w:r w:rsidRPr="0045196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45196E" w:rsidRPr="0045196E" w:rsidRDefault="0045196E" w:rsidP="0045196E">
            <w:pPr>
              <w:ind w:left="34"/>
              <w:rPr>
                <w:b/>
                <w:sz w:val="20"/>
                <w:szCs w:val="20"/>
              </w:rPr>
            </w:pPr>
            <w:r w:rsidRPr="0045196E">
              <w:rPr>
                <w:b/>
                <w:sz w:val="20"/>
                <w:szCs w:val="20"/>
              </w:rPr>
              <w:t>Negatívne</w:t>
            </w:r>
          </w:p>
        </w:tc>
      </w:tr>
      <w:tr w:rsidR="0045196E" w:rsidRPr="0045196E" w:rsidTr="0045196E">
        <w:tc>
          <w:tcPr>
            <w:tcW w:w="3812" w:type="dxa"/>
            <w:tcBorders>
              <w:top w:val="nil"/>
              <w:left w:val="single" w:sz="4" w:space="0" w:color="auto"/>
              <w:bottom w:val="single" w:sz="4" w:space="0" w:color="000000"/>
              <w:right w:val="single" w:sz="4" w:space="0" w:color="auto"/>
            </w:tcBorders>
            <w:shd w:val="clear" w:color="auto" w:fill="E2E2E2"/>
          </w:tcPr>
          <w:p w:rsidR="0045196E" w:rsidRPr="0045196E" w:rsidRDefault="0045196E" w:rsidP="0045196E">
            <w:pPr>
              <w:rPr>
                <w:sz w:val="20"/>
                <w:szCs w:val="20"/>
              </w:rPr>
            </w:pPr>
            <w:r w:rsidRPr="0045196E">
              <w:rPr>
                <w:sz w:val="20"/>
                <w:szCs w:val="20"/>
              </w:rPr>
              <w:t xml:space="preserve">    z toho rozpočtovo zabezpečené vplyvy</w:t>
            </w:r>
          </w:p>
        </w:tc>
        <w:sdt>
          <w:sdtPr>
            <w:rPr>
              <w:sz w:val="20"/>
              <w:szCs w:val="20"/>
            </w:rPr>
            <w:id w:val="-207372912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45196E" w:rsidRPr="0045196E" w:rsidRDefault="0045196E" w:rsidP="0045196E">
                <w:pPr>
                  <w:jc w:val="center"/>
                  <w:rPr>
                    <w:sz w:val="20"/>
                    <w:szCs w:val="20"/>
                  </w:rPr>
                </w:pPr>
                <w:r w:rsidRPr="0045196E">
                  <w:rPr>
                    <w:rFonts w:ascii="Segoe UI Symbol" w:hAnsi="Segoe UI Symbol" w:cs="Segoe UI Symbol"/>
                    <w:sz w:val="20"/>
                    <w:szCs w:val="20"/>
                  </w:rPr>
                  <w:t>☒</w:t>
                </w:r>
              </w:p>
            </w:tc>
          </w:sdtContent>
        </w:sdt>
        <w:tc>
          <w:tcPr>
            <w:tcW w:w="1281" w:type="dxa"/>
            <w:gridSpan w:val="2"/>
            <w:tcBorders>
              <w:top w:val="single" w:sz="4" w:space="0" w:color="auto"/>
              <w:left w:val="nil"/>
              <w:bottom w:val="single" w:sz="4" w:space="0" w:color="auto"/>
              <w:right w:val="nil"/>
            </w:tcBorders>
          </w:tcPr>
          <w:p w:rsidR="0045196E" w:rsidRPr="0045196E" w:rsidRDefault="0045196E" w:rsidP="0045196E">
            <w:pPr>
              <w:rPr>
                <w:sz w:val="20"/>
                <w:szCs w:val="20"/>
              </w:rPr>
            </w:pPr>
            <w:r w:rsidRPr="0045196E">
              <w:rPr>
                <w:sz w:val="20"/>
                <w:szCs w:val="20"/>
              </w:rPr>
              <w:t>Áno</w:t>
            </w:r>
          </w:p>
        </w:tc>
        <w:sdt>
          <w:sdtPr>
            <w:rPr>
              <w:sz w:val="20"/>
              <w:szCs w:val="20"/>
            </w:rPr>
            <w:id w:val="-54388876"/>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45196E" w:rsidRPr="0045196E" w:rsidRDefault="0045196E" w:rsidP="0045196E">
                <w:pPr>
                  <w:jc w:val="center"/>
                  <w:rPr>
                    <w:sz w:val="20"/>
                    <w:szCs w:val="20"/>
                  </w:rPr>
                </w:pPr>
                <w:r w:rsidRPr="0045196E">
                  <w:rPr>
                    <w:rFonts w:ascii="Segoe UI Symbol" w:hAnsi="Segoe UI Symbol" w:cs="Segoe UI Symbol"/>
                    <w:sz w:val="20"/>
                    <w:szCs w:val="20"/>
                  </w:rPr>
                  <w:t>☐</w:t>
                </w:r>
              </w:p>
            </w:tc>
          </w:sdtContent>
        </w:sdt>
        <w:tc>
          <w:tcPr>
            <w:tcW w:w="1133" w:type="dxa"/>
            <w:tcBorders>
              <w:top w:val="single" w:sz="4" w:space="0" w:color="auto"/>
              <w:left w:val="nil"/>
              <w:bottom w:val="single" w:sz="4" w:space="0" w:color="auto"/>
              <w:right w:val="nil"/>
            </w:tcBorders>
          </w:tcPr>
          <w:p w:rsidR="0045196E" w:rsidRPr="0045196E" w:rsidRDefault="0045196E" w:rsidP="0045196E">
            <w:pPr>
              <w:rPr>
                <w:sz w:val="20"/>
                <w:szCs w:val="20"/>
              </w:rPr>
            </w:pPr>
            <w:r w:rsidRPr="0045196E">
              <w:rPr>
                <w:sz w:val="20"/>
                <w:szCs w:val="20"/>
              </w:rPr>
              <w:t>Nie</w:t>
            </w:r>
          </w:p>
        </w:tc>
        <w:sdt>
          <w:sdtPr>
            <w:rPr>
              <w:sz w:val="20"/>
              <w:szCs w:val="20"/>
            </w:rPr>
            <w:id w:val="361940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45196E" w:rsidRPr="0045196E" w:rsidRDefault="0045196E" w:rsidP="0045196E">
                <w:pPr>
                  <w:ind w:left="-107" w:right="-108"/>
                  <w:jc w:val="center"/>
                  <w:rPr>
                    <w:sz w:val="20"/>
                    <w:szCs w:val="20"/>
                  </w:rPr>
                </w:pPr>
                <w:r w:rsidRPr="0045196E">
                  <w:rPr>
                    <w:rFonts w:ascii="Segoe UI Symbol"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tcPr>
          <w:p w:rsidR="0045196E" w:rsidRPr="0045196E" w:rsidRDefault="0045196E" w:rsidP="0045196E">
            <w:pPr>
              <w:ind w:left="34"/>
              <w:rPr>
                <w:sz w:val="20"/>
                <w:szCs w:val="20"/>
              </w:rPr>
            </w:pPr>
            <w:r w:rsidRPr="0045196E">
              <w:rPr>
                <w:sz w:val="20"/>
                <w:szCs w:val="20"/>
              </w:rPr>
              <w:t>Čiastočne</w:t>
            </w:r>
          </w:p>
        </w:tc>
      </w:tr>
      <w:tr w:rsidR="0045196E" w:rsidRPr="0045196E" w:rsidTr="0045196E">
        <w:tc>
          <w:tcPr>
            <w:tcW w:w="3812" w:type="dxa"/>
            <w:tcBorders>
              <w:top w:val="single" w:sz="4" w:space="0" w:color="000000"/>
              <w:left w:val="single" w:sz="4" w:space="0" w:color="auto"/>
              <w:bottom w:val="nil"/>
              <w:right w:val="single" w:sz="4" w:space="0" w:color="auto"/>
            </w:tcBorders>
            <w:shd w:val="clear" w:color="auto" w:fill="E2E2E2"/>
          </w:tcPr>
          <w:p w:rsidR="0045196E" w:rsidRPr="0045196E" w:rsidRDefault="0045196E" w:rsidP="0045196E">
            <w:pPr>
              <w:rPr>
                <w:b/>
                <w:sz w:val="20"/>
                <w:szCs w:val="20"/>
              </w:rPr>
            </w:pPr>
            <w:r w:rsidRPr="0045196E">
              <w:rPr>
                <w:b/>
                <w:sz w:val="20"/>
                <w:szCs w:val="20"/>
              </w:rPr>
              <w:t>Vplyvy na podnikateľské prostredie</w:t>
            </w:r>
          </w:p>
        </w:tc>
        <w:sdt>
          <w:sdtPr>
            <w:rPr>
              <w:b/>
              <w:sz w:val="20"/>
              <w:szCs w:val="20"/>
            </w:rPr>
            <w:id w:val="1328319843"/>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81" w:type="dxa"/>
            <w:gridSpan w:val="2"/>
            <w:tcBorders>
              <w:top w:val="single" w:sz="4" w:space="0" w:color="auto"/>
              <w:left w:val="nil"/>
              <w:bottom w:val="single" w:sz="4" w:space="0" w:color="auto"/>
              <w:right w:val="nil"/>
            </w:tcBorders>
          </w:tcPr>
          <w:p w:rsidR="0045196E" w:rsidRPr="0045196E" w:rsidRDefault="0045196E" w:rsidP="0045196E">
            <w:pPr>
              <w:ind w:right="-108"/>
              <w:rPr>
                <w:b/>
                <w:sz w:val="20"/>
                <w:szCs w:val="20"/>
              </w:rPr>
            </w:pPr>
            <w:r w:rsidRPr="0045196E">
              <w:rPr>
                <w:b/>
                <w:sz w:val="20"/>
                <w:szCs w:val="20"/>
              </w:rPr>
              <w:t>Pozitívne</w:t>
            </w:r>
          </w:p>
        </w:tc>
        <w:sdt>
          <w:sdtPr>
            <w:rPr>
              <w:b/>
              <w:sz w:val="20"/>
              <w:szCs w:val="20"/>
            </w:rPr>
            <w:id w:val="1564608664"/>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45196E" w:rsidRPr="0045196E" w:rsidRDefault="0045196E" w:rsidP="0045196E">
            <w:pPr>
              <w:rPr>
                <w:b/>
                <w:sz w:val="20"/>
                <w:szCs w:val="20"/>
              </w:rPr>
            </w:pPr>
            <w:r w:rsidRPr="0045196E">
              <w:rPr>
                <w:b/>
                <w:sz w:val="20"/>
                <w:szCs w:val="20"/>
              </w:rPr>
              <w:t>Žiadne</w:t>
            </w:r>
          </w:p>
        </w:tc>
        <w:sdt>
          <w:sdtPr>
            <w:rPr>
              <w:b/>
              <w:sz w:val="20"/>
              <w:szCs w:val="20"/>
            </w:rPr>
            <w:id w:val="2173546"/>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45196E" w:rsidRPr="0045196E" w:rsidRDefault="0045196E" w:rsidP="0045196E">
            <w:pPr>
              <w:ind w:left="54"/>
              <w:rPr>
                <w:b/>
                <w:sz w:val="20"/>
                <w:szCs w:val="20"/>
              </w:rPr>
            </w:pPr>
            <w:r w:rsidRPr="0045196E">
              <w:rPr>
                <w:b/>
                <w:sz w:val="20"/>
                <w:szCs w:val="20"/>
              </w:rPr>
              <w:t>Negatívne</w:t>
            </w:r>
          </w:p>
        </w:tc>
      </w:tr>
      <w:tr w:rsidR="0045196E" w:rsidRPr="0045196E" w:rsidTr="0045196E">
        <w:tc>
          <w:tcPr>
            <w:tcW w:w="3812" w:type="dxa"/>
            <w:tcBorders>
              <w:top w:val="nil"/>
              <w:left w:val="single" w:sz="4" w:space="0" w:color="000000"/>
              <w:bottom w:val="single" w:sz="4" w:space="0" w:color="000000"/>
              <w:right w:val="single" w:sz="4" w:space="0" w:color="000000"/>
            </w:tcBorders>
            <w:shd w:val="clear" w:color="auto" w:fill="E2E2E2"/>
          </w:tcPr>
          <w:p w:rsidR="0045196E" w:rsidRPr="0045196E" w:rsidRDefault="0045196E" w:rsidP="0045196E">
            <w:pPr>
              <w:rPr>
                <w:sz w:val="20"/>
                <w:szCs w:val="20"/>
              </w:rPr>
            </w:pPr>
            <w:r w:rsidRPr="0045196E">
              <w:rPr>
                <w:sz w:val="20"/>
                <w:szCs w:val="20"/>
              </w:rPr>
              <w:t xml:space="preserve">    z toho vplyvy na MSP</w:t>
            </w:r>
          </w:p>
        </w:tc>
        <w:sdt>
          <w:sdtPr>
            <w:rPr>
              <w:sz w:val="20"/>
              <w:szCs w:val="20"/>
            </w:rPr>
            <w:id w:val="19319380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000000"/>
                  <w:bottom w:val="single" w:sz="4" w:space="0" w:color="auto"/>
                  <w:right w:val="nil"/>
                </w:tcBorders>
              </w:tcPr>
              <w:p w:rsidR="0045196E" w:rsidRPr="0045196E" w:rsidRDefault="0045196E" w:rsidP="0045196E">
                <w:pPr>
                  <w:jc w:val="center"/>
                  <w:rPr>
                    <w:sz w:val="20"/>
                    <w:szCs w:val="20"/>
                  </w:rPr>
                </w:pPr>
                <w:r w:rsidRPr="0045196E">
                  <w:rPr>
                    <w:rFonts w:ascii="Segoe UI Symbol" w:hAnsi="Segoe UI Symbol" w:cs="Segoe UI Symbol"/>
                    <w:sz w:val="20"/>
                    <w:szCs w:val="20"/>
                  </w:rPr>
                  <w:t>☒</w:t>
                </w:r>
              </w:p>
            </w:tc>
          </w:sdtContent>
        </w:sdt>
        <w:tc>
          <w:tcPr>
            <w:tcW w:w="1281" w:type="dxa"/>
            <w:gridSpan w:val="2"/>
            <w:tcBorders>
              <w:top w:val="single" w:sz="4" w:space="0" w:color="auto"/>
              <w:left w:val="nil"/>
              <w:bottom w:val="single" w:sz="4" w:space="0" w:color="auto"/>
              <w:right w:val="nil"/>
            </w:tcBorders>
          </w:tcPr>
          <w:p w:rsidR="0045196E" w:rsidRPr="0045196E" w:rsidRDefault="0045196E" w:rsidP="0045196E">
            <w:pPr>
              <w:ind w:right="-108"/>
              <w:rPr>
                <w:sz w:val="20"/>
                <w:szCs w:val="20"/>
              </w:rPr>
            </w:pPr>
            <w:r w:rsidRPr="0045196E">
              <w:rPr>
                <w:sz w:val="20"/>
                <w:szCs w:val="20"/>
              </w:rPr>
              <w:t>Pozitívne</w:t>
            </w:r>
          </w:p>
        </w:tc>
        <w:sdt>
          <w:sdtPr>
            <w:rPr>
              <w:sz w:val="20"/>
              <w:szCs w:val="20"/>
            </w:rPr>
            <w:id w:val="-1696063787"/>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45196E" w:rsidRPr="0045196E" w:rsidRDefault="0045196E" w:rsidP="0045196E">
                <w:pPr>
                  <w:jc w:val="center"/>
                  <w:rPr>
                    <w:sz w:val="20"/>
                    <w:szCs w:val="20"/>
                  </w:rPr>
                </w:pPr>
                <w:r w:rsidRPr="0045196E">
                  <w:rPr>
                    <w:rFonts w:ascii="Segoe UI Symbol" w:hAnsi="Segoe UI Symbol" w:cs="Segoe UI Symbol"/>
                    <w:sz w:val="20"/>
                    <w:szCs w:val="20"/>
                  </w:rPr>
                  <w:t>☐</w:t>
                </w:r>
              </w:p>
            </w:tc>
          </w:sdtContent>
        </w:sdt>
        <w:tc>
          <w:tcPr>
            <w:tcW w:w="1133" w:type="dxa"/>
            <w:tcBorders>
              <w:top w:val="single" w:sz="4" w:space="0" w:color="auto"/>
              <w:left w:val="nil"/>
              <w:bottom w:val="single" w:sz="4" w:space="0" w:color="auto"/>
              <w:right w:val="nil"/>
            </w:tcBorders>
          </w:tcPr>
          <w:p w:rsidR="0045196E" w:rsidRPr="0045196E" w:rsidRDefault="0045196E" w:rsidP="0045196E">
            <w:pPr>
              <w:rPr>
                <w:sz w:val="20"/>
                <w:szCs w:val="20"/>
              </w:rPr>
            </w:pPr>
            <w:r w:rsidRPr="0045196E">
              <w:rPr>
                <w:sz w:val="20"/>
                <w:szCs w:val="20"/>
              </w:rPr>
              <w:t>Žiadne</w:t>
            </w:r>
          </w:p>
        </w:tc>
        <w:sdt>
          <w:sdtPr>
            <w:rPr>
              <w:sz w:val="20"/>
              <w:szCs w:val="20"/>
            </w:rPr>
            <w:id w:val="671765022"/>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45196E" w:rsidRPr="0045196E" w:rsidRDefault="0045196E" w:rsidP="0045196E">
                <w:pPr>
                  <w:jc w:val="center"/>
                  <w:rPr>
                    <w:sz w:val="20"/>
                    <w:szCs w:val="20"/>
                  </w:rPr>
                </w:pPr>
                <w:r w:rsidRPr="0045196E">
                  <w:rPr>
                    <w:rFonts w:ascii="Segoe UI Symbol"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tcPr>
          <w:p w:rsidR="0045196E" w:rsidRPr="0045196E" w:rsidRDefault="0045196E" w:rsidP="0045196E">
            <w:pPr>
              <w:ind w:left="54"/>
              <w:rPr>
                <w:sz w:val="20"/>
                <w:szCs w:val="20"/>
              </w:rPr>
            </w:pPr>
            <w:r w:rsidRPr="0045196E">
              <w:rPr>
                <w:sz w:val="20"/>
                <w:szCs w:val="20"/>
              </w:rPr>
              <w:t>Negatívne</w:t>
            </w:r>
          </w:p>
        </w:tc>
      </w:tr>
      <w:tr w:rsidR="0045196E" w:rsidRPr="0045196E" w:rsidTr="0045196E">
        <w:tc>
          <w:tcPr>
            <w:tcW w:w="3812" w:type="dxa"/>
            <w:tcBorders>
              <w:top w:val="single" w:sz="4" w:space="0" w:color="000000"/>
              <w:left w:val="single" w:sz="4" w:space="0" w:color="auto"/>
              <w:bottom w:val="single" w:sz="4" w:space="0" w:color="auto"/>
              <w:right w:val="single" w:sz="4" w:space="0" w:color="auto"/>
            </w:tcBorders>
            <w:shd w:val="clear" w:color="auto" w:fill="E2E2E2"/>
          </w:tcPr>
          <w:p w:rsidR="0045196E" w:rsidRPr="0045196E" w:rsidRDefault="0045196E" w:rsidP="0045196E">
            <w:pPr>
              <w:rPr>
                <w:b/>
                <w:sz w:val="20"/>
                <w:szCs w:val="20"/>
              </w:rPr>
            </w:pPr>
            <w:r w:rsidRPr="0045196E">
              <w:rPr>
                <w:b/>
                <w:sz w:val="20"/>
                <w:szCs w:val="20"/>
              </w:rPr>
              <w:t>Sociálne vplyvy</w:t>
            </w:r>
          </w:p>
        </w:tc>
        <w:sdt>
          <w:sdtPr>
            <w:rPr>
              <w:b/>
              <w:sz w:val="20"/>
              <w:szCs w:val="20"/>
            </w:rPr>
            <w:id w:val="44935786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81" w:type="dxa"/>
            <w:gridSpan w:val="2"/>
            <w:tcBorders>
              <w:top w:val="single" w:sz="4" w:space="0" w:color="auto"/>
              <w:left w:val="nil"/>
              <w:bottom w:val="single" w:sz="4" w:space="0" w:color="auto"/>
              <w:right w:val="nil"/>
            </w:tcBorders>
          </w:tcPr>
          <w:p w:rsidR="0045196E" w:rsidRPr="0045196E" w:rsidRDefault="0045196E" w:rsidP="0045196E">
            <w:pPr>
              <w:ind w:right="-108"/>
              <w:rPr>
                <w:b/>
                <w:sz w:val="20"/>
                <w:szCs w:val="20"/>
              </w:rPr>
            </w:pPr>
            <w:r w:rsidRPr="0045196E">
              <w:rPr>
                <w:b/>
                <w:sz w:val="20"/>
                <w:szCs w:val="20"/>
              </w:rPr>
              <w:t>Pozitívne</w:t>
            </w:r>
          </w:p>
        </w:tc>
        <w:sdt>
          <w:sdtPr>
            <w:rPr>
              <w:b/>
              <w:sz w:val="20"/>
              <w:szCs w:val="20"/>
            </w:rPr>
            <w:id w:val="-1719425362"/>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45196E" w:rsidRPr="0045196E" w:rsidRDefault="0045196E" w:rsidP="0045196E">
            <w:pPr>
              <w:rPr>
                <w:b/>
                <w:sz w:val="20"/>
                <w:szCs w:val="20"/>
              </w:rPr>
            </w:pPr>
            <w:r w:rsidRPr="0045196E">
              <w:rPr>
                <w:b/>
                <w:sz w:val="20"/>
                <w:szCs w:val="20"/>
              </w:rPr>
              <w:t>Žiadne</w:t>
            </w:r>
          </w:p>
        </w:tc>
        <w:sdt>
          <w:sdtPr>
            <w:rPr>
              <w:b/>
              <w:sz w:val="20"/>
              <w:szCs w:val="20"/>
            </w:rPr>
            <w:id w:val="-87083354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45196E" w:rsidRPr="0045196E" w:rsidRDefault="0045196E" w:rsidP="0045196E">
            <w:pPr>
              <w:ind w:left="54"/>
              <w:rPr>
                <w:b/>
                <w:sz w:val="20"/>
                <w:szCs w:val="20"/>
              </w:rPr>
            </w:pPr>
            <w:r w:rsidRPr="0045196E">
              <w:rPr>
                <w:b/>
                <w:sz w:val="20"/>
                <w:szCs w:val="20"/>
              </w:rPr>
              <w:t>Negatívne</w:t>
            </w:r>
          </w:p>
        </w:tc>
      </w:tr>
      <w:tr w:rsidR="0045196E" w:rsidRPr="0045196E" w:rsidTr="004B6BB8">
        <w:tc>
          <w:tcPr>
            <w:tcW w:w="3812" w:type="dxa"/>
            <w:tcBorders>
              <w:top w:val="single" w:sz="4" w:space="0" w:color="auto"/>
              <w:left w:val="single" w:sz="4" w:space="0" w:color="auto"/>
              <w:bottom w:val="single" w:sz="4" w:space="0" w:color="auto"/>
              <w:right w:val="single" w:sz="4" w:space="0" w:color="auto"/>
            </w:tcBorders>
            <w:shd w:val="clear" w:color="auto" w:fill="E2E2E2"/>
          </w:tcPr>
          <w:p w:rsidR="0045196E" w:rsidRPr="0045196E" w:rsidRDefault="0045196E" w:rsidP="0045196E">
            <w:pPr>
              <w:rPr>
                <w:b/>
                <w:sz w:val="20"/>
                <w:szCs w:val="20"/>
              </w:rPr>
            </w:pPr>
            <w:r w:rsidRPr="0045196E">
              <w:rPr>
                <w:b/>
                <w:sz w:val="20"/>
                <w:szCs w:val="20"/>
              </w:rPr>
              <w:t>Vplyvy na životné prostredie</w:t>
            </w:r>
          </w:p>
        </w:tc>
        <w:sdt>
          <w:sdtPr>
            <w:rPr>
              <w:b/>
              <w:sz w:val="20"/>
              <w:szCs w:val="20"/>
            </w:rPr>
            <w:id w:val="30475515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81" w:type="dxa"/>
            <w:gridSpan w:val="2"/>
            <w:tcBorders>
              <w:top w:val="single" w:sz="4" w:space="0" w:color="auto"/>
              <w:left w:val="nil"/>
              <w:bottom w:val="single" w:sz="4" w:space="0" w:color="auto"/>
              <w:right w:val="nil"/>
            </w:tcBorders>
          </w:tcPr>
          <w:p w:rsidR="0045196E" w:rsidRPr="0045196E" w:rsidRDefault="0045196E" w:rsidP="0045196E">
            <w:pPr>
              <w:ind w:right="-108"/>
              <w:rPr>
                <w:b/>
                <w:sz w:val="20"/>
                <w:szCs w:val="20"/>
              </w:rPr>
            </w:pPr>
            <w:r w:rsidRPr="0045196E">
              <w:rPr>
                <w:b/>
                <w:sz w:val="20"/>
                <w:szCs w:val="20"/>
              </w:rPr>
              <w:t>Pozitívne</w:t>
            </w:r>
          </w:p>
        </w:tc>
        <w:sdt>
          <w:sdtPr>
            <w:rPr>
              <w:b/>
              <w:sz w:val="20"/>
              <w:szCs w:val="20"/>
            </w:rPr>
            <w:id w:val="235136192"/>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45196E" w:rsidRPr="0045196E" w:rsidRDefault="0045196E" w:rsidP="0045196E">
            <w:pPr>
              <w:rPr>
                <w:b/>
                <w:sz w:val="20"/>
                <w:szCs w:val="20"/>
              </w:rPr>
            </w:pPr>
            <w:r w:rsidRPr="0045196E">
              <w:rPr>
                <w:b/>
                <w:sz w:val="20"/>
                <w:szCs w:val="20"/>
              </w:rPr>
              <w:t>Žiadne</w:t>
            </w:r>
          </w:p>
        </w:tc>
        <w:sdt>
          <w:sdtPr>
            <w:rPr>
              <w:b/>
              <w:sz w:val="20"/>
              <w:szCs w:val="20"/>
            </w:rPr>
            <w:id w:val="-13102004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45196E" w:rsidRPr="0045196E" w:rsidRDefault="0045196E" w:rsidP="0045196E">
            <w:pPr>
              <w:ind w:left="54"/>
              <w:rPr>
                <w:b/>
                <w:sz w:val="20"/>
                <w:szCs w:val="20"/>
              </w:rPr>
            </w:pPr>
            <w:r w:rsidRPr="0045196E">
              <w:rPr>
                <w:b/>
                <w:sz w:val="20"/>
                <w:szCs w:val="20"/>
              </w:rPr>
              <w:t>Negatívne</w:t>
            </w:r>
          </w:p>
        </w:tc>
      </w:tr>
      <w:tr w:rsidR="0045196E" w:rsidRPr="0045196E" w:rsidTr="004B6BB8">
        <w:tc>
          <w:tcPr>
            <w:tcW w:w="3812" w:type="dxa"/>
            <w:tcBorders>
              <w:top w:val="single" w:sz="4" w:space="0" w:color="auto"/>
              <w:left w:val="single" w:sz="4" w:space="0" w:color="auto"/>
              <w:bottom w:val="single" w:sz="4" w:space="0" w:color="auto"/>
              <w:right w:val="single" w:sz="4" w:space="0" w:color="auto"/>
            </w:tcBorders>
            <w:shd w:val="clear" w:color="auto" w:fill="E2E2E2"/>
          </w:tcPr>
          <w:p w:rsidR="0045196E" w:rsidRPr="0045196E" w:rsidRDefault="0045196E" w:rsidP="0045196E">
            <w:pPr>
              <w:rPr>
                <w:b/>
                <w:sz w:val="20"/>
                <w:szCs w:val="20"/>
              </w:rPr>
            </w:pPr>
            <w:r w:rsidRPr="0045196E">
              <w:rPr>
                <w:b/>
                <w:sz w:val="20"/>
                <w:szCs w:val="20"/>
              </w:rPr>
              <w:t>Vplyvy na informatizáciu</w:t>
            </w:r>
          </w:p>
        </w:tc>
        <w:sdt>
          <w:sdtPr>
            <w:rPr>
              <w:b/>
              <w:sz w:val="20"/>
              <w:szCs w:val="20"/>
            </w:rPr>
            <w:id w:val="-94075100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81" w:type="dxa"/>
            <w:gridSpan w:val="2"/>
            <w:tcBorders>
              <w:top w:val="single" w:sz="4" w:space="0" w:color="auto"/>
              <w:left w:val="nil"/>
              <w:bottom w:val="single" w:sz="4" w:space="0" w:color="auto"/>
              <w:right w:val="nil"/>
            </w:tcBorders>
          </w:tcPr>
          <w:p w:rsidR="0045196E" w:rsidRPr="0045196E" w:rsidRDefault="0045196E" w:rsidP="0045196E">
            <w:pPr>
              <w:ind w:right="-108"/>
              <w:rPr>
                <w:b/>
                <w:sz w:val="20"/>
                <w:szCs w:val="20"/>
              </w:rPr>
            </w:pPr>
            <w:r w:rsidRPr="0045196E">
              <w:rPr>
                <w:b/>
                <w:sz w:val="20"/>
                <w:szCs w:val="20"/>
              </w:rPr>
              <w:t>Pozitívne</w:t>
            </w:r>
          </w:p>
        </w:tc>
        <w:sdt>
          <w:sdtPr>
            <w:rPr>
              <w:b/>
              <w:sz w:val="20"/>
              <w:szCs w:val="20"/>
            </w:rPr>
            <w:id w:val="-1126152168"/>
            <w14:checkbox>
              <w14:checked w14:val="1"/>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45196E" w:rsidRPr="0045196E" w:rsidRDefault="0045196E" w:rsidP="0045196E">
            <w:pPr>
              <w:rPr>
                <w:b/>
                <w:sz w:val="20"/>
                <w:szCs w:val="20"/>
              </w:rPr>
            </w:pPr>
            <w:r w:rsidRPr="0045196E">
              <w:rPr>
                <w:b/>
                <w:sz w:val="20"/>
                <w:szCs w:val="20"/>
              </w:rPr>
              <w:t>Žiadne</w:t>
            </w:r>
          </w:p>
        </w:tc>
        <w:sdt>
          <w:sdtPr>
            <w:rPr>
              <w:b/>
              <w:sz w:val="20"/>
              <w:szCs w:val="20"/>
            </w:rPr>
            <w:id w:val="378831873"/>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45196E" w:rsidRPr="0045196E" w:rsidRDefault="0045196E" w:rsidP="0045196E">
            <w:pPr>
              <w:ind w:left="54"/>
              <w:rPr>
                <w:b/>
                <w:sz w:val="20"/>
                <w:szCs w:val="20"/>
              </w:rPr>
            </w:pPr>
            <w:r w:rsidRPr="0045196E">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45196E" w:rsidRPr="0045196E" w:rsidTr="004B6BB8">
        <w:tc>
          <w:tcPr>
            <w:tcW w:w="3812" w:type="dxa"/>
            <w:tcBorders>
              <w:top w:val="single" w:sz="4" w:space="0" w:color="auto"/>
              <w:left w:val="single" w:sz="4" w:space="0" w:color="auto"/>
              <w:bottom w:val="nil"/>
              <w:right w:val="single" w:sz="4" w:space="0" w:color="auto"/>
            </w:tcBorders>
            <w:shd w:val="clear" w:color="auto" w:fill="E2E2E2"/>
          </w:tcPr>
          <w:p w:rsidR="0045196E" w:rsidRPr="0045196E" w:rsidRDefault="0045196E" w:rsidP="0045196E">
            <w:pPr>
              <w:spacing w:after="0" w:line="240" w:lineRule="auto"/>
              <w:rPr>
                <w:rFonts w:ascii="Times New Roman" w:eastAsia="Times New Roman" w:hAnsi="Times New Roman" w:cs="Times New Roman"/>
                <w:b/>
                <w:sz w:val="20"/>
                <w:szCs w:val="20"/>
                <w:lang w:eastAsia="sk-SK"/>
              </w:rPr>
            </w:pPr>
            <w:r w:rsidRPr="0045196E">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45196E" w:rsidRPr="0045196E" w:rsidRDefault="0045196E" w:rsidP="0045196E">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45196E" w:rsidRPr="0045196E" w:rsidRDefault="0045196E" w:rsidP="0045196E">
            <w:pPr>
              <w:spacing w:after="0" w:line="240" w:lineRule="auto"/>
              <w:ind w:right="-108"/>
              <w:rPr>
                <w:rFonts w:ascii="Times New Roman" w:eastAsia="Times New Roman" w:hAnsi="Times New Roman" w:cs="Times New Roman"/>
                <w:b/>
                <w:sz w:val="20"/>
                <w:szCs w:val="20"/>
                <w:lang w:eastAsia="sk-SK"/>
              </w:rPr>
            </w:pPr>
          </w:p>
        </w:tc>
        <w:tc>
          <w:tcPr>
            <w:tcW w:w="569" w:type="dxa"/>
            <w:tcBorders>
              <w:top w:val="single" w:sz="4" w:space="0" w:color="auto"/>
              <w:left w:val="nil"/>
              <w:bottom w:val="nil"/>
              <w:right w:val="nil"/>
            </w:tcBorders>
            <w:shd w:val="clear" w:color="auto" w:fill="auto"/>
          </w:tcPr>
          <w:p w:rsidR="0045196E" w:rsidRPr="0045196E" w:rsidRDefault="0045196E" w:rsidP="0045196E">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45196E" w:rsidRPr="0045196E" w:rsidRDefault="0045196E" w:rsidP="0045196E">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45196E" w:rsidRPr="0045196E" w:rsidRDefault="0045196E" w:rsidP="0045196E">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45196E" w:rsidRPr="0045196E" w:rsidRDefault="0045196E" w:rsidP="0045196E">
            <w:pPr>
              <w:spacing w:after="0" w:line="240" w:lineRule="auto"/>
              <w:ind w:left="54"/>
              <w:rPr>
                <w:rFonts w:ascii="Times New Roman" w:eastAsia="Times New Roman" w:hAnsi="Times New Roman" w:cs="Times New Roman"/>
                <w:b/>
                <w:sz w:val="20"/>
                <w:szCs w:val="20"/>
                <w:lang w:eastAsia="sk-SK"/>
              </w:rPr>
            </w:pPr>
          </w:p>
        </w:tc>
      </w:tr>
      <w:tr w:rsidR="0045196E" w:rsidRPr="0045196E" w:rsidTr="004B6BB8">
        <w:tc>
          <w:tcPr>
            <w:tcW w:w="3812" w:type="dxa"/>
            <w:tcBorders>
              <w:top w:val="nil"/>
              <w:left w:val="single" w:sz="4" w:space="0" w:color="auto"/>
              <w:bottom w:val="nil"/>
              <w:right w:val="single" w:sz="4" w:space="0" w:color="auto"/>
            </w:tcBorders>
            <w:shd w:val="clear" w:color="auto" w:fill="E2E2E2"/>
          </w:tcPr>
          <w:p w:rsidR="0045196E" w:rsidRPr="0045196E" w:rsidRDefault="0045196E" w:rsidP="0045196E">
            <w:pPr>
              <w:spacing w:after="0" w:line="240" w:lineRule="auto"/>
              <w:ind w:left="196" w:hanging="196"/>
              <w:rPr>
                <w:rFonts w:ascii="Times New Roman" w:eastAsia="Calibri" w:hAnsi="Times New Roman" w:cs="Times New Roman"/>
                <w:b/>
                <w:sz w:val="20"/>
                <w:szCs w:val="20"/>
              </w:rPr>
            </w:pPr>
            <w:r w:rsidRPr="0045196E">
              <w:rPr>
                <w:rFonts w:ascii="Times New Roman" w:eastAsia="Calibri" w:hAnsi="Times New Roman" w:cs="Times New Roman"/>
                <w:b/>
                <w:sz w:val="20"/>
                <w:szCs w:val="20"/>
              </w:rPr>
              <w:t xml:space="preserve">    vplyvy služieb verejnej správy na občana</w:t>
            </w:r>
          </w:p>
        </w:tc>
        <w:tc>
          <w:tcPr>
            <w:tcW w:w="541" w:type="dxa"/>
            <w:tcBorders>
              <w:top w:val="nil"/>
              <w:left w:val="single" w:sz="4" w:space="0" w:color="auto"/>
              <w:bottom w:val="nil"/>
              <w:right w:val="nil"/>
            </w:tcBorders>
            <w:shd w:val="clear" w:color="auto" w:fill="auto"/>
          </w:tcPr>
          <w:p w:rsidR="0045196E" w:rsidRPr="0045196E" w:rsidRDefault="0045196E" w:rsidP="0045196E">
            <w:pPr>
              <w:spacing w:after="0" w:line="240" w:lineRule="auto"/>
              <w:jc w:val="center"/>
              <w:rPr>
                <w:rFonts w:ascii="MS Mincho" w:eastAsia="MS Mincho" w:hAnsi="MS Mincho" w:cs="MS Mincho"/>
                <w:b/>
                <w:sz w:val="20"/>
                <w:szCs w:val="20"/>
              </w:rPr>
            </w:pPr>
            <w:r w:rsidRPr="0045196E">
              <w:rPr>
                <w:rFonts w:ascii="MS Mincho" w:eastAsia="MS Mincho" w:hAnsi="MS Mincho" w:cs="MS Mincho" w:hint="eastAsia"/>
                <w:b/>
                <w:sz w:val="20"/>
                <w:szCs w:val="20"/>
              </w:rPr>
              <w:t>☐</w:t>
            </w:r>
          </w:p>
        </w:tc>
        <w:tc>
          <w:tcPr>
            <w:tcW w:w="1281" w:type="dxa"/>
            <w:tcBorders>
              <w:top w:val="nil"/>
              <w:left w:val="nil"/>
              <w:bottom w:val="nil"/>
              <w:right w:val="nil"/>
            </w:tcBorders>
            <w:shd w:val="clear" w:color="auto" w:fill="auto"/>
          </w:tcPr>
          <w:p w:rsidR="0045196E" w:rsidRPr="0045196E" w:rsidRDefault="0045196E" w:rsidP="0045196E">
            <w:pPr>
              <w:spacing w:after="0" w:line="240" w:lineRule="auto"/>
              <w:ind w:right="-108"/>
              <w:rPr>
                <w:rFonts w:ascii="Times New Roman" w:eastAsia="Calibri" w:hAnsi="Times New Roman" w:cs="Times New Roman"/>
                <w:b/>
                <w:sz w:val="20"/>
                <w:szCs w:val="20"/>
              </w:rPr>
            </w:pPr>
            <w:r w:rsidRPr="0045196E">
              <w:rPr>
                <w:rFonts w:ascii="Times New Roman" w:eastAsia="Calibri" w:hAnsi="Times New Roman" w:cs="Times New Roman"/>
                <w:b/>
                <w:sz w:val="20"/>
                <w:szCs w:val="20"/>
              </w:rPr>
              <w:t>Pozitívne</w:t>
            </w:r>
          </w:p>
        </w:tc>
        <w:sdt>
          <w:sdtPr>
            <w:rPr>
              <w:rFonts w:ascii="MS Mincho" w:eastAsia="MS Mincho" w:hAnsi="MS Mincho" w:cs="MS Mincho"/>
              <w:b/>
              <w:sz w:val="20"/>
              <w:szCs w:val="20"/>
            </w:rPr>
            <w:id w:val="-1157140673"/>
            <w14:checkbox>
              <w14:checked w14:val="1"/>
              <w14:checkedState w14:val="2612" w14:font="MS Gothic"/>
              <w14:uncheckedState w14:val="2610" w14:font="MS Gothic"/>
            </w14:checkbox>
          </w:sdtPr>
          <w:sdtContent>
            <w:tc>
              <w:tcPr>
                <w:tcW w:w="569" w:type="dxa"/>
                <w:tcBorders>
                  <w:top w:val="nil"/>
                  <w:left w:val="nil"/>
                  <w:bottom w:val="nil"/>
                  <w:right w:val="nil"/>
                </w:tcBorders>
                <w:shd w:val="clear" w:color="auto" w:fill="auto"/>
              </w:tcPr>
              <w:p w:rsidR="0045196E" w:rsidRPr="0045196E" w:rsidRDefault="0045196E" w:rsidP="0045196E">
                <w:pPr>
                  <w:spacing w:after="0" w:line="240" w:lineRule="auto"/>
                  <w:jc w:val="center"/>
                  <w:rPr>
                    <w:rFonts w:ascii="MS Mincho" w:eastAsia="MS Mincho" w:hAnsi="MS Mincho" w:cs="MS Mincho"/>
                    <w:b/>
                    <w:sz w:val="20"/>
                    <w:szCs w:val="20"/>
                  </w:rPr>
                </w:pPr>
                <w:r w:rsidRPr="0045196E">
                  <w:rPr>
                    <w:rFonts w:ascii="MS Mincho" w:eastAsia="MS Mincho" w:hAnsi="MS Mincho" w:cs="MS Mincho" w:hint="eastAsia"/>
                    <w:b/>
                    <w:sz w:val="20"/>
                    <w:szCs w:val="20"/>
                  </w:rPr>
                  <w:t>☒</w:t>
                </w:r>
              </w:p>
            </w:tc>
          </w:sdtContent>
        </w:sdt>
        <w:tc>
          <w:tcPr>
            <w:tcW w:w="1133" w:type="dxa"/>
            <w:tcBorders>
              <w:top w:val="nil"/>
              <w:left w:val="nil"/>
              <w:bottom w:val="nil"/>
              <w:right w:val="nil"/>
            </w:tcBorders>
            <w:shd w:val="clear" w:color="auto" w:fill="auto"/>
          </w:tcPr>
          <w:p w:rsidR="0045196E" w:rsidRPr="0045196E" w:rsidRDefault="0045196E" w:rsidP="0045196E">
            <w:pPr>
              <w:spacing w:after="0" w:line="240" w:lineRule="auto"/>
              <w:rPr>
                <w:rFonts w:ascii="Times New Roman" w:eastAsia="Calibri" w:hAnsi="Times New Roman" w:cs="Times New Roman"/>
                <w:b/>
                <w:sz w:val="20"/>
                <w:szCs w:val="20"/>
              </w:rPr>
            </w:pPr>
            <w:r w:rsidRPr="0045196E">
              <w:rPr>
                <w:rFonts w:ascii="Times New Roman" w:eastAsia="Calibri" w:hAnsi="Times New Roman" w:cs="Times New Roman"/>
                <w:b/>
                <w:sz w:val="20"/>
                <w:szCs w:val="20"/>
              </w:rPr>
              <w:t>Žiadne</w:t>
            </w:r>
          </w:p>
        </w:tc>
        <w:tc>
          <w:tcPr>
            <w:tcW w:w="547" w:type="dxa"/>
            <w:tcBorders>
              <w:top w:val="nil"/>
              <w:left w:val="nil"/>
              <w:bottom w:val="nil"/>
              <w:right w:val="nil"/>
            </w:tcBorders>
            <w:shd w:val="clear" w:color="auto" w:fill="auto"/>
          </w:tcPr>
          <w:p w:rsidR="0045196E" w:rsidRPr="0045196E" w:rsidRDefault="0045196E" w:rsidP="0045196E">
            <w:pPr>
              <w:spacing w:after="0" w:line="240" w:lineRule="auto"/>
              <w:jc w:val="center"/>
              <w:rPr>
                <w:rFonts w:ascii="MS Mincho" w:eastAsia="MS Mincho" w:hAnsi="MS Mincho" w:cs="MS Mincho"/>
                <w:b/>
                <w:sz w:val="20"/>
                <w:szCs w:val="20"/>
              </w:rPr>
            </w:pPr>
            <w:r w:rsidRPr="0045196E">
              <w:rPr>
                <w:rFonts w:ascii="MS Mincho" w:eastAsia="MS Mincho" w:hAnsi="MS Mincho" w:cs="MS Mincho" w:hint="eastAsia"/>
                <w:b/>
                <w:sz w:val="20"/>
                <w:szCs w:val="20"/>
              </w:rPr>
              <w:t>☐</w:t>
            </w:r>
          </w:p>
        </w:tc>
        <w:tc>
          <w:tcPr>
            <w:tcW w:w="1297" w:type="dxa"/>
            <w:tcBorders>
              <w:top w:val="nil"/>
              <w:left w:val="nil"/>
              <w:bottom w:val="nil"/>
              <w:right w:val="single" w:sz="4" w:space="0" w:color="auto"/>
            </w:tcBorders>
            <w:shd w:val="clear" w:color="auto" w:fill="auto"/>
          </w:tcPr>
          <w:p w:rsidR="0045196E" w:rsidRPr="0045196E" w:rsidRDefault="0045196E" w:rsidP="0045196E">
            <w:pPr>
              <w:spacing w:after="0" w:line="240" w:lineRule="auto"/>
              <w:ind w:left="54"/>
              <w:rPr>
                <w:rFonts w:ascii="Times New Roman" w:eastAsia="Calibri" w:hAnsi="Times New Roman" w:cs="Times New Roman"/>
                <w:b/>
                <w:sz w:val="20"/>
                <w:szCs w:val="20"/>
              </w:rPr>
            </w:pPr>
            <w:r w:rsidRPr="0045196E">
              <w:rPr>
                <w:rFonts w:ascii="Times New Roman" w:eastAsia="Calibri" w:hAnsi="Times New Roman" w:cs="Times New Roman"/>
                <w:b/>
                <w:sz w:val="20"/>
                <w:szCs w:val="20"/>
              </w:rPr>
              <w:t>Negatívne“</w:t>
            </w:r>
          </w:p>
        </w:tc>
      </w:tr>
      <w:tr w:rsidR="0045196E" w:rsidRPr="0045196E" w:rsidTr="004B6BB8">
        <w:tc>
          <w:tcPr>
            <w:tcW w:w="3812" w:type="dxa"/>
            <w:tcBorders>
              <w:top w:val="nil"/>
              <w:left w:val="single" w:sz="4" w:space="0" w:color="auto"/>
              <w:bottom w:val="single" w:sz="4" w:space="0" w:color="auto"/>
              <w:right w:val="single" w:sz="4" w:space="0" w:color="auto"/>
            </w:tcBorders>
            <w:shd w:val="clear" w:color="auto" w:fill="E2E2E2"/>
          </w:tcPr>
          <w:p w:rsidR="0045196E" w:rsidRPr="0045196E" w:rsidRDefault="0045196E" w:rsidP="0045196E">
            <w:pPr>
              <w:spacing w:after="0" w:line="240" w:lineRule="auto"/>
              <w:ind w:left="168" w:hanging="168"/>
              <w:rPr>
                <w:rFonts w:ascii="Times New Roman" w:eastAsia="Calibri" w:hAnsi="Times New Roman" w:cs="Times New Roman"/>
                <w:b/>
                <w:sz w:val="20"/>
                <w:szCs w:val="20"/>
              </w:rPr>
            </w:pPr>
            <w:r w:rsidRPr="0045196E">
              <w:rPr>
                <w:rFonts w:ascii="Times New Roman" w:eastAsia="Calibri" w:hAnsi="Times New Roman" w:cs="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shd w:val="clear" w:color="auto" w:fill="auto"/>
          </w:tcPr>
          <w:p w:rsidR="0045196E" w:rsidRPr="0045196E" w:rsidRDefault="0045196E" w:rsidP="0045196E">
            <w:pPr>
              <w:spacing w:after="0" w:line="240" w:lineRule="auto"/>
              <w:jc w:val="center"/>
              <w:rPr>
                <w:rFonts w:ascii="Times New Roman" w:eastAsia="MS Mincho" w:hAnsi="Times New Roman" w:cs="Times New Roman"/>
                <w:b/>
                <w:sz w:val="20"/>
                <w:szCs w:val="20"/>
              </w:rPr>
            </w:pPr>
            <w:r w:rsidRPr="0045196E">
              <w:rPr>
                <w:rFonts w:ascii="MS Mincho" w:eastAsia="MS Mincho" w:hAnsi="MS Mincho" w:cs="MS Mincho" w:hint="eastAsia"/>
                <w:b/>
                <w:sz w:val="20"/>
                <w:szCs w:val="20"/>
              </w:rPr>
              <w:t>☐</w:t>
            </w:r>
          </w:p>
        </w:tc>
        <w:tc>
          <w:tcPr>
            <w:tcW w:w="1281" w:type="dxa"/>
            <w:tcBorders>
              <w:top w:val="nil"/>
              <w:left w:val="nil"/>
              <w:bottom w:val="single" w:sz="4" w:space="0" w:color="auto"/>
              <w:right w:val="nil"/>
            </w:tcBorders>
            <w:shd w:val="clear" w:color="auto" w:fill="auto"/>
          </w:tcPr>
          <w:p w:rsidR="0045196E" w:rsidRPr="0045196E" w:rsidRDefault="0045196E" w:rsidP="0045196E">
            <w:pPr>
              <w:spacing w:after="0" w:line="240" w:lineRule="auto"/>
              <w:ind w:right="-108"/>
              <w:rPr>
                <w:rFonts w:ascii="Times New Roman" w:eastAsia="Calibri" w:hAnsi="Times New Roman" w:cs="Times New Roman"/>
                <w:b/>
                <w:sz w:val="20"/>
                <w:szCs w:val="20"/>
              </w:rPr>
            </w:pPr>
            <w:r w:rsidRPr="0045196E">
              <w:rPr>
                <w:rFonts w:ascii="Times New Roman" w:eastAsia="Calibri" w:hAnsi="Times New Roman" w:cs="Times New Roman"/>
                <w:b/>
                <w:sz w:val="20"/>
                <w:szCs w:val="20"/>
              </w:rPr>
              <w:t>Pozitívne</w:t>
            </w:r>
          </w:p>
        </w:tc>
        <w:sdt>
          <w:sdtPr>
            <w:rPr>
              <w:rFonts w:ascii="MS Mincho" w:eastAsia="MS Mincho" w:hAnsi="MS Mincho" w:cs="MS Mincho"/>
              <w:b/>
              <w:sz w:val="20"/>
              <w:szCs w:val="20"/>
            </w:rPr>
            <w:id w:val="-937594065"/>
            <w14:checkbox>
              <w14:checked w14:val="1"/>
              <w14:checkedState w14:val="2612" w14:font="MS Gothic"/>
              <w14:uncheckedState w14:val="2610" w14:font="MS Gothic"/>
            </w14:checkbox>
          </w:sdtPr>
          <w:sdtContent>
            <w:tc>
              <w:tcPr>
                <w:tcW w:w="569" w:type="dxa"/>
                <w:tcBorders>
                  <w:top w:val="nil"/>
                  <w:left w:val="nil"/>
                  <w:bottom w:val="single" w:sz="4" w:space="0" w:color="auto"/>
                  <w:right w:val="nil"/>
                </w:tcBorders>
                <w:shd w:val="clear" w:color="auto" w:fill="auto"/>
              </w:tcPr>
              <w:p w:rsidR="0045196E" w:rsidRPr="0045196E" w:rsidRDefault="0045196E" w:rsidP="0045196E">
                <w:pPr>
                  <w:spacing w:after="0" w:line="240" w:lineRule="auto"/>
                  <w:jc w:val="center"/>
                  <w:rPr>
                    <w:rFonts w:ascii="Times New Roman" w:eastAsia="MS Mincho" w:hAnsi="Times New Roman" w:cs="Times New Roman"/>
                    <w:b/>
                    <w:sz w:val="20"/>
                    <w:szCs w:val="20"/>
                  </w:rPr>
                </w:pPr>
                <w:r w:rsidRPr="0045196E">
                  <w:rPr>
                    <w:rFonts w:ascii="MS Mincho" w:eastAsia="MS Mincho" w:hAnsi="MS Mincho" w:cs="MS Mincho" w:hint="eastAsia"/>
                    <w:b/>
                    <w:sz w:val="20"/>
                    <w:szCs w:val="20"/>
                  </w:rPr>
                  <w:t>☒</w:t>
                </w:r>
              </w:p>
            </w:tc>
          </w:sdtContent>
        </w:sdt>
        <w:tc>
          <w:tcPr>
            <w:tcW w:w="1133" w:type="dxa"/>
            <w:tcBorders>
              <w:top w:val="nil"/>
              <w:left w:val="nil"/>
              <w:bottom w:val="single" w:sz="4" w:space="0" w:color="auto"/>
              <w:right w:val="nil"/>
            </w:tcBorders>
            <w:shd w:val="clear" w:color="auto" w:fill="auto"/>
          </w:tcPr>
          <w:p w:rsidR="0045196E" w:rsidRPr="0045196E" w:rsidRDefault="0045196E" w:rsidP="0045196E">
            <w:pPr>
              <w:spacing w:after="0" w:line="240" w:lineRule="auto"/>
              <w:rPr>
                <w:rFonts w:ascii="Times New Roman" w:eastAsia="Calibri" w:hAnsi="Times New Roman" w:cs="Times New Roman"/>
                <w:b/>
                <w:sz w:val="20"/>
                <w:szCs w:val="20"/>
              </w:rPr>
            </w:pPr>
            <w:r w:rsidRPr="0045196E">
              <w:rPr>
                <w:rFonts w:ascii="Times New Roman" w:eastAsia="Calibri" w:hAnsi="Times New Roman" w:cs="Times New Roman"/>
                <w:b/>
                <w:sz w:val="20"/>
                <w:szCs w:val="20"/>
              </w:rPr>
              <w:t>Žiadne</w:t>
            </w:r>
          </w:p>
        </w:tc>
        <w:tc>
          <w:tcPr>
            <w:tcW w:w="547" w:type="dxa"/>
            <w:tcBorders>
              <w:top w:val="nil"/>
              <w:left w:val="nil"/>
              <w:bottom w:val="single" w:sz="4" w:space="0" w:color="auto"/>
              <w:right w:val="nil"/>
            </w:tcBorders>
            <w:shd w:val="clear" w:color="auto" w:fill="auto"/>
          </w:tcPr>
          <w:p w:rsidR="0045196E" w:rsidRPr="0045196E" w:rsidRDefault="0045196E" w:rsidP="0045196E">
            <w:pPr>
              <w:spacing w:after="0" w:line="240" w:lineRule="auto"/>
              <w:jc w:val="center"/>
              <w:rPr>
                <w:rFonts w:ascii="Times New Roman" w:eastAsia="MS Mincho" w:hAnsi="Times New Roman" w:cs="Times New Roman"/>
                <w:b/>
                <w:sz w:val="20"/>
                <w:szCs w:val="20"/>
              </w:rPr>
            </w:pPr>
            <w:r w:rsidRPr="0045196E">
              <w:rPr>
                <w:rFonts w:ascii="MS Mincho" w:eastAsia="MS Mincho" w:hAnsi="MS Mincho" w:cs="MS Mincho" w:hint="eastAsia"/>
                <w:b/>
                <w:sz w:val="20"/>
                <w:szCs w:val="20"/>
              </w:rPr>
              <w:t>☐</w:t>
            </w:r>
          </w:p>
        </w:tc>
        <w:tc>
          <w:tcPr>
            <w:tcW w:w="1297" w:type="dxa"/>
            <w:tcBorders>
              <w:top w:val="nil"/>
              <w:left w:val="nil"/>
              <w:bottom w:val="single" w:sz="4" w:space="0" w:color="auto"/>
              <w:right w:val="single" w:sz="4" w:space="0" w:color="auto"/>
            </w:tcBorders>
            <w:shd w:val="clear" w:color="auto" w:fill="auto"/>
          </w:tcPr>
          <w:p w:rsidR="0045196E" w:rsidRPr="0045196E" w:rsidRDefault="0045196E" w:rsidP="0045196E">
            <w:pPr>
              <w:spacing w:after="0" w:line="240" w:lineRule="auto"/>
              <w:ind w:left="54"/>
              <w:rPr>
                <w:rFonts w:ascii="Times New Roman" w:eastAsia="Calibri" w:hAnsi="Times New Roman" w:cs="Times New Roman"/>
                <w:b/>
                <w:sz w:val="20"/>
                <w:szCs w:val="20"/>
              </w:rPr>
            </w:pPr>
            <w:r w:rsidRPr="0045196E">
              <w:rPr>
                <w:rFonts w:ascii="Times New Roman" w:eastAsia="Calibri" w:hAnsi="Times New Roman" w:cs="Times New Roman"/>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281"/>
        <w:gridCol w:w="569"/>
        <w:gridCol w:w="1133"/>
        <w:gridCol w:w="547"/>
        <w:gridCol w:w="1297"/>
      </w:tblGrid>
      <w:tr w:rsidR="0045196E" w:rsidRPr="0045196E" w:rsidTr="0045196E">
        <w:tc>
          <w:tcPr>
            <w:tcW w:w="3812" w:type="dxa"/>
            <w:tcBorders>
              <w:top w:val="single" w:sz="4" w:space="0" w:color="000000"/>
              <w:left w:val="single" w:sz="4" w:space="0" w:color="auto"/>
              <w:bottom w:val="single" w:sz="4" w:space="0" w:color="auto"/>
              <w:right w:val="single" w:sz="4" w:space="0" w:color="auto"/>
            </w:tcBorders>
            <w:shd w:val="clear" w:color="auto" w:fill="E2E2E2"/>
          </w:tcPr>
          <w:p w:rsidR="0045196E" w:rsidRPr="0045196E" w:rsidRDefault="0045196E" w:rsidP="0045196E">
            <w:pPr>
              <w:rPr>
                <w:b/>
                <w:sz w:val="20"/>
                <w:szCs w:val="20"/>
              </w:rPr>
            </w:pPr>
            <w:r w:rsidRPr="0045196E">
              <w:rPr>
                <w:b/>
                <w:sz w:val="20"/>
                <w:szCs w:val="20"/>
              </w:rPr>
              <w:t>Vplyvy na manželstvo, rodičovstvo a rodinu</w:t>
            </w:r>
          </w:p>
        </w:tc>
        <w:tc>
          <w:tcPr>
            <w:tcW w:w="541" w:type="dxa"/>
            <w:tcBorders>
              <w:top w:val="single" w:sz="4" w:space="0" w:color="auto"/>
              <w:left w:val="single" w:sz="4" w:space="0" w:color="auto"/>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tc>
          <w:tcPr>
            <w:tcW w:w="1281" w:type="dxa"/>
            <w:tcBorders>
              <w:top w:val="single" w:sz="4" w:space="0" w:color="auto"/>
              <w:left w:val="nil"/>
              <w:bottom w:val="single" w:sz="4" w:space="0" w:color="auto"/>
              <w:right w:val="nil"/>
            </w:tcBorders>
          </w:tcPr>
          <w:p w:rsidR="0045196E" w:rsidRPr="0045196E" w:rsidRDefault="0045196E" w:rsidP="0045196E">
            <w:pPr>
              <w:ind w:right="-108"/>
              <w:rPr>
                <w:b/>
                <w:sz w:val="20"/>
                <w:szCs w:val="20"/>
              </w:rPr>
            </w:pPr>
            <w:r w:rsidRPr="0045196E">
              <w:rPr>
                <w:b/>
                <w:sz w:val="20"/>
                <w:szCs w:val="20"/>
              </w:rPr>
              <w:t>Pozitívne</w:t>
            </w:r>
          </w:p>
        </w:tc>
        <w:tc>
          <w:tcPr>
            <w:tcW w:w="569" w:type="dxa"/>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tc>
          <w:tcPr>
            <w:tcW w:w="1133" w:type="dxa"/>
            <w:tcBorders>
              <w:top w:val="single" w:sz="4" w:space="0" w:color="auto"/>
              <w:left w:val="nil"/>
              <w:bottom w:val="single" w:sz="4" w:space="0" w:color="auto"/>
              <w:right w:val="nil"/>
            </w:tcBorders>
          </w:tcPr>
          <w:p w:rsidR="0045196E" w:rsidRPr="0045196E" w:rsidRDefault="0045196E" w:rsidP="0045196E">
            <w:pPr>
              <w:rPr>
                <w:b/>
                <w:sz w:val="20"/>
                <w:szCs w:val="20"/>
              </w:rPr>
            </w:pPr>
            <w:r w:rsidRPr="0045196E">
              <w:rPr>
                <w:b/>
                <w:sz w:val="20"/>
                <w:szCs w:val="20"/>
              </w:rPr>
              <w:t>Žiadne</w:t>
            </w:r>
          </w:p>
        </w:tc>
        <w:tc>
          <w:tcPr>
            <w:tcW w:w="547" w:type="dxa"/>
            <w:tcBorders>
              <w:top w:val="single" w:sz="4" w:space="0" w:color="auto"/>
              <w:left w:val="nil"/>
              <w:bottom w:val="single" w:sz="4" w:space="0" w:color="auto"/>
              <w:right w:val="nil"/>
            </w:tcBorders>
          </w:tcPr>
          <w:p w:rsidR="0045196E" w:rsidRPr="0045196E" w:rsidRDefault="0045196E" w:rsidP="0045196E">
            <w:pPr>
              <w:jc w:val="center"/>
              <w:rPr>
                <w:b/>
                <w:sz w:val="20"/>
                <w:szCs w:val="20"/>
              </w:rPr>
            </w:pPr>
            <w:r w:rsidRPr="0045196E">
              <w:rPr>
                <w:rFonts w:ascii="Segoe UI Symbol"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cPr>
          <w:p w:rsidR="0045196E" w:rsidRPr="0045196E" w:rsidRDefault="0045196E" w:rsidP="0045196E">
            <w:pPr>
              <w:ind w:left="54"/>
              <w:rPr>
                <w:b/>
                <w:sz w:val="20"/>
                <w:szCs w:val="20"/>
              </w:rPr>
            </w:pPr>
            <w:r w:rsidRPr="0045196E">
              <w:rPr>
                <w:b/>
                <w:sz w:val="20"/>
                <w:szCs w:val="20"/>
              </w:rPr>
              <w:t>Negatívne</w:t>
            </w:r>
          </w:p>
        </w:tc>
      </w:tr>
    </w:tbl>
    <w:p w:rsidR="0045196E" w:rsidRPr="0045196E" w:rsidRDefault="0045196E" w:rsidP="0045196E">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45196E" w:rsidRPr="0045196E" w:rsidTr="004B6BB8">
        <w:tc>
          <w:tcPr>
            <w:tcW w:w="9176" w:type="dxa"/>
            <w:tcBorders>
              <w:top w:val="single" w:sz="4" w:space="0" w:color="auto"/>
              <w:left w:val="single" w:sz="4" w:space="0" w:color="auto"/>
              <w:bottom w:val="nil"/>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Poznámky</w:t>
            </w:r>
          </w:p>
        </w:tc>
      </w:tr>
      <w:tr w:rsidR="0045196E" w:rsidRPr="0045196E" w:rsidTr="0045196E">
        <w:trPr>
          <w:trHeight w:val="713"/>
        </w:trPr>
        <w:tc>
          <w:tcPr>
            <w:tcW w:w="9176" w:type="dxa"/>
            <w:tcBorders>
              <w:top w:val="nil"/>
              <w:left w:val="single" w:sz="4" w:space="0" w:color="auto"/>
              <w:bottom w:val="single" w:sz="4" w:space="0" w:color="FFFFFF"/>
              <w:right w:val="single" w:sz="4" w:space="0" w:color="auto"/>
            </w:tcBorders>
            <w:shd w:val="clear" w:color="auto" w:fill="auto"/>
          </w:tcPr>
          <w:p w:rsidR="0045196E" w:rsidRPr="0045196E" w:rsidRDefault="0045196E" w:rsidP="0045196E">
            <w:pPr>
              <w:rPr>
                <w:i/>
                <w:sz w:val="20"/>
                <w:szCs w:val="20"/>
              </w:rPr>
            </w:pPr>
            <w:r w:rsidRPr="0045196E">
              <w:rPr>
                <w:i/>
                <w:sz w:val="20"/>
                <w:szCs w:val="20"/>
              </w:rPr>
              <w:t>V prípade potreby uveďte doplňujúce informácie k návrhu.</w:t>
            </w:r>
          </w:p>
          <w:p w:rsidR="0045196E" w:rsidRPr="0045196E" w:rsidRDefault="0045196E" w:rsidP="0045196E">
            <w:pPr>
              <w:ind w:left="426"/>
              <w:rPr>
                <w:rFonts w:eastAsia="Calibri"/>
                <w:b/>
              </w:rPr>
            </w:pPr>
          </w:p>
        </w:tc>
      </w:tr>
      <w:tr w:rsidR="0045196E" w:rsidRPr="0045196E" w:rsidTr="0045196E">
        <w:tc>
          <w:tcPr>
            <w:tcW w:w="9176" w:type="dxa"/>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Kontakt na spracovateľa</w:t>
            </w:r>
          </w:p>
        </w:tc>
      </w:tr>
      <w:tr w:rsidR="0045196E" w:rsidRPr="0045196E" w:rsidTr="0045196E">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5196E" w:rsidRPr="0045196E" w:rsidRDefault="0045196E" w:rsidP="0045196E">
            <w:pPr>
              <w:widowControl w:val="0"/>
              <w:adjustRightInd w:val="0"/>
              <w:jc w:val="both"/>
            </w:pPr>
            <w:r w:rsidRPr="0045196E">
              <w:t>Ing. Elena Pekárová, Oddelenie medzinárodných daňových vzťahov, Odbor priamych daní, Sekcia daňová a colná MF SR</w:t>
            </w:r>
          </w:p>
          <w:p w:rsidR="0045196E" w:rsidRPr="0045196E" w:rsidRDefault="0045196E" w:rsidP="0045196E">
            <w:pPr>
              <w:rPr>
                <w:i/>
                <w:sz w:val="20"/>
                <w:szCs w:val="20"/>
              </w:rPr>
            </w:pPr>
            <w:r w:rsidRPr="0045196E">
              <w:t>elena.pekarova@mfsr.sk</w:t>
            </w:r>
          </w:p>
        </w:tc>
      </w:tr>
      <w:tr w:rsidR="0045196E" w:rsidRPr="0045196E" w:rsidTr="0045196E">
        <w:tc>
          <w:tcPr>
            <w:tcW w:w="9176" w:type="dxa"/>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Zdroje</w:t>
            </w:r>
          </w:p>
        </w:tc>
      </w:tr>
      <w:tr w:rsidR="0045196E" w:rsidRPr="0045196E" w:rsidTr="0045196E">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45196E" w:rsidRPr="0045196E" w:rsidRDefault="0045196E" w:rsidP="0045196E">
            <w:pPr>
              <w:rPr>
                <w:i/>
                <w:sz w:val="20"/>
                <w:szCs w:val="20"/>
              </w:rPr>
            </w:pPr>
            <w:r w:rsidRPr="0045196E">
              <w:rPr>
                <w:i/>
                <w:sz w:val="20"/>
                <w:szCs w:val="20"/>
              </w:rPr>
              <w:t>Uveďte zdroje (štatistiky, prieskumy, spoluprácu s odborníkmi a iné), z ktorých ste pri vypracovávaní doložky, príp. analýz vplyvov vychádzali.</w:t>
            </w:r>
          </w:p>
          <w:p w:rsidR="0045196E" w:rsidRPr="0045196E" w:rsidRDefault="0045196E" w:rsidP="0045196E">
            <w:pPr>
              <w:rPr>
                <w:i/>
                <w:sz w:val="20"/>
                <w:szCs w:val="20"/>
              </w:rPr>
            </w:pPr>
          </w:p>
          <w:p w:rsidR="0045196E" w:rsidRPr="0045196E" w:rsidRDefault="0045196E" w:rsidP="0045196E">
            <w:pPr>
              <w:rPr>
                <w:b/>
                <w:sz w:val="20"/>
                <w:szCs w:val="20"/>
              </w:rPr>
            </w:pPr>
          </w:p>
        </w:tc>
      </w:tr>
      <w:tr w:rsidR="0045196E" w:rsidRPr="0045196E" w:rsidTr="0045196E">
        <w:tc>
          <w:tcPr>
            <w:tcW w:w="9176" w:type="dxa"/>
            <w:tcBorders>
              <w:top w:val="single" w:sz="4" w:space="0" w:color="auto"/>
              <w:left w:val="single" w:sz="4" w:space="0" w:color="auto"/>
              <w:bottom w:val="single" w:sz="4" w:space="0" w:color="FFFFFF"/>
              <w:right w:val="single" w:sz="4" w:space="0" w:color="auto"/>
            </w:tcBorders>
            <w:shd w:val="clear" w:color="auto" w:fill="E2E2E2"/>
          </w:tcPr>
          <w:p w:rsidR="0045196E" w:rsidRPr="0045196E" w:rsidRDefault="0045196E" w:rsidP="0045196E">
            <w:pPr>
              <w:numPr>
                <w:ilvl w:val="0"/>
                <w:numId w:val="4"/>
              </w:numPr>
              <w:ind w:left="426"/>
              <w:rPr>
                <w:rFonts w:eastAsia="Calibri"/>
                <w:b/>
              </w:rPr>
            </w:pPr>
            <w:r w:rsidRPr="0045196E">
              <w:rPr>
                <w:rFonts w:eastAsia="Calibri"/>
                <w:b/>
              </w:rPr>
              <w:t>Stanovisko Komisie pre posudzovanie vybraných vplyvov z PPK</w:t>
            </w:r>
          </w:p>
        </w:tc>
      </w:tr>
      <w:tr w:rsidR="0045196E" w:rsidRPr="0045196E" w:rsidTr="0045196E">
        <w:tc>
          <w:tcPr>
            <w:tcW w:w="9176" w:type="dxa"/>
            <w:tcBorders>
              <w:top w:val="single" w:sz="4" w:space="0" w:color="FFFFFF"/>
              <w:left w:val="single" w:sz="4" w:space="0" w:color="auto"/>
              <w:bottom w:val="single" w:sz="4" w:space="0" w:color="auto"/>
              <w:right w:val="single" w:sz="4" w:space="0" w:color="auto"/>
            </w:tcBorders>
            <w:shd w:val="clear" w:color="auto" w:fill="FFFFFF"/>
          </w:tcPr>
          <w:p w:rsidR="0045196E" w:rsidRPr="0045196E" w:rsidRDefault="0045196E" w:rsidP="0045196E">
            <w:pPr>
              <w:jc w:val="both"/>
            </w:pPr>
            <w:r w:rsidRPr="0045196E">
              <w:t>V rámci predbežného pripomienkového konania Stála pracovná komisia legislatívnej rady Slovenskej republiky na posudzovanie vybraných vplyvov k predmetnému materiálu vyjadrila nesúhlasné stanovisko s materiálom predloženým na predbežné pripomienkové konanie s odporúčaním na jeho dopracovanie podľa pripomienok v bode II.  Pripomienky a návrhy zmien sú nasledovné:</w:t>
            </w:r>
          </w:p>
          <w:p w:rsidR="0045196E" w:rsidRPr="0045196E" w:rsidRDefault="0045196E" w:rsidP="0045196E">
            <w:pPr>
              <w:jc w:val="both"/>
              <w:rPr>
                <w:b/>
              </w:rPr>
            </w:pPr>
          </w:p>
          <w:p w:rsidR="0045196E" w:rsidRPr="0045196E" w:rsidRDefault="0045196E" w:rsidP="0045196E">
            <w:pPr>
              <w:jc w:val="both"/>
              <w:rPr>
                <w:b/>
              </w:rPr>
            </w:pPr>
            <w:r w:rsidRPr="0045196E">
              <w:rPr>
                <w:b/>
              </w:rPr>
              <w:t>K doložke vybraných vplyvov</w:t>
            </w:r>
          </w:p>
          <w:p w:rsidR="0045196E" w:rsidRPr="0045196E" w:rsidRDefault="0045196E" w:rsidP="0045196E">
            <w:pPr>
              <w:jc w:val="both"/>
            </w:pPr>
            <w:r w:rsidRPr="0045196E">
              <w:t xml:space="preserve">Komisia navrhuje predkladateľovi použiť doložku vybraných vplyvov účinnú od 01. apríla 2016, kedy bol zavedený nový vplyv, a to vplyv na služby verejnej správy pre občana a zároveň Komisia navrhuje vyznačiť žiadny vplyv ako na služby verejnej správy na občana, tak aj na procesy služieb vo verejnej správe. </w:t>
            </w:r>
          </w:p>
          <w:p w:rsidR="0045196E" w:rsidRPr="0045196E" w:rsidRDefault="0045196E" w:rsidP="0045196E">
            <w:pPr>
              <w:jc w:val="both"/>
            </w:pPr>
          </w:p>
          <w:p w:rsidR="0045196E" w:rsidRPr="0045196E" w:rsidRDefault="0045196E" w:rsidP="0045196E">
            <w:pPr>
              <w:jc w:val="both"/>
              <w:rPr>
                <w:b/>
              </w:rPr>
            </w:pPr>
          </w:p>
          <w:p w:rsidR="0045196E" w:rsidRPr="0045196E" w:rsidRDefault="0045196E" w:rsidP="0045196E">
            <w:pPr>
              <w:jc w:val="both"/>
              <w:rPr>
                <w:b/>
              </w:rPr>
            </w:pPr>
            <w:r w:rsidRPr="0045196E">
              <w:rPr>
                <w:b/>
              </w:rPr>
              <w:t>K analýze vplyvov na podnikateľské prostredie</w:t>
            </w:r>
          </w:p>
          <w:p w:rsidR="0045196E" w:rsidRPr="0045196E" w:rsidRDefault="0045196E" w:rsidP="0045196E">
            <w:pPr>
              <w:jc w:val="both"/>
            </w:pPr>
            <w:r w:rsidRPr="0045196E">
              <w:t>Komisia žiada predkladateľa o uvedenie potenciálneho nákladu v podobe možnosti uloženia sankcie až do výšky 30 000 eur, a to aj opakovane, v prípade nesplnenia povinnosti do časti 3.3.1 Priame finančné náklady a súčasne o zahrnutie tohto nákladov do časti 3.3.4 Súhr</w:t>
            </w:r>
            <w:r w:rsidR="00EA05F2">
              <w:t>nná tabuľka nákladov regulácie.</w:t>
            </w:r>
          </w:p>
          <w:p w:rsidR="0045196E" w:rsidRPr="0045196E" w:rsidRDefault="0045196E" w:rsidP="0045196E">
            <w:pPr>
              <w:jc w:val="both"/>
            </w:pPr>
          </w:p>
          <w:p w:rsidR="0045196E" w:rsidRPr="0045196E" w:rsidRDefault="0045196E" w:rsidP="0045196E">
            <w:pPr>
              <w:jc w:val="both"/>
            </w:pPr>
            <w:r w:rsidRPr="0045196E">
              <w:lastRenderedPageBreak/>
              <w:t>Ďalej Komisia žiada predkladateľa o uvedenie kvantifikácie administratívnych nákladov spočívajúcich vo vypĺňaní elektronického formulára a jeho zasielaní príslušnému orgánu, a to aspoň príkladom na 1 podnikateľa. Pri vyčíslení týchto nákladov Komisia odporúča predkladateľovi využiť kalkulačku nákladov regulácie, ktorá je zverejnená na webovom sídle Ministerstva hospodárstva SR.</w:t>
            </w:r>
          </w:p>
          <w:p w:rsidR="0045196E" w:rsidRPr="0045196E" w:rsidRDefault="0045196E" w:rsidP="0045196E">
            <w:pPr>
              <w:jc w:val="both"/>
            </w:pPr>
            <w:r w:rsidRPr="0045196E">
              <w:t>V súvislosti s vyššie uvedeným Komisia žiada o zmenu výšky nákladov v časti 3.3.4 Súhrnná tabuľka nákladov regulácie z „0“ na konkrétnu sumu, keďže predpokladané náklady v zmysle popisu nie sú nulové („0“).</w:t>
            </w:r>
          </w:p>
          <w:p w:rsidR="0045196E" w:rsidRPr="0045196E" w:rsidRDefault="0045196E" w:rsidP="0045196E">
            <w:pPr>
              <w:jc w:val="both"/>
            </w:pPr>
            <w:r w:rsidRPr="0045196E">
              <w:t>Zároveň Komisia žiada o identifikáciu pozitívnych vplyvov v nadväznosti na vyznačenie pozitívno-negatívnych vplyvov na podnikateľské prostredie daného materiálu v Doložke vybraných vplyvov, keďže v Analýze vplyvov na podnikateľské prostredie nie sú tieto pozitívne vplyvy ani po kvantifikačnej, ani kvalitatívnej stránke vyjadrené.</w:t>
            </w:r>
          </w:p>
          <w:p w:rsidR="0045196E" w:rsidRPr="0045196E" w:rsidRDefault="0045196E" w:rsidP="0045196E">
            <w:pPr>
              <w:jc w:val="both"/>
            </w:pPr>
            <w:r w:rsidRPr="0045196E">
              <w:t>Komisia žiada predkladateľa o uvedenie výsledku konzultácií, ktoré sa uskutočnili s vybranými podnikateľskými subjektami a s verejnosťou, do časti 3.2 Vyhodnotenie konzultácií.</w:t>
            </w:r>
          </w:p>
          <w:p w:rsidR="0045196E" w:rsidRPr="0045196E" w:rsidRDefault="0045196E" w:rsidP="0045196E">
            <w:pPr>
              <w:jc w:val="both"/>
            </w:pPr>
          </w:p>
          <w:p w:rsidR="0045196E" w:rsidRPr="0045196E" w:rsidRDefault="0045196E" w:rsidP="0045196E">
            <w:pPr>
              <w:jc w:val="both"/>
              <w:rPr>
                <w:b/>
              </w:rPr>
            </w:pPr>
            <w:r w:rsidRPr="0045196E">
              <w:rPr>
                <w:b/>
              </w:rPr>
              <w:t xml:space="preserve">Vyhodnotenie pripomienok predkladateľom: </w:t>
            </w:r>
          </w:p>
          <w:p w:rsidR="0045196E" w:rsidRPr="0045196E" w:rsidRDefault="0045196E" w:rsidP="0045196E">
            <w:pPr>
              <w:jc w:val="both"/>
              <w:rPr>
                <w:b/>
              </w:rPr>
            </w:pPr>
          </w:p>
          <w:p w:rsidR="0045196E" w:rsidRPr="0045196E" w:rsidRDefault="0045196E" w:rsidP="0045196E">
            <w:pPr>
              <w:jc w:val="both"/>
              <w:rPr>
                <w:b/>
              </w:rPr>
            </w:pPr>
            <w:r w:rsidRPr="0045196E">
              <w:rPr>
                <w:b/>
              </w:rPr>
              <w:t>K doložke vybraných vplyvov:</w:t>
            </w:r>
          </w:p>
          <w:p w:rsidR="0045196E" w:rsidRPr="0045196E" w:rsidRDefault="0045196E" w:rsidP="0045196E">
            <w:pPr>
              <w:numPr>
                <w:ilvl w:val="0"/>
                <w:numId w:val="5"/>
              </w:numPr>
              <w:spacing w:after="200"/>
              <w:jc w:val="both"/>
            </w:pPr>
            <w:r w:rsidRPr="0045196E">
              <w:t>Predkladateľ upravil doložku vybraných vplyvov v zmysle vznesenej pripomienky.</w:t>
            </w:r>
          </w:p>
          <w:p w:rsidR="0045196E" w:rsidRPr="0045196E" w:rsidRDefault="0045196E" w:rsidP="0045196E">
            <w:pPr>
              <w:jc w:val="both"/>
              <w:rPr>
                <w:b/>
              </w:rPr>
            </w:pPr>
            <w:r w:rsidRPr="0045196E">
              <w:rPr>
                <w:b/>
              </w:rPr>
              <w:t>K analýze vplyvov na podnikateľské prostredie:</w:t>
            </w:r>
          </w:p>
          <w:p w:rsidR="0045196E" w:rsidRPr="0045196E" w:rsidRDefault="0045196E" w:rsidP="0045196E">
            <w:pPr>
              <w:numPr>
                <w:ilvl w:val="0"/>
                <w:numId w:val="5"/>
              </w:numPr>
              <w:spacing w:after="200"/>
              <w:jc w:val="both"/>
            </w:pPr>
            <w:r w:rsidRPr="0045196E">
              <w:t>Predkladateľ uviedol potenciálny náklad v podobe možnosti uloženia pokuty do výšky 30 000,- eur v časti 3.3.1. aj 3.3.4.</w:t>
            </w:r>
          </w:p>
          <w:p w:rsidR="0045196E" w:rsidRPr="0045196E" w:rsidRDefault="0045196E" w:rsidP="0045196E">
            <w:pPr>
              <w:numPr>
                <w:ilvl w:val="0"/>
                <w:numId w:val="5"/>
              </w:numPr>
              <w:spacing w:after="200"/>
              <w:jc w:val="both"/>
            </w:pPr>
            <w:r w:rsidRPr="0045196E">
              <w:t>Predkladateľ</w:t>
            </w:r>
            <w:r w:rsidRPr="0045196E">
              <w:rPr>
                <w:rFonts w:ascii="Calibri" w:eastAsia="Calibri" w:hAnsi="Calibri"/>
              </w:rPr>
              <w:t xml:space="preserve"> z</w:t>
            </w:r>
            <w:r w:rsidRPr="0045196E">
              <w:t>astáva názor, že uvedenie kvantifikácie administratívnych nákladov spočívajúcich vo vypĺňaní elektronického formulára a jeho zasielaní príslušnému orgánu nie je možné a z toho dôvodu nie je možné predmetné skutočnosti uviesť v časti 3.3.4.</w:t>
            </w:r>
          </w:p>
          <w:p w:rsidR="0045196E" w:rsidRPr="0045196E" w:rsidRDefault="0045196E" w:rsidP="0045196E">
            <w:pPr>
              <w:numPr>
                <w:ilvl w:val="0"/>
                <w:numId w:val="5"/>
              </w:numPr>
              <w:spacing w:after="200"/>
              <w:jc w:val="both"/>
            </w:pPr>
            <w:r w:rsidRPr="0045196E">
              <w:t>Predkladateľ vyjadril pozitívne vplyvy na podnikateľské prostredie v Analýze vplyvov na podnikateľské prostredie v časti 3.4.</w:t>
            </w:r>
          </w:p>
          <w:p w:rsidR="0045196E" w:rsidRPr="0045196E" w:rsidRDefault="0045196E" w:rsidP="0045196E">
            <w:pPr>
              <w:numPr>
                <w:ilvl w:val="0"/>
                <w:numId w:val="5"/>
              </w:numPr>
              <w:spacing w:after="200" w:line="276" w:lineRule="auto"/>
              <w:jc w:val="both"/>
            </w:pPr>
            <w:r w:rsidRPr="0045196E">
              <w:t>Predkladateľ uviedol výsledok konzultácií v rámci časti 3.2. Analýzy vplyvov na podnikateľské prostredie.</w:t>
            </w:r>
          </w:p>
          <w:p w:rsidR="0045196E" w:rsidRPr="0045196E" w:rsidRDefault="0045196E" w:rsidP="0045196E">
            <w:pPr>
              <w:jc w:val="both"/>
            </w:pPr>
          </w:p>
          <w:p w:rsidR="0045196E" w:rsidRPr="0045196E" w:rsidRDefault="0045196E" w:rsidP="0045196E">
            <w:pPr>
              <w:jc w:val="both"/>
              <w:rPr>
                <w:b/>
                <w:sz w:val="20"/>
                <w:szCs w:val="20"/>
              </w:rPr>
            </w:pPr>
          </w:p>
        </w:tc>
      </w:tr>
    </w:tbl>
    <w:p w:rsidR="0045196E" w:rsidRPr="0045196E" w:rsidRDefault="0045196E" w:rsidP="0045196E">
      <w:pPr>
        <w:spacing w:after="0" w:line="240" w:lineRule="auto"/>
        <w:jc w:val="both"/>
        <w:rPr>
          <w:rFonts w:ascii="Times New Roman" w:eastAsia="Times New Roman" w:hAnsi="Times New Roman" w:cs="Times New Roman"/>
          <w:b/>
          <w:sz w:val="20"/>
          <w:szCs w:val="20"/>
          <w:lang w:eastAsia="sk-SK"/>
        </w:rPr>
      </w:pPr>
    </w:p>
    <w:p w:rsidR="0045196E" w:rsidRPr="0045196E" w:rsidRDefault="0045196E" w:rsidP="0045196E">
      <w:pPr>
        <w:spacing w:after="0" w:line="240" w:lineRule="auto"/>
        <w:rPr>
          <w:rFonts w:ascii="Times New Roman" w:eastAsia="Times New Roman" w:hAnsi="Times New Roman" w:cs="Times New Roman"/>
          <w:b/>
          <w:sz w:val="20"/>
          <w:szCs w:val="20"/>
          <w:lang w:eastAsia="sk-SK"/>
        </w:rPr>
      </w:pPr>
    </w:p>
    <w:p w:rsidR="0045196E" w:rsidRPr="0045196E" w:rsidRDefault="0045196E" w:rsidP="0045196E">
      <w:pPr>
        <w:spacing w:after="0" w:line="240" w:lineRule="auto"/>
        <w:rPr>
          <w:rFonts w:ascii="Times New Roman" w:eastAsia="Times New Roman" w:hAnsi="Times New Roman" w:cs="Times New Roman"/>
          <w:sz w:val="20"/>
          <w:szCs w:val="20"/>
          <w:lang w:eastAsia="sk-SK"/>
        </w:rPr>
      </w:pPr>
    </w:p>
    <w:p w:rsidR="0045196E" w:rsidRPr="00C0323B" w:rsidRDefault="0045196E" w:rsidP="00A241DB">
      <w:pPr>
        <w:shd w:val="clear" w:color="auto" w:fill="FFFFFF" w:themeFill="background1"/>
        <w:spacing w:after="0" w:line="240" w:lineRule="auto"/>
        <w:jc w:val="both"/>
        <w:rPr>
          <w:rFonts w:ascii="Times New Roman" w:hAnsi="Times New Roman" w:cs="Times New Roman"/>
          <w:sz w:val="24"/>
          <w:szCs w:val="24"/>
        </w:rPr>
      </w:pPr>
    </w:p>
    <w:p w:rsidR="00E008FB" w:rsidRDefault="00E008FB" w:rsidP="00DA01F2">
      <w:pPr>
        <w:spacing w:after="0" w:line="240" w:lineRule="auto"/>
        <w:jc w:val="both"/>
        <w:rPr>
          <w:rFonts w:ascii="Times New Roman" w:hAnsi="Times New Roman" w:cs="Times New Roman"/>
          <w:b/>
          <w:sz w:val="24"/>
          <w:szCs w:val="24"/>
        </w:rPr>
      </w:pPr>
    </w:p>
    <w:p w:rsidR="0045196E" w:rsidRDefault="0045196E"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EA05F2" w:rsidRDefault="00EA05F2" w:rsidP="00DA01F2">
      <w:pPr>
        <w:spacing w:after="0" w:line="240" w:lineRule="auto"/>
        <w:jc w:val="both"/>
        <w:rPr>
          <w:rFonts w:ascii="Times New Roman" w:hAnsi="Times New Roman" w:cs="Times New Roman"/>
          <w:b/>
          <w:sz w:val="24"/>
          <w:szCs w:val="24"/>
        </w:rPr>
      </w:pPr>
    </w:p>
    <w:p w:rsidR="0045196E" w:rsidRDefault="0045196E" w:rsidP="00DA01F2">
      <w:pPr>
        <w:spacing w:after="0" w:line="240" w:lineRule="auto"/>
        <w:jc w:val="both"/>
        <w:rPr>
          <w:rFonts w:ascii="Times New Roman" w:hAnsi="Times New Roman" w:cs="Times New Roman"/>
          <w:b/>
          <w:sz w:val="24"/>
          <w:szCs w:val="24"/>
        </w:rPr>
      </w:pPr>
    </w:p>
    <w:p w:rsidR="0045196E" w:rsidRDefault="0045196E" w:rsidP="00DA01F2">
      <w:pPr>
        <w:spacing w:after="0" w:line="240" w:lineRule="auto"/>
        <w:jc w:val="both"/>
        <w:rPr>
          <w:rFonts w:ascii="Times New Roman" w:hAnsi="Times New Roman" w:cs="Times New Roman"/>
          <w:b/>
          <w:sz w:val="24"/>
          <w:szCs w:val="24"/>
        </w:rPr>
      </w:pPr>
    </w:p>
    <w:p w:rsidR="00EA05F2" w:rsidRDefault="00EA05F2" w:rsidP="0045196E">
      <w:pPr>
        <w:widowControl w:val="0"/>
        <w:adjustRightInd w:val="0"/>
        <w:spacing w:after="0" w:line="240" w:lineRule="auto"/>
        <w:jc w:val="center"/>
        <w:rPr>
          <w:rFonts w:ascii="Times New Roman" w:hAnsi="Times New Roman"/>
          <w:b/>
          <w:bCs/>
          <w:sz w:val="28"/>
          <w:szCs w:val="28"/>
          <w:lang w:eastAsia="sk-SK"/>
        </w:rPr>
      </w:pPr>
    </w:p>
    <w:p w:rsidR="00EA05F2" w:rsidRDefault="00EA05F2" w:rsidP="0045196E">
      <w:pPr>
        <w:widowControl w:val="0"/>
        <w:adjustRightInd w:val="0"/>
        <w:spacing w:after="0" w:line="240" w:lineRule="auto"/>
        <w:jc w:val="center"/>
        <w:rPr>
          <w:rFonts w:ascii="Times New Roman" w:hAnsi="Times New Roman"/>
          <w:b/>
          <w:bCs/>
          <w:sz w:val="28"/>
          <w:szCs w:val="28"/>
          <w:lang w:eastAsia="sk-SK"/>
        </w:rPr>
      </w:pPr>
    </w:p>
    <w:p w:rsidR="0045196E" w:rsidRPr="00237610" w:rsidRDefault="0045196E" w:rsidP="0045196E">
      <w:pPr>
        <w:widowControl w:val="0"/>
        <w:adjustRightInd w:val="0"/>
        <w:spacing w:after="0" w:line="240" w:lineRule="auto"/>
        <w:jc w:val="center"/>
        <w:rPr>
          <w:rFonts w:ascii="Times New Roman" w:hAnsi="Times New Roman"/>
          <w:b/>
          <w:bCs/>
          <w:sz w:val="28"/>
          <w:szCs w:val="28"/>
          <w:lang w:eastAsia="sk-SK"/>
        </w:rPr>
      </w:pPr>
      <w:r w:rsidRPr="00237610">
        <w:rPr>
          <w:rFonts w:ascii="Times New Roman" w:hAnsi="Times New Roman"/>
          <w:b/>
          <w:bCs/>
          <w:sz w:val="28"/>
          <w:szCs w:val="28"/>
          <w:lang w:eastAsia="sk-SK"/>
        </w:rPr>
        <w:t>Analýza vplyvov na rozpočet verejnej správy,</w:t>
      </w:r>
    </w:p>
    <w:p w:rsidR="0045196E" w:rsidRPr="00237610" w:rsidRDefault="0045196E" w:rsidP="0045196E">
      <w:pPr>
        <w:widowControl w:val="0"/>
        <w:adjustRightInd w:val="0"/>
        <w:spacing w:after="0" w:line="240" w:lineRule="auto"/>
        <w:jc w:val="center"/>
        <w:rPr>
          <w:rFonts w:ascii="Times New Roman" w:hAnsi="Times New Roman"/>
          <w:b/>
          <w:bCs/>
          <w:sz w:val="28"/>
          <w:szCs w:val="28"/>
          <w:lang w:eastAsia="sk-SK"/>
        </w:rPr>
      </w:pPr>
      <w:r w:rsidRPr="00237610">
        <w:rPr>
          <w:rFonts w:ascii="Times New Roman" w:hAnsi="Times New Roman"/>
          <w:b/>
          <w:bCs/>
          <w:sz w:val="28"/>
          <w:szCs w:val="28"/>
          <w:lang w:eastAsia="sk-SK"/>
        </w:rPr>
        <w:t>na zamestnanosť vo verejnej správe a financovanie návrhu</w:t>
      </w:r>
    </w:p>
    <w:p w:rsidR="0045196E" w:rsidRDefault="0045196E" w:rsidP="0045196E">
      <w:pPr>
        <w:widowControl w:val="0"/>
        <w:adjustRightInd w:val="0"/>
        <w:spacing w:after="0" w:line="240" w:lineRule="auto"/>
        <w:jc w:val="both"/>
        <w:rPr>
          <w:rFonts w:ascii="Times New Roman" w:hAnsi="Times New Roman"/>
          <w:bCs/>
          <w:sz w:val="24"/>
          <w:szCs w:val="24"/>
          <w:lang w:eastAsia="sk-SK"/>
        </w:rPr>
      </w:pPr>
    </w:p>
    <w:p w:rsidR="0045196E" w:rsidRPr="001E686E" w:rsidRDefault="0045196E" w:rsidP="0045196E">
      <w:pPr>
        <w:widowControl w:val="0"/>
        <w:adjustRightInd w:val="0"/>
        <w:spacing w:after="0" w:line="240" w:lineRule="auto"/>
        <w:jc w:val="both"/>
        <w:rPr>
          <w:rFonts w:ascii="Times New Roman" w:hAnsi="Times New Roman"/>
          <w:b/>
          <w:bCs/>
          <w:sz w:val="24"/>
          <w:szCs w:val="24"/>
          <w:lang w:eastAsia="sk-SK"/>
        </w:rPr>
      </w:pPr>
      <w:r w:rsidRPr="001E686E">
        <w:rPr>
          <w:rFonts w:ascii="Times New Roman" w:hAnsi="Times New Roman"/>
          <w:b/>
          <w:bCs/>
          <w:sz w:val="24"/>
          <w:szCs w:val="24"/>
          <w:lang w:eastAsia="sk-SK"/>
        </w:rPr>
        <w:t>2.1 Zhrnutie vplyvov na rozpočet verejnej správy v návrhu</w:t>
      </w:r>
    </w:p>
    <w:p w:rsidR="0045196E" w:rsidRPr="001E686E" w:rsidRDefault="0045196E" w:rsidP="0045196E">
      <w:pPr>
        <w:spacing w:after="0" w:line="240" w:lineRule="auto"/>
        <w:jc w:val="right"/>
        <w:rPr>
          <w:rFonts w:ascii="Times New Roman" w:hAnsi="Times New Roman"/>
          <w:sz w:val="20"/>
          <w:szCs w:val="20"/>
          <w:lang w:eastAsia="sk-SK"/>
        </w:rPr>
      </w:pPr>
    </w:p>
    <w:p w:rsidR="0045196E" w:rsidRPr="001E686E" w:rsidRDefault="0045196E" w:rsidP="0045196E">
      <w:pPr>
        <w:spacing w:after="0" w:line="240" w:lineRule="auto"/>
        <w:jc w:val="right"/>
        <w:rPr>
          <w:rFonts w:ascii="Times New Roman" w:hAnsi="Times New Roman"/>
          <w:sz w:val="20"/>
          <w:szCs w:val="20"/>
          <w:lang w:eastAsia="sk-SK"/>
        </w:rPr>
      </w:pPr>
      <w:r w:rsidRPr="001E686E">
        <w:rPr>
          <w:rFonts w:ascii="Times New Roman" w:hAnsi="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45196E" w:rsidRPr="001E686E" w:rsidTr="004B6BB8">
        <w:trPr>
          <w:cantSplit/>
          <w:trHeight w:val="194"/>
          <w:jc w:val="center"/>
        </w:trPr>
        <w:tc>
          <w:tcPr>
            <w:tcW w:w="4661" w:type="dxa"/>
            <w:vMerge w:val="restart"/>
            <w:shd w:val="clear" w:color="auto" w:fill="BFBFBF" w:themeFill="background1" w:themeFillShade="BF"/>
            <w:vAlign w:val="center"/>
          </w:tcPr>
          <w:p w:rsidR="0045196E" w:rsidRPr="001E686E" w:rsidRDefault="0045196E" w:rsidP="004B6BB8">
            <w:pPr>
              <w:spacing w:after="0" w:line="240" w:lineRule="auto"/>
              <w:jc w:val="center"/>
              <w:rPr>
                <w:rFonts w:ascii="Times New Roman" w:hAnsi="Times New Roman"/>
                <w:b/>
                <w:bCs/>
                <w:sz w:val="24"/>
                <w:szCs w:val="24"/>
                <w:lang w:eastAsia="sk-SK"/>
              </w:rPr>
            </w:pPr>
            <w:r w:rsidRPr="001E686E">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45196E" w:rsidRPr="001E686E" w:rsidRDefault="0045196E" w:rsidP="004B6BB8">
            <w:pPr>
              <w:spacing w:after="0" w:line="240" w:lineRule="auto"/>
              <w:jc w:val="center"/>
              <w:rPr>
                <w:rFonts w:ascii="Times New Roman" w:hAnsi="Times New Roman"/>
                <w:b/>
                <w:bCs/>
                <w:sz w:val="24"/>
                <w:szCs w:val="24"/>
                <w:lang w:eastAsia="sk-SK"/>
              </w:rPr>
            </w:pPr>
            <w:r w:rsidRPr="001E686E">
              <w:rPr>
                <w:rFonts w:ascii="Times New Roman" w:hAnsi="Times New Roman"/>
                <w:b/>
                <w:bCs/>
                <w:sz w:val="24"/>
                <w:szCs w:val="24"/>
                <w:lang w:eastAsia="sk-SK"/>
              </w:rPr>
              <w:t>Vplyv na rozpočet verejnej správy (v eurách)</w:t>
            </w:r>
          </w:p>
        </w:tc>
      </w:tr>
      <w:tr w:rsidR="0045196E" w:rsidRPr="001E686E" w:rsidTr="004B6BB8">
        <w:trPr>
          <w:cantSplit/>
          <w:trHeight w:val="70"/>
          <w:jc w:val="center"/>
        </w:trPr>
        <w:tc>
          <w:tcPr>
            <w:tcW w:w="4661" w:type="dxa"/>
            <w:vMerge/>
            <w:shd w:val="clear" w:color="auto" w:fill="BFBFBF" w:themeFill="background1" w:themeFillShade="BF"/>
            <w:vAlign w:val="center"/>
          </w:tcPr>
          <w:p w:rsidR="0045196E" w:rsidRPr="001E686E" w:rsidRDefault="0045196E" w:rsidP="004B6BB8">
            <w:pPr>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rsidR="0045196E" w:rsidRPr="001E686E" w:rsidRDefault="0045196E" w:rsidP="004B6BB8">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267" w:type="dxa"/>
            <w:shd w:val="clear" w:color="auto" w:fill="BFBFBF" w:themeFill="background1" w:themeFillShade="BF"/>
            <w:vAlign w:val="center"/>
          </w:tcPr>
          <w:p w:rsidR="0045196E" w:rsidRPr="001E686E" w:rsidRDefault="0045196E" w:rsidP="004B6BB8">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1267" w:type="dxa"/>
            <w:shd w:val="clear" w:color="auto" w:fill="BFBFBF" w:themeFill="background1" w:themeFillShade="BF"/>
            <w:vAlign w:val="center"/>
          </w:tcPr>
          <w:p w:rsidR="0045196E" w:rsidRPr="001E686E" w:rsidRDefault="0045196E" w:rsidP="004B6BB8">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2021</w:t>
            </w:r>
          </w:p>
        </w:tc>
        <w:tc>
          <w:tcPr>
            <w:tcW w:w="1267" w:type="dxa"/>
            <w:shd w:val="clear" w:color="auto" w:fill="BFBFBF" w:themeFill="background1" w:themeFillShade="BF"/>
            <w:vAlign w:val="center"/>
          </w:tcPr>
          <w:p w:rsidR="0045196E" w:rsidRPr="001E686E" w:rsidRDefault="0045196E" w:rsidP="004B6BB8">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2022</w:t>
            </w:r>
          </w:p>
        </w:tc>
      </w:tr>
      <w:tr w:rsidR="0045196E" w:rsidRPr="001E686E" w:rsidTr="004B6BB8">
        <w:trPr>
          <w:trHeight w:val="70"/>
          <w:jc w:val="center"/>
        </w:trPr>
        <w:tc>
          <w:tcPr>
            <w:tcW w:w="4661" w:type="dxa"/>
            <w:shd w:val="clear" w:color="auto" w:fill="C0C0C0"/>
            <w:noWrap/>
            <w:vAlign w:val="center"/>
          </w:tcPr>
          <w:p w:rsidR="0045196E" w:rsidRPr="001E686E" w:rsidRDefault="0045196E" w:rsidP="004B6BB8">
            <w:pPr>
              <w:spacing w:after="0" w:line="240" w:lineRule="auto"/>
              <w:rPr>
                <w:rFonts w:ascii="Times New Roman" w:hAnsi="Times New Roman"/>
                <w:sz w:val="24"/>
                <w:szCs w:val="24"/>
                <w:lang w:eastAsia="sk-SK"/>
              </w:rPr>
            </w:pPr>
            <w:r w:rsidRPr="001E686E">
              <w:rPr>
                <w:rFonts w:ascii="Times New Roman" w:hAnsi="Times New Roman"/>
                <w:b/>
                <w:bCs/>
                <w:sz w:val="24"/>
                <w:szCs w:val="24"/>
                <w:lang w:eastAsia="sk-SK"/>
              </w:rPr>
              <w:t>Príjmy verejnej správy celkom</w:t>
            </w:r>
          </w:p>
        </w:tc>
        <w:tc>
          <w:tcPr>
            <w:tcW w:w="1267" w:type="dxa"/>
            <w:shd w:val="clear" w:color="auto" w:fill="C0C0C0"/>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c>
          <w:tcPr>
            <w:tcW w:w="1267" w:type="dxa"/>
            <w:shd w:val="clear" w:color="auto" w:fill="C0C0C0"/>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c>
          <w:tcPr>
            <w:tcW w:w="1267" w:type="dxa"/>
            <w:shd w:val="clear" w:color="auto" w:fill="C0C0C0"/>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c>
          <w:tcPr>
            <w:tcW w:w="1267" w:type="dxa"/>
            <w:shd w:val="clear" w:color="auto" w:fill="C0C0C0"/>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r>
      <w:tr w:rsidR="0045196E" w:rsidRPr="001E686E" w:rsidTr="004B6BB8">
        <w:trPr>
          <w:trHeight w:val="132"/>
          <w:jc w:val="center"/>
        </w:trPr>
        <w:tc>
          <w:tcPr>
            <w:tcW w:w="4661" w:type="dxa"/>
            <w:noWrap/>
            <w:vAlign w:val="center"/>
          </w:tcPr>
          <w:p w:rsidR="0045196E" w:rsidRPr="001E686E" w:rsidRDefault="0045196E" w:rsidP="004B6BB8">
            <w:pPr>
              <w:spacing w:after="0" w:line="240" w:lineRule="auto"/>
              <w:rPr>
                <w:rFonts w:ascii="Times New Roman" w:hAnsi="Times New Roman"/>
                <w:sz w:val="24"/>
                <w:szCs w:val="24"/>
                <w:lang w:eastAsia="sk-SK"/>
              </w:rPr>
            </w:pPr>
            <w:r w:rsidRPr="001E686E">
              <w:rPr>
                <w:rFonts w:ascii="Times New Roman" w:hAnsi="Times New Roman"/>
                <w:sz w:val="24"/>
                <w:szCs w:val="24"/>
                <w:lang w:eastAsia="sk-SK"/>
              </w:rPr>
              <w:t>v tom: za každý subjekt verejnej správy zvlášť</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xml:space="preserve">z toho:  </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p>
        </w:tc>
      </w:tr>
      <w:tr w:rsidR="0045196E" w:rsidRPr="001E686E" w:rsidTr="004B6BB8">
        <w:trPr>
          <w:trHeight w:val="125"/>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ŠR</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125"/>
          <w:jc w:val="center"/>
        </w:trPr>
        <w:tc>
          <w:tcPr>
            <w:tcW w:w="4661" w:type="dxa"/>
            <w:noWrap/>
            <w:vAlign w:val="center"/>
          </w:tcPr>
          <w:p w:rsidR="0045196E" w:rsidRPr="001E686E" w:rsidRDefault="0045196E" w:rsidP="004B6BB8">
            <w:pPr>
              <w:spacing w:after="0" w:line="240" w:lineRule="auto"/>
              <w:ind w:left="259"/>
              <w:rPr>
                <w:rFonts w:ascii="Times New Roman" w:hAnsi="Times New Roman"/>
                <w:b/>
                <w:bCs/>
                <w:i/>
                <w:iCs/>
                <w:sz w:val="24"/>
                <w:szCs w:val="24"/>
                <w:lang w:eastAsia="sk-SK"/>
              </w:rPr>
            </w:pPr>
            <w:r w:rsidRPr="001E686E">
              <w:rPr>
                <w:rFonts w:ascii="Times New Roman" w:hAnsi="Times New Roman"/>
                <w:bCs/>
                <w:i/>
                <w:iCs/>
                <w:sz w:val="24"/>
                <w:szCs w:val="24"/>
                <w:lang w:eastAsia="sk-SK"/>
              </w:rPr>
              <w:t>Rozpočtové prostriedky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125"/>
          <w:jc w:val="center"/>
        </w:trPr>
        <w:tc>
          <w:tcPr>
            <w:tcW w:w="4661" w:type="dxa"/>
            <w:noWrap/>
            <w:vAlign w:val="center"/>
          </w:tcPr>
          <w:p w:rsidR="0045196E" w:rsidRPr="001E686E" w:rsidRDefault="0045196E" w:rsidP="004B6BB8">
            <w:pPr>
              <w:spacing w:after="0" w:line="240" w:lineRule="auto"/>
              <w:ind w:left="259"/>
              <w:rPr>
                <w:rFonts w:ascii="Times New Roman" w:hAnsi="Times New Roman"/>
                <w:bCs/>
                <w:i/>
                <w:iCs/>
                <w:sz w:val="24"/>
                <w:szCs w:val="24"/>
                <w:lang w:eastAsia="sk-SK"/>
              </w:rPr>
            </w:pPr>
            <w:r w:rsidRPr="001E686E">
              <w:rPr>
                <w:rFonts w:ascii="Times New Roman" w:hAnsi="Times New Roman"/>
                <w:bCs/>
                <w:i/>
                <w:iCs/>
                <w:sz w:val="24"/>
                <w:szCs w:val="24"/>
                <w:lang w:eastAsia="sk-SK"/>
              </w:rPr>
              <w:t>EÚ zdroje</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r>
      <w:tr w:rsidR="0045196E" w:rsidRPr="001E686E" w:rsidTr="004B6BB8">
        <w:trPr>
          <w:trHeight w:val="125"/>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obce</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125"/>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vyššie územné celky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125"/>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ostatné subjekty verejnej správy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125"/>
          <w:jc w:val="center"/>
        </w:trPr>
        <w:tc>
          <w:tcPr>
            <w:tcW w:w="4661" w:type="dxa"/>
            <w:shd w:val="clear" w:color="auto" w:fill="C0C0C0"/>
            <w:noWrap/>
            <w:vAlign w:val="center"/>
          </w:tcPr>
          <w:p w:rsidR="0045196E" w:rsidRPr="001E686E" w:rsidRDefault="0045196E" w:rsidP="004B6BB8">
            <w:pPr>
              <w:spacing w:after="0" w:line="240" w:lineRule="auto"/>
              <w:rPr>
                <w:rFonts w:ascii="Times New Roman" w:hAnsi="Times New Roman"/>
                <w:b/>
                <w:bCs/>
                <w:sz w:val="24"/>
                <w:szCs w:val="24"/>
                <w:lang w:eastAsia="sk-SK"/>
              </w:rPr>
            </w:pPr>
            <w:r w:rsidRPr="001E686E">
              <w:rPr>
                <w:rFonts w:ascii="Times New Roman" w:hAnsi="Times New Roman"/>
                <w:b/>
                <w:bCs/>
                <w:sz w:val="24"/>
                <w:szCs w:val="24"/>
                <w:lang w:eastAsia="sk-SK"/>
              </w:rPr>
              <w:t>Výdavky verejnej správy celkom</w:t>
            </w:r>
          </w:p>
        </w:tc>
        <w:tc>
          <w:tcPr>
            <w:tcW w:w="1267" w:type="dxa"/>
            <w:shd w:val="clear" w:color="auto" w:fill="C0C0C0"/>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2 500 000</w:t>
            </w:r>
          </w:p>
        </w:tc>
        <w:tc>
          <w:tcPr>
            <w:tcW w:w="1267" w:type="dxa"/>
            <w:shd w:val="clear" w:color="auto" w:fill="C0C0C0"/>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184 435</w:t>
            </w:r>
          </w:p>
        </w:tc>
        <w:tc>
          <w:tcPr>
            <w:tcW w:w="1267" w:type="dxa"/>
            <w:shd w:val="clear" w:color="auto" w:fill="C0C0C0"/>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323 527</w:t>
            </w:r>
          </w:p>
        </w:tc>
        <w:tc>
          <w:tcPr>
            <w:tcW w:w="1267" w:type="dxa"/>
            <w:shd w:val="clear" w:color="auto" w:fill="C0C0C0"/>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7C4A5F">
              <w:rPr>
                <w:rFonts w:ascii="Times New Roman" w:hAnsi="Times New Roman"/>
                <w:b/>
                <w:bCs/>
                <w:sz w:val="24"/>
                <w:szCs w:val="24"/>
                <w:lang w:eastAsia="sk-SK"/>
              </w:rPr>
              <w:t>323 527</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sz w:val="24"/>
                <w:szCs w:val="24"/>
                <w:lang w:eastAsia="sk-SK"/>
              </w:rPr>
            </w:pPr>
            <w:r w:rsidRPr="001E686E">
              <w:rPr>
                <w:rFonts w:ascii="Times New Roman" w:hAnsi="Times New Roman"/>
                <w:sz w:val="24"/>
                <w:szCs w:val="24"/>
                <w:lang w:eastAsia="sk-SK"/>
              </w:rPr>
              <w:t xml:space="preserve">v tom: </w:t>
            </w:r>
            <w:r w:rsidRPr="00B525E2">
              <w:rPr>
                <w:rFonts w:ascii="Times New Roman" w:hAnsi="Times New Roman"/>
                <w:i/>
                <w:sz w:val="24"/>
                <w:szCs w:val="24"/>
                <w:lang w:eastAsia="sk-SK"/>
              </w:rPr>
              <w:t>kapitola MF SR/072 Výber daní a cla</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B525E2">
              <w:rPr>
                <w:rFonts w:ascii="Times New Roman" w:hAnsi="Times New Roman"/>
                <w:sz w:val="24"/>
                <w:szCs w:val="24"/>
                <w:lang w:eastAsia="sk-SK"/>
              </w:rPr>
              <w:t>45 34</w:t>
            </w:r>
            <w:r>
              <w:rPr>
                <w:rFonts w:ascii="Times New Roman" w:hAnsi="Times New Roman"/>
                <w:sz w:val="24"/>
                <w:szCs w:val="24"/>
                <w:lang w:eastAsia="sk-SK"/>
              </w:rPr>
              <w:t>3</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B525E2">
              <w:rPr>
                <w:rFonts w:ascii="Times New Roman" w:hAnsi="Times New Roman"/>
                <w:sz w:val="24"/>
                <w:szCs w:val="24"/>
                <w:lang w:eastAsia="sk-SK"/>
              </w:rPr>
              <w:t>45 34</w:t>
            </w:r>
            <w:r>
              <w:rPr>
                <w:rFonts w:ascii="Times New Roman" w:hAnsi="Times New Roman"/>
                <w:sz w:val="24"/>
                <w:szCs w:val="24"/>
                <w:lang w:eastAsia="sk-SK"/>
              </w:rPr>
              <w:t>3</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B525E2">
              <w:rPr>
                <w:rFonts w:ascii="Times New Roman" w:hAnsi="Times New Roman"/>
                <w:sz w:val="24"/>
                <w:szCs w:val="24"/>
                <w:lang w:eastAsia="sk-SK"/>
              </w:rPr>
              <w:t>45 343</w:t>
            </w:r>
          </w:p>
        </w:tc>
      </w:tr>
      <w:tr w:rsidR="0045196E" w:rsidRPr="001E686E" w:rsidTr="004B6BB8">
        <w:trPr>
          <w:trHeight w:val="70"/>
          <w:jc w:val="center"/>
        </w:trPr>
        <w:tc>
          <w:tcPr>
            <w:tcW w:w="4661" w:type="dxa"/>
            <w:noWrap/>
            <w:vAlign w:val="center"/>
          </w:tcPr>
          <w:p w:rsidR="0045196E" w:rsidRPr="00B525E2" w:rsidRDefault="0045196E" w:rsidP="004B6BB8">
            <w:pPr>
              <w:spacing w:after="0" w:line="240" w:lineRule="auto"/>
              <w:rPr>
                <w:rFonts w:ascii="Times New Roman" w:hAnsi="Times New Roman"/>
                <w:i/>
                <w:sz w:val="24"/>
                <w:szCs w:val="24"/>
                <w:lang w:eastAsia="sk-SK"/>
              </w:rPr>
            </w:pPr>
            <w:r w:rsidRPr="00B525E2">
              <w:rPr>
                <w:rFonts w:ascii="Times New Roman" w:hAnsi="Times New Roman"/>
                <w:i/>
                <w:sz w:val="24"/>
                <w:szCs w:val="24"/>
                <w:lang w:eastAsia="sk-SK"/>
              </w:rPr>
              <w:t>Kapitola MF SR/0EK 0D IT financované zo ŠR – MF SR</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2 500 000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139 092</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278 184</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C2031F">
              <w:rPr>
                <w:rFonts w:ascii="Times New Roman" w:hAnsi="Times New Roman"/>
                <w:sz w:val="24"/>
                <w:szCs w:val="24"/>
                <w:lang w:eastAsia="sk-SK"/>
              </w:rPr>
              <w:t>278 184</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xml:space="preserve">z toho: </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ŠR</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2 500 000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C2031F">
              <w:rPr>
                <w:rFonts w:ascii="Times New Roman" w:hAnsi="Times New Roman"/>
                <w:b/>
                <w:bCs/>
                <w:iCs/>
                <w:sz w:val="24"/>
                <w:szCs w:val="24"/>
                <w:lang w:eastAsia="sk-SK"/>
              </w:rPr>
              <w:t>184 435</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C2031F">
              <w:rPr>
                <w:rFonts w:ascii="Times New Roman" w:hAnsi="Times New Roman"/>
                <w:b/>
                <w:bCs/>
                <w:iCs/>
                <w:sz w:val="24"/>
                <w:szCs w:val="24"/>
                <w:lang w:eastAsia="sk-SK"/>
              </w:rPr>
              <w:t>323 527</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C2031F">
              <w:rPr>
                <w:rFonts w:ascii="Times New Roman" w:hAnsi="Times New Roman"/>
                <w:b/>
                <w:bCs/>
                <w:iCs/>
                <w:sz w:val="24"/>
                <w:szCs w:val="24"/>
                <w:lang w:eastAsia="sk-SK"/>
              </w:rPr>
              <w:t>323 527</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ind w:left="259"/>
              <w:rPr>
                <w:rFonts w:ascii="Times New Roman" w:hAnsi="Times New Roman"/>
                <w:b/>
                <w:bCs/>
                <w:i/>
                <w:iCs/>
                <w:sz w:val="24"/>
                <w:szCs w:val="24"/>
                <w:lang w:eastAsia="sk-SK"/>
              </w:rPr>
            </w:pPr>
            <w:r w:rsidRPr="001E686E">
              <w:rPr>
                <w:rFonts w:ascii="Times New Roman" w:hAnsi="Times New Roman"/>
                <w:bCs/>
                <w:i/>
                <w:iCs/>
                <w:sz w:val="24"/>
                <w:szCs w:val="24"/>
                <w:lang w:eastAsia="sk-SK"/>
              </w:rPr>
              <w:t>Rozpočtové prostriedky</w:t>
            </w:r>
          </w:p>
        </w:tc>
        <w:tc>
          <w:tcPr>
            <w:tcW w:w="1267" w:type="dxa"/>
            <w:noWrap/>
            <w:vAlign w:val="center"/>
          </w:tcPr>
          <w:p w:rsidR="0045196E" w:rsidRPr="007C4A5F" w:rsidRDefault="0045196E" w:rsidP="004B6BB8">
            <w:pPr>
              <w:spacing w:after="0" w:line="240" w:lineRule="auto"/>
              <w:jc w:val="right"/>
              <w:rPr>
                <w:rFonts w:ascii="Times New Roman" w:hAnsi="Times New Roman"/>
                <w:bCs/>
                <w:iCs/>
                <w:sz w:val="24"/>
                <w:szCs w:val="24"/>
                <w:lang w:eastAsia="sk-SK"/>
              </w:rPr>
            </w:pPr>
            <w:r w:rsidRPr="007C4A5F">
              <w:rPr>
                <w:rFonts w:ascii="Times New Roman" w:hAnsi="Times New Roman"/>
                <w:bCs/>
                <w:iCs/>
                <w:sz w:val="24"/>
                <w:szCs w:val="24"/>
                <w:lang w:eastAsia="sk-SK"/>
              </w:rPr>
              <w:t>2 500 000</w:t>
            </w:r>
          </w:p>
        </w:tc>
        <w:tc>
          <w:tcPr>
            <w:tcW w:w="1267" w:type="dxa"/>
            <w:noWrap/>
            <w:vAlign w:val="center"/>
          </w:tcPr>
          <w:p w:rsidR="0045196E" w:rsidRPr="007C4A5F" w:rsidRDefault="0045196E" w:rsidP="004B6BB8">
            <w:pPr>
              <w:spacing w:after="0" w:line="240" w:lineRule="auto"/>
              <w:jc w:val="right"/>
              <w:rPr>
                <w:rFonts w:ascii="Times New Roman" w:hAnsi="Times New Roman"/>
                <w:bCs/>
                <w:iCs/>
                <w:sz w:val="24"/>
                <w:szCs w:val="24"/>
                <w:lang w:eastAsia="sk-SK"/>
              </w:rPr>
            </w:pPr>
            <w:r w:rsidRPr="007C4A5F">
              <w:rPr>
                <w:rFonts w:ascii="Times New Roman" w:hAnsi="Times New Roman"/>
                <w:bCs/>
                <w:iCs/>
                <w:sz w:val="24"/>
                <w:szCs w:val="24"/>
                <w:lang w:eastAsia="sk-SK"/>
              </w:rPr>
              <w:t>184 435</w:t>
            </w:r>
          </w:p>
        </w:tc>
        <w:tc>
          <w:tcPr>
            <w:tcW w:w="1267" w:type="dxa"/>
            <w:noWrap/>
            <w:vAlign w:val="center"/>
          </w:tcPr>
          <w:p w:rsidR="0045196E" w:rsidRPr="007C4A5F" w:rsidRDefault="0045196E" w:rsidP="004B6BB8">
            <w:pPr>
              <w:spacing w:after="0" w:line="240" w:lineRule="auto"/>
              <w:jc w:val="right"/>
              <w:rPr>
                <w:rFonts w:ascii="Times New Roman" w:hAnsi="Times New Roman"/>
                <w:bCs/>
                <w:iCs/>
                <w:sz w:val="24"/>
                <w:szCs w:val="24"/>
                <w:lang w:eastAsia="sk-SK"/>
              </w:rPr>
            </w:pPr>
            <w:r w:rsidRPr="00C2031F">
              <w:rPr>
                <w:rFonts w:ascii="Times New Roman" w:hAnsi="Times New Roman"/>
                <w:bCs/>
                <w:iCs/>
                <w:sz w:val="24"/>
                <w:szCs w:val="24"/>
                <w:lang w:eastAsia="sk-SK"/>
              </w:rPr>
              <w:t>323 527</w:t>
            </w:r>
          </w:p>
        </w:tc>
        <w:tc>
          <w:tcPr>
            <w:tcW w:w="1267" w:type="dxa"/>
            <w:noWrap/>
            <w:vAlign w:val="center"/>
          </w:tcPr>
          <w:p w:rsidR="0045196E" w:rsidRPr="007C4A5F" w:rsidRDefault="0045196E" w:rsidP="004B6BB8">
            <w:pPr>
              <w:spacing w:after="0" w:line="240" w:lineRule="auto"/>
              <w:jc w:val="right"/>
              <w:rPr>
                <w:rFonts w:ascii="Times New Roman" w:hAnsi="Times New Roman"/>
                <w:bCs/>
                <w:iCs/>
                <w:sz w:val="24"/>
                <w:szCs w:val="24"/>
                <w:lang w:eastAsia="sk-SK"/>
              </w:rPr>
            </w:pPr>
            <w:r w:rsidRPr="00C2031F">
              <w:rPr>
                <w:rFonts w:ascii="Times New Roman" w:hAnsi="Times New Roman"/>
                <w:bCs/>
                <w:iCs/>
                <w:sz w:val="24"/>
                <w:szCs w:val="24"/>
                <w:lang w:eastAsia="sk-SK"/>
              </w:rPr>
              <w:t>323 527</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Cs/>
                <w:i/>
                <w:iCs/>
                <w:sz w:val="24"/>
                <w:szCs w:val="24"/>
                <w:lang w:eastAsia="sk-SK"/>
              </w:rPr>
            </w:pPr>
            <w:r w:rsidRPr="001E686E">
              <w:rPr>
                <w:rFonts w:ascii="Times New Roman" w:hAnsi="Times New Roman"/>
                <w:bCs/>
                <w:i/>
                <w:iCs/>
                <w:sz w:val="24"/>
                <w:szCs w:val="24"/>
                <w:lang w:eastAsia="sk-SK"/>
              </w:rPr>
              <w:t xml:space="preserve">    EÚ zdroje</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Cs/>
                <w:i/>
                <w:iCs/>
                <w:sz w:val="24"/>
                <w:szCs w:val="24"/>
                <w:lang w:eastAsia="sk-SK"/>
              </w:rPr>
            </w:pPr>
            <w:r w:rsidRPr="001E686E">
              <w:rPr>
                <w:rFonts w:ascii="Times New Roman" w:hAnsi="Times New Roman"/>
                <w:bCs/>
                <w:i/>
                <w:iCs/>
                <w:sz w:val="24"/>
                <w:szCs w:val="24"/>
                <w:lang w:eastAsia="sk-SK"/>
              </w:rPr>
              <w:t xml:space="preserve">    spolufinancovanie</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1E686E">
              <w:rPr>
                <w:rFonts w:ascii="Times New Roman" w:hAnsi="Times New Roman"/>
                <w:sz w:val="24"/>
                <w:szCs w:val="24"/>
                <w:lang w:eastAsia="sk-SK"/>
              </w:rPr>
              <w:t>0</w:t>
            </w:r>
          </w:p>
        </w:tc>
      </w:tr>
      <w:tr w:rsidR="0045196E" w:rsidRPr="001E686E" w:rsidTr="004B6BB8">
        <w:trPr>
          <w:trHeight w:val="125"/>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obce</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125"/>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vyššie územné celky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sz w:val="24"/>
                <w:szCs w:val="24"/>
                <w:lang w:eastAsia="sk-SK"/>
              </w:rPr>
            </w:pPr>
            <w:r w:rsidRPr="001E686E">
              <w:rPr>
                <w:rFonts w:ascii="Times New Roman" w:hAnsi="Times New Roman"/>
                <w:b/>
                <w:bCs/>
                <w:i/>
                <w:iCs/>
                <w:sz w:val="24"/>
                <w:szCs w:val="24"/>
                <w:lang w:eastAsia="sk-SK"/>
              </w:rPr>
              <w:t>- vplyv na ostatné subjekty verejnej správy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70"/>
          <w:jc w:val="center"/>
        </w:trPr>
        <w:tc>
          <w:tcPr>
            <w:tcW w:w="4661" w:type="dxa"/>
            <w:shd w:val="clear" w:color="auto" w:fill="BFBFBF" w:themeFill="background1" w:themeFillShade="BF"/>
            <w:noWrap/>
            <w:vAlign w:val="center"/>
          </w:tcPr>
          <w:p w:rsidR="0045196E" w:rsidRPr="001E686E" w:rsidRDefault="0045196E" w:rsidP="004B6BB8">
            <w:pPr>
              <w:spacing w:after="0" w:line="240" w:lineRule="auto"/>
              <w:rPr>
                <w:rFonts w:ascii="Times New Roman" w:hAnsi="Times New Roman"/>
                <w:b/>
                <w:bCs/>
                <w:sz w:val="24"/>
                <w:szCs w:val="24"/>
                <w:lang w:eastAsia="sk-SK"/>
              </w:rPr>
            </w:pPr>
            <w:r w:rsidRPr="001E686E">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ŠR</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2</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obce</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vyššie územné celky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ostatné subjekty verejnej správy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70"/>
          <w:jc w:val="center"/>
        </w:trPr>
        <w:tc>
          <w:tcPr>
            <w:tcW w:w="4661" w:type="dxa"/>
            <w:shd w:val="clear" w:color="auto" w:fill="BFBFBF" w:themeFill="background1" w:themeFillShade="BF"/>
            <w:noWrap/>
            <w:vAlign w:val="center"/>
          </w:tcPr>
          <w:p w:rsidR="0045196E" w:rsidRPr="001E686E" w:rsidRDefault="0045196E" w:rsidP="004B6BB8">
            <w:pPr>
              <w:spacing w:after="0" w:line="240" w:lineRule="auto"/>
              <w:rPr>
                <w:rFonts w:ascii="Times New Roman" w:hAnsi="Times New Roman"/>
                <w:b/>
                <w:sz w:val="24"/>
                <w:szCs w:val="24"/>
                <w:lang w:eastAsia="sk-SK"/>
              </w:rPr>
            </w:pPr>
            <w:r w:rsidRPr="001E686E">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sz w:val="24"/>
                <w:szCs w:val="24"/>
                <w:lang w:eastAsia="sk-SK"/>
              </w:rPr>
            </w:pPr>
            <w:r w:rsidRPr="001E686E">
              <w:rPr>
                <w:rFonts w:ascii="Times New Roman" w:hAnsi="Times New Roman"/>
                <w:b/>
                <w:sz w:val="24"/>
                <w:szCs w:val="24"/>
                <w:lang w:eastAsia="sk-SK"/>
              </w:rPr>
              <w:t>0</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sz w:val="24"/>
                <w:szCs w:val="24"/>
                <w:lang w:eastAsia="sk-SK"/>
              </w:rPr>
            </w:pPr>
            <w:r>
              <w:rPr>
                <w:rFonts w:ascii="Times New Roman" w:hAnsi="Times New Roman"/>
                <w:b/>
                <w:sz w:val="24"/>
                <w:szCs w:val="24"/>
                <w:lang w:eastAsia="sk-SK"/>
              </w:rPr>
              <w:t>33 600</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sz w:val="24"/>
                <w:szCs w:val="24"/>
                <w:lang w:eastAsia="sk-SK"/>
              </w:rPr>
            </w:pPr>
            <w:r w:rsidRPr="00B525E2">
              <w:rPr>
                <w:rFonts w:ascii="Times New Roman" w:hAnsi="Times New Roman"/>
                <w:b/>
                <w:sz w:val="24"/>
                <w:szCs w:val="24"/>
                <w:lang w:eastAsia="sk-SK"/>
              </w:rPr>
              <w:t>33 600</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sz w:val="24"/>
                <w:szCs w:val="24"/>
                <w:lang w:eastAsia="sk-SK"/>
              </w:rPr>
            </w:pPr>
            <w:r w:rsidRPr="00B525E2">
              <w:rPr>
                <w:rFonts w:ascii="Times New Roman" w:hAnsi="Times New Roman"/>
                <w:b/>
                <w:sz w:val="24"/>
                <w:szCs w:val="24"/>
                <w:lang w:eastAsia="sk-SK"/>
              </w:rPr>
              <w:t>33 600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ŠR</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B525E2">
              <w:rPr>
                <w:rFonts w:ascii="Times New Roman" w:hAnsi="Times New Roman"/>
                <w:b/>
                <w:bCs/>
                <w:iCs/>
                <w:sz w:val="24"/>
                <w:szCs w:val="24"/>
                <w:lang w:eastAsia="sk-SK"/>
              </w:rPr>
              <w:t>33 600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B525E2">
              <w:rPr>
                <w:rFonts w:ascii="Times New Roman" w:hAnsi="Times New Roman"/>
                <w:b/>
                <w:bCs/>
                <w:iCs/>
                <w:sz w:val="24"/>
                <w:szCs w:val="24"/>
                <w:lang w:eastAsia="sk-SK"/>
              </w:rPr>
              <w:t>33 600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B525E2">
              <w:rPr>
                <w:rFonts w:ascii="Times New Roman" w:hAnsi="Times New Roman"/>
                <w:b/>
                <w:bCs/>
                <w:iCs/>
                <w:sz w:val="24"/>
                <w:szCs w:val="24"/>
                <w:lang w:eastAsia="sk-SK"/>
              </w:rPr>
              <w:t>33 600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obce</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i/>
                <w:iCs/>
                <w:sz w:val="24"/>
                <w:szCs w:val="24"/>
                <w:lang w:eastAsia="sk-SK"/>
              </w:rPr>
            </w:pPr>
            <w:r w:rsidRPr="001E686E">
              <w:rPr>
                <w:rFonts w:ascii="Times New Roman" w:hAnsi="Times New Roman"/>
                <w:b/>
                <w:bCs/>
                <w:i/>
                <w:iCs/>
                <w:sz w:val="24"/>
                <w:szCs w:val="24"/>
                <w:lang w:eastAsia="sk-SK"/>
              </w:rPr>
              <w:t>- vplyv na vyššie územné celky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b/>
                <w:bCs/>
                <w:sz w:val="24"/>
                <w:szCs w:val="24"/>
                <w:lang w:eastAsia="sk-SK"/>
              </w:rPr>
            </w:pPr>
            <w:r w:rsidRPr="001E686E">
              <w:rPr>
                <w:rFonts w:ascii="Times New Roman" w:hAnsi="Times New Roman"/>
                <w:b/>
                <w:bCs/>
                <w:i/>
                <w:iCs/>
                <w:sz w:val="24"/>
                <w:szCs w:val="24"/>
                <w:lang w:eastAsia="sk-SK"/>
              </w:rPr>
              <w:t>- vplyv na ostatné subjekty verejnej správy</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b/>
                <w:bCs/>
                <w:iCs/>
                <w:sz w:val="24"/>
                <w:szCs w:val="24"/>
                <w:lang w:eastAsia="sk-SK"/>
              </w:rPr>
            </w:pPr>
            <w:r w:rsidRPr="001E686E">
              <w:rPr>
                <w:rFonts w:ascii="Times New Roman" w:hAnsi="Times New Roman"/>
                <w:b/>
                <w:bCs/>
                <w:iCs/>
                <w:sz w:val="24"/>
                <w:szCs w:val="24"/>
                <w:lang w:eastAsia="sk-SK"/>
              </w:rPr>
              <w:t>0</w:t>
            </w:r>
          </w:p>
        </w:tc>
      </w:tr>
      <w:tr w:rsidR="0045196E" w:rsidRPr="001E686E" w:rsidTr="004B6BB8">
        <w:trPr>
          <w:trHeight w:val="70"/>
          <w:jc w:val="center"/>
        </w:trPr>
        <w:tc>
          <w:tcPr>
            <w:tcW w:w="4661" w:type="dxa"/>
            <w:shd w:val="clear" w:color="auto" w:fill="C0C0C0"/>
            <w:noWrap/>
            <w:vAlign w:val="center"/>
          </w:tcPr>
          <w:p w:rsidR="0045196E" w:rsidRPr="001E686E" w:rsidRDefault="0045196E" w:rsidP="004B6BB8">
            <w:pPr>
              <w:spacing w:after="0" w:line="240" w:lineRule="auto"/>
              <w:rPr>
                <w:rFonts w:ascii="Times New Roman" w:hAnsi="Times New Roman"/>
                <w:b/>
                <w:bCs/>
                <w:sz w:val="24"/>
                <w:szCs w:val="24"/>
                <w:lang w:eastAsia="sk-SK"/>
              </w:rPr>
            </w:pPr>
            <w:r w:rsidRPr="001E686E">
              <w:rPr>
                <w:rFonts w:ascii="Times New Roman" w:hAnsi="Times New Roman"/>
                <w:b/>
                <w:bCs/>
                <w:sz w:val="24"/>
                <w:szCs w:val="24"/>
                <w:lang w:eastAsia="sk-SK"/>
              </w:rPr>
              <w:t>Financovanie zabezpečené v rozpočte</w:t>
            </w:r>
          </w:p>
        </w:tc>
        <w:tc>
          <w:tcPr>
            <w:tcW w:w="1267" w:type="dxa"/>
            <w:shd w:val="clear" w:color="auto" w:fill="C0C0C0"/>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2 500 000</w:t>
            </w:r>
          </w:p>
        </w:tc>
        <w:tc>
          <w:tcPr>
            <w:tcW w:w="1267" w:type="dxa"/>
            <w:shd w:val="clear" w:color="auto" w:fill="C0C0C0"/>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C2031F">
              <w:rPr>
                <w:rFonts w:ascii="Times New Roman" w:hAnsi="Times New Roman"/>
                <w:b/>
                <w:bCs/>
                <w:sz w:val="24"/>
                <w:szCs w:val="24"/>
                <w:lang w:eastAsia="sk-SK"/>
              </w:rPr>
              <w:t>184 435</w:t>
            </w:r>
          </w:p>
        </w:tc>
        <w:tc>
          <w:tcPr>
            <w:tcW w:w="1267" w:type="dxa"/>
            <w:shd w:val="clear" w:color="auto" w:fill="C0C0C0"/>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C2031F">
              <w:rPr>
                <w:rFonts w:ascii="Times New Roman" w:hAnsi="Times New Roman"/>
                <w:b/>
                <w:bCs/>
                <w:sz w:val="24"/>
                <w:szCs w:val="24"/>
                <w:lang w:eastAsia="sk-SK"/>
              </w:rPr>
              <w:t>323 527</w:t>
            </w:r>
          </w:p>
        </w:tc>
        <w:tc>
          <w:tcPr>
            <w:tcW w:w="1267" w:type="dxa"/>
            <w:shd w:val="clear" w:color="auto" w:fill="C0C0C0"/>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C2031F">
              <w:rPr>
                <w:rFonts w:ascii="Times New Roman" w:hAnsi="Times New Roman"/>
                <w:b/>
                <w:bCs/>
                <w:sz w:val="24"/>
                <w:szCs w:val="24"/>
                <w:lang w:eastAsia="sk-SK"/>
              </w:rPr>
              <w:t>323 527</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sz w:val="24"/>
                <w:szCs w:val="24"/>
                <w:lang w:eastAsia="sk-SK"/>
              </w:rPr>
            </w:pPr>
            <w:r w:rsidRPr="001E686E">
              <w:rPr>
                <w:rFonts w:ascii="Times New Roman" w:hAnsi="Times New Roman"/>
                <w:sz w:val="24"/>
                <w:szCs w:val="24"/>
                <w:lang w:eastAsia="sk-SK"/>
              </w:rPr>
              <w:t xml:space="preserve">v tom: </w:t>
            </w:r>
            <w:r w:rsidRPr="00B971C2">
              <w:rPr>
                <w:rFonts w:ascii="Times New Roman" w:hAnsi="Times New Roman"/>
                <w:i/>
                <w:sz w:val="24"/>
                <w:szCs w:val="24"/>
                <w:lang w:eastAsia="sk-SK"/>
              </w:rPr>
              <w:t>kapitola MF SR/072 Výber daní a cla</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0</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B971C2">
              <w:rPr>
                <w:rFonts w:ascii="Times New Roman" w:hAnsi="Times New Roman"/>
                <w:sz w:val="24"/>
                <w:szCs w:val="24"/>
                <w:lang w:eastAsia="sk-SK"/>
              </w:rPr>
              <w:t>45 343</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B971C2">
              <w:rPr>
                <w:rFonts w:ascii="Times New Roman" w:hAnsi="Times New Roman"/>
                <w:sz w:val="24"/>
                <w:szCs w:val="24"/>
                <w:lang w:eastAsia="sk-SK"/>
              </w:rPr>
              <w:t>45 343</w:t>
            </w:r>
          </w:p>
        </w:tc>
        <w:tc>
          <w:tcPr>
            <w:tcW w:w="1267" w:type="dxa"/>
            <w:noWrap/>
            <w:vAlign w:val="center"/>
          </w:tcPr>
          <w:p w:rsidR="0045196E" w:rsidRPr="001E686E" w:rsidRDefault="0045196E" w:rsidP="004B6BB8">
            <w:pPr>
              <w:spacing w:after="0" w:line="240" w:lineRule="auto"/>
              <w:jc w:val="right"/>
              <w:rPr>
                <w:rFonts w:ascii="Times New Roman" w:hAnsi="Times New Roman"/>
                <w:sz w:val="24"/>
                <w:szCs w:val="24"/>
                <w:lang w:eastAsia="sk-SK"/>
              </w:rPr>
            </w:pPr>
            <w:r w:rsidRPr="00B971C2">
              <w:rPr>
                <w:rFonts w:ascii="Times New Roman" w:hAnsi="Times New Roman"/>
                <w:sz w:val="24"/>
                <w:szCs w:val="24"/>
                <w:lang w:eastAsia="sk-SK"/>
              </w:rPr>
              <w:t>45 343</w:t>
            </w:r>
          </w:p>
        </w:tc>
      </w:tr>
      <w:tr w:rsidR="0045196E" w:rsidRPr="001E686E" w:rsidTr="004B6BB8">
        <w:trPr>
          <w:trHeight w:val="70"/>
          <w:jc w:val="center"/>
        </w:trPr>
        <w:tc>
          <w:tcPr>
            <w:tcW w:w="4661" w:type="dxa"/>
            <w:noWrap/>
            <w:vAlign w:val="center"/>
          </w:tcPr>
          <w:p w:rsidR="0045196E" w:rsidRPr="001E686E" w:rsidRDefault="0045196E" w:rsidP="004B6BB8">
            <w:pPr>
              <w:spacing w:after="0" w:line="240" w:lineRule="auto"/>
              <w:rPr>
                <w:rFonts w:ascii="Times New Roman" w:hAnsi="Times New Roman"/>
                <w:sz w:val="24"/>
                <w:szCs w:val="24"/>
                <w:lang w:eastAsia="sk-SK"/>
              </w:rPr>
            </w:pPr>
            <w:r w:rsidRPr="00B971C2">
              <w:rPr>
                <w:rFonts w:ascii="Times New Roman" w:hAnsi="Times New Roman"/>
                <w:sz w:val="24"/>
                <w:szCs w:val="24"/>
                <w:lang w:eastAsia="sk-SK"/>
              </w:rPr>
              <w:t>Kapitola MF SR/0EK 0D IT financované zo ŠR – MF SR</w:t>
            </w:r>
          </w:p>
        </w:tc>
        <w:tc>
          <w:tcPr>
            <w:tcW w:w="1267" w:type="dxa"/>
            <w:noWrap/>
            <w:vAlign w:val="center"/>
          </w:tcPr>
          <w:p w:rsidR="0045196E" w:rsidRDefault="0045196E" w:rsidP="004B6BB8">
            <w:pPr>
              <w:spacing w:after="0" w:line="240" w:lineRule="auto"/>
              <w:jc w:val="right"/>
              <w:rPr>
                <w:rFonts w:ascii="Times New Roman" w:hAnsi="Times New Roman"/>
                <w:sz w:val="24"/>
                <w:szCs w:val="24"/>
                <w:lang w:eastAsia="sk-SK"/>
              </w:rPr>
            </w:pPr>
            <w:r w:rsidRPr="00B971C2">
              <w:rPr>
                <w:rFonts w:ascii="Times New Roman" w:hAnsi="Times New Roman"/>
                <w:sz w:val="24"/>
                <w:szCs w:val="24"/>
                <w:lang w:eastAsia="sk-SK"/>
              </w:rPr>
              <w:t>2 500 000</w:t>
            </w:r>
          </w:p>
        </w:tc>
        <w:tc>
          <w:tcPr>
            <w:tcW w:w="1267" w:type="dxa"/>
            <w:noWrap/>
            <w:vAlign w:val="center"/>
          </w:tcPr>
          <w:p w:rsidR="0045196E" w:rsidRPr="00C2031F" w:rsidRDefault="0045196E" w:rsidP="004B6BB8">
            <w:pPr>
              <w:spacing w:after="0" w:line="240" w:lineRule="auto"/>
              <w:jc w:val="right"/>
              <w:rPr>
                <w:rFonts w:ascii="Times New Roman" w:hAnsi="Times New Roman"/>
                <w:sz w:val="24"/>
                <w:szCs w:val="24"/>
                <w:lang w:eastAsia="sk-SK"/>
              </w:rPr>
            </w:pPr>
            <w:r w:rsidRPr="00B971C2">
              <w:rPr>
                <w:rFonts w:ascii="Times New Roman" w:hAnsi="Times New Roman"/>
                <w:sz w:val="24"/>
                <w:szCs w:val="24"/>
                <w:lang w:eastAsia="sk-SK"/>
              </w:rPr>
              <w:t>139 092</w:t>
            </w:r>
          </w:p>
        </w:tc>
        <w:tc>
          <w:tcPr>
            <w:tcW w:w="1267" w:type="dxa"/>
            <w:noWrap/>
            <w:vAlign w:val="center"/>
          </w:tcPr>
          <w:p w:rsidR="0045196E" w:rsidRPr="00C2031F" w:rsidRDefault="0045196E" w:rsidP="004B6BB8">
            <w:pPr>
              <w:spacing w:after="0" w:line="240" w:lineRule="auto"/>
              <w:jc w:val="right"/>
              <w:rPr>
                <w:rFonts w:ascii="Times New Roman" w:hAnsi="Times New Roman"/>
                <w:sz w:val="24"/>
                <w:szCs w:val="24"/>
                <w:lang w:eastAsia="sk-SK"/>
              </w:rPr>
            </w:pPr>
            <w:r w:rsidRPr="00B971C2">
              <w:rPr>
                <w:rFonts w:ascii="Times New Roman" w:hAnsi="Times New Roman"/>
                <w:sz w:val="24"/>
                <w:szCs w:val="24"/>
                <w:lang w:eastAsia="sk-SK"/>
              </w:rPr>
              <w:t>278 184</w:t>
            </w:r>
          </w:p>
        </w:tc>
        <w:tc>
          <w:tcPr>
            <w:tcW w:w="1267" w:type="dxa"/>
            <w:noWrap/>
            <w:vAlign w:val="center"/>
          </w:tcPr>
          <w:p w:rsidR="0045196E" w:rsidRPr="00C2031F" w:rsidRDefault="0045196E" w:rsidP="004B6BB8">
            <w:pPr>
              <w:spacing w:after="0" w:line="240" w:lineRule="auto"/>
              <w:jc w:val="right"/>
              <w:rPr>
                <w:rFonts w:ascii="Times New Roman" w:hAnsi="Times New Roman"/>
                <w:sz w:val="24"/>
                <w:szCs w:val="24"/>
                <w:lang w:eastAsia="sk-SK"/>
              </w:rPr>
            </w:pPr>
            <w:r w:rsidRPr="00B971C2">
              <w:rPr>
                <w:rFonts w:ascii="Times New Roman" w:hAnsi="Times New Roman"/>
                <w:sz w:val="24"/>
                <w:szCs w:val="24"/>
                <w:lang w:eastAsia="sk-SK"/>
              </w:rPr>
              <w:t>278 184</w:t>
            </w:r>
          </w:p>
        </w:tc>
      </w:tr>
      <w:tr w:rsidR="0045196E" w:rsidRPr="001E686E" w:rsidTr="004B6BB8">
        <w:trPr>
          <w:trHeight w:val="70"/>
          <w:jc w:val="center"/>
        </w:trPr>
        <w:tc>
          <w:tcPr>
            <w:tcW w:w="4661" w:type="dxa"/>
            <w:shd w:val="clear" w:color="auto" w:fill="BFBFBF" w:themeFill="background1" w:themeFillShade="BF"/>
            <w:noWrap/>
            <w:vAlign w:val="center"/>
          </w:tcPr>
          <w:p w:rsidR="0045196E" w:rsidRPr="001E686E" w:rsidRDefault="0045196E" w:rsidP="004B6BB8">
            <w:pPr>
              <w:spacing w:after="0" w:line="240" w:lineRule="auto"/>
              <w:rPr>
                <w:rFonts w:ascii="Times New Roman" w:hAnsi="Times New Roman"/>
                <w:b/>
                <w:sz w:val="24"/>
                <w:szCs w:val="24"/>
                <w:lang w:eastAsia="sk-SK"/>
              </w:rPr>
            </w:pPr>
            <w:r w:rsidRPr="001E686E">
              <w:rPr>
                <w:rFonts w:ascii="Times New Roman" w:hAnsi="Times New Roman"/>
                <w:b/>
                <w:sz w:val="24"/>
                <w:szCs w:val="24"/>
                <w:lang w:eastAsia="sk-SK"/>
              </w:rPr>
              <w:t>Iné ako rozpočtové zdroje</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sidRPr="001E686E">
              <w:rPr>
                <w:rFonts w:ascii="Times New Roman" w:hAnsi="Times New Roman"/>
                <w:b/>
                <w:bCs/>
                <w:sz w:val="24"/>
                <w:szCs w:val="24"/>
                <w:lang w:eastAsia="sk-SK"/>
              </w:rPr>
              <w:t>0</w:t>
            </w:r>
          </w:p>
        </w:tc>
      </w:tr>
      <w:tr w:rsidR="0045196E" w:rsidRPr="001E686E" w:rsidTr="004B6BB8">
        <w:trPr>
          <w:trHeight w:val="70"/>
          <w:jc w:val="center"/>
        </w:trPr>
        <w:tc>
          <w:tcPr>
            <w:tcW w:w="4661" w:type="dxa"/>
            <w:shd w:val="clear" w:color="auto" w:fill="A6A6A6" w:themeFill="background1" w:themeFillShade="A6"/>
            <w:noWrap/>
            <w:vAlign w:val="center"/>
          </w:tcPr>
          <w:p w:rsidR="0045196E" w:rsidRPr="001E686E" w:rsidRDefault="0045196E" w:rsidP="004B6BB8">
            <w:pPr>
              <w:spacing w:after="0" w:line="240" w:lineRule="auto"/>
              <w:rPr>
                <w:rFonts w:ascii="Times New Roman" w:hAnsi="Times New Roman"/>
                <w:b/>
                <w:bCs/>
                <w:sz w:val="24"/>
                <w:szCs w:val="24"/>
                <w:lang w:eastAsia="sk-SK"/>
              </w:rPr>
            </w:pPr>
            <w:r w:rsidRPr="001E686E">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267" w:type="dxa"/>
            <w:shd w:val="clear" w:color="auto" w:fill="A6A6A6" w:themeFill="background1" w:themeFillShade="A6"/>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iCs/>
                <w:sz w:val="24"/>
                <w:szCs w:val="24"/>
                <w:lang w:eastAsia="sk-SK"/>
              </w:rPr>
              <w:t>0</w:t>
            </w:r>
          </w:p>
        </w:tc>
        <w:tc>
          <w:tcPr>
            <w:tcW w:w="1267" w:type="dxa"/>
            <w:shd w:val="clear" w:color="auto" w:fill="A6A6A6" w:themeFill="background1" w:themeFillShade="A6"/>
            <w:noWrap/>
            <w:vAlign w:val="center"/>
          </w:tcPr>
          <w:p w:rsidR="0045196E" w:rsidRPr="001E686E" w:rsidRDefault="0045196E" w:rsidP="004B6BB8">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bl>
    <w:p w:rsidR="0045196E" w:rsidRPr="001E686E" w:rsidRDefault="0045196E" w:rsidP="0045196E">
      <w:pPr>
        <w:spacing w:after="0" w:line="240" w:lineRule="auto"/>
        <w:rPr>
          <w:rFonts w:ascii="Times New Roman" w:hAnsi="Times New Roman"/>
          <w:b/>
          <w:bCs/>
          <w:sz w:val="24"/>
          <w:szCs w:val="24"/>
          <w:lang w:eastAsia="sk-SK"/>
        </w:rPr>
      </w:pPr>
    </w:p>
    <w:p w:rsidR="0045196E" w:rsidRPr="00FB6E79" w:rsidRDefault="0045196E" w:rsidP="0045196E">
      <w:pPr>
        <w:rPr>
          <w:rFonts w:ascii="Times New Roman" w:hAnsi="Times New Roman"/>
          <w:b/>
          <w:bCs/>
          <w:sz w:val="24"/>
          <w:szCs w:val="24"/>
          <w:lang w:eastAsia="sk-SK"/>
        </w:rPr>
      </w:pPr>
      <w:r w:rsidRPr="001E686E">
        <w:rPr>
          <w:rFonts w:ascii="Times New Roman" w:hAnsi="Times New Roman"/>
          <w:b/>
          <w:bCs/>
          <w:sz w:val="24"/>
          <w:szCs w:val="24"/>
          <w:lang w:eastAsia="sk-SK"/>
        </w:rPr>
        <w:br w:type="page"/>
      </w:r>
    </w:p>
    <w:p w:rsidR="00992894" w:rsidRDefault="00992894" w:rsidP="0045196E">
      <w:pPr>
        <w:widowControl w:val="0"/>
        <w:adjustRightInd w:val="0"/>
        <w:spacing w:after="0" w:line="240" w:lineRule="auto"/>
        <w:rPr>
          <w:rFonts w:ascii="Times New Roman" w:hAnsi="Times New Roman"/>
          <w:b/>
          <w:bCs/>
          <w:sz w:val="24"/>
          <w:szCs w:val="24"/>
          <w:lang w:eastAsia="sk-SK"/>
        </w:rPr>
      </w:pPr>
    </w:p>
    <w:p w:rsidR="0045196E" w:rsidRPr="00FB6E79" w:rsidRDefault="0045196E" w:rsidP="0045196E">
      <w:pPr>
        <w:widowControl w:val="0"/>
        <w:adjustRightInd w:val="0"/>
        <w:spacing w:after="0" w:line="240" w:lineRule="auto"/>
        <w:rPr>
          <w:rFonts w:ascii="Times New Roman" w:hAnsi="Times New Roman"/>
          <w:b/>
          <w:bCs/>
          <w:sz w:val="24"/>
          <w:szCs w:val="24"/>
          <w:lang w:eastAsia="sk-SK"/>
        </w:rPr>
      </w:pPr>
      <w:r w:rsidRPr="00FB6E79">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45196E" w:rsidRPr="00FB6E79" w:rsidRDefault="0045196E" w:rsidP="0045196E">
      <w:pPr>
        <w:widowControl w:val="0"/>
        <w:adjustRightInd w:val="0"/>
        <w:spacing w:after="0" w:line="240" w:lineRule="auto"/>
        <w:jc w:val="both"/>
        <w:rPr>
          <w:rFonts w:ascii="Times New Roman" w:hAnsi="Times New Roman"/>
          <w:b/>
          <w:bCs/>
          <w:sz w:val="24"/>
          <w:szCs w:val="24"/>
          <w:lang w:eastAsia="sk-SK"/>
        </w:rPr>
      </w:pPr>
    </w:p>
    <w:p w:rsidR="0045196E" w:rsidRPr="00FB6E79" w:rsidRDefault="0045196E" w:rsidP="0045196E">
      <w:pPr>
        <w:widowControl w:val="0"/>
        <w:pBdr>
          <w:top w:val="single" w:sz="4" w:space="1" w:color="auto"/>
          <w:left w:val="single" w:sz="4" w:space="4" w:color="auto"/>
          <w:bottom w:val="single" w:sz="4" w:space="0" w:color="auto"/>
          <w:right w:val="single" w:sz="4" w:space="4" w:color="auto"/>
        </w:pBdr>
        <w:adjustRightInd w:val="0"/>
        <w:spacing w:after="0" w:line="240" w:lineRule="auto"/>
        <w:rPr>
          <w:rFonts w:ascii="Times New Roman" w:hAnsi="Times New Roman"/>
          <w:b/>
          <w:bCs/>
          <w:sz w:val="24"/>
          <w:szCs w:val="24"/>
          <w:lang w:eastAsia="sk-SK"/>
        </w:rPr>
      </w:pPr>
      <w:r w:rsidRPr="007C4A5F">
        <w:rPr>
          <w:rFonts w:ascii="Times New Roman" w:hAnsi="Times New Roman"/>
          <w:b/>
          <w:bCs/>
          <w:sz w:val="24"/>
          <w:szCs w:val="24"/>
          <w:lang w:eastAsia="sk-SK"/>
        </w:rPr>
        <w:t>Kvantifikované vplyvy budú rozpočtovo zabezpečené v rámci schválených limitov rozpočtu verejnej správy na príslušné rozpočtové roky.</w:t>
      </w:r>
    </w:p>
    <w:p w:rsidR="0045196E" w:rsidRPr="00FB6E79" w:rsidRDefault="0045196E" w:rsidP="0045196E">
      <w:pPr>
        <w:widowControl w:val="0"/>
        <w:pBdr>
          <w:top w:val="single" w:sz="4" w:space="1" w:color="auto"/>
          <w:left w:val="single" w:sz="4" w:space="4" w:color="auto"/>
          <w:bottom w:val="single" w:sz="4" w:space="0" w:color="auto"/>
          <w:right w:val="single" w:sz="4" w:space="4" w:color="auto"/>
        </w:pBdr>
        <w:adjustRightInd w:val="0"/>
        <w:spacing w:after="0" w:line="240" w:lineRule="auto"/>
        <w:rPr>
          <w:rFonts w:ascii="Times New Roman" w:hAnsi="Times New Roman"/>
          <w:b/>
          <w:bCs/>
          <w:sz w:val="24"/>
          <w:szCs w:val="24"/>
          <w:lang w:eastAsia="sk-SK"/>
        </w:rPr>
      </w:pPr>
    </w:p>
    <w:p w:rsidR="0045196E" w:rsidRPr="00FB6E79" w:rsidRDefault="0045196E" w:rsidP="0045196E">
      <w:pPr>
        <w:widowControl w:val="0"/>
        <w:pBdr>
          <w:top w:val="single" w:sz="4" w:space="1" w:color="auto"/>
          <w:left w:val="single" w:sz="4" w:space="4" w:color="auto"/>
          <w:bottom w:val="single" w:sz="4" w:space="0" w:color="auto"/>
          <w:right w:val="single" w:sz="4" w:space="4" w:color="auto"/>
        </w:pBdr>
        <w:adjustRightInd w:val="0"/>
        <w:spacing w:after="0" w:line="240" w:lineRule="auto"/>
        <w:rPr>
          <w:rFonts w:ascii="Times New Roman" w:hAnsi="Times New Roman"/>
          <w:b/>
          <w:bCs/>
          <w:sz w:val="24"/>
          <w:szCs w:val="24"/>
          <w:lang w:eastAsia="sk-SK"/>
        </w:rPr>
      </w:pPr>
    </w:p>
    <w:p w:rsidR="0045196E" w:rsidRPr="00FB6E79" w:rsidRDefault="0045196E" w:rsidP="0045196E">
      <w:pPr>
        <w:widowControl w:val="0"/>
        <w:adjustRightInd w:val="0"/>
        <w:spacing w:after="0" w:line="240" w:lineRule="auto"/>
        <w:rPr>
          <w:rFonts w:ascii="Times New Roman" w:hAnsi="Times New Roman"/>
          <w:b/>
          <w:bCs/>
          <w:sz w:val="24"/>
          <w:szCs w:val="24"/>
          <w:lang w:eastAsia="sk-SK"/>
        </w:rPr>
      </w:pPr>
      <w:r w:rsidRPr="00FB6E79">
        <w:rPr>
          <w:rFonts w:ascii="Times New Roman" w:hAnsi="Times New Roman"/>
          <w:b/>
          <w:bCs/>
          <w:sz w:val="24"/>
          <w:szCs w:val="24"/>
          <w:lang w:eastAsia="sk-SK"/>
        </w:rPr>
        <w:t>2.2. Popis a charakteristika návrhu</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FB6E79" w:rsidRDefault="0045196E" w:rsidP="0045196E">
      <w:pPr>
        <w:widowControl w:val="0"/>
        <w:adjustRightInd w:val="0"/>
        <w:spacing w:after="0" w:line="240" w:lineRule="auto"/>
        <w:jc w:val="both"/>
        <w:rPr>
          <w:rFonts w:ascii="Times New Roman" w:hAnsi="Times New Roman"/>
          <w:b/>
          <w:bCs/>
          <w:sz w:val="24"/>
          <w:szCs w:val="24"/>
          <w:lang w:eastAsia="sk-SK"/>
        </w:rPr>
      </w:pPr>
      <w:r w:rsidRPr="00FB6E79">
        <w:rPr>
          <w:rFonts w:ascii="Times New Roman" w:hAnsi="Times New Roman"/>
          <w:b/>
          <w:bCs/>
          <w:sz w:val="24"/>
          <w:szCs w:val="24"/>
          <w:lang w:eastAsia="sk-SK"/>
        </w:rPr>
        <w:t>2.2.1. Popis návrhu:</w:t>
      </w:r>
    </w:p>
    <w:p w:rsidR="0045196E" w:rsidRPr="00FB6E79" w:rsidRDefault="0045196E" w:rsidP="0045196E">
      <w:pPr>
        <w:widowControl w:val="0"/>
        <w:adjustRightInd w:val="0"/>
        <w:spacing w:after="0" w:line="240" w:lineRule="auto"/>
        <w:jc w:val="both"/>
        <w:rPr>
          <w:rFonts w:ascii="Times New Roman" w:hAnsi="Times New Roman"/>
          <w:b/>
          <w:bCs/>
          <w:sz w:val="24"/>
          <w:szCs w:val="24"/>
          <w:lang w:eastAsia="sk-SK"/>
        </w:rPr>
      </w:pPr>
    </w:p>
    <w:p w:rsidR="0045196E" w:rsidRPr="00FB6E79" w:rsidRDefault="0045196E" w:rsidP="0045196E">
      <w:pPr>
        <w:widowControl w:val="0"/>
        <w:adjustRightInd w:val="0"/>
        <w:spacing w:after="0" w:line="240" w:lineRule="auto"/>
        <w:ind w:firstLine="708"/>
        <w:jc w:val="both"/>
        <w:rPr>
          <w:rFonts w:ascii="Times New Roman" w:hAnsi="Times New Roman"/>
          <w:sz w:val="24"/>
          <w:szCs w:val="24"/>
          <w:lang w:eastAsia="sk-SK"/>
        </w:rPr>
      </w:pPr>
      <w:r w:rsidRPr="00FB6E79">
        <w:rPr>
          <w:rFonts w:ascii="Times New Roman" w:hAnsi="Times New Roman"/>
          <w:sz w:val="24"/>
          <w:szCs w:val="24"/>
          <w:lang w:eastAsia="sk-SK"/>
        </w:rPr>
        <w:t>Akú problematiku návrh rieši? Kto bude návrh implementovať? Kde sa budú služby poskytovať?</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9E0C8C" w:rsidRDefault="0045196E" w:rsidP="0045196E">
      <w:pPr>
        <w:widowControl w:val="0"/>
        <w:adjustRightInd w:val="0"/>
        <w:spacing w:after="0" w:line="240" w:lineRule="auto"/>
        <w:jc w:val="both"/>
        <w:rPr>
          <w:rFonts w:ascii="Times New Roman" w:hAnsi="Times New Roman"/>
          <w:bCs/>
          <w:sz w:val="24"/>
          <w:szCs w:val="24"/>
          <w:lang w:eastAsia="sk-SK"/>
        </w:rPr>
      </w:pPr>
      <w:r w:rsidRPr="006F23E7">
        <w:rPr>
          <w:rFonts w:ascii="Times New Roman" w:hAnsi="Times New Roman"/>
          <w:sz w:val="24"/>
          <w:szCs w:val="24"/>
          <w:lang w:eastAsia="sk-SK"/>
        </w:rPr>
        <w:t xml:space="preserve">Návrh zákona, </w:t>
      </w:r>
      <w:r w:rsidRPr="008B623E">
        <w:rPr>
          <w:rFonts w:ascii="Times New Roman" w:hAnsi="Times New Roman"/>
          <w:sz w:val="24"/>
          <w:szCs w:val="24"/>
          <w:lang w:eastAsia="sk-SK"/>
        </w:rPr>
        <w:t>ktorým sa mení a dopĺňa zákon č. 442/2012 Z. z. o medzinárodnej pomoci a spolupráci pri správe daní v znení neskorších predpisov a ktorým sa menia a dopĺňajú niektoré zákony</w:t>
      </w:r>
      <w:r w:rsidRPr="006F23E7">
        <w:rPr>
          <w:rFonts w:ascii="Times New Roman" w:hAnsi="Times New Roman"/>
          <w:sz w:val="24"/>
          <w:szCs w:val="24"/>
          <w:lang w:eastAsia="sk-SK"/>
        </w:rPr>
        <w:t xml:space="preserve"> zavádza povinnosť pre sprostredkovateľov, ako aj pre daňovníkov podávať príslušnému orgánu Slovenskej republiky, ktorým je Finančné riaditeľstvo</w:t>
      </w:r>
      <w:r>
        <w:rPr>
          <w:rFonts w:ascii="Times New Roman" w:hAnsi="Times New Roman"/>
          <w:sz w:val="24"/>
          <w:szCs w:val="24"/>
          <w:lang w:eastAsia="sk-SK"/>
        </w:rPr>
        <w:t xml:space="preserve"> SR</w:t>
      </w:r>
      <w:r w:rsidRPr="006F23E7">
        <w:rPr>
          <w:rFonts w:ascii="Times New Roman" w:hAnsi="Times New Roman"/>
          <w:sz w:val="24"/>
          <w:szCs w:val="24"/>
          <w:lang w:eastAsia="sk-SK"/>
        </w:rPr>
        <w:t xml:space="preserve">, informácie o cezhraničných opatreniach podliehajúcich oznamovaniu, ktoré vykazujú charakteristické znaky </w:t>
      </w:r>
      <w:r>
        <w:rPr>
          <w:rFonts w:ascii="Times New Roman" w:hAnsi="Times New Roman"/>
          <w:sz w:val="24"/>
          <w:szCs w:val="24"/>
          <w:lang w:eastAsia="sk-SK"/>
        </w:rPr>
        <w:t xml:space="preserve">uvedené </w:t>
      </w:r>
      <w:r w:rsidRPr="006F23E7">
        <w:rPr>
          <w:rFonts w:ascii="Times New Roman" w:hAnsi="Times New Roman"/>
          <w:sz w:val="24"/>
          <w:szCs w:val="24"/>
          <w:lang w:eastAsia="sk-SK"/>
        </w:rPr>
        <w:t xml:space="preserve">v prílohe  návrhu zákona. Účelom zavedenia tejto povinnosti je odrádzať sprostredkovateľov aj daňovníkov od praktík agresívneho daňového plánovania, ktorých využívaním štát mohol prichádzať o nemalé finančné prostriedky a v dôsledku zavedenia tejto povinnosti by sa malo vytvoriť prostredie spravodlivého zdaňovania. </w:t>
      </w:r>
    </w:p>
    <w:p w:rsidR="0045196E" w:rsidRPr="00FB6E79" w:rsidRDefault="0045196E" w:rsidP="0045196E">
      <w:pPr>
        <w:widowControl w:val="0"/>
        <w:adjustRightInd w:val="0"/>
        <w:spacing w:after="0" w:line="240" w:lineRule="auto"/>
        <w:jc w:val="both"/>
        <w:rPr>
          <w:rFonts w:ascii="Times New Roman" w:hAnsi="Times New Roman"/>
          <w:sz w:val="24"/>
          <w:szCs w:val="24"/>
          <w:lang w:eastAsia="sk-SK"/>
        </w:rPr>
      </w:pPr>
    </w:p>
    <w:p w:rsidR="0045196E" w:rsidRPr="00FB6E79" w:rsidRDefault="0045196E" w:rsidP="0045196E">
      <w:pPr>
        <w:widowControl w:val="0"/>
        <w:adjustRightInd w:val="0"/>
        <w:spacing w:after="0" w:line="240" w:lineRule="auto"/>
        <w:rPr>
          <w:rFonts w:ascii="Times New Roman" w:hAnsi="Times New Roman"/>
          <w:b/>
          <w:bCs/>
          <w:sz w:val="24"/>
          <w:szCs w:val="24"/>
          <w:lang w:eastAsia="sk-SK"/>
        </w:rPr>
      </w:pPr>
      <w:r w:rsidRPr="00FB6E79">
        <w:rPr>
          <w:rFonts w:ascii="Times New Roman" w:hAnsi="Times New Roman"/>
          <w:b/>
          <w:bCs/>
          <w:sz w:val="24"/>
          <w:szCs w:val="24"/>
          <w:lang w:eastAsia="sk-SK"/>
        </w:rPr>
        <w:t>2.2.2. Charakteristika návrhu:</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FB6E79" w:rsidRDefault="0045196E" w:rsidP="0045196E">
      <w:pPr>
        <w:widowControl w:val="0"/>
        <w:adjustRightInd w:val="0"/>
        <w:spacing w:after="0" w:line="240" w:lineRule="auto"/>
        <w:rPr>
          <w:rFonts w:ascii="Times New Roman" w:hAnsi="Times New Roman"/>
          <w:sz w:val="24"/>
          <w:szCs w:val="24"/>
          <w:lang w:eastAsia="sk-SK"/>
        </w:rPr>
      </w:pPr>
      <w:r w:rsidRPr="00FB6E79">
        <w:rPr>
          <w:rFonts w:ascii="Times New Roman" w:hAnsi="Times New Roman"/>
          <w:b/>
          <w:sz w:val="24"/>
          <w:szCs w:val="24"/>
          <w:bdr w:val="single" w:sz="4" w:space="0" w:color="auto"/>
          <w:lang w:eastAsia="sk-SK"/>
        </w:rPr>
        <w:t xml:space="preserve">     </w:t>
      </w:r>
      <w:r w:rsidRPr="00FB6E79">
        <w:rPr>
          <w:rFonts w:ascii="Times New Roman" w:hAnsi="Times New Roman"/>
          <w:b/>
          <w:sz w:val="24"/>
          <w:szCs w:val="24"/>
          <w:lang w:eastAsia="sk-SK"/>
        </w:rPr>
        <w:t xml:space="preserve">  </w:t>
      </w:r>
      <w:r w:rsidRPr="00FB6E79">
        <w:rPr>
          <w:rFonts w:ascii="Times New Roman" w:hAnsi="Times New Roman"/>
          <w:sz w:val="24"/>
          <w:szCs w:val="24"/>
          <w:lang w:eastAsia="sk-SK"/>
        </w:rPr>
        <w:t>zmena sadzby</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bdr w:val="single" w:sz="4" w:space="0" w:color="auto"/>
          <w:lang w:eastAsia="sk-SK"/>
        </w:rPr>
        <w:t xml:space="preserve">     </w:t>
      </w:r>
      <w:r w:rsidRPr="00FB6E79">
        <w:rPr>
          <w:rFonts w:ascii="Times New Roman" w:hAnsi="Times New Roman"/>
          <w:sz w:val="24"/>
          <w:szCs w:val="24"/>
          <w:lang w:eastAsia="sk-SK"/>
        </w:rPr>
        <w:t xml:space="preserve">  zmena v nároku</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bdr w:val="single" w:sz="4" w:space="0" w:color="auto"/>
          <w:lang w:eastAsia="sk-SK"/>
        </w:rPr>
        <w:t xml:space="preserve">     </w:t>
      </w:r>
      <w:r w:rsidRPr="00FB6E79">
        <w:rPr>
          <w:rFonts w:ascii="Times New Roman" w:hAnsi="Times New Roman"/>
          <w:sz w:val="24"/>
          <w:szCs w:val="24"/>
          <w:lang w:eastAsia="sk-SK"/>
        </w:rPr>
        <w:t xml:space="preserve">  nová služba alebo nariadenie (alebo ich zrušenie)</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bdr w:val="single" w:sz="4" w:space="0" w:color="auto"/>
          <w:lang w:eastAsia="sk-SK"/>
        </w:rPr>
        <w:t xml:space="preserve">     </w:t>
      </w:r>
      <w:r w:rsidRPr="00FB6E79">
        <w:rPr>
          <w:rFonts w:ascii="Times New Roman" w:hAnsi="Times New Roman"/>
          <w:sz w:val="24"/>
          <w:szCs w:val="24"/>
          <w:lang w:eastAsia="sk-SK"/>
        </w:rPr>
        <w:t xml:space="preserve">  kombinovaný návrh</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bdr w:val="single" w:sz="4" w:space="0" w:color="auto"/>
          <w:lang w:eastAsia="sk-SK"/>
        </w:rPr>
        <w:t xml:space="preserve"> </w:t>
      </w:r>
      <w:r w:rsidRPr="00FB6E79">
        <w:rPr>
          <w:rFonts w:ascii="Times New Roman" w:hAnsi="Times New Roman"/>
          <w:b/>
          <w:sz w:val="24"/>
          <w:szCs w:val="24"/>
          <w:bdr w:val="single" w:sz="4" w:space="0" w:color="auto"/>
          <w:lang w:eastAsia="sk-SK"/>
        </w:rPr>
        <w:t xml:space="preserve">  </w:t>
      </w:r>
      <w:r w:rsidRPr="00FB6E79">
        <w:rPr>
          <w:rFonts w:ascii="Times New Roman" w:hAnsi="Times New Roman"/>
          <w:sz w:val="24"/>
          <w:szCs w:val="24"/>
          <w:bdr w:val="single" w:sz="4" w:space="0" w:color="auto"/>
          <w:lang w:eastAsia="sk-SK"/>
        </w:rPr>
        <w:t xml:space="preserve">  </w:t>
      </w:r>
      <w:r w:rsidRPr="00FB6E79">
        <w:rPr>
          <w:rFonts w:ascii="Times New Roman" w:hAnsi="Times New Roman"/>
          <w:sz w:val="24"/>
          <w:szCs w:val="24"/>
          <w:lang w:eastAsia="sk-SK"/>
        </w:rPr>
        <w:t xml:space="preserve">  iné </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FB6E79" w:rsidRDefault="0045196E" w:rsidP="0045196E">
      <w:pPr>
        <w:widowControl w:val="0"/>
        <w:adjustRightInd w:val="0"/>
        <w:spacing w:after="0" w:line="240" w:lineRule="auto"/>
        <w:rPr>
          <w:rFonts w:ascii="Times New Roman" w:hAnsi="Times New Roman"/>
          <w:sz w:val="24"/>
          <w:szCs w:val="24"/>
          <w:lang w:eastAsia="sk-SK"/>
        </w:rPr>
      </w:pPr>
      <w:r w:rsidRPr="00FB6E79">
        <w:rPr>
          <w:rFonts w:ascii="Times New Roman" w:hAnsi="Times New Roman"/>
          <w:b/>
          <w:bCs/>
          <w:sz w:val="24"/>
          <w:szCs w:val="24"/>
          <w:lang w:eastAsia="sk-SK"/>
        </w:rPr>
        <w:t>2.2.3. Predpoklady vývoja objemu aktivít:</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FB6E79" w:rsidRDefault="0045196E" w:rsidP="0045196E">
      <w:pPr>
        <w:widowControl w:val="0"/>
        <w:adjustRightInd w:val="0"/>
        <w:spacing w:after="0" w:line="240" w:lineRule="auto"/>
        <w:ind w:firstLine="708"/>
        <w:jc w:val="both"/>
        <w:rPr>
          <w:rFonts w:ascii="Times New Roman" w:hAnsi="Times New Roman"/>
          <w:sz w:val="24"/>
          <w:szCs w:val="24"/>
          <w:lang w:eastAsia="sk-SK"/>
        </w:rPr>
      </w:pPr>
      <w:r w:rsidRPr="00FB6E79">
        <w:rPr>
          <w:rFonts w:ascii="Times New Roman" w:hAnsi="Times New Roman"/>
          <w:sz w:val="24"/>
          <w:szCs w:val="24"/>
          <w:lang w:eastAsia="sk-SK"/>
        </w:rPr>
        <w:t>Jasne popíšte, v prípade potreby použite nižšie uvedenú tabuľku. Uveďte aj odhady základov daní a/alebo poplatkov, ak sa ich táto zmena týka.</w:t>
      </w:r>
    </w:p>
    <w:p w:rsidR="0045196E" w:rsidRPr="00FB6E79" w:rsidRDefault="0045196E" w:rsidP="0045196E">
      <w:pPr>
        <w:widowControl w:val="0"/>
        <w:adjustRightInd w:val="0"/>
        <w:spacing w:after="0" w:line="240" w:lineRule="auto"/>
        <w:jc w:val="right"/>
        <w:rPr>
          <w:rFonts w:ascii="Times New Roman" w:hAnsi="Times New Roman"/>
          <w:sz w:val="24"/>
          <w:szCs w:val="24"/>
          <w:lang w:eastAsia="sk-SK"/>
        </w:rPr>
      </w:pPr>
      <w:r w:rsidRPr="00FB6E79">
        <w:rPr>
          <w:rFonts w:ascii="Times New Roman" w:hAnsi="Times New Roman"/>
          <w:sz w:val="24"/>
          <w:szCs w:val="24"/>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45196E" w:rsidRPr="00FB6E79" w:rsidTr="004B6BB8">
        <w:trPr>
          <w:cantSplit/>
          <w:trHeight w:val="70"/>
        </w:trPr>
        <w:tc>
          <w:tcPr>
            <w:tcW w:w="4530" w:type="dxa"/>
            <w:vMerge w:val="restart"/>
            <w:shd w:val="clear" w:color="auto" w:fill="BFBFBF"/>
            <w:vAlign w:val="center"/>
          </w:tcPr>
          <w:p w:rsidR="0045196E" w:rsidRPr="00FB6E79" w:rsidRDefault="0045196E" w:rsidP="004B6BB8">
            <w:pPr>
              <w:widowControl w:val="0"/>
              <w:autoSpaceDE w:val="0"/>
              <w:autoSpaceDN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Objem aktivít</w:t>
            </w:r>
          </w:p>
        </w:tc>
        <w:tc>
          <w:tcPr>
            <w:tcW w:w="1134" w:type="dxa"/>
            <w:gridSpan w:val="4"/>
            <w:shd w:val="clear" w:color="auto" w:fill="BFBFBF"/>
            <w:vAlign w:val="center"/>
          </w:tcPr>
          <w:p w:rsidR="0045196E" w:rsidRPr="00FB6E79" w:rsidRDefault="0045196E" w:rsidP="004B6BB8">
            <w:pPr>
              <w:widowControl w:val="0"/>
              <w:autoSpaceDE w:val="0"/>
              <w:autoSpaceDN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Odhadované objemy</w:t>
            </w:r>
          </w:p>
        </w:tc>
      </w:tr>
      <w:tr w:rsidR="0045196E" w:rsidRPr="00FB6E79" w:rsidTr="004B6BB8">
        <w:trPr>
          <w:cantSplit/>
          <w:trHeight w:val="70"/>
        </w:trPr>
        <w:tc>
          <w:tcPr>
            <w:tcW w:w="4530" w:type="dxa"/>
            <w:vMerge/>
            <w:shd w:val="clear" w:color="auto" w:fill="BFBFBF"/>
          </w:tcPr>
          <w:p w:rsidR="0045196E" w:rsidRPr="00FB6E79" w:rsidRDefault="0045196E" w:rsidP="004B6BB8">
            <w:pPr>
              <w:widowControl w:val="0"/>
              <w:autoSpaceDE w:val="0"/>
              <w:autoSpaceDN w:val="0"/>
              <w:adjustRightInd w:val="0"/>
              <w:spacing w:after="0" w:line="240" w:lineRule="auto"/>
              <w:jc w:val="center"/>
              <w:rPr>
                <w:rFonts w:ascii="Times New Roman" w:hAnsi="Times New Roman"/>
                <w:b/>
                <w:bCs/>
                <w:sz w:val="24"/>
                <w:szCs w:val="24"/>
                <w:lang w:eastAsia="sk-SK"/>
              </w:rPr>
            </w:pPr>
          </w:p>
        </w:tc>
        <w:tc>
          <w:tcPr>
            <w:tcW w:w="1134" w:type="dxa"/>
            <w:shd w:val="clear" w:color="auto" w:fill="BFBFBF"/>
            <w:vAlign w:val="center"/>
          </w:tcPr>
          <w:p w:rsidR="0045196E" w:rsidRPr="00FB6E79" w:rsidRDefault="0045196E" w:rsidP="004B6BB8">
            <w:pPr>
              <w:widowControl w:val="0"/>
              <w:autoSpaceDE w:val="0"/>
              <w:autoSpaceDN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r</w:t>
            </w:r>
          </w:p>
        </w:tc>
        <w:tc>
          <w:tcPr>
            <w:tcW w:w="1134" w:type="dxa"/>
            <w:shd w:val="clear" w:color="auto" w:fill="BFBFBF"/>
            <w:vAlign w:val="center"/>
          </w:tcPr>
          <w:p w:rsidR="0045196E" w:rsidRPr="00FB6E79" w:rsidRDefault="0045196E" w:rsidP="004B6BB8">
            <w:pPr>
              <w:widowControl w:val="0"/>
              <w:autoSpaceDE w:val="0"/>
              <w:autoSpaceDN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r + 1</w:t>
            </w:r>
          </w:p>
        </w:tc>
        <w:tc>
          <w:tcPr>
            <w:tcW w:w="1134" w:type="dxa"/>
            <w:shd w:val="clear" w:color="auto" w:fill="BFBFBF"/>
            <w:vAlign w:val="center"/>
          </w:tcPr>
          <w:p w:rsidR="0045196E" w:rsidRPr="00FB6E79" w:rsidRDefault="0045196E" w:rsidP="004B6BB8">
            <w:pPr>
              <w:widowControl w:val="0"/>
              <w:autoSpaceDE w:val="0"/>
              <w:autoSpaceDN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r + 2</w:t>
            </w:r>
          </w:p>
        </w:tc>
        <w:tc>
          <w:tcPr>
            <w:tcW w:w="1134" w:type="dxa"/>
            <w:shd w:val="clear" w:color="auto" w:fill="BFBFBF"/>
            <w:vAlign w:val="center"/>
          </w:tcPr>
          <w:p w:rsidR="0045196E" w:rsidRPr="00FB6E79" w:rsidRDefault="0045196E" w:rsidP="004B6BB8">
            <w:pPr>
              <w:widowControl w:val="0"/>
              <w:autoSpaceDE w:val="0"/>
              <w:autoSpaceDN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r + 3</w:t>
            </w:r>
          </w:p>
        </w:tc>
      </w:tr>
      <w:tr w:rsidR="0045196E" w:rsidRPr="00FB6E79" w:rsidTr="004B6BB8">
        <w:trPr>
          <w:trHeight w:val="70"/>
        </w:trPr>
        <w:tc>
          <w:tcPr>
            <w:tcW w:w="4530" w:type="dxa"/>
          </w:tcPr>
          <w:p w:rsidR="0045196E" w:rsidRPr="00FB6E79" w:rsidRDefault="0045196E" w:rsidP="004B6BB8">
            <w:pPr>
              <w:widowControl w:val="0"/>
              <w:autoSpaceDE w:val="0"/>
              <w:autoSpaceDN w:val="0"/>
              <w:adjustRightInd w:val="0"/>
              <w:spacing w:after="0" w:line="240" w:lineRule="auto"/>
              <w:rPr>
                <w:rFonts w:ascii="Times New Roman" w:hAnsi="Times New Roman"/>
                <w:color w:val="000000"/>
                <w:sz w:val="24"/>
                <w:szCs w:val="24"/>
                <w:lang w:eastAsia="sk-SK"/>
              </w:rPr>
            </w:pPr>
            <w:r w:rsidRPr="00FB6E79">
              <w:rPr>
                <w:rFonts w:ascii="Times New Roman" w:hAnsi="Times New Roman"/>
                <w:color w:val="000000"/>
                <w:sz w:val="24"/>
                <w:szCs w:val="24"/>
                <w:lang w:eastAsia="sk-SK"/>
              </w:rPr>
              <w:t>Indikátor ABC</w:t>
            </w: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r>
      <w:tr w:rsidR="0045196E" w:rsidRPr="00FB6E79" w:rsidTr="004B6BB8">
        <w:trPr>
          <w:trHeight w:val="70"/>
        </w:trPr>
        <w:tc>
          <w:tcPr>
            <w:tcW w:w="4530" w:type="dxa"/>
          </w:tcPr>
          <w:p w:rsidR="0045196E" w:rsidRPr="00FB6E79" w:rsidRDefault="0045196E" w:rsidP="004B6BB8">
            <w:pPr>
              <w:widowControl w:val="0"/>
              <w:autoSpaceDE w:val="0"/>
              <w:autoSpaceDN w:val="0"/>
              <w:adjustRightInd w:val="0"/>
              <w:spacing w:after="0" w:line="240" w:lineRule="auto"/>
              <w:rPr>
                <w:rFonts w:ascii="Times New Roman" w:hAnsi="Times New Roman"/>
                <w:color w:val="000000"/>
                <w:sz w:val="24"/>
                <w:szCs w:val="24"/>
                <w:lang w:eastAsia="sk-SK"/>
              </w:rPr>
            </w:pPr>
            <w:r w:rsidRPr="00FB6E79">
              <w:rPr>
                <w:rFonts w:ascii="Times New Roman" w:hAnsi="Times New Roman"/>
                <w:color w:val="000000"/>
                <w:sz w:val="24"/>
                <w:szCs w:val="24"/>
                <w:lang w:eastAsia="sk-SK"/>
              </w:rPr>
              <w:t>Indikátor KLM</w:t>
            </w: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r>
      <w:tr w:rsidR="0045196E" w:rsidRPr="00FB6E79" w:rsidTr="004B6BB8">
        <w:trPr>
          <w:trHeight w:val="70"/>
        </w:trPr>
        <w:tc>
          <w:tcPr>
            <w:tcW w:w="4530" w:type="dxa"/>
          </w:tcPr>
          <w:p w:rsidR="0045196E" w:rsidRPr="00FB6E79" w:rsidRDefault="0045196E" w:rsidP="004B6BB8">
            <w:pPr>
              <w:widowControl w:val="0"/>
              <w:autoSpaceDE w:val="0"/>
              <w:autoSpaceDN w:val="0"/>
              <w:adjustRightInd w:val="0"/>
              <w:spacing w:after="0" w:line="240" w:lineRule="auto"/>
              <w:rPr>
                <w:rFonts w:ascii="Times New Roman" w:hAnsi="Times New Roman"/>
                <w:color w:val="000000"/>
                <w:sz w:val="24"/>
                <w:szCs w:val="24"/>
                <w:lang w:eastAsia="sk-SK"/>
              </w:rPr>
            </w:pPr>
            <w:r w:rsidRPr="00FB6E79">
              <w:rPr>
                <w:rFonts w:ascii="Times New Roman" w:hAnsi="Times New Roman"/>
                <w:color w:val="000000"/>
                <w:sz w:val="24"/>
                <w:szCs w:val="24"/>
                <w:lang w:eastAsia="sk-SK"/>
              </w:rPr>
              <w:t>Indikátor XYZ</w:t>
            </w: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c>
          <w:tcPr>
            <w:tcW w:w="1134" w:type="dxa"/>
          </w:tcPr>
          <w:p w:rsidR="0045196E" w:rsidRPr="00FB6E79" w:rsidRDefault="0045196E" w:rsidP="004B6BB8">
            <w:pPr>
              <w:widowControl w:val="0"/>
              <w:autoSpaceDE w:val="0"/>
              <w:autoSpaceDN w:val="0"/>
              <w:adjustRightInd w:val="0"/>
              <w:spacing w:after="0" w:line="240" w:lineRule="auto"/>
              <w:jc w:val="right"/>
              <w:rPr>
                <w:rFonts w:ascii="Times New Roman" w:hAnsi="Times New Roman"/>
                <w:color w:val="000000"/>
                <w:sz w:val="24"/>
                <w:szCs w:val="24"/>
                <w:lang w:eastAsia="sk-SK"/>
              </w:rPr>
            </w:pPr>
          </w:p>
        </w:tc>
      </w:tr>
    </w:tbl>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FB6E79" w:rsidRDefault="0045196E" w:rsidP="0045196E">
      <w:pPr>
        <w:widowControl w:val="0"/>
        <w:adjustRightInd w:val="0"/>
        <w:spacing w:after="0" w:line="240" w:lineRule="auto"/>
        <w:rPr>
          <w:rFonts w:ascii="Times New Roman" w:hAnsi="Times New Roman"/>
          <w:b/>
          <w:bCs/>
          <w:sz w:val="24"/>
          <w:szCs w:val="24"/>
          <w:lang w:eastAsia="sk-SK"/>
        </w:rPr>
      </w:pPr>
      <w:r w:rsidRPr="00FB6E79">
        <w:rPr>
          <w:rFonts w:ascii="Times New Roman" w:hAnsi="Times New Roman"/>
          <w:b/>
          <w:bCs/>
          <w:sz w:val="24"/>
          <w:szCs w:val="24"/>
          <w:lang w:eastAsia="sk-SK"/>
        </w:rPr>
        <w:t>2.2.4. Výpočty vplyvov na verejné financie</w:t>
      </w:r>
    </w:p>
    <w:p w:rsidR="0045196E" w:rsidRPr="00FB6E79" w:rsidRDefault="0045196E" w:rsidP="0045196E">
      <w:pPr>
        <w:widowControl w:val="0"/>
        <w:adjustRightInd w:val="0"/>
        <w:spacing w:after="0" w:line="240" w:lineRule="auto"/>
        <w:rPr>
          <w:rFonts w:ascii="Times New Roman" w:hAnsi="Times New Roman"/>
          <w:sz w:val="24"/>
          <w:szCs w:val="24"/>
          <w:lang w:eastAsia="sk-SK"/>
        </w:rPr>
      </w:pPr>
    </w:p>
    <w:p w:rsidR="0045196E" w:rsidRPr="00FB6E79" w:rsidRDefault="0045196E" w:rsidP="0045196E">
      <w:pPr>
        <w:widowControl w:val="0"/>
        <w:adjustRightInd w:val="0"/>
        <w:spacing w:after="0" w:line="240" w:lineRule="auto"/>
        <w:ind w:firstLine="708"/>
        <w:jc w:val="both"/>
        <w:rPr>
          <w:rFonts w:ascii="Times New Roman" w:hAnsi="Times New Roman"/>
          <w:sz w:val="24"/>
          <w:szCs w:val="24"/>
          <w:lang w:eastAsia="sk-SK"/>
        </w:rPr>
      </w:pPr>
      <w:r w:rsidRPr="00FB6E79">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45196E" w:rsidRPr="00FB6E79" w:rsidRDefault="0045196E" w:rsidP="0045196E">
      <w:pPr>
        <w:widowControl w:val="0"/>
        <w:tabs>
          <w:tab w:val="num" w:pos="1080"/>
        </w:tabs>
        <w:adjustRightInd w:val="0"/>
        <w:spacing w:after="0" w:line="240" w:lineRule="auto"/>
        <w:jc w:val="both"/>
        <w:rPr>
          <w:rFonts w:ascii="Times New Roman" w:hAnsi="Times New Roman"/>
          <w:bCs/>
          <w:sz w:val="24"/>
          <w:szCs w:val="24"/>
          <w:lang w:eastAsia="sk-SK"/>
        </w:rPr>
      </w:pPr>
    </w:p>
    <w:p w:rsidR="00F20F5F" w:rsidRDefault="00F20F5F" w:rsidP="0045196E">
      <w:pPr>
        <w:widowControl w:val="0"/>
        <w:tabs>
          <w:tab w:val="num" w:pos="1080"/>
        </w:tabs>
        <w:adjustRightInd w:val="0"/>
        <w:spacing w:after="0" w:line="240" w:lineRule="auto"/>
        <w:jc w:val="both"/>
        <w:rPr>
          <w:rFonts w:ascii="Times New Roman" w:hAnsi="Times New Roman"/>
          <w:b/>
          <w:bCs/>
          <w:sz w:val="24"/>
          <w:szCs w:val="24"/>
          <w:u w:val="single"/>
          <w:lang w:eastAsia="sk-SK"/>
        </w:rPr>
      </w:pPr>
    </w:p>
    <w:p w:rsidR="00F20F5F" w:rsidRDefault="00F20F5F" w:rsidP="0045196E">
      <w:pPr>
        <w:widowControl w:val="0"/>
        <w:tabs>
          <w:tab w:val="num" w:pos="1080"/>
        </w:tabs>
        <w:adjustRightInd w:val="0"/>
        <w:spacing w:after="0" w:line="240" w:lineRule="auto"/>
        <w:jc w:val="both"/>
        <w:rPr>
          <w:rFonts w:ascii="Times New Roman" w:hAnsi="Times New Roman"/>
          <w:b/>
          <w:bCs/>
          <w:sz w:val="24"/>
          <w:szCs w:val="24"/>
          <w:u w:val="single"/>
          <w:lang w:eastAsia="sk-SK"/>
        </w:rPr>
      </w:pPr>
    </w:p>
    <w:p w:rsidR="0045196E" w:rsidRPr="00F552AD" w:rsidRDefault="0045196E" w:rsidP="0045196E">
      <w:pPr>
        <w:widowControl w:val="0"/>
        <w:tabs>
          <w:tab w:val="num" w:pos="1080"/>
        </w:tabs>
        <w:adjustRightInd w:val="0"/>
        <w:spacing w:after="0" w:line="240" w:lineRule="auto"/>
        <w:jc w:val="both"/>
        <w:rPr>
          <w:rFonts w:ascii="Times New Roman" w:hAnsi="Times New Roman"/>
          <w:b/>
          <w:bCs/>
          <w:sz w:val="24"/>
          <w:szCs w:val="24"/>
          <w:u w:val="single"/>
          <w:lang w:eastAsia="sk-SK"/>
        </w:rPr>
      </w:pPr>
      <w:r w:rsidRPr="00F552AD">
        <w:rPr>
          <w:rFonts w:ascii="Times New Roman" w:hAnsi="Times New Roman"/>
          <w:b/>
          <w:bCs/>
          <w:sz w:val="24"/>
          <w:szCs w:val="24"/>
          <w:u w:val="single"/>
          <w:lang w:eastAsia="sk-SK"/>
        </w:rPr>
        <w:t>POZITÍVNE VPLYVY</w:t>
      </w:r>
    </w:p>
    <w:p w:rsidR="0045196E" w:rsidRDefault="0045196E" w:rsidP="0045196E">
      <w:pPr>
        <w:widowControl w:val="0"/>
        <w:tabs>
          <w:tab w:val="num" w:pos="1080"/>
        </w:tabs>
        <w:adjustRightInd w:val="0"/>
        <w:spacing w:after="0" w:line="240" w:lineRule="auto"/>
        <w:jc w:val="both"/>
        <w:rPr>
          <w:rFonts w:ascii="Times New Roman" w:hAnsi="Times New Roman"/>
          <w:bCs/>
          <w:sz w:val="24"/>
          <w:szCs w:val="24"/>
          <w:u w:val="single"/>
          <w:lang w:eastAsia="sk-SK"/>
        </w:rPr>
      </w:pPr>
    </w:p>
    <w:p w:rsidR="0045196E" w:rsidRPr="00F552AD" w:rsidRDefault="0045196E" w:rsidP="0045196E">
      <w:pPr>
        <w:widowControl w:val="0"/>
        <w:tabs>
          <w:tab w:val="num" w:pos="1080"/>
        </w:tabs>
        <w:adjustRightInd w:val="0"/>
        <w:spacing w:after="0" w:line="240" w:lineRule="auto"/>
        <w:jc w:val="both"/>
        <w:rPr>
          <w:rFonts w:ascii="Times New Roman" w:hAnsi="Times New Roman"/>
          <w:bCs/>
          <w:sz w:val="24"/>
          <w:szCs w:val="24"/>
          <w:lang w:eastAsia="sk-SK"/>
        </w:rPr>
      </w:pPr>
      <w:r w:rsidRPr="00F552AD">
        <w:rPr>
          <w:rFonts w:ascii="Times New Roman" w:hAnsi="Times New Roman"/>
          <w:bCs/>
          <w:sz w:val="24"/>
          <w:szCs w:val="24"/>
          <w:lang w:eastAsia="sk-SK"/>
        </w:rPr>
        <w:t>V súlade s princípom spravodlivého zdaňovania by do rozpočtu verejnej správy mohli plynúť také finančné prostriedky, ktoré predtým z dôvodu využívania potenciálne agresívneho daňového plánovania boli pred finančnou správou ukryté. V závislosti od využívania a analýzy automaticky prijatých informácií o cezhraničných opatreniach podliehajúcich oznamovaniu sa predpokladá pozitívny vplyv na príjmy štátneho rozpočtu, ktorý v súčasnosti nie je možné presne kvantifikovať, keďže k prvej výmene informácií dôjde v roku 2020.</w:t>
      </w:r>
    </w:p>
    <w:p w:rsidR="0045196E" w:rsidRPr="00F552AD" w:rsidRDefault="0045196E" w:rsidP="0045196E">
      <w:pPr>
        <w:widowControl w:val="0"/>
        <w:tabs>
          <w:tab w:val="num" w:pos="1080"/>
        </w:tabs>
        <w:adjustRightInd w:val="0"/>
        <w:spacing w:after="0" w:line="240" w:lineRule="auto"/>
        <w:jc w:val="both"/>
        <w:rPr>
          <w:rFonts w:ascii="Times New Roman" w:hAnsi="Times New Roman"/>
          <w:bCs/>
          <w:sz w:val="24"/>
          <w:szCs w:val="24"/>
          <w:lang w:eastAsia="sk-SK"/>
        </w:rPr>
      </w:pPr>
    </w:p>
    <w:p w:rsidR="0045196E" w:rsidRPr="00F552AD" w:rsidRDefault="0045196E" w:rsidP="0045196E">
      <w:pPr>
        <w:widowControl w:val="0"/>
        <w:tabs>
          <w:tab w:val="num" w:pos="1080"/>
        </w:tabs>
        <w:adjustRightInd w:val="0"/>
        <w:spacing w:after="0" w:line="240" w:lineRule="auto"/>
        <w:jc w:val="both"/>
        <w:rPr>
          <w:rFonts w:ascii="Times New Roman" w:hAnsi="Times New Roman"/>
          <w:bCs/>
          <w:sz w:val="24"/>
          <w:szCs w:val="24"/>
          <w:lang w:eastAsia="sk-SK"/>
        </w:rPr>
      </w:pPr>
      <w:r w:rsidRPr="00F552AD">
        <w:rPr>
          <w:rFonts w:ascii="Times New Roman" w:hAnsi="Times New Roman"/>
          <w:bCs/>
          <w:sz w:val="24"/>
          <w:szCs w:val="24"/>
          <w:lang w:eastAsia="sk-SK"/>
        </w:rPr>
        <w:t xml:space="preserve">Daňový úrad uloží podľa §8g návrhu zákona povinnej osobe za nesplnenie povinnosti podať </w:t>
      </w:r>
      <w:r w:rsidRPr="00A34C87">
        <w:rPr>
          <w:rFonts w:ascii="Times New Roman" w:hAnsi="Times New Roman"/>
          <w:bCs/>
          <w:sz w:val="24"/>
          <w:szCs w:val="24"/>
          <w:lang w:eastAsia="sk-SK"/>
        </w:rPr>
        <w:t xml:space="preserve">informácie, vyhlásenie alebo spoločné vyhlásenie podľa § 8c v rozsahu podľa § 8f v lehote podľa § 8e pokutu do 30 000 eur, a to aj opakovane. </w:t>
      </w:r>
      <w:r w:rsidRPr="00F552AD">
        <w:rPr>
          <w:rFonts w:ascii="Times New Roman" w:hAnsi="Times New Roman"/>
          <w:bCs/>
          <w:sz w:val="24"/>
          <w:szCs w:val="24"/>
          <w:lang w:eastAsia="sk-SK"/>
        </w:rPr>
        <w:t>Príjem z uložených a vybratých pokút bude mať pozitívny vplyv na rozpočet verejnej správy, ktorý taktiež nie je možné v súčasnosti kvantifikovať.</w:t>
      </w:r>
    </w:p>
    <w:p w:rsidR="0045196E" w:rsidRDefault="0045196E" w:rsidP="0045196E">
      <w:pPr>
        <w:widowControl w:val="0"/>
        <w:tabs>
          <w:tab w:val="num" w:pos="1080"/>
        </w:tabs>
        <w:adjustRightInd w:val="0"/>
        <w:spacing w:after="0" w:line="240" w:lineRule="auto"/>
        <w:jc w:val="both"/>
        <w:rPr>
          <w:rFonts w:ascii="Times New Roman" w:hAnsi="Times New Roman"/>
          <w:bCs/>
          <w:sz w:val="24"/>
          <w:szCs w:val="24"/>
          <w:u w:val="single"/>
          <w:lang w:eastAsia="sk-SK"/>
        </w:rPr>
      </w:pPr>
    </w:p>
    <w:p w:rsidR="0045196E" w:rsidRPr="00F552AD" w:rsidRDefault="0045196E" w:rsidP="0045196E">
      <w:pPr>
        <w:widowControl w:val="0"/>
        <w:tabs>
          <w:tab w:val="num" w:pos="1080"/>
        </w:tabs>
        <w:adjustRightInd w:val="0"/>
        <w:spacing w:after="0" w:line="240" w:lineRule="auto"/>
        <w:jc w:val="both"/>
        <w:rPr>
          <w:rFonts w:ascii="Times New Roman" w:hAnsi="Times New Roman"/>
          <w:b/>
          <w:bCs/>
          <w:sz w:val="24"/>
          <w:szCs w:val="24"/>
          <w:u w:val="single"/>
          <w:lang w:eastAsia="sk-SK"/>
        </w:rPr>
      </w:pPr>
      <w:r w:rsidRPr="00F552AD">
        <w:rPr>
          <w:rFonts w:ascii="Times New Roman" w:hAnsi="Times New Roman"/>
          <w:b/>
          <w:bCs/>
          <w:sz w:val="24"/>
          <w:szCs w:val="24"/>
          <w:u w:val="single"/>
          <w:lang w:eastAsia="sk-SK"/>
        </w:rPr>
        <w:t>NEGATÍVNE VPLYVY</w:t>
      </w:r>
    </w:p>
    <w:p w:rsidR="0045196E" w:rsidRDefault="0045196E" w:rsidP="0045196E">
      <w:pPr>
        <w:widowControl w:val="0"/>
        <w:tabs>
          <w:tab w:val="num" w:pos="1080"/>
        </w:tabs>
        <w:adjustRightInd w:val="0"/>
        <w:spacing w:after="0" w:line="240" w:lineRule="auto"/>
        <w:jc w:val="both"/>
        <w:rPr>
          <w:rFonts w:ascii="Times New Roman" w:hAnsi="Times New Roman"/>
          <w:bCs/>
          <w:sz w:val="24"/>
          <w:szCs w:val="24"/>
          <w:u w:val="single"/>
          <w:lang w:eastAsia="sk-SK"/>
        </w:rPr>
      </w:pPr>
    </w:p>
    <w:p w:rsidR="0045196E" w:rsidRPr="00992894" w:rsidRDefault="0045196E" w:rsidP="0045196E">
      <w:pPr>
        <w:widowControl w:val="0"/>
        <w:tabs>
          <w:tab w:val="num" w:pos="1080"/>
        </w:tabs>
        <w:adjustRightInd w:val="0"/>
        <w:spacing w:after="0" w:line="240" w:lineRule="auto"/>
        <w:jc w:val="both"/>
        <w:rPr>
          <w:rFonts w:ascii="Times New Roman" w:hAnsi="Times New Roman"/>
          <w:b/>
          <w:bCs/>
          <w:sz w:val="24"/>
          <w:szCs w:val="24"/>
          <w:lang w:eastAsia="sk-SK"/>
        </w:rPr>
      </w:pPr>
      <w:r w:rsidRPr="00992894">
        <w:rPr>
          <w:rFonts w:ascii="Times New Roman" w:hAnsi="Times New Roman"/>
          <w:b/>
          <w:bCs/>
          <w:sz w:val="24"/>
          <w:szCs w:val="24"/>
          <w:lang w:eastAsia="sk-SK"/>
        </w:rPr>
        <w:t>Bežné výdavky</w:t>
      </w:r>
    </w:p>
    <w:p w:rsidR="0045196E" w:rsidRPr="00FB6E79" w:rsidRDefault="0045196E" w:rsidP="0045196E">
      <w:pPr>
        <w:spacing w:after="0" w:line="240" w:lineRule="auto"/>
        <w:jc w:val="both"/>
        <w:rPr>
          <w:rFonts w:ascii="Times New Roman" w:hAnsi="Times New Roman"/>
          <w:color w:val="000000"/>
          <w:sz w:val="24"/>
          <w:szCs w:val="24"/>
          <w:lang w:eastAsia="sk-SK"/>
        </w:rPr>
      </w:pPr>
      <w:r w:rsidRPr="00FB6E79">
        <w:rPr>
          <w:rFonts w:ascii="Times New Roman" w:hAnsi="Times New Roman"/>
          <w:color w:val="000000"/>
          <w:sz w:val="24"/>
          <w:szCs w:val="24"/>
          <w:lang w:eastAsia="sk-SK"/>
        </w:rPr>
        <w:t>V súvislosti s transponovaním príslušnej smernice sa predpokladá nárast objemu vymieňaných informácií (najmä zo zahraničia) a tiež požiadavka na efektívne využívanie týchto informácií, hodnotenie účinnosti automatickej výmeny informácií a jej oznamovanie Európskej komisii. Bude potrebné zabezpečiť vyhodnocovanie vymieňaných informácií, analyzovanie rizík a daňové preverovanie vymieňaných informácií. Všetky tieto činnosti si vyžadujú kvalifikovaných pracovníkov po odbornej aj jazykovej stránke, ktorí budú schopní v praxi zabezpečiť efektívne využitie získaných informácií a na druhej strane aj odborné spracovanie informácií, ktoré budú zasielané zo SR smerom do zahraničia.</w:t>
      </w:r>
      <w:r>
        <w:rPr>
          <w:rFonts w:ascii="Times New Roman" w:hAnsi="Times New Roman"/>
          <w:color w:val="000000"/>
          <w:sz w:val="24"/>
          <w:szCs w:val="24"/>
          <w:lang w:eastAsia="sk-SK"/>
        </w:rPr>
        <w:t xml:space="preserve"> Vyhodnocovanie informácií podľa smernice o cezhraničných opatreniach (DAC6) by bolo zabezpečené zo strany Daňového úradu pre vybrané daňové subjekty podobne ako vyhodnocovanie informácií zo správ podľa jednotlivých štátov (</w:t>
      </w:r>
      <w:proofErr w:type="spellStart"/>
      <w:r>
        <w:rPr>
          <w:rFonts w:ascii="Times New Roman" w:hAnsi="Times New Roman"/>
          <w:color w:val="000000"/>
          <w:sz w:val="24"/>
          <w:szCs w:val="24"/>
          <w:lang w:eastAsia="sk-SK"/>
        </w:rPr>
        <w:t>CbCR</w:t>
      </w:r>
      <w:proofErr w:type="spellEnd"/>
      <w:r>
        <w:rPr>
          <w:rFonts w:ascii="Times New Roman" w:hAnsi="Times New Roman"/>
          <w:color w:val="000000"/>
          <w:sz w:val="24"/>
          <w:szCs w:val="24"/>
          <w:lang w:eastAsia="sk-SK"/>
        </w:rPr>
        <w:t xml:space="preserve">/DAC4). </w:t>
      </w:r>
    </w:p>
    <w:p w:rsidR="0045196E" w:rsidRPr="00FB6E79" w:rsidRDefault="0045196E" w:rsidP="0045196E">
      <w:pPr>
        <w:spacing w:after="0" w:line="240" w:lineRule="auto"/>
        <w:jc w:val="both"/>
        <w:rPr>
          <w:rFonts w:ascii="Times New Roman" w:hAnsi="Times New Roman"/>
          <w:color w:val="000000"/>
          <w:sz w:val="24"/>
          <w:szCs w:val="24"/>
          <w:lang w:eastAsia="sk-SK"/>
        </w:rPr>
      </w:pPr>
      <w:r w:rsidRPr="00FB6E79">
        <w:rPr>
          <w:rFonts w:ascii="Times New Roman" w:hAnsi="Times New Roman"/>
          <w:color w:val="000000"/>
          <w:sz w:val="24"/>
          <w:szCs w:val="24"/>
          <w:lang w:eastAsia="sk-SK"/>
        </w:rPr>
        <w:t>Potreb</w:t>
      </w:r>
      <w:r>
        <w:rPr>
          <w:rFonts w:ascii="Times New Roman" w:hAnsi="Times New Roman"/>
          <w:color w:val="000000"/>
          <w:sz w:val="24"/>
          <w:szCs w:val="24"/>
          <w:lang w:eastAsia="sk-SK"/>
        </w:rPr>
        <w:t>a</w:t>
      </w:r>
      <w:r w:rsidRPr="00FB6E79">
        <w:rPr>
          <w:rFonts w:ascii="Times New Roman" w:hAnsi="Times New Roman"/>
          <w:color w:val="000000"/>
          <w:sz w:val="24"/>
          <w:szCs w:val="24"/>
          <w:lang w:eastAsia="sk-SK"/>
        </w:rPr>
        <w:t xml:space="preserve"> nových pracovníkov </w:t>
      </w:r>
      <w:r>
        <w:rPr>
          <w:rFonts w:ascii="Times New Roman" w:hAnsi="Times New Roman"/>
          <w:color w:val="000000"/>
          <w:sz w:val="24"/>
          <w:szCs w:val="24"/>
          <w:lang w:eastAsia="sk-SK"/>
        </w:rPr>
        <w:t xml:space="preserve">na Finančnom riaditeľstve SR sa odhadla </w:t>
      </w:r>
      <w:r w:rsidRPr="00FB6E79">
        <w:rPr>
          <w:rFonts w:ascii="Times New Roman" w:hAnsi="Times New Roman"/>
          <w:color w:val="000000"/>
          <w:sz w:val="24"/>
          <w:szCs w:val="24"/>
          <w:lang w:eastAsia="sk-SK"/>
        </w:rPr>
        <w:t>nasledovne:</w:t>
      </w:r>
    </w:p>
    <w:p w:rsidR="0045196E" w:rsidRPr="00FB6E79" w:rsidRDefault="0045196E" w:rsidP="0045196E">
      <w:pPr>
        <w:pStyle w:val="Odsekzoznamu"/>
        <w:numPr>
          <w:ilvl w:val="0"/>
          <w:numId w:val="6"/>
        </w:numPr>
        <w:jc w:val="both"/>
        <w:rPr>
          <w:color w:val="000000"/>
        </w:rPr>
      </w:pPr>
      <w:r w:rsidRPr="00FB6E79">
        <w:rPr>
          <w:color w:val="000000"/>
        </w:rPr>
        <w:t xml:space="preserve">na oddelenie </w:t>
      </w:r>
      <w:r>
        <w:rPr>
          <w:color w:val="000000"/>
        </w:rPr>
        <w:t>AVI</w:t>
      </w:r>
      <w:r w:rsidRPr="00FB6E79">
        <w:rPr>
          <w:color w:val="000000"/>
        </w:rPr>
        <w:t xml:space="preserve"> minimálne </w:t>
      </w:r>
      <w:r>
        <w:rPr>
          <w:color w:val="000000"/>
        </w:rPr>
        <w:t>2</w:t>
      </w:r>
      <w:r w:rsidRPr="00FB6E79">
        <w:rPr>
          <w:color w:val="000000"/>
        </w:rPr>
        <w:t xml:space="preserve"> pracovní</w:t>
      </w:r>
      <w:r>
        <w:rPr>
          <w:color w:val="000000"/>
        </w:rPr>
        <w:t>ci</w:t>
      </w:r>
    </w:p>
    <w:p w:rsidR="0045196E" w:rsidRDefault="0045196E" w:rsidP="0045196E">
      <w:pPr>
        <w:pStyle w:val="Odsekzoznamu"/>
        <w:ind w:left="1068"/>
        <w:jc w:val="both"/>
        <w:rPr>
          <w:color w:val="000000"/>
        </w:rPr>
      </w:pPr>
      <w:r w:rsidRPr="00FB6E79">
        <w:rPr>
          <w:color w:val="000000"/>
        </w:rPr>
        <w:t xml:space="preserve">(mzdové náklady na jedného zamestnanca 1 400,00 </w:t>
      </w:r>
      <w:r>
        <w:rPr>
          <w:color w:val="000000"/>
        </w:rPr>
        <w:t>e</w:t>
      </w:r>
      <w:r w:rsidRPr="00FB6E79">
        <w:rPr>
          <w:color w:val="000000"/>
        </w:rPr>
        <w:t xml:space="preserve">ur + 489,30 </w:t>
      </w:r>
      <w:r>
        <w:rPr>
          <w:color w:val="000000"/>
        </w:rPr>
        <w:t>e</w:t>
      </w:r>
      <w:r w:rsidRPr="00FB6E79">
        <w:rPr>
          <w:color w:val="000000"/>
        </w:rPr>
        <w:t xml:space="preserve">ur odvody zamestnávateľa =    1 889,30 </w:t>
      </w:r>
      <w:r>
        <w:rPr>
          <w:color w:val="000000"/>
        </w:rPr>
        <w:t>e</w:t>
      </w:r>
      <w:r w:rsidRPr="00FB6E79">
        <w:rPr>
          <w:color w:val="000000"/>
        </w:rPr>
        <w:t xml:space="preserve">ur, t. j. </w:t>
      </w:r>
      <w:r>
        <w:rPr>
          <w:color w:val="000000"/>
        </w:rPr>
        <w:t>45</w:t>
      </w:r>
      <w:r w:rsidRPr="00FB6E79">
        <w:rPr>
          <w:color w:val="000000"/>
        </w:rPr>
        <w:t> </w:t>
      </w:r>
      <w:r>
        <w:rPr>
          <w:color w:val="000000"/>
        </w:rPr>
        <w:t>343</w:t>
      </w:r>
      <w:r w:rsidRPr="00FB6E79">
        <w:rPr>
          <w:color w:val="000000"/>
        </w:rPr>
        <w:t>,</w:t>
      </w:r>
      <w:r>
        <w:rPr>
          <w:color w:val="000000"/>
        </w:rPr>
        <w:t>2</w:t>
      </w:r>
      <w:r w:rsidRPr="00FB6E79">
        <w:rPr>
          <w:color w:val="000000"/>
        </w:rPr>
        <w:t xml:space="preserve">0 </w:t>
      </w:r>
      <w:r>
        <w:rPr>
          <w:color w:val="000000"/>
        </w:rPr>
        <w:t>e</w:t>
      </w:r>
      <w:r w:rsidRPr="00FB6E79">
        <w:rPr>
          <w:color w:val="000000"/>
        </w:rPr>
        <w:t xml:space="preserve">ur ročne za </w:t>
      </w:r>
      <w:r>
        <w:rPr>
          <w:color w:val="000000"/>
        </w:rPr>
        <w:t>2</w:t>
      </w:r>
      <w:r w:rsidRPr="00FB6E79">
        <w:rPr>
          <w:color w:val="000000"/>
        </w:rPr>
        <w:t xml:space="preserve"> zamestnancov)</w:t>
      </w:r>
      <w:r>
        <w:rPr>
          <w:color w:val="000000"/>
        </w:rPr>
        <w:t>.</w:t>
      </w:r>
    </w:p>
    <w:p w:rsidR="0045196E" w:rsidRDefault="0045196E" w:rsidP="0045196E">
      <w:pPr>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V nadväznosti na vytvorenie informačného systému zabezpečujúceho</w:t>
      </w:r>
      <w:r w:rsidRPr="007C4A5F">
        <w:t xml:space="preserve"> </w:t>
      </w:r>
      <w:r w:rsidRPr="007C4A5F">
        <w:rPr>
          <w:rFonts w:ascii="Times New Roman" w:hAnsi="Times New Roman"/>
          <w:color w:val="000000"/>
          <w:sz w:val="24"/>
          <w:szCs w:val="24"/>
          <w:lang w:eastAsia="sk-SK"/>
        </w:rPr>
        <w:t>automatickú výmenu v súvislosti s cezhraničnými opatreniami podliehajúcimi oznamovaniu</w:t>
      </w:r>
      <w:r>
        <w:rPr>
          <w:rFonts w:ascii="Times New Roman" w:hAnsi="Times New Roman"/>
          <w:color w:val="000000"/>
          <w:sz w:val="24"/>
          <w:szCs w:val="24"/>
          <w:lang w:eastAsia="sk-SK"/>
        </w:rPr>
        <w:t xml:space="preserve"> je potrebné zabezpečiť aj prostriedky na jeho podporu a údržbu a Finančné riaditeľstvo SR odhadlo výšku bežných výdavkov na podporu informačného systému nasledovne:</w:t>
      </w:r>
    </w:p>
    <w:p w:rsidR="0045196E" w:rsidRPr="007C4A5F" w:rsidRDefault="0045196E" w:rsidP="0045196E">
      <w:pPr>
        <w:spacing w:after="0" w:line="240" w:lineRule="auto"/>
        <w:jc w:val="both"/>
        <w:rPr>
          <w:rFonts w:ascii="Times New Roman" w:hAnsi="Times New Roman"/>
          <w:color w:val="000000"/>
          <w:sz w:val="24"/>
          <w:szCs w:val="24"/>
          <w:lang w:eastAsia="sk-SK"/>
        </w:rPr>
      </w:pPr>
      <w:r w:rsidRPr="007C4A5F">
        <w:rPr>
          <w:rFonts w:ascii="Times New Roman" w:hAnsi="Times New Roman"/>
          <w:color w:val="000000"/>
          <w:sz w:val="24"/>
          <w:szCs w:val="24"/>
          <w:lang w:eastAsia="sk-SK"/>
        </w:rPr>
        <w:t>-</w:t>
      </w:r>
      <w:r w:rsidRPr="007C4A5F">
        <w:rPr>
          <w:rFonts w:ascii="Times New Roman" w:hAnsi="Times New Roman"/>
          <w:color w:val="000000"/>
          <w:sz w:val="24"/>
          <w:szCs w:val="24"/>
          <w:lang w:eastAsia="sk-SK"/>
        </w:rPr>
        <w:tab/>
        <w:t xml:space="preserve">rok 2020 vo výške 139 091,76 </w:t>
      </w:r>
      <w:r w:rsidRPr="00B971C2">
        <w:rPr>
          <w:rFonts w:ascii="Times New Roman" w:hAnsi="Times New Roman"/>
          <w:color w:val="000000"/>
          <w:sz w:val="24"/>
          <w:szCs w:val="24"/>
          <w:lang w:eastAsia="sk-SK"/>
        </w:rPr>
        <w:t>eur</w:t>
      </w:r>
      <w:r w:rsidRPr="007C4A5F">
        <w:rPr>
          <w:rFonts w:ascii="Times New Roman" w:hAnsi="Times New Roman"/>
          <w:color w:val="000000"/>
          <w:sz w:val="24"/>
          <w:szCs w:val="24"/>
          <w:lang w:eastAsia="sk-SK"/>
        </w:rPr>
        <w:t>,</w:t>
      </w:r>
    </w:p>
    <w:p w:rsidR="0045196E" w:rsidRPr="007C4A5F" w:rsidRDefault="0045196E" w:rsidP="0045196E">
      <w:pPr>
        <w:spacing w:after="0" w:line="240" w:lineRule="auto"/>
        <w:jc w:val="both"/>
        <w:rPr>
          <w:rFonts w:ascii="Times New Roman" w:hAnsi="Times New Roman"/>
          <w:color w:val="000000"/>
          <w:sz w:val="24"/>
          <w:szCs w:val="24"/>
          <w:lang w:eastAsia="sk-SK"/>
        </w:rPr>
      </w:pPr>
      <w:r w:rsidRPr="007C4A5F">
        <w:rPr>
          <w:rFonts w:ascii="Times New Roman" w:hAnsi="Times New Roman"/>
          <w:color w:val="000000"/>
          <w:sz w:val="24"/>
          <w:szCs w:val="24"/>
          <w:lang w:eastAsia="sk-SK"/>
        </w:rPr>
        <w:t>-</w:t>
      </w:r>
      <w:r w:rsidRPr="007C4A5F">
        <w:rPr>
          <w:rFonts w:ascii="Times New Roman" w:hAnsi="Times New Roman"/>
          <w:color w:val="000000"/>
          <w:sz w:val="24"/>
          <w:szCs w:val="24"/>
          <w:lang w:eastAsia="sk-SK"/>
        </w:rPr>
        <w:tab/>
        <w:t xml:space="preserve">rok 2021 vo výške 278 183,52 </w:t>
      </w:r>
      <w:r w:rsidRPr="00B971C2">
        <w:rPr>
          <w:rFonts w:ascii="Times New Roman" w:hAnsi="Times New Roman"/>
          <w:color w:val="000000"/>
          <w:sz w:val="24"/>
          <w:szCs w:val="24"/>
          <w:lang w:eastAsia="sk-SK"/>
        </w:rPr>
        <w:t>eur</w:t>
      </w:r>
      <w:r w:rsidRPr="007C4A5F">
        <w:rPr>
          <w:rFonts w:ascii="Times New Roman" w:hAnsi="Times New Roman"/>
          <w:color w:val="000000"/>
          <w:sz w:val="24"/>
          <w:szCs w:val="24"/>
          <w:lang w:eastAsia="sk-SK"/>
        </w:rPr>
        <w:t>,</w:t>
      </w:r>
    </w:p>
    <w:p w:rsidR="0045196E" w:rsidRPr="007C4A5F" w:rsidRDefault="0045196E" w:rsidP="0045196E">
      <w:pPr>
        <w:spacing w:after="0" w:line="240" w:lineRule="auto"/>
        <w:jc w:val="both"/>
        <w:rPr>
          <w:rFonts w:ascii="Times New Roman" w:hAnsi="Times New Roman"/>
          <w:color w:val="000000"/>
          <w:sz w:val="24"/>
          <w:szCs w:val="24"/>
          <w:lang w:eastAsia="sk-SK"/>
        </w:rPr>
      </w:pPr>
      <w:r w:rsidRPr="007C4A5F">
        <w:rPr>
          <w:rFonts w:ascii="Times New Roman" w:hAnsi="Times New Roman"/>
          <w:color w:val="000000"/>
          <w:sz w:val="24"/>
          <w:szCs w:val="24"/>
          <w:lang w:eastAsia="sk-SK"/>
        </w:rPr>
        <w:t>-</w:t>
      </w:r>
      <w:r w:rsidRPr="007C4A5F">
        <w:rPr>
          <w:rFonts w:ascii="Times New Roman" w:hAnsi="Times New Roman"/>
          <w:color w:val="000000"/>
          <w:sz w:val="24"/>
          <w:szCs w:val="24"/>
          <w:lang w:eastAsia="sk-SK"/>
        </w:rPr>
        <w:tab/>
        <w:t xml:space="preserve">rok 2022 vo výške 278 183,52 </w:t>
      </w:r>
      <w:r w:rsidRPr="00B971C2">
        <w:rPr>
          <w:rFonts w:ascii="Times New Roman" w:hAnsi="Times New Roman"/>
          <w:color w:val="000000"/>
          <w:sz w:val="24"/>
          <w:szCs w:val="24"/>
          <w:lang w:eastAsia="sk-SK"/>
        </w:rPr>
        <w:t>eur</w:t>
      </w:r>
      <w:r>
        <w:rPr>
          <w:rFonts w:ascii="Times New Roman" w:hAnsi="Times New Roman"/>
          <w:color w:val="000000"/>
          <w:sz w:val="24"/>
          <w:szCs w:val="24"/>
          <w:lang w:eastAsia="sk-SK"/>
        </w:rPr>
        <w:t>.</w:t>
      </w:r>
    </w:p>
    <w:p w:rsidR="0045196E" w:rsidRPr="00FB6E79" w:rsidRDefault="0045196E" w:rsidP="0045196E">
      <w:pPr>
        <w:spacing w:after="0" w:line="240" w:lineRule="auto"/>
        <w:jc w:val="both"/>
        <w:rPr>
          <w:rFonts w:ascii="Times New Roman" w:hAnsi="Times New Roman"/>
          <w:color w:val="000000"/>
          <w:sz w:val="24"/>
          <w:szCs w:val="24"/>
          <w:lang w:eastAsia="sk-SK"/>
        </w:rPr>
      </w:pPr>
    </w:p>
    <w:p w:rsidR="0045196E" w:rsidRDefault="0045196E" w:rsidP="0045196E">
      <w:pPr>
        <w:spacing w:after="0" w:line="240" w:lineRule="auto"/>
        <w:jc w:val="both"/>
        <w:rPr>
          <w:rFonts w:ascii="Times New Roman" w:hAnsi="Times New Roman"/>
          <w:b/>
          <w:color w:val="000000"/>
          <w:sz w:val="24"/>
          <w:szCs w:val="24"/>
          <w:lang w:eastAsia="sk-SK"/>
        </w:rPr>
      </w:pPr>
      <w:r w:rsidRPr="00F552AD">
        <w:rPr>
          <w:rFonts w:ascii="Times New Roman" w:hAnsi="Times New Roman"/>
          <w:b/>
          <w:color w:val="000000"/>
          <w:sz w:val="24"/>
          <w:szCs w:val="24"/>
          <w:lang w:eastAsia="sk-SK"/>
        </w:rPr>
        <w:t>Kapitálové výdavky</w:t>
      </w:r>
    </w:p>
    <w:p w:rsidR="0045196E" w:rsidRPr="00F552AD" w:rsidRDefault="0045196E" w:rsidP="0045196E">
      <w:pPr>
        <w:spacing w:after="0" w:line="240" w:lineRule="auto"/>
        <w:jc w:val="both"/>
        <w:rPr>
          <w:rFonts w:ascii="Times New Roman" w:hAnsi="Times New Roman"/>
          <w:color w:val="000000"/>
          <w:sz w:val="24"/>
          <w:szCs w:val="24"/>
          <w:lang w:eastAsia="sk-SK"/>
        </w:rPr>
      </w:pPr>
      <w:r w:rsidRPr="00F552AD">
        <w:rPr>
          <w:rFonts w:ascii="Times New Roman" w:hAnsi="Times New Roman"/>
          <w:color w:val="000000"/>
          <w:sz w:val="24"/>
          <w:szCs w:val="24"/>
          <w:lang w:eastAsia="sk-SK"/>
        </w:rPr>
        <w:t>Návrh zákona bude mať negatívny vplyv na rozpočet verejnej správy, pretože bude potrebné vybudovať systém v rámci Finančného riaditeľstva SR, ktorý bude schopný prijímať informácie od povinných osôb a bude schopný posielať a vymieňať si tieto informácie s príslušnými orgánmi ostatných členských štátov.</w:t>
      </w:r>
    </w:p>
    <w:p w:rsidR="0045196E" w:rsidRPr="00FB6E79" w:rsidRDefault="0045196E" w:rsidP="0045196E">
      <w:pPr>
        <w:spacing w:after="0" w:line="240" w:lineRule="auto"/>
        <w:jc w:val="both"/>
        <w:rPr>
          <w:rFonts w:ascii="Times New Roman" w:hAnsi="Times New Roman"/>
          <w:b/>
          <w:bCs/>
          <w:sz w:val="24"/>
          <w:szCs w:val="24"/>
          <w:lang w:eastAsia="sk-SK"/>
        </w:rPr>
      </w:pPr>
      <w:r w:rsidRPr="00FB6E79">
        <w:rPr>
          <w:rFonts w:ascii="Times New Roman" w:hAnsi="Times New Roman"/>
          <w:sz w:val="24"/>
          <w:szCs w:val="24"/>
        </w:rPr>
        <w:t xml:space="preserve">Na základe predbežného popisu požadovaných funkcionalít na systém zabezpečujúci automatickú výmenu </w:t>
      </w:r>
      <w:r w:rsidRPr="00552EB9">
        <w:rPr>
          <w:rFonts w:ascii="Times New Roman" w:hAnsi="Times New Roman"/>
          <w:sz w:val="24"/>
          <w:szCs w:val="24"/>
        </w:rPr>
        <w:t>v súvislosti s cezhraničnými opatreniami podliehajúcimi oznamovaniu</w:t>
      </w:r>
      <w:r w:rsidRPr="00FB6E79">
        <w:rPr>
          <w:rFonts w:ascii="Times New Roman" w:hAnsi="Times New Roman"/>
          <w:sz w:val="24"/>
          <w:szCs w:val="24"/>
        </w:rPr>
        <w:t xml:space="preserve"> nadväzne na implementovanú smernicu Rady 201</w:t>
      </w:r>
      <w:r>
        <w:rPr>
          <w:rFonts w:ascii="Times New Roman" w:hAnsi="Times New Roman"/>
          <w:sz w:val="24"/>
          <w:szCs w:val="24"/>
        </w:rPr>
        <w:t>8</w:t>
      </w:r>
      <w:r w:rsidRPr="00FB6E79">
        <w:rPr>
          <w:rFonts w:ascii="Times New Roman" w:hAnsi="Times New Roman"/>
          <w:sz w:val="24"/>
          <w:szCs w:val="24"/>
        </w:rPr>
        <w:t>/</w:t>
      </w:r>
      <w:r>
        <w:rPr>
          <w:rFonts w:ascii="Times New Roman" w:hAnsi="Times New Roman"/>
          <w:sz w:val="24"/>
          <w:szCs w:val="24"/>
        </w:rPr>
        <w:t>822</w:t>
      </w:r>
      <w:r w:rsidRPr="00FB6E79">
        <w:rPr>
          <w:rFonts w:ascii="Times New Roman" w:hAnsi="Times New Roman"/>
          <w:sz w:val="24"/>
          <w:szCs w:val="24"/>
        </w:rPr>
        <w:t xml:space="preserve"> a porovnania s nákladmi na implementáciu doterajších modulov automatickej výmeny informácií (zahŕňajúcich výmenu podľa pôvodnej smernice 2011/16/EÚ a automatickú výmenu informácií o finančných účtoch) sú odhadované náklady na systém vo výške </w:t>
      </w:r>
      <w:r>
        <w:rPr>
          <w:rFonts w:ascii="Times New Roman" w:hAnsi="Times New Roman"/>
          <w:sz w:val="24"/>
          <w:szCs w:val="24"/>
        </w:rPr>
        <w:t>2,5</w:t>
      </w:r>
      <w:r w:rsidRPr="00FB6E79">
        <w:rPr>
          <w:rFonts w:ascii="Times New Roman" w:hAnsi="Times New Roman"/>
          <w:sz w:val="24"/>
          <w:szCs w:val="24"/>
        </w:rPr>
        <w:t xml:space="preserve"> mil. </w:t>
      </w:r>
      <w:r>
        <w:rPr>
          <w:rFonts w:ascii="Times New Roman" w:hAnsi="Times New Roman"/>
          <w:sz w:val="24"/>
          <w:szCs w:val="24"/>
        </w:rPr>
        <w:t>eur (v roku 2019).</w:t>
      </w:r>
    </w:p>
    <w:p w:rsidR="0045196E" w:rsidRPr="00FB6E79" w:rsidRDefault="0045196E" w:rsidP="0045196E">
      <w:pPr>
        <w:widowControl w:val="0"/>
        <w:tabs>
          <w:tab w:val="num" w:pos="1080"/>
        </w:tabs>
        <w:adjustRightInd w:val="0"/>
        <w:spacing w:after="0" w:line="240" w:lineRule="auto"/>
        <w:jc w:val="both"/>
        <w:rPr>
          <w:rFonts w:ascii="Times New Roman" w:hAnsi="Times New Roman"/>
          <w:bCs/>
          <w:sz w:val="24"/>
          <w:szCs w:val="24"/>
          <w:lang w:eastAsia="sk-SK"/>
        </w:rPr>
        <w:sectPr w:rsidR="0045196E" w:rsidRPr="00FB6E79" w:rsidSect="004B6BB8">
          <w:headerReference w:type="even" r:id="rId5"/>
          <w:footerReference w:type="even" r:id="rId6"/>
          <w:footerReference w:type="default" r:id="rId7"/>
          <w:headerReference w:type="first" r:id="rId8"/>
          <w:footerReference w:type="first" r:id="rId9"/>
          <w:pgSz w:w="11906" w:h="16838"/>
          <w:pgMar w:top="426" w:right="1417" w:bottom="1276" w:left="1417" w:header="708" w:footer="708" w:gutter="0"/>
          <w:pgNumType w:start="1"/>
          <w:cols w:space="708"/>
          <w:docGrid w:linePitch="360"/>
        </w:sectPr>
      </w:pPr>
    </w:p>
    <w:p w:rsidR="0045196E" w:rsidRPr="00FB6E79" w:rsidRDefault="0045196E" w:rsidP="0045196E">
      <w:pPr>
        <w:widowControl w:val="0"/>
        <w:tabs>
          <w:tab w:val="num" w:pos="1080"/>
        </w:tabs>
        <w:adjustRightInd w:val="0"/>
        <w:spacing w:after="0" w:line="240" w:lineRule="auto"/>
        <w:ind w:right="-578"/>
        <w:jc w:val="right"/>
        <w:rPr>
          <w:rFonts w:ascii="Times New Roman" w:hAnsi="Times New Roman"/>
          <w:bCs/>
          <w:sz w:val="24"/>
          <w:szCs w:val="24"/>
          <w:lang w:eastAsia="sk-SK"/>
        </w:rPr>
      </w:pPr>
    </w:p>
    <w:p w:rsidR="0045196E" w:rsidRPr="00FB6E79" w:rsidRDefault="0045196E" w:rsidP="0045196E">
      <w:pPr>
        <w:widowControl w:val="0"/>
        <w:tabs>
          <w:tab w:val="num" w:pos="1080"/>
        </w:tabs>
        <w:adjustRightInd w:val="0"/>
        <w:spacing w:after="0" w:line="240" w:lineRule="auto"/>
        <w:ind w:right="-578"/>
        <w:jc w:val="right"/>
        <w:rPr>
          <w:rFonts w:ascii="Times New Roman" w:hAnsi="Times New Roman"/>
          <w:bCs/>
          <w:sz w:val="24"/>
          <w:szCs w:val="24"/>
          <w:lang w:eastAsia="sk-SK"/>
        </w:rPr>
      </w:pPr>
    </w:p>
    <w:p w:rsidR="0045196E" w:rsidRPr="00FB6E79" w:rsidRDefault="0045196E" w:rsidP="0045196E">
      <w:pPr>
        <w:widowControl w:val="0"/>
        <w:tabs>
          <w:tab w:val="num" w:pos="1080"/>
        </w:tabs>
        <w:adjustRightInd w:val="0"/>
        <w:spacing w:after="0" w:line="240" w:lineRule="auto"/>
        <w:ind w:right="-32"/>
        <w:jc w:val="right"/>
        <w:rPr>
          <w:rFonts w:ascii="Times New Roman" w:hAnsi="Times New Roman"/>
          <w:bCs/>
          <w:sz w:val="24"/>
          <w:szCs w:val="24"/>
          <w:lang w:eastAsia="sk-SK"/>
        </w:rPr>
      </w:pPr>
      <w:r w:rsidRPr="00FB6E79">
        <w:rPr>
          <w:rFonts w:ascii="Times New Roman" w:hAnsi="Times New Roman"/>
          <w:bCs/>
          <w:sz w:val="24"/>
          <w:szCs w:val="24"/>
          <w:lang w:eastAsia="sk-SK"/>
        </w:rPr>
        <w:t xml:space="preserve">Tabuľka č. 4 </w:t>
      </w:r>
    </w:p>
    <w:p w:rsidR="0045196E" w:rsidRPr="00FB6E79" w:rsidRDefault="0045196E" w:rsidP="0045196E">
      <w:pPr>
        <w:widowControl w:val="0"/>
        <w:tabs>
          <w:tab w:val="num" w:pos="1080"/>
        </w:tabs>
        <w:adjustRightInd w:val="0"/>
        <w:spacing w:after="0" w:line="240" w:lineRule="auto"/>
        <w:jc w:val="both"/>
        <w:rPr>
          <w:rFonts w:ascii="Times New Roman" w:hAnsi="Times New Roman"/>
          <w:bCs/>
          <w:sz w:val="24"/>
          <w:szCs w:val="24"/>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45196E" w:rsidRPr="00FB6E79" w:rsidTr="004B6BB8">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poznámka</w:t>
            </w:r>
          </w:p>
        </w:tc>
      </w:tr>
      <w:tr w:rsidR="0045196E" w:rsidRPr="00FB6E79" w:rsidTr="004B6BB8">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45196E" w:rsidRPr="00FB6E79" w:rsidRDefault="0045196E" w:rsidP="004B6BB8">
            <w:pPr>
              <w:widowControl w:val="0"/>
              <w:adjustRightInd w:val="0"/>
              <w:spacing w:after="0" w:line="240" w:lineRule="auto"/>
              <w:rPr>
                <w:rFonts w:ascii="Times New Roman" w:hAnsi="Times New Roman"/>
                <w:b/>
                <w:bCs/>
                <w:color w:val="FFFFFF"/>
                <w:sz w:val="24"/>
                <w:szCs w:val="24"/>
                <w:lang w:eastAsia="sk-SK"/>
              </w:rPr>
            </w:pPr>
          </w:p>
        </w:tc>
        <w:tc>
          <w:tcPr>
            <w:tcW w:w="1540" w:type="dxa"/>
            <w:tcBorders>
              <w:top w:val="nil"/>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20</w:t>
            </w:r>
            <w:r>
              <w:rPr>
                <w:rFonts w:ascii="Times New Roman" w:hAnsi="Times New Roman"/>
                <w:b/>
                <w:bCs/>
                <w:sz w:val="24"/>
                <w:szCs w:val="24"/>
                <w:lang w:eastAsia="sk-SK"/>
              </w:rPr>
              <w:t>19</w:t>
            </w:r>
          </w:p>
        </w:tc>
        <w:tc>
          <w:tcPr>
            <w:tcW w:w="1540" w:type="dxa"/>
            <w:tcBorders>
              <w:top w:val="nil"/>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20</w:t>
            </w:r>
            <w:r>
              <w:rPr>
                <w:rFonts w:ascii="Times New Roman" w:hAnsi="Times New Roman"/>
                <w:b/>
                <w:bCs/>
                <w:sz w:val="24"/>
                <w:szCs w:val="24"/>
                <w:lang w:eastAsia="sk-SK"/>
              </w:rPr>
              <w:t>20</w:t>
            </w:r>
          </w:p>
        </w:tc>
        <w:tc>
          <w:tcPr>
            <w:tcW w:w="1540" w:type="dxa"/>
            <w:tcBorders>
              <w:top w:val="nil"/>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20</w:t>
            </w:r>
            <w:r>
              <w:rPr>
                <w:rFonts w:ascii="Times New Roman" w:hAnsi="Times New Roman"/>
                <w:b/>
                <w:bCs/>
                <w:sz w:val="24"/>
                <w:szCs w:val="24"/>
                <w:lang w:eastAsia="sk-SK"/>
              </w:rPr>
              <w:t>21</w:t>
            </w:r>
          </w:p>
        </w:tc>
        <w:tc>
          <w:tcPr>
            <w:tcW w:w="1540" w:type="dxa"/>
            <w:tcBorders>
              <w:top w:val="nil"/>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20</w:t>
            </w:r>
            <w:r>
              <w:rPr>
                <w:rFonts w:ascii="Times New Roman" w:hAnsi="Times New Roman"/>
                <w:b/>
                <w:bCs/>
                <w:sz w:val="24"/>
                <w:szCs w:val="24"/>
                <w:lang w:eastAsia="sk-SK"/>
              </w:rPr>
              <w:t>22</w:t>
            </w:r>
          </w:p>
        </w:tc>
        <w:tc>
          <w:tcPr>
            <w:tcW w:w="2220" w:type="dxa"/>
            <w:vMerge/>
            <w:tcBorders>
              <w:top w:val="single" w:sz="4" w:space="0" w:color="auto"/>
              <w:left w:val="single" w:sz="4" w:space="0" w:color="auto"/>
              <w:bottom w:val="single" w:sz="4" w:space="0" w:color="auto"/>
              <w:right w:val="single" w:sz="4" w:space="0" w:color="auto"/>
            </w:tcBorders>
            <w:vAlign w:val="center"/>
          </w:tcPr>
          <w:p w:rsidR="0045196E" w:rsidRPr="00FB6E79" w:rsidRDefault="0045196E" w:rsidP="004B6BB8">
            <w:pPr>
              <w:widowControl w:val="0"/>
              <w:adjustRightInd w:val="0"/>
              <w:spacing w:after="0" w:line="240" w:lineRule="auto"/>
              <w:rPr>
                <w:rFonts w:ascii="Times New Roman" w:hAnsi="Times New Roman"/>
                <w:b/>
                <w:bCs/>
                <w:color w:val="FFFFFF"/>
                <w:sz w:val="24"/>
                <w:szCs w:val="24"/>
                <w:lang w:eastAsia="sk-SK"/>
              </w:rPr>
            </w:pP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b/>
                <w:bCs/>
                <w:sz w:val="24"/>
                <w:szCs w:val="24"/>
                <w:lang w:eastAsia="sk-SK"/>
              </w:rPr>
            </w:pPr>
            <w:r w:rsidRPr="00FB6E79">
              <w:rPr>
                <w:rFonts w:ascii="Times New Roman" w:hAnsi="Times New Roman"/>
                <w:b/>
                <w:bCs/>
                <w:sz w:val="24"/>
                <w:szCs w:val="24"/>
                <w:lang w:eastAsia="sk-SK"/>
              </w:rPr>
              <w:t>Bežné výdavky (600)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C2031F">
              <w:rPr>
                <w:rFonts w:ascii="Times New Roman" w:hAnsi="Times New Roman"/>
                <w:b/>
                <w:bCs/>
                <w:sz w:val="24"/>
                <w:szCs w:val="24"/>
                <w:lang w:eastAsia="sk-SK"/>
              </w:rPr>
              <w:t>184 435</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C2031F">
              <w:rPr>
                <w:rFonts w:ascii="Times New Roman" w:hAnsi="Times New Roman"/>
                <w:b/>
                <w:bCs/>
                <w:sz w:val="24"/>
                <w:szCs w:val="24"/>
                <w:lang w:eastAsia="sk-SK"/>
              </w:rPr>
              <w:t>323 527</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C2031F">
              <w:rPr>
                <w:rFonts w:ascii="Times New Roman" w:hAnsi="Times New Roman"/>
                <w:b/>
                <w:bCs/>
                <w:sz w:val="24"/>
                <w:szCs w:val="24"/>
                <w:lang w:eastAsia="sk-SK"/>
              </w:rPr>
              <w:t>323 527</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sidRPr="00443244">
              <w:rPr>
                <w:rFonts w:ascii="Times New Roman" w:hAnsi="Times New Roman"/>
                <w:sz w:val="24"/>
                <w:szCs w:val="24"/>
                <w:lang w:eastAsia="sk-SK"/>
              </w:rPr>
              <w:t>33</w:t>
            </w:r>
            <w:r>
              <w:rPr>
                <w:rFonts w:ascii="Times New Roman" w:hAnsi="Times New Roman"/>
                <w:sz w:val="24"/>
                <w:szCs w:val="24"/>
                <w:lang w:eastAsia="sk-SK"/>
              </w:rPr>
              <w:t> </w:t>
            </w:r>
            <w:r w:rsidRPr="00443244">
              <w:rPr>
                <w:rFonts w:ascii="Times New Roman" w:hAnsi="Times New Roman"/>
                <w:sz w:val="24"/>
                <w:szCs w:val="24"/>
                <w:lang w:eastAsia="sk-SK"/>
              </w:rPr>
              <w:t>600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sidRPr="00443244">
              <w:rPr>
                <w:rFonts w:ascii="Times New Roman" w:hAnsi="Times New Roman"/>
                <w:sz w:val="24"/>
                <w:szCs w:val="24"/>
                <w:lang w:eastAsia="sk-SK"/>
              </w:rPr>
              <w:t>33</w:t>
            </w:r>
            <w:r>
              <w:rPr>
                <w:rFonts w:ascii="Times New Roman" w:hAnsi="Times New Roman"/>
                <w:sz w:val="24"/>
                <w:szCs w:val="24"/>
                <w:lang w:eastAsia="sk-SK"/>
              </w:rPr>
              <w:t> </w:t>
            </w:r>
            <w:r w:rsidRPr="00443244">
              <w:rPr>
                <w:rFonts w:ascii="Times New Roman" w:hAnsi="Times New Roman"/>
                <w:sz w:val="24"/>
                <w:szCs w:val="24"/>
                <w:lang w:eastAsia="sk-SK"/>
              </w:rPr>
              <w:t>600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sidRPr="00443244">
              <w:rPr>
                <w:rFonts w:ascii="Times New Roman" w:hAnsi="Times New Roman"/>
                <w:sz w:val="24"/>
                <w:szCs w:val="24"/>
                <w:lang w:eastAsia="sk-SK"/>
              </w:rPr>
              <w:t>33</w:t>
            </w:r>
            <w:r>
              <w:rPr>
                <w:rFonts w:ascii="Times New Roman" w:hAnsi="Times New Roman"/>
                <w:sz w:val="24"/>
                <w:szCs w:val="24"/>
                <w:lang w:eastAsia="sk-SK"/>
              </w:rPr>
              <w:t> </w:t>
            </w:r>
            <w:r w:rsidRPr="00443244">
              <w:rPr>
                <w:rFonts w:ascii="Times New Roman" w:hAnsi="Times New Roman"/>
                <w:sz w:val="24"/>
                <w:szCs w:val="24"/>
                <w:lang w:eastAsia="sk-SK"/>
              </w:rPr>
              <w:t>600</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sz w:val="24"/>
                <w:szCs w:val="24"/>
                <w:vertAlign w:val="superscript"/>
                <w:lang w:eastAsia="sk-SK"/>
              </w:rPr>
            </w:pPr>
            <w:r w:rsidRPr="00FB6E79">
              <w:rPr>
                <w:rFonts w:ascii="Times New Roman" w:hAnsi="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sidRPr="00443244">
              <w:rPr>
                <w:rFonts w:ascii="Times New Roman" w:hAnsi="Times New Roman"/>
                <w:sz w:val="24"/>
                <w:szCs w:val="24"/>
                <w:lang w:eastAsia="sk-SK"/>
              </w:rPr>
              <w:t>11 743</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sidRPr="00443244">
              <w:rPr>
                <w:rFonts w:ascii="Times New Roman" w:hAnsi="Times New Roman"/>
                <w:sz w:val="24"/>
                <w:szCs w:val="24"/>
                <w:lang w:eastAsia="sk-SK"/>
              </w:rPr>
              <w:t>11 743</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sidRPr="00443244">
              <w:rPr>
                <w:rFonts w:ascii="Times New Roman" w:hAnsi="Times New Roman"/>
                <w:sz w:val="24"/>
                <w:szCs w:val="24"/>
                <w:lang w:eastAsia="sk-SK"/>
              </w:rPr>
              <w:t>11 743</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sz w:val="24"/>
                <w:szCs w:val="24"/>
                <w:vertAlign w:val="superscript"/>
                <w:lang w:eastAsia="sk-SK"/>
              </w:rPr>
            </w:pPr>
            <w:r w:rsidRPr="00FB6E79">
              <w:rPr>
                <w:rFonts w:ascii="Times New Roman" w:hAnsi="Times New Roman"/>
                <w:sz w:val="24"/>
                <w:szCs w:val="24"/>
                <w:lang w:eastAsia="sk-SK"/>
              </w:rPr>
              <w:t xml:space="preserve">  Tovary a služby (630)</w:t>
            </w:r>
            <w:r w:rsidRPr="00FB6E79">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139 092</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278 184</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278 184</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xml:space="preserve">  Bežné transfery (640)</w:t>
            </w:r>
            <w:r w:rsidRPr="00FB6E79">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vAlign w:val="center"/>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xml:space="preserve">  Splácanie úrokov a ostatné platby súvisiace s  úverom, pôžičkou, návratnou finančnou výpomocou a finančným prenájmom (650)</w:t>
            </w:r>
            <w:r w:rsidRPr="00FB6E79">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b/>
                <w:bCs/>
                <w:sz w:val="24"/>
                <w:szCs w:val="24"/>
                <w:lang w:eastAsia="sk-SK"/>
              </w:rPr>
            </w:pPr>
            <w:r w:rsidRPr="00FB6E79">
              <w:rPr>
                <w:rFonts w:ascii="Times New Roman" w:hAnsi="Times New Roman"/>
                <w:b/>
                <w:bCs/>
                <w:sz w:val="24"/>
                <w:szCs w:val="24"/>
                <w:lang w:eastAsia="sk-SK"/>
              </w:rPr>
              <w:t>Kapitálové výdavky (700)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2 500 000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xml:space="preserve">  Obstarávanie kapitálových aktív (710)</w:t>
            </w:r>
            <w:r w:rsidRPr="00FB6E79">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2 500 000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7C4A5F" w:rsidRDefault="0045196E" w:rsidP="004B6BB8">
            <w:pPr>
              <w:widowControl w:val="0"/>
              <w:adjustRightInd w:val="0"/>
              <w:spacing w:after="0" w:line="240" w:lineRule="auto"/>
              <w:rPr>
                <w:rFonts w:ascii="Times New Roman" w:hAnsi="Times New Roman"/>
                <w:sz w:val="24"/>
                <w:szCs w:val="24"/>
                <w:vertAlign w:val="superscript"/>
                <w:lang w:eastAsia="sk-SK"/>
              </w:rPr>
            </w:pPr>
            <w:r>
              <w:rPr>
                <w:rFonts w:ascii="Times New Roman" w:hAnsi="Times New Roman"/>
                <w:sz w:val="24"/>
                <w:szCs w:val="24"/>
                <w:lang w:eastAsia="sk-SK"/>
              </w:rPr>
              <w:t xml:space="preserve">  Rekonštrukcia a modernizácia (718)</w:t>
            </w:r>
            <w:r>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45196E"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2 500 000</w:t>
            </w:r>
          </w:p>
        </w:tc>
        <w:tc>
          <w:tcPr>
            <w:tcW w:w="1540" w:type="dxa"/>
            <w:tcBorders>
              <w:top w:val="nil"/>
              <w:left w:val="nil"/>
              <w:bottom w:val="single" w:sz="4" w:space="0" w:color="auto"/>
              <w:right w:val="single" w:sz="4" w:space="0" w:color="auto"/>
            </w:tcBorders>
          </w:tcPr>
          <w:p w:rsidR="0045196E"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xml:space="preserve">  Kapitálové transfery (720)</w:t>
            </w:r>
            <w:r w:rsidRPr="00FB6E79">
              <w:rPr>
                <w:rFonts w:ascii="Times New Roman" w:hAnsi="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540" w:type="dxa"/>
            <w:tcBorders>
              <w:top w:val="nil"/>
              <w:left w:val="nil"/>
              <w:bottom w:val="single" w:sz="4" w:space="0" w:color="auto"/>
              <w:right w:val="single" w:sz="4" w:space="0" w:color="auto"/>
            </w:tcBorders>
          </w:tcPr>
          <w:p w:rsidR="0045196E" w:rsidRPr="00FB6E79" w:rsidRDefault="0045196E" w:rsidP="004B6BB8">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nil"/>
              <w:left w:val="single" w:sz="4" w:space="0" w:color="auto"/>
              <w:bottom w:val="single" w:sz="4" w:space="0" w:color="auto"/>
              <w:right w:val="single" w:sz="4" w:space="0" w:color="auto"/>
            </w:tcBorders>
          </w:tcPr>
          <w:p w:rsidR="0045196E" w:rsidRPr="00FB6E79" w:rsidRDefault="0045196E" w:rsidP="004B6BB8">
            <w:pPr>
              <w:widowControl w:val="0"/>
              <w:adjustRightInd w:val="0"/>
              <w:spacing w:after="0" w:line="240" w:lineRule="auto"/>
              <w:rPr>
                <w:rFonts w:ascii="Times New Roman" w:hAnsi="Times New Roman"/>
                <w:b/>
                <w:bCs/>
                <w:sz w:val="24"/>
                <w:szCs w:val="24"/>
                <w:lang w:eastAsia="sk-SK"/>
              </w:rPr>
            </w:pPr>
            <w:r w:rsidRPr="00FB6E79">
              <w:rPr>
                <w:rFonts w:ascii="Times New Roman" w:hAnsi="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 </w:t>
            </w: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FB6E79">
              <w:rPr>
                <w:rFonts w:ascii="Times New Roman" w:hAnsi="Times New Roman"/>
                <w:b/>
                <w:bCs/>
                <w:sz w:val="24"/>
                <w:szCs w:val="24"/>
                <w:lang w:eastAsia="sk-SK"/>
              </w:rPr>
              <w:t> </w:t>
            </w: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40" w:type="dxa"/>
            <w:tcBorders>
              <w:top w:val="nil"/>
              <w:left w:val="nil"/>
              <w:bottom w:val="single" w:sz="4" w:space="0" w:color="auto"/>
              <w:right w:val="single" w:sz="4" w:space="0" w:color="auto"/>
            </w:tcBorders>
            <w:shd w:val="clear" w:color="auto" w:fill="FFFF99"/>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2220" w:type="dxa"/>
            <w:tcBorders>
              <w:top w:val="nil"/>
              <w:left w:val="nil"/>
              <w:bottom w:val="single" w:sz="4" w:space="0" w:color="auto"/>
              <w:right w:val="single" w:sz="4" w:space="0" w:color="auto"/>
            </w:tcBorders>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r w:rsidR="0045196E" w:rsidRPr="00FB6E79" w:rsidTr="004B6BB8">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rPr>
                <w:rFonts w:ascii="Times New Roman" w:hAnsi="Times New Roman"/>
                <w:b/>
                <w:bCs/>
                <w:sz w:val="24"/>
                <w:szCs w:val="24"/>
                <w:lang w:eastAsia="sk-SK"/>
              </w:rPr>
            </w:pPr>
            <w:r w:rsidRPr="00FB6E79">
              <w:rPr>
                <w:rFonts w:ascii="Times New Roman" w:hAnsi="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2 500 000</w:t>
            </w:r>
            <w:r w:rsidRPr="00A9169C">
              <w:rPr>
                <w:rFonts w:ascii="Times New Roman" w:hAnsi="Times New Roman"/>
                <w:b/>
                <w:bCs/>
                <w:sz w:val="24"/>
                <w:szCs w:val="24"/>
                <w:lang w:eastAsia="sk-SK"/>
              </w:rPr>
              <w:t xml:space="preserve"> </w:t>
            </w:r>
          </w:p>
        </w:tc>
        <w:tc>
          <w:tcPr>
            <w:tcW w:w="1540" w:type="dxa"/>
            <w:tcBorders>
              <w:top w:val="single" w:sz="4" w:space="0" w:color="auto"/>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C2031F">
              <w:rPr>
                <w:rFonts w:ascii="Times New Roman" w:hAnsi="Times New Roman"/>
                <w:b/>
                <w:bCs/>
                <w:sz w:val="24"/>
                <w:szCs w:val="24"/>
                <w:lang w:eastAsia="sk-SK"/>
              </w:rPr>
              <w:t>184 435</w:t>
            </w:r>
          </w:p>
        </w:tc>
        <w:tc>
          <w:tcPr>
            <w:tcW w:w="1540" w:type="dxa"/>
            <w:tcBorders>
              <w:top w:val="single" w:sz="4" w:space="0" w:color="auto"/>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C2031F">
              <w:rPr>
                <w:rFonts w:ascii="Times New Roman" w:hAnsi="Times New Roman"/>
                <w:b/>
                <w:bCs/>
                <w:sz w:val="24"/>
                <w:szCs w:val="24"/>
                <w:lang w:eastAsia="sk-SK"/>
              </w:rPr>
              <w:t>323 527</w:t>
            </w:r>
          </w:p>
        </w:tc>
        <w:tc>
          <w:tcPr>
            <w:tcW w:w="1540" w:type="dxa"/>
            <w:tcBorders>
              <w:top w:val="single" w:sz="4" w:space="0" w:color="auto"/>
              <w:left w:val="nil"/>
              <w:bottom w:val="single" w:sz="4" w:space="0" w:color="auto"/>
              <w:right w:val="single" w:sz="4" w:space="0" w:color="auto"/>
            </w:tcBorders>
            <w:shd w:val="clear" w:color="auto" w:fill="BFBFBF"/>
          </w:tcPr>
          <w:p w:rsidR="0045196E" w:rsidRPr="00FB6E79" w:rsidRDefault="0045196E" w:rsidP="004B6BB8">
            <w:pPr>
              <w:widowControl w:val="0"/>
              <w:adjustRightInd w:val="0"/>
              <w:spacing w:after="0" w:line="240" w:lineRule="auto"/>
              <w:jc w:val="center"/>
              <w:rPr>
                <w:rFonts w:ascii="Times New Roman" w:hAnsi="Times New Roman"/>
                <w:b/>
                <w:bCs/>
                <w:sz w:val="24"/>
                <w:szCs w:val="24"/>
                <w:lang w:eastAsia="sk-SK"/>
              </w:rPr>
            </w:pPr>
            <w:r w:rsidRPr="00C2031F">
              <w:rPr>
                <w:rFonts w:ascii="Times New Roman" w:hAnsi="Times New Roman"/>
                <w:b/>
                <w:bCs/>
                <w:sz w:val="24"/>
                <w:szCs w:val="24"/>
                <w:lang w:eastAsia="sk-SK"/>
              </w:rPr>
              <w:t>323 527</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45196E" w:rsidRPr="00FB6E79" w:rsidRDefault="0045196E" w:rsidP="004B6BB8">
            <w:pPr>
              <w:widowControl w:val="0"/>
              <w:adjustRightInd w:val="0"/>
              <w:spacing w:after="0" w:line="240" w:lineRule="auto"/>
              <w:rPr>
                <w:rFonts w:ascii="Times New Roman" w:hAnsi="Times New Roman"/>
                <w:sz w:val="24"/>
                <w:szCs w:val="24"/>
                <w:lang w:eastAsia="sk-SK"/>
              </w:rPr>
            </w:pPr>
            <w:r w:rsidRPr="00FB6E79">
              <w:rPr>
                <w:rFonts w:ascii="Times New Roman" w:hAnsi="Times New Roman"/>
                <w:sz w:val="24"/>
                <w:szCs w:val="24"/>
                <w:lang w:eastAsia="sk-SK"/>
              </w:rPr>
              <w:t> </w:t>
            </w:r>
          </w:p>
        </w:tc>
      </w:tr>
    </w:tbl>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Cs/>
          <w:sz w:val="24"/>
          <w:szCs w:val="24"/>
          <w:lang w:eastAsia="sk-SK"/>
        </w:rPr>
      </w:pPr>
      <w:r w:rsidRPr="00FB6E79">
        <w:rPr>
          <w:rFonts w:ascii="Times New Roman" w:hAnsi="Times New Roman"/>
          <w:bCs/>
          <w:sz w:val="24"/>
          <w:szCs w:val="24"/>
          <w:lang w:eastAsia="sk-SK"/>
        </w:rPr>
        <w:t>2 –  výdavky rozpísať až do položiek platnej ekonomickej klasifikácie</w:t>
      </w:r>
    </w:p>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Cs/>
          <w:sz w:val="24"/>
          <w:szCs w:val="24"/>
          <w:lang w:eastAsia="sk-SK"/>
        </w:rPr>
      </w:pPr>
    </w:p>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
          <w:bCs/>
          <w:sz w:val="24"/>
          <w:szCs w:val="24"/>
          <w:lang w:eastAsia="sk-SK"/>
        </w:rPr>
      </w:pPr>
      <w:r w:rsidRPr="00FB6E79">
        <w:rPr>
          <w:rFonts w:ascii="Times New Roman" w:hAnsi="Times New Roman"/>
          <w:b/>
          <w:bCs/>
          <w:sz w:val="24"/>
          <w:szCs w:val="24"/>
          <w:lang w:eastAsia="sk-SK"/>
        </w:rPr>
        <w:t>Poznámka:</w:t>
      </w:r>
    </w:p>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Cs/>
          <w:sz w:val="24"/>
          <w:szCs w:val="24"/>
          <w:lang w:eastAsia="sk-SK"/>
        </w:rPr>
      </w:pPr>
      <w:r w:rsidRPr="00FB6E79">
        <w:rPr>
          <w:rFonts w:ascii="Times New Roman" w:hAnsi="Times New Roman"/>
          <w:bCs/>
          <w:sz w:val="24"/>
          <w:szCs w:val="24"/>
          <w:lang w:eastAsia="sk-SK"/>
        </w:rPr>
        <w:t>Ak sa vplyv týka viacerých subjektov verejnej správy, vypĺňa sa samostatná tabuľka za každý subjekt.</w:t>
      </w:r>
    </w:p>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Cs/>
          <w:sz w:val="24"/>
          <w:szCs w:val="24"/>
          <w:lang w:eastAsia="sk-SK"/>
        </w:rPr>
      </w:pPr>
    </w:p>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Cs/>
          <w:sz w:val="24"/>
          <w:szCs w:val="24"/>
          <w:lang w:eastAsia="sk-SK"/>
        </w:rPr>
      </w:pPr>
    </w:p>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Cs/>
          <w:sz w:val="24"/>
          <w:szCs w:val="24"/>
          <w:lang w:eastAsia="sk-SK"/>
        </w:rPr>
      </w:pPr>
    </w:p>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Cs/>
          <w:sz w:val="24"/>
          <w:szCs w:val="24"/>
          <w:lang w:eastAsia="sk-SK"/>
        </w:rPr>
      </w:pPr>
    </w:p>
    <w:p w:rsidR="0045196E" w:rsidRPr="00FB6E79" w:rsidRDefault="0045196E" w:rsidP="0045196E">
      <w:pPr>
        <w:widowControl w:val="0"/>
        <w:tabs>
          <w:tab w:val="num" w:pos="1080"/>
        </w:tabs>
        <w:adjustRightInd w:val="0"/>
        <w:spacing w:after="0" w:line="240" w:lineRule="auto"/>
        <w:ind w:left="-900"/>
        <w:jc w:val="both"/>
        <w:rPr>
          <w:rFonts w:ascii="Times New Roman" w:hAnsi="Times New Roman"/>
          <w:bCs/>
          <w:sz w:val="24"/>
          <w:szCs w:val="24"/>
          <w:lang w:eastAsia="sk-SK"/>
        </w:rPr>
      </w:pPr>
    </w:p>
    <w:p w:rsidR="0045196E" w:rsidRPr="00FB6E79" w:rsidRDefault="0045196E" w:rsidP="0045196E">
      <w:pPr>
        <w:widowControl w:val="0"/>
        <w:adjustRightInd w:val="0"/>
        <w:spacing w:after="0" w:line="240" w:lineRule="auto"/>
        <w:rPr>
          <w:rFonts w:ascii="Times New Roman" w:hAnsi="Times New Roman"/>
          <w:sz w:val="24"/>
          <w:szCs w:val="24"/>
          <w:lang w:eastAsia="sk-SK"/>
        </w:rPr>
        <w:sectPr w:rsidR="0045196E" w:rsidRPr="00FB6E79" w:rsidSect="004B6BB8">
          <w:footerReference w:type="default" r:id="rId10"/>
          <w:pgSz w:w="16838" w:h="11906" w:orient="landscape" w:code="9"/>
          <w:pgMar w:top="1418" w:right="1418" w:bottom="1418" w:left="1418" w:header="709" w:footer="709" w:gutter="0"/>
          <w:cols w:space="708"/>
          <w:docGrid w:linePitch="360"/>
        </w:sectPr>
      </w:pPr>
    </w:p>
    <w:tbl>
      <w:tblPr>
        <w:tblpPr w:leftFromText="141" w:rightFromText="141" w:vertAnchor="page" w:horzAnchor="page" w:tblpX="786" w:tblpY="1831"/>
        <w:tblW w:w="1543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45196E" w:rsidRPr="00613CEA" w:rsidTr="004B6BB8">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lastRenderedPageBreak/>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poznámka</w:t>
            </w:r>
          </w:p>
        </w:tc>
      </w:tr>
      <w:tr w:rsidR="0045196E" w:rsidRPr="00613CEA" w:rsidTr="004B6BB8">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5196E" w:rsidRPr="00613CEA" w:rsidRDefault="0045196E" w:rsidP="004B6BB8">
            <w:pPr>
              <w:widowControl w:val="0"/>
              <w:adjustRightInd w:val="0"/>
              <w:spacing w:after="0" w:line="240" w:lineRule="auto"/>
              <w:rPr>
                <w:rFonts w:ascii="Times New Roman" w:hAnsi="Times New Roman"/>
                <w:b/>
                <w:bCs/>
                <w:sz w:val="24"/>
                <w:szCs w:val="24"/>
              </w:rPr>
            </w:pPr>
          </w:p>
        </w:tc>
        <w:tc>
          <w:tcPr>
            <w:tcW w:w="1698" w:type="dxa"/>
            <w:tcBorders>
              <w:top w:val="nil"/>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2019</w:t>
            </w:r>
          </w:p>
        </w:tc>
        <w:tc>
          <w:tcPr>
            <w:tcW w:w="1788" w:type="dxa"/>
            <w:tcBorders>
              <w:top w:val="nil"/>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2020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2021</w:t>
            </w:r>
          </w:p>
        </w:tc>
        <w:tc>
          <w:tcPr>
            <w:tcW w:w="1722" w:type="dxa"/>
            <w:tcBorders>
              <w:top w:val="nil"/>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5196E" w:rsidRPr="00613CEA" w:rsidRDefault="0045196E" w:rsidP="004B6BB8">
            <w:pPr>
              <w:widowControl w:val="0"/>
              <w:adjustRightInd w:val="0"/>
              <w:spacing w:after="0" w:line="240" w:lineRule="auto"/>
              <w:rPr>
                <w:rFonts w:ascii="Times New Roman" w:hAnsi="Times New Roman"/>
                <w:b/>
                <w:bCs/>
                <w:sz w:val="24"/>
                <w:szCs w:val="24"/>
              </w:rPr>
            </w:pP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Počet zamestnancov celkom</w:t>
            </w:r>
          </w:p>
        </w:tc>
        <w:tc>
          <w:tcPr>
            <w:tcW w:w="169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0</w:t>
            </w:r>
          </w:p>
        </w:tc>
        <w:tc>
          <w:tcPr>
            <w:tcW w:w="178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w:t>
            </w:r>
          </w:p>
        </w:tc>
        <w:tc>
          <w:tcPr>
            <w:tcW w:w="2418" w:type="dxa"/>
            <w:gridSpan w:val="2"/>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w:t>
            </w:r>
          </w:p>
        </w:tc>
        <w:tc>
          <w:tcPr>
            <w:tcW w:w="1722"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w:t>
            </w:r>
          </w:p>
        </w:tc>
        <w:tc>
          <w:tcPr>
            <w:tcW w:w="1620" w:type="dxa"/>
            <w:gridSpan w:val="2"/>
            <w:tcBorders>
              <w:top w:val="nil"/>
              <w:left w:val="nil"/>
              <w:bottom w:val="single" w:sz="4" w:space="0" w:color="auto"/>
              <w:right w:val="single" w:sz="4" w:space="0" w:color="auto"/>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 </w:t>
            </w: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0</w:t>
            </w:r>
          </w:p>
        </w:tc>
        <w:tc>
          <w:tcPr>
            <w:tcW w:w="1788"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w:t>
            </w:r>
          </w:p>
        </w:tc>
        <w:tc>
          <w:tcPr>
            <w:tcW w:w="2418" w:type="dxa"/>
            <w:gridSpan w:val="2"/>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w:t>
            </w:r>
          </w:p>
        </w:tc>
        <w:tc>
          <w:tcPr>
            <w:tcW w:w="1722"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2</w:t>
            </w:r>
          </w:p>
        </w:tc>
        <w:tc>
          <w:tcPr>
            <w:tcW w:w="1620" w:type="dxa"/>
            <w:gridSpan w:val="2"/>
            <w:tcBorders>
              <w:top w:val="nil"/>
              <w:left w:val="nil"/>
              <w:bottom w:val="single" w:sz="4" w:space="0" w:color="auto"/>
              <w:right w:val="single" w:sz="4" w:space="0" w:color="auto"/>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0</w:t>
            </w:r>
          </w:p>
        </w:tc>
        <w:tc>
          <w:tcPr>
            <w:tcW w:w="1788"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1 400</w:t>
            </w:r>
          </w:p>
        </w:tc>
        <w:tc>
          <w:tcPr>
            <w:tcW w:w="2418" w:type="dxa"/>
            <w:gridSpan w:val="2"/>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1 400</w:t>
            </w:r>
          </w:p>
        </w:tc>
        <w:tc>
          <w:tcPr>
            <w:tcW w:w="1722"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1 400</w:t>
            </w:r>
          </w:p>
        </w:tc>
        <w:tc>
          <w:tcPr>
            <w:tcW w:w="1620" w:type="dxa"/>
            <w:gridSpan w:val="2"/>
            <w:tcBorders>
              <w:top w:val="nil"/>
              <w:left w:val="nil"/>
              <w:bottom w:val="single" w:sz="4" w:space="0" w:color="auto"/>
              <w:right w:val="single" w:sz="4" w:space="0" w:color="auto"/>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 </w:t>
            </w: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788"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Pr>
                <w:rFonts w:ascii="Times New Roman" w:hAnsi="Times New Roman"/>
                <w:sz w:val="24"/>
                <w:szCs w:val="24"/>
              </w:rPr>
              <w:t>1 400</w:t>
            </w:r>
          </w:p>
        </w:tc>
        <w:tc>
          <w:tcPr>
            <w:tcW w:w="2418" w:type="dxa"/>
            <w:gridSpan w:val="2"/>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Pr>
                <w:rFonts w:ascii="Times New Roman" w:hAnsi="Times New Roman"/>
                <w:sz w:val="24"/>
                <w:szCs w:val="24"/>
              </w:rPr>
              <w:t>1 400</w:t>
            </w:r>
          </w:p>
        </w:tc>
        <w:tc>
          <w:tcPr>
            <w:tcW w:w="1722" w:type="dxa"/>
            <w:tcBorders>
              <w:top w:val="single" w:sz="4" w:space="0" w:color="auto"/>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Pr>
                <w:rFonts w:ascii="Times New Roman" w:hAnsi="Times New Roman"/>
                <w:sz w:val="24"/>
                <w:szCs w:val="24"/>
              </w:rPr>
              <w:t>1 400</w:t>
            </w:r>
          </w:p>
        </w:tc>
        <w:tc>
          <w:tcPr>
            <w:tcW w:w="1620" w:type="dxa"/>
            <w:gridSpan w:val="2"/>
            <w:tcBorders>
              <w:top w:val="nil"/>
              <w:left w:val="nil"/>
              <w:bottom w:val="single" w:sz="4" w:space="0" w:color="auto"/>
              <w:right w:val="single" w:sz="4" w:space="0" w:color="auto"/>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 </w:t>
            </w: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45 343</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45 343</w:t>
            </w:r>
          </w:p>
        </w:tc>
        <w:tc>
          <w:tcPr>
            <w:tcW w:w="1722" w:type="dxa"/>
            <w:tcBorders>
              <w:top w:val="nil"/>
              <w:left w:val="nil"/>
              <w:bottom w:val="single" w:sz="4" w:space="0" w:color="auto"/>
              <w:right w:val="single" w:sz="4" w:space="0" w:color="auto"/>
            </w:tcBorders>
            <w:shd w:val="clear" w:color="auto" w:fill="BFBFBF" w:themeFill="background1" w:themeFillShade="BF"/>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45 343</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 </w:t>
            </w: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0</w:t>
            </w:r>
          </w:p>
        </w:tc>
        <w:tc>
          <w:tcPr>
            <w:tcW w:w="178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33 600</w:t>
            </w:r>
          </w:p>
        </w:tc>
        <w:tc>
          <w:tcPr>
            <w:tcW w:w="2418" w:type="dxa"/>
            <w:gridSpan w:val="2"/>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33 600</w:t>
            </w:r>
          </w:p>
        </w:tc>
        <w:tc>
          <w:tcPr>
            <w:tcW w:w="1722"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33 600</w:t>
            </w:r>
          </w:p>
        </w:tc>
        <w:tc>
          <w:tcPr>
            <w:tcW w:w="1620" w:type="dxa"/>
            <w:gridSpan w:val="2"/>
            <w:tcBorders>
              <w:top w:val="nil"/>
              <w:left w:val="nil"/>
              <w:bottom w:val="single" w:sz="4" w:space="0" w:color="auto"/>
              <w:right w:val="single" w:sz="4" w:space="0" w:color="auto"/>
            </w:tcBorders>
            <w:noWrap/>
            <w:vAlign w:val="bottom"/>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 </w:t>
            </w: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78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33 600</w:t>
            </w:r>
          </w:p>
        </w:tc>
        <w:tc>
          <w:tcPr>
            <w:tcW w:w="2418" w:type="dxa"/>
            <w:gridSpan w:val="2"/>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33 600</w:t>
            </w:r>
          </w:p>
        </w:tc>
        <w:tc>
          <w:tcPr>
            <w:tcW w:w="1722"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33 600</w:t>
            </w:r>
          </w:p>
        </w:tc>
        <w:tc>
          <w:tcPr>
            <w:tcW w:w="1620" w:type="dxa"/>
            <w:gridSpan w:val="2"/>
            <w:tcBorders>
              <w:top w:val="nil"/>
              <w:left w:val="nil"/>
              <w:bottom w:val="single" w:sz="4" w:space="0" w:color="auto"/>
              <w:right w:val="single" w:sz="4" w:space="0" w:color="auto"/>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 </w:t>
            </w: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Poistné a príspevok do poisťovní (620)</w:t>
            </w:r>
          </w:p>
        </w:tc>
        <w:tc>
          <w:tcPr>
            <w:tcW w:w="169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Pr>
                <w:rFonts w:ascii="Times New Roman" w:hAnsi="Times New Roman"/>
                <w:b/>
                <w:bCs/>
                <w:sz w:val="24"/>
                <w:szCs w:val="24"/>
              </w:rPr>
              <w:t>0</w:t>
            </w:r>
          </w:p>
        </w:tc>
        <w:tc>
          <w:tcPr>
            <w:tcW w:w="178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11 743</w:t>
            </w:r>
          </w:p>
        </w:tc>
        <w:tc>
          <w:tcPr>
            <w:tcW w:w="2418" w:type="dxa"/>
            <w:gridSpan w:val="2"/>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11 743</w:t>
            </w:r>
          </w:p>
        </w:tc>
        <w:tc>
          <w:tcPr>
            <w:tcW w:w="1722"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11 743</w:t>
            </w:r>
          </w:p>
        </w:tc>
        <w:tc>
          <w:tcPr>
            <w:tcW w:w="1620" w:type="dxa"/>
            <w:gridSpan w:val="2"/>
            <w:tcBorders>
              <w:top w:val="nil"/>
              <w:left w:val="nil"/>
              <w:bottom w:val="single" w:sz="4" w:space="0" w:color="auto"/>
              <w:right w:val="single" w:sz="4" w:space="0" w:color="auto"/>
            </w:tcBorders>
            <w:noWrap/>
            <w:vAlign w:val="bottom"/>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 </w:t>
            </w:r>
          </w:p>
        </w:tc>
      </w:tr>
      <w:tr w:rsidR="0045196E" w:rsidRPr="00613CEA" w:rsidTr="004B6BB8">
        <w:trPr>
          <w:trHeight w:val="255"/>
        </w:trPr>
        <w:tc>
          <w:tcPr>
            <w:tcW w:w="6188" w:type="dxa"/>
            <w:tcBorders>
              <w:top w:val="nil"/>
              <w:left w:val="single" w:sz="4" w:space="0" w:color="auto"/>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788"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11 743</w:t>
            </w:r>
          </w:p>
        </w:tc>
        <w:tc>
          <w:tcPr>
            <w:tcW w:w="2418" w:type="dxa"/>
            <w:gridSpan w:val="2"/>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11 743</w:t>
            </w:r>
          </w:p>
        </w:tc>
        <w:tc>
          <w:tcPr>
            <w:tcW w:w="1722" w:type="dxa"/>
            <w:tcBorders>
              <w:top w:val="nil"/>
              <w:left w:val="nil"/>
              <w:bottom w:val="single" w:sz="4" w:space="0" w:color="auto"/>
              <w:right w:val="single" w:sz="4" w:space="0" w:color="auto"/>
            </w:tcBorders>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11 743</w:t>
            </w:r>
          </w:p>
        </w:tc>
        <w:tc>
          <w:tcPr>
            <w:tcW w:w="1620" w:type="dxa"/>
            <w:gridSpan w:val="2"/>
            <w:tcBorders>
              <w:top w:val="nil"/>
              <w:left w:val="nil"/>
              <w:bottom w:val="single" w:sz="4" w:space="0" w:color="auto"/>
              <w:right w:val="single" w:sz="4" w:space="0" w:color="auto"/>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 </w:t>
            </w:r>
          </w:p>
        </w:tc>
      </w:tr>
      <w:tr w:rsidR="0045196E" w:rsidRPr="00613CEA" w:rsidTr="004B6BB8">
        <w:trPr>
          <w:trHeight w:val="255"/>
        </w:trPr>
        <w:tc>
          <w:tcPr>
            <w:tcW w:w="6188"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1698"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1788"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2418" w:type="dxa"/>
            <w:gridSpan w:val="2"/>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1722"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1620" w:type="dxa"/>
            <w:gridSpan w:val="2"/>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r>
      <w:tr w:rsidR="0045196E" w:rsidRPr="00613CEA" w:rsidTr="004B6BB8">
        <w:trPr>
          <w:trHeight w:val="255"/>
        </w:trPr>
        <w:tc>
          <w:tcPr>
            <w:tcW w:w="6188" w:type="dxa"/>
            <w:tcBorders>
              <w:top w:val="nil"/>
              <w:left w:val="nil"/>
              <w:bottom w:val="nil"/>
              <w:right w:val="nil"/>
            </w:tcBorders>
          </w:tcPr>
          <w:p w:rsidR="0045196E" w:rsidRPr="00613CEA" w:rsidRDefault="0045196E" w:rsidP="004B6BB8">
            <w:pPr>
              <w:widowControl w:val="0"/>
              <w:adjustRightInd w:val="0"/>
              <w:spacing w:after="0" w:line="240" w:lineRule="auto"/>
              <w:rPr>
                <w:rFonts w:ascii="Times New Roman" w:hAnsi="Times New Roman"/>
                <w:b/>
                <w:bCs/>
                <w:sz w:val="24"/>
                <w:szCs w:val="24"/>
              </w:rPr>
            </w:pPr>
            <w:r w:rsidRPr="00613CEA">
              <w:rPr>
                <w:rFonts w:ascii="Times New Roman" w:hAnsi="Times New Roman"/>
                <w:b/>
                <w:bCs/>
                <w:sz w:val="24"/>
                <w:szCs w:val="24"/>
              </w:rPr>
              <w:t>Poznámky:</w:t>
            </w:r>
          </w:p>
        </w:tc>
        <w:tc>
          <w:tcPr>
            <w:tcW w:w="1698"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1788"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2418" w:type="dxa"/>
            <w:gridSpan w:val="2"/>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1722"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1620" w:type="dxa"/>
            <w:gridSpan w:val="2"/>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r>
      <w:tr w:rsidR="0045196E" w:rsidRPr="00613CEA" w:rsidTr="004B6BB8">
        <w:trPr>
          <w:trHeight w:val="255"/>
        </w:trPr>
        <w:tc>
          <w:tcPr>
            <w:tcW w:w="13814" w:type="dxa"/>
            <w:gridSpan w:val="6"/>
            <w:tcBorders>
              <w:top w:val="nil"/>
              <w:left w:val="nil"/>
              <w:bottom w:val="nil"/>
              <w:right w:val="nil"/>
            </w:tcBorders>
            <w:noWrap/>
          </w:tcPr>
          <w:p w:rsidR="0045196E" w:rsidRPr="00613CEA" w:rsidRDefault="0045196E" w:rsidP="004B6BB8">
            <w:pPr>
              <w:widowControl w:val="0"/>
              <w:adjustRightInd w:val="0"/>
              <w:spacing w:after="0" w:line="240" w:lineRule="auto"/>
              <w:rPr>
                <w:rFonts w:ascii="Times New Roman" w:hAnsi="Times New Roman"/>
                <w:bCs/>
                <w:sz w:val="24"/>
                <w:szCs w:val="24"/>
              </w:rPr>
            </w:pPr>
            <w:r w:rsidRPr="00613CEA">
              <w:rPr>
                <w:rFonts w:ascii="Times New Roman" w:hAnsi="Times New Roman"/>
                <w:bCs/>
                <w:sz w:val="24"/>
                <w:szCs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r>
      <w:tr w:rsidR="0045196E" w:rsidRPr="00613CEA" w:rsidTr="004B6BB8">
        <w:trPr>
          <w:trHeight w:val="255"/>
        </w:trPr>
        <w:tc>
          <w:tcPr>
            <w:tcW w:w="10394" w:type="dxa"/>
            <w:gridSpan w:val="4"/>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r w:rsidRPr="00613CEA">
              <w:rPr>
                <w:rFonts w:ascii="Times New Roman" w:hAnsi="Times New Roman"/>
                <w:sz w:val="24"/>
                <w:szCs w:val="24"/>
              </w:rPr>
              <w:t>Kategórie 610 a 620 sú z tejto prílohy prenášané do príslušných kategórií prílohy „výdavky“.</w:t>
            </w:r>
          </w:p>
        </w:tc>
        <w:tc>
          <w:tcPr>
            <w:tcW w:w="1698"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2352" w:type="dxa"/>
            <w:gridSpan w:val="2"/>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c>
          <w:tcPr>
            <w:tcW w:w="990" w:type="dxa"/>
            <w:tcBorders>
              <w:top w:val="nil"/>
              <w:left w:val="nil"/>
              <w:bottom w:val="nil"/>
              <w:right w:val="nil"/>
            </w:tcBorders>
            <w:noWrap/>
            <w:vAlign w:val="bottom"/>
          </w:tcPr>
          <w:p w:rsidR="0045196E" w:rsidRPr="00613CEA" w:rsidRDefault="0045196E" w:rsidP="004B6BB8">
            <w:pPr>
              <w:widowControl w:val="0"/>
              <w:adjustRightInd w:val="0"/>
              <w:spacing w:after="0" w:line="240" w:lineRule="auto"/>
              <w:rPr>
                <w:rFonts w:ascii="Times New Roman" w:hAnsi="Times New Roman"/>
                <w:sz w:val="24"/>
                <w:szCs w:val="24"/>
              </w:rPr>
            </w:pPr>
          </w:p>
        </w:tc>
      </w:tr>
    </w:tbl>
    <w:p w:rsidR="0045196E" w:rsidRPr="00C0323B" w:rsidRDefault="0045196E" w:rsidP="00DA01F2">
      <w:pPr>
        <w:spacing w:after="0" w:line="240" w:lineRule="auto"/>
        <w:jc w:val="both"/>
        <w:rPr>
          <w:rFonts w:ascii="Times New Roman" w:hAnsi="Times New Roman" w:cs="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008FB" w:rsidRDefault="00E008FB"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45196E" w:rsidRDefault="0045196E" w:rsidP="00DA01F2">
      <w:pPr>
        <w:spacing w:after="0" w:line="240" w:lineRule="auto"/>
        <w:ind w:left="360"/>
        <w:jc w:val="both"/>
        <w:rPr>
          <w:rFonts w:ascii="Times New Roman" w:hAnsi="Times New Roman" w:cs="Times New Roman"/>
          <w:b/>
          <w:sz w:val="24"/>
          <w:szCs w:val="24"/>
        </w:rPr>
      </w:pPr>
    </w:p>
    <w:p w:rsidR="000F290A" w:rsidRDefault="000F290A" w:rsidP="00DA01F2">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br w:type="page"/>
      </w:r>
    </w:p>
    <w:p w:rsidR="000F290A" w:rsidRDefault="000F290A" w:rsidP="00DA01F2">
      <w:pPr>
        <w:spacing w:after="0" w:line="240" w:lineRule="auto"/>
        <w:ind w:left="360"/>
        <w:jc w:val="both"/>
        <w:rPr>
          <w:rFonts w:ascii="Times New Roman" w:hAnsi="Times New Roman" w:cs="Times New Roman"/>
          <w:b/>
          <w:sz w:val="24"/>
          <w:szCs w:val="24"/>
        </w:rPr>
        <w:sectPr w:rsidR="000F290A" w:rsidSect="0045196E">
          <w:pgSz w:w="16838" w:h="11906" w:orient="landscape"/>
          <w:pgMar w:top="1417" w:right="1417" w:bottom="1417" w:left="1417" w:header="708" w:footer="708" w:gutter="0"/>
          <w:cols w:space="708"/>
          <w:docGrid w:linePitch="360"/>
        </w:sectPr>
      </w:pPr>
    </w:p>
    <w:tbl>
      <w:tblPr>
        <w:tblStyle w:val="Mriekatabuky"/>
        <w:tblW w:w="0" w:type="auto"/>
        <w:tblLook w:val="04A0" w:firstRow="1" w:lastRow="0" w:firstColumn="1" w:lastColumn="0" w:noHBand="0" w:noVBand="1"/>
      </w:tblPr>
      <w:tblGrid>
        <w:gridCol w:w="9062"/>
      </w:tblGrid>
      <w:tr w:rsidR="000F290A" w:rsidRPr="00F04CCD" w:rsidTr="004B6BB8">
        <w:trPr>
          <w:trHeight w:val="567"/>
        </w:trPr>
        <w:tc>
          <w:tcPr>
            <w:tcW w:w="9212" w:type="dxa"/>
            <w:shd w:val="clear" w:color="auto" w:fill="D9D9D9" w:themeFill="background1" w:themeFillShade="D9"/>
          </w:tcPr>
          <w:p w:rsidR="000F290A" w:rsidRPr="00042C66" w:rsidRDefault="000F290A" w:rsidP="004B6BB8">
            <w:pPr>
              <w:jc w:val="center"/>
              <w:rPr>
                <w:b/>
                <w:sz w:val="24"/>
              </w:rPr>
            </w:pPr>
            <w:r w:rsidRPr="008A1252">
              <w:rPr>
                <w:b/>
                <w:sz w:val="28"/>
              </w:rPr>
              <w:lastRenderedPageBreak/>
              <w:t xml:space="preserve">Analýza </w:t>
            </w:r>
            <w:r>
              <w:rPr>
                <w:b/>
                <w:sz w:val="28"/>
              </w:rPr>
              <w:t>v</w:t>
            </w:r>
            <w:r w:rsidRPr="00042C66">
              <w:rPr>
                <w:b/>
                <w:sz w:val="28"/>
              </w:rPr>
              <w:t>plyv</w:t>
            </w:r>
            <w:r>
              <w:rPr>
                <w:b/>
                <w:sz w:val="28"/>
              </w:rPr>
              <w:t>ov</w:t>
            </w:r>
            <w:r w:rsidRPr="00042C66">
              <w:rPr>
                <w:b/>
                <w:sz w:val="28"/>
              </w:rPr>
              <w:t xml:space="preserve"> na podnikateľské prostredie </w:t>
            </w:r>
          </w:p>
          <w:p w:rsidR="000F290A" w:rsidRPr="00F04CCD" w:rsidRDefault="000F290A" w:rsidP="004B6BB8">
            <w:pPr>
              <w:jc w:val="center"/>
              <w:rPr>
                <w:b/>
              </w:rPr>
            </w:pPr>
            <w:r w:rsidRPr="00042C66">
              <w:rPr>
                <w:b/>
                <w:sz w:val="24"/>
              </w:rPr>
              <w:t xml:space="preserve">(vrátane </w:t>
            </w:r>
            <w:r>
              <w:rPr>
                <w:b/>
                <w:sz w:val="24"/>
              </w:rPr>
              <w:t xml:space="preserve">testu </w:t>
            </w:r>
            <w:r w:rsidRPr="00042C66">
              <w:rPr>
                <w:b/>
                <w:sz w:val="24"/>
              </w:rPr>
              <w:t>MSP)</w:t>
            </w:r>
          </w:p>
        </w:tc>
      </w:tr>
      <w:tr w:rsidR="000F290A" w:rsidRPr="00F04CCD" w:rsidTr="004B6BB8">
        <w:trPr>
          <w:trHeight w:val="567"/>
        </w:trPr>
        <w:tc>
          <w:tcPr>
            <w:tcW w:w="9212" w:type="dxa"/>
            <w:shd w:val="clear" w:color="auto" w:fill="D9D9D9" w:themeFill="background1" w:themeFillShade="D9"/>
          </w:tcPr>
          <w:p w:rsidR="000F290A" w:rsidRPr="00042C66" w:rsidRDefault="000F290A" w:rsidP="004B6BB8">
            <w:pPr>
              <w:rPr>
                <w:b/>
                <w:sz w:val="24"/>
              </w:rPr>
            </w:pPr>
            <w:r w:rsidRPr="00042C66">
              <w:rPr>
                <w:b/>
                <w:sz w:val="24"/>
              </w:rPr>
              <w:t>Materiál bude mať vplyv s ohľadom na veľkostnú kategóriu podnikov:</w:t>
            </w:r>
          </w:p>
        </w:tc>
      </w:tr>
      <w:tr w:rsidR="000F290A" w:rsidRPr="00F04CCD" w:rsidTr="004B6BB8">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0F290A" w:rsidRPr="00F04CCD" w:rsidTr="004B6BB8">
              <w:sdt>
                <w:sdtPr>
                  <w:id w:val="43339831"/>
                  <w14:checkbox>
                    <w14:checked w14:val="0"/>
                    <w14:checkedState w14:val="2612" w14:font="MS Gothic"/>
                    <w14:uncheckedState w14:val="2610" w14:font="MS Gothic"/>
                  </w14:checkbox>
                </w:sdtPr>
                <w:sdtContent>
                  <w:tc>
                    <w:tcPr>
                      <w:tcW w:w="436" w:type="dxa"/>
                    </w:tcPr>
                    <w:p w:rsidR="000F290A" w:rsidRPr="00F04CCD" w:rsidRDefault="000F290A" w:rsidP="004B6BB8">
                      <w:pPr>
                        <w:jc w:val="center"/>
                      </w:pPr>
                      <w:r>
                        <w:rPr>
                          <w:rFonts w:ascii="MS Gothic" w:eastAsia="MS Gothic" w:hAnsi="MS Gothic" w:hint="eastAsia"/>
                        </w:rPr>
                        <w:t>☐</w:t>
                      </w:r>
                    </w:p>
                  </w:tc>
                </w:sdtContent>
              </w:sdt>
              <w:tc>
                <w:tcPr>
                  <w:tcW w:w="8545" w:type="dxa"/>
                </w:tcPr>
                <w:p w:rsidR="000F290A" w:rsidRPr="00F04CCD" w:rsidRDefault="000F290A" w:rsidP="004B6BB8">
                  <w:pPr>
                    <w:rPr>
                      <w:b/>
                    </w:rPr>
                  </w:pPr>
                  <w:r w:rsidRPr="00F04CCD">
                    <w:rPr>
                      <w:b/>
                    </w:rPr>
                    <w:t xml:space="preserve">iba na MSP (0 - 249 zamestnancov) </w:t>
                  </w:r>
                </w:p>
              </w:tc>
            </w:tr>
            <w:tr w:rsidR="000F290A" w:rsidRPr="00F04CCD" w:rsidTr="004B6BB8">
              <w:sdt>
                <w:sdtPr>
                  <w:id w:val="-79453833"/>
                  <w14:checkbox>
                    <w14:checked w14:val="0"/>
                    <w14:checkedState w14:val="2612" w14:font="MS Gothic"/>
                    <w14:uncheckedState w14:val="2610" w14:font="MS Gothic"/>
                  </w14:checkbox>
                </w:sdtPr>
                <w:sdtContent>
                  <w:tc>
                    <w:tcPr>
                      <w:tcW w:w="436" w:type="dxa"/>
                    </w:tcPr>
                    <w:p w:rsidR="000F290A" w:rsidRPr="00F04CCD" w:rsidRDefault="000F290A" w:rsidP="004B6BB8">
                      <w:pPr>
                        <w:jc w:val="center"/>
                      </w:pPr>
                      <w:r>
                        <w:rPr>
                          <w:rFonts w:ascii="MS Gothic" w:eastAsia="MS Gothic" w:hAnsi="MS Gothic" w:hint="eastAsia"/>
                        </w:rPr>
                        <w:t>☐</w:t>
                      </w:r>
                    </w:p>
                  </w:tc>
                </w:sdtContent>
              </w:sdt>
              <w:tc>
                <w:tcPr>
                  <w:tcW w:w="8545" w:type="dxa"/>
                </w:tcPr>
                <w:p w:rsidR="000F290A" w:rsidRPr="00F04CCD" w:rsidRDefault="000F290A" w:rsidP="004B6BB8">
                  <w:pPr>
                    <w:rPr>
                      <w:b/>
                    </w:rPr>
                  </w:pPr>
                  <w:r w:rsidRPr="00F04CCD">
                    <w:rPr>
                      <w:b/>
                    </w:rPr>
                    <w:t>iba na veľké podniky (250 a viac zamestnancov)</w:t>
                  </w:r>
                </w:p>
              </w:tc>
            </w:tr>
            <w:tr w:rsidR="000F290A" w:rsidRPr="00F04CCD" w:rsidTr="004B6BB8">
              <w:sdt>
                <w:sdtPr>
                  <w:id w:val="1290634502"/>
                  <w14:checkbox>
                    <w14:checked w14:val="1"/>
                    <w14:checkedState w14:val="2612" w14:font="MS Gothic"/>
                    <w14:uncheckedState w14:val="2610" w14:font="MS Gothic"/>
                  </w14:checkbox>
                </w:sdtPr>
                <w:sdtContent>
                  <w:tc>
                    <w:tcPr>
                      <w:tcW w:w="436" w:type="dxa"/>
                    </w:tcPr>
                    <w:p w:rsidR="000F290A" w:rsidRPr="00F04CCD" w:rsidRDefault="000F290A" w:rsidP="004B6BB8">
                      <w:pPr>
                        <w:jc w:val="center"/>
                      </w:pPr>
                      <w:r>
                        <w:rPr>
                          <w:rFonts w:ascii="MS Gothic" w:eastAsia="MS Gothic" w:hAnsi="MS Gothic" w:hint="eastAsia"/>
                        </w:rPr>
                        <w:t>☒</w:t>
                      </w:r>
                    </w:p>
                  </w:tc>
                </w:sdtContent>
              </w:sdt>
              <w:tc>
                <w:tcPr>
                  <w:tcW w:w="8545" w:type="dxa"/>
                </w:tcPr>
                <w:p w:rsidR="000F290A" w:rsidRPr="00F04CCD" w:rsidRDefault="000F290A" w:rsidP="004B6BB8">
                  <w:r w:rsidRPr="00F04CCD">
                    <w:rPr>
                      <w:b/>
                    </w:rPr>
                    <w:t xml:space="preserve">na všetky </w:t>
                  </w:r>
                  <w:r>
                    <w:rPr>
                      <w:b/>
                    </w:rPr>
                    <w:t>kategórie</w:t>
                  </w:r>
                  <w:r w:rsidRPr="00F04CCD">
                    <w:rPr>
                      <w:b/>
                    </w:rPr>
                    <w:t xml:space="preserve"> podnikov</w:t>
                  </w:r>
                </w:p>
              </w:tc>
            </w:tr>
          </w:tbl>
          <w:p w:rsidR="000F290A" w:rsidRPr="00F04CCD" w:rsidRDefault="000F290A" w:rsidP="004B6BB8">
            <w:pPr>
              <w:rPr>
                <w:b/>
              </w:rPr>
            </w:pPr>
          </w:p>
        </w:tc>
      </w:tr>
      <w:tr w:rsidR="000F290A" w:rsidRPr="00F04CCD" w:rsidTr="004B6BB8">
        <w:tc>
          <w:tcPr>
            <w:tcW w:w="9212" w:type="dxa"/>
            <w:shd w:val="clear" w:color="auto" w:fill="D9D9D9" w:themeFill="background1" w:themeFillShade="D9"/>
          </w:tcPr>
          <w:p w:rsidR="000F290A" w:rsidRPr="00042C66" w:rsidRDefault="000F290A" w:rsidP="004B6BB8">
            <w:pPr>
              <w:rPr>
                <w:b/>
                <w:sz w:val="24"/>
              </w:rPr>
            </w:pPr>
            <w:r>
              <w:rPr>
                <w:b/>
                <w:sz w:val="24"/>
              </w:rPr>
              <w:t>3</w:t>
            </w:r>
            <w:r w:rsidRPr="00042C66">
              <w:rPr>
                <w:b/>
                <w:sz w:val="24"/>
              </w:rPr>
              <w:t>.1 Dotknuté podnikateľské subjekty</w:t>
            </w:r>
          </w:p>
          <w:p w:rsidR="000F290A" w:rsidRPr="00F04CCD" w:rsidRDefault="000F290A" w:rsidP="004B6BB8">
            <w:pPr>
              <w:ind w:left="284"/>
              <w:rPr>
                <w:b/>
              </w:rPr>
            </w:pPr>
            <w:r w:rsidRPr="00042C66">
              <w:rPr>
                <w:sz w:val="24"/>
              </w:rPr>
              <w:t xml:space="preserve"> - </w:t>
            </w:r>
            <w:r w:rsidRPr="00042C66">
              <w:rPr>
                <w:b/>
                <w:sz w:val="24"/>
              </w:rPr>
              <w:t>z toho MSP</w:t>
            </w:r>
          </w:p>
        </w:tc>
      </w:tr>
      <w:tr w:rsidR="000F290A" w:rsidRPr="00F04CCD" w:rsidTr="004B6BB8">
        <w:tc>
          <w:tcPr>
            <w:tcW w:w="9212" w:type="dxa"/>
            <w:tcBorders>
              <w:bottom w:val="single" w:sz="4" w:space="0" w:color="auto"/>
            </w:tcBorders>
          </w:tcPr>
          <w:p w:rsidR="000F290A" w:rsidRPr="00F04CCD" w:rsidRDefault="000F290A" w:rsidP="004B6BB8">
            <w:pPr>
              <w:rPr>
                <w:i/>
              </w:rPr>
            </w:pPr>
            <w:r w:rsidRPr="00F04CCD">
              <w:rPr>
                <w:i/>
              </w:rPr>
              <w:t>Uveďte, aké podnikateľské subjekty budú predkladaným návrhom ovplyvnené.</w:t>
            </w:r>
          </w:p>
          <w:p w:rsidR="000F290A" w:rsidRPr="00F04CCD" w:rsidRDefault="000F290A" w:rsidP="004B6BB8">
            <w:pPr>
              <w:rPr>
                <w:i/>
              </w:rPr>
            </w:pPr>
            <w:r w:rsidRPr="00F04CCD">
              <w:rPr>
                <w:i/>
              </w:rPr>
              <w:t>Aký je ich počet?</w:t>
            </w:r>
          </w:p>
        </w:tc>
      </w:tr>
      <w:tr w:rsidR="000F290A" w:rsidRPr="00F04CCD" w:rsidTr="004B6BB8">
        <w:trPr>
          <w:trHeight w:val="1440"/>
        </w:trPr>
        <w:tc>
          <w:tcPr>
            <w:tcW w:w="9212" w:type="dxa"/>
            <w:tcBorders>
              <w:bottom w:val="single" w:sz="4" w:space="0" w:color="auto"/>
            </w:tcBorders>
          </w:tcPr>
          <w:p w:rsidR="000F290A" w:rsidRPr="003F58A7" w:rsidRDefault="000F290A" w:rsidP="004B6BB8">
            <w:pPr>
              <w:jc w:val="both"/>
            </w:pPr>
            <w:r w:rsidRPr="003F58A7">
              <w:t xml:space="preserve">Smernica tzv. DAC 6 je zameraná na agresívne cezhraničné daňové plánovanie. Podľa dostupných informácií (napr. z rôznych vyšetrovaní zo strany inštitúcií EÚ, alebo z únikov informácii ako napr. Panama </w:t>
            </w:r>
            <w:proofErr w:type="spellStart"/>
            <w:r w:rsidRPr="003F58A7">
              <w:t>Papers</w:t>
            </w:r>
            <w:proofErr w:type="spellEnd"/>
            <w:r w:rsidRPr="003F58A7">
              <w:t xml:space="preserve">), vyplýva, že takéto postupy sú charakteristické skôr pre veľké spoločnosti, ktoré majú dostatočné zázemie a finančné prostriedky na to, aby sa podieľali na agresívnom cezhraničnom daňovom plánovaní. Predpokladáme, že pri </w:t>
            </w:r>
            <w:proofErr w:type="spellStart"/>
            <w:r w:rsidRPr="003F58A7">
              <w:t>mikro</w:t>
            </w:r>
            <w:proofErr w:type="spellEnd"/>
            <w:r w:rsidRPr="003F58A7">
              <w:t>, malých a stredných podnikoch je možnosť využívania opatrení/schém podliehajúcich oznamovaniu podľa smernice menšia a to aj z dôvodu, že opatrenie musí byť cezhraničné. Avšak ani pri MSP nie je možné využívanie cezhraničných opatrení podliehajúcich oznamovaniu úplne vylúčiť.</w:t>
            </w:r>
          </w:p>
          <w:p w:rsidR="000F290A" w:rsidRPr="003F58A7" w:rsidRDefault="000F290A" w:rsidP="004B6BB8">
            <w:pPr>
              <w:jc w:val="both"/>
            </w:pPr>
          </w:p>
          <w:p w:rsidR="000F290A" w:rsidRPr="00F04CCD" w:rsidRDefault="000F290A" w:rsidP="004B6BB8">
            <w:pPr>
              <w:jc w:val="both"/>
              <w:rPr>
                <w:i/>
              </w:rPr>
            </w:pPr>
            <w:r w:rsidRPr="003F58A7">
              <w:t xml:space="preserve">Dotknuté sú všetky podnikateľské subjekty (daňovníci), ktoré využívajú cezhraničné opatrenia podliehajúce oznamovaniu, ako aj všetky tie podnikateľské subjekty (sprostredkovatelia), ktoré navrhujú, ponúkajú, organizujú, implementujú cezhraničné opatrenia podliehajúce oznamovaniu, </w:t>
            </w:r>
            <w:proofErr w:type="spellStart"/>
            <w:r w:rsidRPr="003F58A7">
              <w:t>t.j</w:t>
            </w:r>
            <w:proofErr w:type="spellEnd"/>
            <w:r w:rsidRPr="003F58A7">
              <w:t>. môžu sem spadať subjekty ako daňoví poradcovia, advokáti, účtovníci</w:t>
            </w:r>
            <w:r>
              <w:t xml:space="preserve"> </w:t>
            </w:r>
            <w:r w:rsidRPr="003F58A7">
              <w:t>a pod.</w:t>
            </w:r>
          </w:p>
        </w:tc>
      </w:tr>
      <w:tr w:rsidR="000F290A" w:rsidRPr="00F04CCD" w:rsidTr="004B6BB8">
        <w:trPr>
          <w:trHeight w:val="339"/>
        </w:trPr>
        <w:tc>
          <w:tcPr>
            <w:tcW w:w="9212" w:type="dxa"/>
            <w:tcBorders>
              <w:bottom w:val="single" w:sz="4" w:space="0" w:color="auto"/>
            </w:tcBorders>
            <w:shd w:val="clear" w:color="auto" w:fill="D9D9D9" w:themeFill="background1" w:themeFillShade="D9"/>
          </w:tcPr>
          <w:p w:rsidR="000F290A" w:rsidRPr="00960035" w:rsidRDefault="000F290A" w:rsidP="004B6BB8">
            <w:pPr>
              <w:rPr>
                <w:b/>
                <w:sz w:val="24"/>
              </w:rPr>
            </w:pPr>
            <w:r>
              <w:rPr>
                <w:b/>
                <w:sz w:val="24"/>
              </w:rPr>
              <w:t>3</w:t>
            </w:r>
            <w:r w:rsidRPr="00042C66">
              <w:rPr>
                <w:b/>
                <w:sz w:val="24"/>
              </w:rPr>
              <w:t xml:space="preserve">.2 </w:t>
            </w:r>
            <w:r w:rsidRPr="00960035">
              <w:rPr>
                <w:b/>
                <w:sz w:val="24"/>
              </w:rPr>
              <w:t xml:space="preserve">Vyhodnotenie konzultácií – </w:t>
            </w:r>
          </w:p>
          <w:p w:rsidR="000F290A" w:rsidRPr="00F04CCD" w:rsidRDefault="000F290A" w:rsidP="004B6BB8">
            <w:pPr>
              <w:rPr>
                <w:b/>
              </w:rPr>
            </w:pPr>
            <w:r w:rsidRPr="00960035">
              <w:rPr>
                <w:sz w:val="24"/>
              </w:rPr>
              <w:t xml:space="preserve">       - </w:t>
            </w:r>
            <w:r w:rsidRPr="00960035">
              <w:rPr>
                <w:b/>
                <w:sz w:val="24"/>
              </w:rPr>
              <w:t xml:space="preserve">z toho </w:t>
            </w:r>
            <w:proofErr w:type="spellStart"/>
            <w:r w:rsidRPr="00960035">
              <w:rPr>
                <w:b/>
                <w:sz w:val="24"/>
              </w:rPr>
              <w:t>msp</w:t>
            </w:r>
            <w:proofErr w:type="spellEnd"/>
          </w:p>
        </w:tc>
      </w:tr>
      <w:tr w:rsidR="000F290A" w:rsidRPr="00F04CCD" w:rsidTr="004B6BB8">
        <w:trPr>
          <w:trHeight w:val="557"/>
        </w:trPr>
        <w:tc>
          <w:tcPr>
            <w:tcW w:w="9212" w:type="dxa"/>
            <w:tcBorders>
              <w:bottom w:val="single" w:sz="4" w:space="0" w:color="auto"/>
            </w:tcBorders>
          </w:tcPr>
          <w:p w:rsidR="000F290A" w:rsidRPr="00F04CCD" w:rsidRDefault="000F290A" w:rsidP="004B6BB8">
            <w:pPr>
              <w:rPr>
                <w:i/>
              </w:rPr>
            </w:pPr>
            <w:r w:rsidRPr="00F04CCD">
              <w:rPr>
                <w:i/>
              </w:rPr>
              <w:t>Uveďte, akou formou (verejné alebo cielené konzultácie a prečo)</w:t>
            </w:r>
            <w:r>
              <w:rPr>
                <w:i/>
              </w:rPr>
              <w:t xml:space="preserve"> a </w:t>
            </w:r>
            <w:r w:rsidRPr="00F04CCD">
              <w:rPr>
                <w:i/>
              </w:rPr>
              <w:t>s kým bol návrh konzultovaný.</w:t>
            </w:r>
          </w:p>
          <w:p w:rsidR="000F290A" w:rsidRPr="00F04CCD" w:rsidRDefault="000F290A" w:rsidP="004B6BB8">
            <w:pPr>
              <w:rPr>
                <w:i/>
              </w:rPr>
            </w:pPr>
            <w:r w:rsidRPr="00F04CCD">
              <w:rPr>
                <w:i/>
              </w:rPr>
              <w:t>Ako dlho trvali konzultácie?</w:t>
            </w:r>
          </w:p>
          <w:p w:rsidR="000F290A" w:rsidRPr="000D2622" w:rsidRDefault="000F290A" w:rsidP="004B6BB8">
            <w:pPr>
              <w:rPr>
                <w:i/>
              </w:rPr>
            </w:pPr>
            <w:r w:rsidRPr="00F04CCD">
              <w:rPr>
                <w:i/>
              </w:rPr>
              <w:t xml:space="preserve">Uveďte hlavné body konzultácií a výsledky konzultácií. </w:t>
            </w:r>
          </w:p>
        </w:tc>
      </w:tr>
      <w:tr w:rsidR="000F290A" w:rsidRPr="00F04CCD" w:rsidTr="004B6BB8">
        <w:trPr>
          <w:trHeight w:val="1440"/>
        </w:trPr>
        <w:tc>
          <w:tcPr>
            <w:tcW w:w="9212" w:type="dxa"/>
            <w:tcBorders>
              <w:bottom w:val="single" w:sz="4" w:space="0" w:color="auto"/>
            </w:tcBorders>
          </w:tcPr>
          <w:p w:rsidR="000F290A" w:rsidRPr="00921C76" w:rsidRDefault="000F290A" w:rsidP="004B6BB8">
            <w:pPr>
              <w:jc w:val="both"/>
              <w:rPr>
                <w:bCs/>
              </w:rPr>
            </w:pPr>
            <w:r w:rsidRPr="003F58A7">
              <w:t xml:space="preserve">Verejnosť bola o príprave návrhu zákona, </w:t>
            </w:r>
            <w:r w:rsidRPr="005F2517">
              <w:rPr>
                <w:bCs/>
              </w:rPr>
              <w:t>ktorým sa mení a dopĺňa zákon č. 442/2012 Z. z. o medzinárodnej pomoci a spolupráci pri správe daní v znení neskorších predpisov a ktorým sa menia a dopĺňajú niektoré zákony</w:t>
            </w:r>
            <w:r w:rsidRPr="005F2517" w:rsidDel="005F2517">
              <w:rPr>
                <w:bCs/>
              </w:rPr>
              <w:t xml:space="preserve"> </w:t>
            </w:r>
            <w:r w:rsidRPr="003F58A7">
              <w:t>informovaná prostredníctvom predbežnej informácie č. PI/2018/173 zverejnenej v informačnom systéme verejnej správy Slov-Lex od</w:t>
            </w:r>
            <w:r w:rsidRPr="003F58A7">
              <w:rPr>
                <w:b/>
                <w:bCs/>
              </w:rPr>
              <w:t xml:space="preserve"> </w:t>
            </w:r>
            <w:r w:rsidRPr="003F58A7">
              <w:rPr>
                <w:bCs/>
              </w:rPr>
              <w:t>16. 8. 2018 s termínom ukončenia pripomienkového konania dňa 14. 9. 2018.</w:t>
            </w:r>
          </w:p>
          <w:p w:rsidR="000F290A" w:rsidRPr="003F58A7" w:rsidRDefault="000F290A" w:rsidP="004B6BB8">
            <w:pPr>
              <w:jc w:val="both"/>
            </w:pPr>
          </w:p>
          <w:p w:rsidR="000F290A" w:rsidRDefault="000F290A" w:rsidP="004B6BB8">
            <w:pPr>
              <w:jc w:val="both"/>
              <w:rPr>
                <w:bCs/>
              </w:rPr>
            </w:pPr>
            <w:r w:rsidRPr="003F58A7">
              <w:t xml:space="preserve">K predbežnej informácií č. PI/2018/173 boli zo strany Slovenskej advokátskej komory, Slovenskej komory daňových poradcov, Slovensko – rakúskej obchodnej komory a Americkej obchodnej komory na Slovensku predložené 4 stanoviská. </w:t>
            </w:r>
            <w:r w:rsidRPr="003F58A7">
              <w:rPr>
                <w:bCs/>
              </w:rPr>
              <w:t>Následne prebehli rozsiahle konzultácie s</w:t>
            </w:r>
            <w:r>
              <w:rPr>
                <w:bCs/>
              </w:rPr>
              <w:t xml:space="preserve"> potenciálne dotknutými podnikateľskými subjektami </w:t>
            </w:r>
            <w:r w:rsidRPr="003F58A7">
              <w:rPr>
                <w:bCs/>
              </w:rPr>
              <w:t>formou dotazníka v termíne od 3.9.2018 do 28.9.2018 s predĺžením termínu na</w:t>
            </w:r>
            <w:r>
              <w:rPr>
                <w:bCs/>
              </w:rPr>
              <w:t xml:space="preserve"> zaslanie odpovedí do 5.11.2018.</w:t>
            </w:r>
          </w:p>
          <w:p w:rsidR="000F290A" w:rsidRDefault="000F290A" w:rsidP="004B6BB8">
            <w:pPr>
              <w:jc w:val="both"/>
              <w:rPr>
                <w:bCs/>
              </w:rPr>
            </w:pPr>
            <w:r>
              <w:rPr>
                <w:bCs/>
              </w:rPr>
              <w:t xml:space="preserve">Dotazník obsahoval otázky, ktoré boli pre predkladateľa kľúčové pri zostavovaní návrhu zákona, pričom hlavnou otázkou bolo, či je podľa dotknutých subjektov potrebné a vhodné upraviť legislatívu ohľadne prelomenia povinnosti zachovávať mlčanlivosť poskytovateľov poradenstva, </w:t>
            </w:r>
            <w:proofErr w:type="spellStart"/>
            <w:r>
              <w:rPr>
                <w:bCs/>
              </w:rPr>
              <w:t>t.j</w:t>
            </w:r>
            <w:proofErr w:type="spellEnd"/>
            <w:r>
              <w:rPr>
                <w:bCs/>
              </w:rPr>
              <w:t xml:space="preserve">. najmä daňových poradcov a advokátov. Väčšina subjektov sa vyjadrila v prospech zachovania povinnosti zachovávať mlčanlivosť, </w:t>
            </w:r>
            <w:proofErr w:type="spellStart"/>
            <w:r>
              <w:rPr>
                <w:bCs/>
              </w:rPr>
              <w:t>t.j</w:t>
            </w:r>
            <w:proofErr w:type="spellEnd"/>
            <w:r>
              <w:rPr>
                <w:bCs/>
              </w:rPr>
              <w:t>. jeho neprelomenia.</w:t>
            </w:r>
          </w:p>
          <w:p w:rsidR="000F290A" w:rsidRDefault="000F290A" w:rsidP="004B6BB8">
            <w:pPr>
              <w:jc w:val="both"/>
              <w:rPr>
                <w:bCs/>
              </w:rPr>
            </w:pPr>
            <w:r>
              <w:rPr>
                <w:bCs/>
              </w:rPr>
              <w:t>Predkladateľ pri zostavovaní návrhu zákona zobral do úvahy stanoviská, ktoré predložili vyššie uvedené subjekty k predbežnej informácii a rovnako aj odpovede získané z dotazníkov od potenciálne dotknutých podnikateľských subjektov.</w:t>
            </w:r>
          </w:p>
          <w:p w:rsidR="006E0873" w:rsidRPr="003F58A7" w:rsidRDefault="006E0873" w:rsidP="004B6BB8">
            <w:pPr>
              <w:jc w:val="both"/>
              <w:rPr>
                <w:bCs/>
              </w:rPr>
            </w:pPr>
          </w:p>
          <w:p w:rsidR="000F290A" w:rsidRPr="00F04CCD" w:rsidRDefault="000F290A" w:rsidP="004B6BB8">
            <w:pPr>
              <w:jc w:val="both"/>
              <w:rPr>
                <w:i/>
              </w:rPr>
            </w:pPr>
          </w:p>
        </w:tc>
      </w:tr>
      <w:tr w:rsidR="000F290A" w:rsidRPr="00F04CCD" w:rsidTr="004B6BB8">
        <w:tc>
          <w:tcPr>
            <w:tcW w:w="9212" w:type="dxa"/>
            <w:shd w:val="clear" w:color="auto" w:fill="D9D9D9" w:themeFill="background1" w:themeFillShade="D9"/>
          </w:tcPr>
          <w:p w:rsidR="000F290A" w:rsidRPr="00042C66" w:rsidRDefault="000F290A" w:rsidP="004B6BB8">
            <w:pPr>
              <w:rPr>
                <w:b/>
                <w:sz w:val="24"/>
              </w:rPr>
            </w:pPr>
            <w:r>
              <w:rPr>
                <w:b/>
                <w:sz w:val="24"/>
              </w:rPr>
              <w:lastRenderedPageBreak/>
              <w:t>3</w:t>
            </w:r>
            <w:r w:rsidRPr="00042C66">
              <w:rPr>
                <w:b/>
                <w:sz w:val="24"/>
              </w:rPr>
              <w:t>.3 Náklady regulácie</w:t>
            </w:r>
          </w:p>
          <w:p w:rsidR="000F290A" w:rsidRPr="00F04CCD" w:rsidRDefault="000F290A" w:rsidP="004B6BB8">
            <w:pPr>
              <w:rPr>
                <w:b/>
              </w:rPr>
            </w:pPr>
            <w:r w:rsidRPr="00042C66">
              <w:rPr>
                <w:sz w:val="24"/>
              </w:rPr>
              <w:t xml:space="preserve">      - </w:t>
            </w:r>
            <w:r w:rsidRPr="00042C66">
              <w:rPr>
                <w:b/>
                <w:sz w:val="24"/>
              </w:rPr>
              <w:t>z toho MSP</w:t>
            </w:r>
          </w:p>
        </w:tc>
      </w:tr>
      <w:tr w:rsidR="000F290A" w:rsidRPr="00F04CCD" w:rsidTr="004B6BB8">
        <w:tc>
          <w:tcPr>
            <w:tcW w:w="9212" w:type="dxa"/>
            <w:tcBorders>
              <w:bottom w:val="single" w:sz="4" w:space="0" w:color="auto"/>
            </w:tcBorders>
          </w:tcPr>
          <w:p w:rsidR="000F290A" w:rsidRPr="00F04CCD" w:rsidRDefault="000F290A" w:rsidP="004B6BB8">
            <w:pPr>
              <w:rPr>
                <w:b/>
                <w:i/>
              </w:rPr>
            </w:pPr>
            <w:r>
              <w:rPr>
                <w:b/>
                <w:i/>
              </w:rPr>
              <w:t>3</w:t>
            </w:r>
            <w:r w:rsidRPr="00F04CCD">
              <w:rPr>
                <w:b/>
                <w:i/>
              </w:rPr>
              <w:t>.3.1 Priame finančné náklady</w:t>
            </w:r>
          </w:p>
          <w:p w:rsidR="000F290A" w:rsidRPr="00F04CCD" w:rsidRDefault="000F290A" w:rsidP="004B6BB8">
            <w:pPr>
              <w:rPr>
                <w:i/>
              </w:rPr>
            </w:pPr>
            <w:r w:rsidRPr="00F04CCD">
              <w:rPr>
                <w:i/>
              </w:rPr>
              <w:t xml:space="preserve">Dochádza k zvýšeniu/zníženiu priamych finančných nákladov (poplatky, odvody, dane clá...)? Ak áno, popíšte a vyčíslite ich. Uveďte tiež spôsob ich výpočtu. </w:t>
            </w:r>
          </w:p>
        </w:tc>
      </w:tr>
      <w:tr w:rsidR="000F290A" w:rsidRPr="00F04CCD" w:rsidTr="004B6BB8">
        <w:tc>
          <w:tcPr>
            <w:tcW w:w="9212" w:type="dxa"/>
            <w:tcBorders>
              <w:bottom w:val="single" w:sz="4" w:space="0" w:color="auto"/>
            </w:tcBorders>
          </w:tcPr>
          <w:p w:rsidR="000F290A" w:rsidRPr="00F04CCD" w:rsidRDefault="000F290A" w:rsidP="004B6BB8">
            <w:pPr>
              <w:rPr>
                <w:b/>
                <w:i/>
              </w:rPr>
            </w:pPr>
          </w:p>
          <w:p w:rsidR="000F290A" w:rsidRPr="00691F7B" w:rsidRDefault="000F290A" w:rsidP="004B6BB8">
            <w:pPr>
              <w:jc w:val="both"/>
              <w:rPr>
                <w:b/>
              </w:rPr>
            </w:pPr>
            <w:r w:rsidRPr="00691F7B">
              <w:t xml:space="preserve">Existuje potenciálny náklad pre podnikateľa v podobe možnosti uloženia sankcie zo strany </w:t>
            </w:r>
            <w:r>
              <w:t>daňového úradu</w:t>
            </w:r>
            <w:r w:rsidRPr="00691F7B">
              <w:t xml:space="preserve"> do výšky 30 000,- eur, a to aj opakovane, v prípade nesplnenia zákonom uloženej povinnosti</w:t>
            </w:r>
            <w:r>
              <w:t xml:space="preserve"> podať informácie, vyhlásenie alebo spoločné vyhlásenie podľa § 8c v rozsahu podľa § 8f v lehote podľa § 8e.</w:t>
            </w:r>
          </w:p>
        </w:tc>
      </w:tr>
      <w:tr w:rsidR="000F290A" w:rsidRPr="00F04CCD" w:rsidTr="004B6BB8">
        <w:tc>
          <w:tcPr>
            <w:tcW w:w="9212" w:type="dxa"/>
            <w:tcBorders>
              <w:bottom w:val="single" w:sz="4" w:space="0" w:color="auto"/>
            </w:tcBorders>
          </w:tcPr>
          <w:p w:rsidR="000F290A" w:rsidRPr="00F04CCD" w:rsidRDefault="000F290A" w:rsidP="004B6BB8">
            <w:pPr>
              <w:rPr>
                <w:b/>
                <w:i/>
              </w:rPr>
            </w:pPr>
            <w:r>
              <w:rPr>
                <w:b/>
                <w:i/>
              </w:rPr>
              <w:t>3</w:t>
            </w:r>
            <w:r w:rsidRPr="00F04CCD">
              <w:rPr>
                <w:b/>
                <w:i/>
              </w:rPr>
              <w:t>.3.2 Nepriame finančné náklady</w:t>
            </w:r>
          </w:p>
          <w:p w:rsidR="000F290A" w:rsidRPr="00F04CCD" w:rsidRDefault="000F290A" w:rsidP="004B6BB8">
            <w:pPr>
              <w:jc w:val="both"/>
              <w:rPr>
                <w:i/>
              </w:rPr>
            </w:pPr>
            <w:r w:rsidRPr="00F04CCD">
              <w:rPr>
                <w:i/>
              </w:rPr>
              <w:t xml:space="preserve">Vyžaduje si predkladaný návrh dodatočné náklady na nákup tovarov alebo služieb? </w:t>
            </w:r>
            <w:r>
              <w:rPr>
                <w:i/>
              </w:rPr>
              <w:t xml:space="preserve">Zvyšuje predkladaný návrh náklady súvisiace so zamestnávaním? </w:t>
            </w:r>
            <w:r w:rsidRPr="00F04CCD">
              <w:rPr>
                <w:i/>
              </w:rPr>
              <w:t>Ak áno, popíšte a vyčíslite ich. Uveďte tiež spôsob ich výpočtu.</w:t>
            </w:r>
          </w:p>
        </w:tc>
      </w:tr>
      <w:tr w:rsidR="000F290A" w:rsidRPr="00F04CCD" w:rsidTr="004B6BB8">
        <w:tc>
          <w:tcPr>
            <w:tcW w:w="9212" w:type="dxa"/>
            <w:tcBorders>
              <w:bottom w:val="single" w:sz="4" w:space="0" w:color="auto"/>
            </w:tcBorders>
          </w:tcPr>
          <w:p w:rsidR="000F290A" w:rsidRPr="00F04CCD" w:rsidRDefault="000F290A" w:rsidP="004B6BB8">
            <w:pPr>
              <w:rPr>
                <w:b/>
                <w:i/>
              </w:rPr>
            </w:pPr>
          </w:p>
          <w:p w:rsidR="000F290A" w:rsidRPr="00921C76" w:rsidRDefault="000F290A" w:rsidP="004B6BB8">
            <w:r w:rsidRPr="00921C76">
              <w:t>Predkladateľ nepredpokladá žiadne nepriame finančné náklady.</w:t>
            </w:r>
          </w:p>
          <w:p w:rsidR="000F290A" w:rsidRPr="00F04CCD" w:rsidRDefault="000F290A" w:rsidP="004B6BB8">
            <w:pPr>
              <w:rPr>
                <w:b/>
                <w:i/>
              </w:rPr>
            </w:pPr>
          </w:p>
        </w:tc>
      </w:tr>
      <w:tr w:rsidR="000F290A" w:rsidRPr="00F04CCD" w:rsidTr="004B6BB8">
        <w:tc>
          <w:tcPr>
            <w:tcW w:w="9212" w:type="dxa"/>
            <w:tcBorders>
              <w:bottom w:val="single" w:sz="4" w:space="0" w:color="auto"/>
            </w:tcBorders>
          </w:tcPr>
          <w:p w:rsidR="000F290A" w:rsidRPr="00F04CCD" w:rsidRDefault="000F290A" w:rsidP="004B6BB8">
            <w:pPr>
              <w:rPr>
                <w:b/>
                <w:i/>
              </w:rPr>
            </w:pPr>
            <w:r>
              <w:rPr>
                <w:b/>
                <w:i/>
              </w:rPr>
              <w:t>3</w:t>
            </w:r>
            <w:r w:rsidRPr="00F04CCD">
              <w:rPr>
                <w:b/>
                <w:i/>
              </w:rPr>
              <w:t>.3.3 Administratívne náklady</w:t>
            </w:r>
          </w:p>
          <w:p w:rsidR="000F290A" w:rsidRPr="00F04CCD" w:rsidRDefault="000F290A" w:rsidP="004B6BB8">
            <w:pPr>
              <w:jc w:val="both"/>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0F290A" w:rsidRPr="00F04CCD" w:rsidTr="004B6BB8">
        <w:tc>
          <w:tcPr>
            <w:tcW w:w="9212" w:type="dxa"/>
            <w:tcBorders>
              <w:bottom w:val="single" w:sz="4" w:space="0" w:color="auto"/>
            </w:tcBorders>
          </w:tcPr>
          <w:p w:rsidR="000F290A" w:rsidRPr="00F04CCD" w:rsidRDefault="000F290A" w:rsidP="004B6BB8">
            <w:pPr>
              <w:rPr>
                <w:b/>
                <w:i/>
              </w:rPr>
            </w:pPr>
          </w:p>
          <w:p w:rsidR="000F290A" w:rsidRPr="001813A6" w:rsidRDefault="000F290A" w:rsidP="004B6BB8">
            <w:pPr>
              <w:jc w:val="both"/>
            </w:pPr>
            <w:r>
              <w:t>Návrhom zákona sa zavádza</w:t>
            </w:r>
            <w:r w:rsidRPr="003F58A7">
              <w:t xml:space="preserve"> povinnosť pre relevantných spros</w:t>
            </w:r>
            <w:r>
              <w:t xml:space="preserve">tredkovateľov a </w:t>
            </w:r>
            <w:r w:rsidRPr="003F58A7">
              <w:t xml:space="preserve">daňovníkov zozbierať informácie o cezhraničných opatreniach podliehajúcich oznamovaniu stanovené v zákone a následne tieto informácie podať Finančnému riaditeľstvu </w:t>
            </w:r>
            <w:r>
              <w:t xml:space="preserve">SR </w:t>
            </w:r>
            <w:r w:rsidRPr="003F58A7">
              <w:t xml:space="preserve">v zákonom stanovej lehote. V podmienkach SR bude táto povinnosť spočívať vo vyplnení elektronického formulára s požadovanými informáciami a v jeho elektronickom podaní na portál finančnej správy, tak ako to funguje aj pri ostatných údajoch, pri ktorých sa vykonáva automatická výmena informácií v daňovej oblasti. </w:t>
            </w:r>
            <w:r>
              <w:t>Predpokladáme, že vyplnenie formulára nebude administratívne zaťažujúce, pretože povinné osoby v elektronickom formulári len zhrnú im známe skutočnosti o cezhraničnom oznamovanom opatrení, ako to už v súčasnosti robia pri iných druhoch automatickej výmeny informácií v daňovej oblasti. A</w:t>
            </w:r>
            <w:r w:rsidRPr="003F58A7">
              <w:t>dministratívne náklady nie je možné vyčísliť.</w:t>
            </w:r>
          </w:p>
          <w:p w:rsidR="000F290A" w:rsidRPr="00F04CCD" w:rsidRDefault="000F290A" w:rsidP="004B6BB8">
            <w:pPr>
              <w:jc w:val="both"/>
              <w:rPr>
                <w:b/>
                <w:i/>
              </w:rPr>
            </w:pPr>
          </w:p>
        </w:tc>
      </w:tr>
      <w:tr w:rsidR="000F290A" w:rsidRPr="00F04CCD" w:rsidTr="004B6BB8">
        <w:trPr>
          <w:trHeight w:val="2318"/>
        </w:trPr>
        <w:tc>
          <w:tcPr>
            <w:tcW w:w="9212" w:type="dxa"/>
            <w:tcBorders>
              <w:bottom w:val="single" w:sz="4" w:space="0" w:color="auto"/>
            </w:tcBorders>
          </w:tcPr>
          <w:p w:rsidR="000F290A" w:rsidRPr="00F04CCD" w:rsidRDefault="000F290A" w:rsidP="004B6BB8">
            <w:pPr>
              <w:rPr>
                <w:i/>
              </w:rPr>
            </w:pPr>
            <w:r>
              <w:rPr>
                <w:b/>
                <w:i/>
              </w:rPr>
              <w:t>3</w:t>
            </w:r>
            <w:r w:rsidRPr="00F04CCD">
              <w:rPr>
                <w:b/>
                <w:i/>
              </w:rPr>
              <w:t>.3.4 Súhrnná tabuľka nákladov regulácie</w:t>
            </w:r>
          </w:p>
          <w:p w:rsidR="000F290A" w:rsidRPr="00F04CCD" w:rsidRDefault="000F290A" w:rsidP="004B6BB8">
            <w:pPr>
              <w:rPr>
                <w:i/>
              </w:rPr>
            </w:pPr>
          </w:p>
          <w:tbl>
            <w:tblPr>
              <w:tblStyle w:val="Mriekatabuky"/>
              <w:tblW w:w="0" w:type="auto"/>
              <w:tblLook w:val="04A0" w:firstRow="1" w:lastRow="0" w:firstColumn="1" w:lastColumn="0" w:noHBand="0" w:noVBand="1"/>
            </w:tblPr>
            <w:tblGrid>
              <w:gridCol w:w="2950"/>
              <w:gridCol w:w="2940"/>
              <w:gridCol w:w="2946"/>
            </w:tblGrid>
            <w:tr w:rsidR="000F290A" w:rsidRPr="00F04CCD" w:rsidTr="004B6BB8">
              <w:tc>
                <w:tcPr>
                  <w:tcW w:w="2993" w:type="dxa"/>
                </w:tcPr>
                <w:p w:rsidR="000F290A" w:rsidRPr="00F04CCD" w:rsidRDefault="000F290A" w:rsidP="004B6BB8">
                  <w:pPr>
                    <w:rPr>
                      <w:i/>
                    </w:rPr>
                  </w:pPr>
                </w:p>
              </w:tc>
              <w:tc>
                <w:tcPr>
                  <w:tcW w:w="2994" w:type="dxa"/>
                </w:tcPr>
                <w:p w:rsidR="000F290A" w:rsidRPr="00F04CCD" w:rsidRDefault="000F290A" w:rsidP="004B6BB8">
                  <w:pPr>
                    <w:jc w:val="center"/>
                    <w:rPr>
                      <w:i/>
                    </w:rPr>
                  </w:pPr>
                  <w:r w:rsidRPr="00F04CCD">
                    <w:rPr>
                      <w:i/>
                    </w:rPr>
                    <w:t>Náklady na 1 podnikateľa</w:t>
                  </w:r>
                </w:p>
              </w:tc>
              <w:tc>
                <w:tcPr>
                  <w:tcW w:w="2994" w:type="dxa"/>
                </w:tcPr>
                <w:p w:rsidR="000F290A" w:rsidRPr="00F04CCD" w:rsidRDefault="000F290A" w:rsidP="004B6BB8">
                  <w:pPr>
                    <w:jc w:val="center"/>
                    <w:rPr>
                      <w:i/>
                    </w:rPr>
                  </w:pPr>
                  <w:r w:rsidRPr="00F04CCD">
                    <w:rPr>
                      <w:i/>
                    </w:rPr>
                    <w:t>Náklady na celé podnikateľské prostredie</w:t>
                  </w:r>
                </w:p>
              </w:tc>
            </w:tr>
            <w:tr w:rsidR="000F290A" w:rsidRPr="00F04CCD" w:rsidTr="004B6BB8">
              <w:tc>
                <w:tcPr>
                  <w:tcW w:w="2993" w:type="dxa"/>
                </w:tcPr>
                <w:p w:rsidR="000F290A" w:rsidRPr="00F04CCD" w:rsidRDefault="000F290A" w:rsidP="004B6BB8">
                  <w:pPr>
                    <w:rPr>
                      <w:i/>
                    </w:rPr>
                  </w:pPr>
                  <w:r w:rsidRPr="00F04CCD">
                    <w:rPr>
                      <w:i/>
                    </w:rPr>
                    <w:t>Priame finančné náklady</w:t>
                  </w:r>
                </w:p>
              </w:tc>
              <w:tc>
                <w:tcPr>
                  <w:tcW w:w="2994" w:type="dxa"/>
                </w:tcPr>
                <w:p w:rsidR="000F290A" w:rsidRPr="00F04CCD" w:rsidRDefault="000F290A" w:rsidP="004B6BB8">
                  <w:pPr>
                    <w:jc w:val="center"/>
                    <w:rPr>
                      <w:i/>
                    </w:rPr>
                  </w:pPr>
                  <w:r>
                    <w:rPr>
                      <w:i/>
                    </w:rPr>
                    <w:t>Do 30 000 eur, aj opakovane</w:t>
                  </w:r>
                </w:p>
              </w:tc>
              <w:tc>
                <w:tcPr>
                  <w:tcW w:w="2994" w:type="dxa"/>
                </w:tcPr>
                <w:p w:rsidR="000F290A" w:rsidRPr="00F04CCD" w:rsidRDefault="000F290A" w:rsidP="004B6BB8">
                  <w:pPr>
                    <w:jc w:val="center"/>
                    <w:rPr>
                      <w:i/>
                    </w:rPr>
                  </w:pPr>
                  <w:r w:rsidRPr="00F04CCD">
                    <w:rPr>
                      <w:i/>
                    </w:rPr>
                    <w:t>0</w:t>
                  </w:r>
                </w:p>
              </w:tc>
            </w:tr>
            <w:tr w:rsidR="000F290A" w:rsidRPr="00F04CCD" w:rsidTr="004B6BB8">
              <w:tc>
                <w:tcPr>
                  <w:tcW w:w="2993" w:type="dxa"/>
                </w:tcPr>
                <w:p w:rsidR="000F290A" w:rsidRPr="00F04CCD" w:rsidRDefault="000F290A" w:rsidP="004B6BB8">
                  <w:pPr>
                    <w:rPr>
                      <w:i/>
                    </w:rPr>
                  </w:pPr>
                  <w:r w:rsidRPr="00F04CCD">
                    <w:rPr>
                      <w:i/>
                    </w:rPr>
                    <w:t>Nepriame finančné náklady</w:t>
                  </w:r>
                </w:p>
              </w:tc>
              <w:tc>
                <w:tcPr>
                  <w:tcW w:w="2994" w:type="dxa"/>
                </w:tcPr>
                <w:p w:rsidR="000F290A" w:rsidRPr="00F04CCD" w:rsidRDefault="000F290A" w:rsidP="004B6BB8">
                  <w:pPr>
                    <w:jc w:val="center"/>
                    <w:rPr>
                      <w:i/>
                    </w:rPr>
                  </w:pPr>
                  <w:r w:rsidRPr="00F04CCD">
                    <w:rPr>
                      <w:i/>
                    </w:rPr>
                    <w:t>0</w:t>
                  </w:r>
                </w:p>
              </w:tc>
              <w:tc>
                <w:tcPr>
                  <w:tcW w:w="2994" w:type="dxa"/>
                </w:tcPr>
                <w:p w:rsidR="000F290A" w:rsidRPr="00F04CCD" w:rsidRDefault="000F290A" w:rsidP="004B6BB8">
                  <w:pPr>
                    <w:jc w:val="center"/>
                    <w:rPr>
                      <w:i/>
                    </w:rPr>
                  </w:pPr>
                  <w:r w:rsidRPr="00F04CCD">
                    <w:rPr>
                      <w:i/>
                    </w:rPr>
                    <w:t>0</w:t>
                  </w:r>
                </w:p>
              </w:tc>
            </w:tr>
            <w:tr w:rsidR="000F290A" w:rsidRPr="00F04CCD" w:rsidTr="004B6BB8">
              <w:tc>
                <w:tcPr>
                  <w:tcW w:w="2993" w:type="dxa"/>
                </w:tcPr>
                <w:p w:rsidR="000F290A" w:rsidRPr="00F04CCD" w:rsidRDefault="000F290A" w:rsidP="004B6BB8">
                  <w:pPr>
                    <w:rPr>
                      <w:i/>
                    </w:rPr>
                  </w:pPr>
                  <w:r w:rsidRPr="00F04CCD">
                    <w:rPr>
                      <w:i/>
                    </w:rPr>
                    <w:t>Administratívne náklady</w:t>
                  </w:r>
                </w:p>
              </w:tc>
              <w:tc>
                <w:tcPr>
                  <w:tcW w:w="2994" w:type="dxa"/>
                </w:tcPr>
                <w:p w:rsidR="000F290A" w:rsidRPr="00F04CCD" w:rsidRDefault="000F290A" w:rsidP="004B6BB8">
                  <w:pPr>
                    <w:jc w:val="center"/>
                    <w:rPr>
                      <w:i/>
                    </w:rPr>
                  </w:pPr>
                  <w:r w:rsidRPr="00F04CCD">
                    <w:rPr>
                      <w:i/>
                    </w:rPr>
                    <w:t>0</w:t>
                  </w:r>
                </w:p>
              </w:tc>
              <w:tc>
                <w:tcPr>
                  <w:tcW w:w="2994" w:type="dxa"/>
                </w:tcPr>
                <w:p w:rsidR="000F290A" w:rsidRPr="00F04CCD" w:rsidRDefault="000F290A" w:rsidP="004B6BB8">
                  <w:pPr>
                    <w:jc w:val="center"/>
                    <w:rPr>
                      <w:i/>
                    </w:rPr>
                  </w:pPr>
                  <w:r w:rsidRPr="00F04CCD">
                    <w:rPr>
                      <w:i/>
                    </w:rPr>
                    <w:t>0</w:t>
                  </w:r>
                </w:p>
              </w:tc>
            </w:tr>
            <w:tr w:rsidR="000F290A" w:rsidRPr="00F04CCD" w:rsidTr="004B6BB8">
              <w:tc>
                <w:tcPr>
                  <w:tcW w:w="2993" w:type="dxa"/>
                </w:tcPr>
                <w:p w:rsidR="000F290A" w:rsidRPr="00F04CCD" w:rsidRDefault="000F290A" w:rsidP="004B6BB8">
                  <w:pPr>
                    <w:rPr>
                      <w:b/>
                      <w:i/>
                    </w:rPr>
                  </w:pPr>
                  <w:r w:rsidRPr="00F04CCD">
                    <w:rPr>
                      <w:b/>
                      <w:i/>
                    </w:rPr>
                    <w:t>Celkové náklady regulácie</w:t>
                  </w:r>
                </w:p>
              </w:tc>
              <w:tc>
                <w:tcPr>
                  <w:tcW w:w="2994" w:type="dxa"/>
                </w:tcPr>
                <w:p w:rsidR="000F290A" w:rsidRPr="00F04CCD" w:rsidRDefault="000F290A" w:rsidP="004B6BB8">
                  <w:pPr>
                    <w:jc w:val="center"/>
                    <w:rPr>
                      <w:b/>
                      <w:i/>
                    </w:rPr>
                  </w:pPr>
                  <w:r>
                    <w:rPr>
                      <w:b/>
                      <w:i/>
                    </w:rPr>
                    <w:t>Do 30 000 eur, aj opakovane</w:t>
                  </w:r>
                </w:p>
              </w:tc>
              <w:tc>
                <w:tcPr>
                  <w:tcW w:w="2994" w:type="dxa"/>
                </w:tcPr>
                <w:p w:rsidR="000F290A" w:rsidRPr="00F04CCD" w:rsidRDefault="000F290A" w:rsidP="004B6BB8">
                  <w:pPr>
                    <w:jc w:val="center"/>
                    <w:rPr>
                      <w:b/>
                      <w:i/>
                    </w:rPr>
                  </w:pPr>
                  <w:r w:rsidRPr="00F04CCD">
                    <w:rPr>
                      <w:b/>
                      <w:i/>
                    </w:rPr>
                    <w:t>0</w:t>
                  </w:r>
                </w:p>
              </w:tc>
            </w:tr>
          </w:tbl>
          <w:p w:rsidR="000F290A" w:rsidRPr="00F04CCD" w:rsidRDefault="000F290A" w:rsidP="004B6BB8">
            <w:pPr>
              <w:rPr>
                <w:i/>
              </w:rPr>
            </w:pPr>
          </w:p>
        </w:tc>
      </w:tr>
      <w:tr w:rsidR="000F290A" w:rsidRPr="00F04CCD" w:rsidTr="004B6BB8">
        <w:tc>
          <w:tcPr>
            <w:tcW w:w="9212" w:type="dxa"/>
            <w:shd w:val="clear" w:color="auto" w:fill="D9D9D9" w:themeFill="background1" w:themeFillShade="D9"/>
          </w:tcPr>
          <w:p w:rsidR="000F290A" w:rsidRPr="00042C66" w:rsidRDefault="000F290A" w:rsidP="004B6BB8">
            <w:pPr>
              <w:rPr>
                <w:b/>
                <w:sz w:val="24"/>
              </w:rPr>
            </w:pPr>
            <w:r>
              <w:rPr>
                <w:b/>
                <w:sz w:val="24"/>
              </w:rPr>
              <w:t>3</w:t>
            </w:r>
            <w:r w:rsidRPr="00042C66">
              <w:rPr>
                <w:b/>
                <w:sz w:val="24"/>
              </w:rPr>
              <w:t>.4 Konkurencieschopnosť a správanie sa podnikov na trhu</w:t>
            </w:r>
          </w:p>
          <w:p w:rsidR="000F290A" w:rsidRPr="00F04CCD" w:rsidRDefault="000F290A" w:rsidP="004B6BB8">
            <w:r w:rsidRPr="00042C66">
              <w:rPr>
                <w:b/>
                <w:sz w:val="24"/>
              </w:rPr>
              <w:t xml:space="preserve">       </w:t>
            </w:r>
            <w:r w:rsidRPr="00042C66">
              <w:rPr>
                <w:sz w:val="24"/>
              </w:rPr>
              <w:t xml:space="preserve">- </w:t>
            </w:r>
            <w:r w:rsidRPr="00042C66">
              <w:rPr>
                <w:b/>
                <w:sz w:val="24"/>
              </w:rPr>
              <w:t>z toho MSP</w:t>
            </w:r>
          </w:p>
        </w:tc>
      </w:tr>
      <w:tr w:rsidR="000F290A" w:rsidRPr="00F04CCD" w:rsidTr="004B6BB8">
        <w:tc>
          <w:tcPr>
            <w:tcW w:w="9212" w:type="dxa"/>
            <w:tcBorders>
              <w:bottom w:val="single" w:sz="4" w:space="0" w:color="auto"/>
            </w:tcBorders>
          </w:tcPr>
          <w:p w:rsidR="000F290A" w:rsidRPr="00F04CCD" w:rsidRDefault="000F290A" w:rsidP="004B6BB8">
            <w:pPr>
              <w:jc w:val="both"/>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 xml:space="preserve">prísnejšiu reguláciu správania sa niektorých podnikov? Bude sa s niektorými podnikmi alebo produktmi zaobchádzať v porovnateľnej situácii rôzne (špeciálne režimy pre </w:t>
            </w:r>
            <w:proofErr w:type="spellStart"/>
            <w:r w:rsidRPr="00F04CCD">
              <w:rPr>
                <w:i/>
              </w:rPr>
              <w:t>mikro</w:t>
            </w:r>
            <w:proofErr w:type="spellEnd"/>
            <w:r w:rsidRPr="00F04CCD">
              <w:rPr>
                <w:i/>
              </w:rPr>
              <w:t>, malé a stredné podniky tzv. MSP)? Ak áno, popíšte.</w:t>
            </w:r>
          </w:p>
          <w:p w:rsidR="000F290A" w:rsidRPr="00F04CCD" w:rsidRDefault="000F290A" w:rsidP="004B6BB8">
            <w:pPr>
              <w:jc w:val="both"/>
              <w:rPr>
                <w:i/>
              </w:rPr>
            </w:pPr>
            <w:r w:rsidRPr="00F04CCD">
              <w:rPr>
                <w:i/>
              </w:rPr>
              <w:lastRenderedPageBreak/>
              <w:t>Aký vplyv bude mať navrhovaná zmena na obchodné bariéry? Bude mať vplyv na vyvolanie cezhraničných investícií (príliv /odliv zahraničných investícií resp. uplatnenie slovenských podnikov na zahraničných trhoch)? Ak áno, popíšte.</w:t>
            </w:r>
          </w:p>
          <w:p w:rsidR="000F290A" w:rsidRPr="00F04CCD" w:rsidRDefault="000F290A" w:rsidP="004B6BB8">
            <w:pPr>
              <w:jc w:val="both"/>
              <w:rPr>
                <w:i/>
              </w:rPr>
            </w:pPr>
            <w:r w:rsidRPr="00F04CCD">
              <w:rPr>
                <w:i/>
              </w:rPr>
              <w:t>Ako ovplyvní cenu alebo dostupnosť základných zdrojov (suroviny, mechanizmy, pracovná sila, energie atď.)?</w:t>
            </w:r>
          </w:p>
          <w:p w:rsidR="000F290A" w:rsidRPr="00F04CCD" w:rsidRDefault="000F290A" w:rsidP="004B6BB8">
            <w:pPr>
              <w:jc w:val="both"/>
              <w:rPr>
                <w:i/>
              </w:rPr>
            </w:pPr>
            <w:r w:rsidRPr="00F04CCD">
              <w:rPr>
                <w:i/>
              </w:rPr>
              <w:t>Ovplyvňuje prístup k financiám? Ak áno, ako?</w:t>
            </w:r>
          </w:p>
        </w:tc>
      </w:tr>
      <w:tr w:rsidR="000F290A" w:rsidRPr="00F04CCD" w:rsidTr="004B6BB8">
        <w:trPr>
          <w:trHeight w:val="850"/>
        </w:trPr>
        <w:tc>
          <w:tcPr>
            <w:tcW w:w="9212" w:type="dxa"/>
            <w:tcBorders>
              <w:bottom w:val="single" w:sz="4" w:space="0" w:color="auto"/>
            </w:tcBorders>
          </w:tcPr>
          <w:p w:rsidR="000F290A" w:rsidRDefault="000F290A" w:rsidP="004B6BB8">
            <w:pPr>
              <w:jc w:val="both"/>
            </w:pPr>
            <w:r w:rsidRPr="003F58A7">
              <w:lastRenderedPageBreak/>
              <w:t>Od návrhu zákona očakávame, že zavedenie povinnosti podávať informácie o cezhraničných opatreniach podliehajúcich oznamovaniu odradí sprostredkovateľov a aj daňovníkov (</w:t>
            </w:r>
            <w:proofErr w:type="spellStart"/>
            <w:r w:rsidRPr="003F58A7">
              <w:t>t.j</w:t>
            </w:r>
            <w:proofErr w:type="spellEnd"/>
            <w:r w:rsidRPr="003F58A7">
              <w:t xml:space="preserve">. </w:t>
            </w:r>
            <w:r>
              <w:t xml:space="preserve">aj </w:t>
            </w:r>
            <w:r w:rsidRPr="003F58A7">
              <w:t>podnikateľské subjekty) od používania praktík potenciálne agresívneho daňového plánovania. Navrhovaná povinnosť sa bude vzťahovať na všetky podnikateľské subjekty rovnako, avšak predpokladáme, že sa väčšmi bude týkať veľkých podnikov, ktoré majú dostatočné zázemie a finančné prostriedky na to, aby sa podieľali na potenciálne agresívnom cezhraničnom daňovom plánovaní. Týmto by sa mal dosiahnuť priestor spravodlivého zdaňovania</w:t>
            </w:r>
            <w:r>
              <w:t>.</w:t>
            </w:r>
          </w:p>
          <w:p w:rsidR="000F290A" w:rsidRPr="003F58A7" w:rsidRDefault="000F290A" w:rsidP="004B6BB8">
            <w:pPr>
              <w:jc w:val="both"/>
            </w:pPr>
            <w:r>
              <w:t>Z uvedeného vyplýva pozitívny vplyv na podnikateľské prostredie v podobe zavedenia zvýšenej daňovej transparentnosti a spravodlivosti v oblasti zdaňovania všetkých subjektov, ako aj v zmysle zavedenia účinného boja proti nežiaducim cezhraničným praktikám spoločností, bez ohľadu na skutočnosť, či ide o </w:t>
            </w:r>
            <w:proofErr w:type="spellStart"/>
            <w:r>
              <w:t>mikro</w:t>
            </w:r>
            <w:proofErr w:type="spellEnd"/>
            <w:r>
              <w:t>, malé, stredné alebo veľké podniky s nadnárodnou štruktúrou, ktoré majú dostatočné finančné a personálne zázemie na vytváranie a využívanie takýchto agresívnych daňových schém.</w:t>
            </w:r>
          </w:p>
        </w:tc>
      </w:tr>
      <w:tr w:rsidR="000F290A" w:rsidRPr="00F04CCD" w:rsidTr="004B6BB8">
        <w:tc>
          <w:tcPr>
            <w:tcW w:w="9212" w:type="dxa"/>
            <w:shd w:val="clear" w:color="auto" w:fill="D9D9D9" w:themeFill="background1" w:themeFillShade="D9"/>
          </w:tcPr>
          <w:p w:rsidR="000F290A" w:rsidRPr="00042C66" w:rsidRDefault="000F290A" w:rsidP="004B6BB8">
            <w:pPr>
              <w:rPr>
                <w:b/>
                <w:sz w:val="24"/>
              </w:rPr>
            </w:pPr>
            <w:r>
              <w:rPr>
                <w:b/>
                <w:sz w:val="24"/>
              </w:rPr>
              <w:t>3</w:t>
            </w:r>
            <w:r w:rsidRPr="00042C66">
              <w:rPr>
                <w:b/>
                <w:sz w:val="24"/>
              </w:rPr>
              <w:t xml:space="preserve">.5 Inovácie </w:t>
            </w:r>
          </w:p>
          <w:p w:rsidR="000F290A" w:rsidRPr="00F04CCD" w:rsidRDefault="000F290A" w:rsidP="004B6BB8">
            <w:pPr>
              <w:rPr>
                <w:b/>
              </w:rPr>
            </w:pPr>
            <w:r w:rsidRPr="00042C66">
              <w:rPr>
                <w:sz w:val="24"/>
              </w:rPr>
              <w:t xml:space="preserve">       - </w:t>
            </w:r>
            <w:r w:rsidRPr="00042C66">
              <w:rPr>
                <w:b/>
                <w:sz w:val="24"/>
              </w:rPr>
              <w:t>z toho MSP</w:t>
            </w:r>
          </w:p>
        </w:tc>
      </w:tr>
      <w:tr w:rsidR="000F290A" w:rsidRPr="00F04CCD" w:rsidTr="004B6BB8">
        <w:tc>
          <w:tcPr>
            <w:tcW w:w="9212" w:type="dxa"/>
          </w:tcPr>
          <w:p w:rsidR="000F290A" w:rsidRPr="00F04CCD" w:rsidRDefault="000F290A" w:rsidP="004B6BB8">
            <w:pPr>
              <w:rPr>
                <w:i/>
              </w:rPr>
            </w:pPr>
            <w:r w:rsidRPr="00F04CCD">
              <w:rPr>
                <w:i/>
              </w:rPr>
              <w:t>Uveďte, ako podporuje navrhovaná zmena inovácie.</w:t>
            </w:r>
          </w:p>
          <w:p w:rsidR="000F290A" w:rsidRPr="00F04CCD" w:rsidRDefault="000F290A" w:rsidP="004B6BB8">
            <w:pPr>
              <w:rPr>
                <w:i/>
              </w:rPr>
            </w:pPr>
            <w:r w:rsidRPr="00F04CCD">
              <w:rPr>
                <w:i/>
              </w:rPr>
              <w:t>Zjednodušuje uvedenie alebo rozšírenie nových výrobných metód, technológií a výrobkov na trh?</w:t>
            </w:r>
          </w:p>
          <w:p w:rsidR="000F290A" w:rsidRPr="00F04CCD" w:rsidRDefault="000F290A" w:rsidP="004B6BB8">
            <w:pPr>
              <w:rPr>
                <w:i/>
              </w:rPr>
            </w:pPr>
            <w:r w:rsidRPr="00F04CCD">
              <w:rPr>
                <w:i/>
              </w:rPr>
              <w:t xml:space="preserve">Uveďte, ako vplýva navrhovaná zmena na </w:t>
            </w:r>
            <w:r>
              <w:rPr>
                <w:i/>
              </w:rPr>
              <w:t xml:space="preserve">jednotlivé </w:t>
            </w:r>
            <w:r w:rsidRPr="00F04CCD">
              <w:rPr>
                <w:i/>
              </w:rPr>
              <w:t>práva duševného vlastníctva (</w:t>
            </w:r>
            <w:r>
              <w:rPr>
                <w:i/>
              </w:rPr>
              <w:t xml:space="preserve">napr. </w:t>
            </w:r>
            <w:r w:rsidRPr="00F04CCD">
              <w:rPr>
                <w:i/>
              </w:rPr>
              <w:t xml:space="preserve">patenty, ochranné známky, </w:t>
            </w:r>
            <w:r>
              <w:rPr>
                <w:i/>
              </w:rPr>
              <w:t>autorské práva</w:t>
            </w:r>
            <w:r w:rsidRPr="00F04CCD">
              <w:rPr>
                <w:i/>
              </w:rPr>
              <w:t>, vlastníctvo know-how).</w:t>
            </w:r>
          </w:p>
          <w:p w:rsidR="000F290A" w:rsidRDefault="000F290A" w:rsidP="004B6BB8">
            <w:pPr>
              <w:rPr>
                <w:i/>
              </w:rPr>
            </w:pPr>
            <w:r w:rsidRPr="00F04CCD">
              <w:rPr>
                <w:i/>
              </w:rPr>
              <w:t>Podporuje vyššiu efektivitu výroby/využívania zdrojov? Ak áno, ako?</w:t>
            </w:r>
          </w:p>
          <w:p w:rsidR="000F290A" w:rsidRPr="00F04CCD" w:rsidRDefault="000F290A" w:rsidP="004B6BB8">
            <w:r w:rsidRPr="00154881">
              <w:rPr>
                <w:i/>
              </w:rPr>
              <w:t>Vytvorí zmena nové pracovné miesta pre zamestnancov výskumu a vývoja v</w:t>
            </w:r>
            <w:r>
              <w:rPr>
                <w:i/>
              </w:rPr>
              <w:t> </w:t>
            </w:r>
            <w:r w:rsidRPr="00154881">
              <w:rPr>
                <w:i/>
              </w:rPr>
              <w:t>SR</w:t>
            </w:r>
            <w:r>
              <w:rPr>
                <w:i/>
              </w:rPr>
              <w:t>?</w:t>
            </w:r>
          </w:p>
        </w:tc>
      </w:tr>
      <w:tr w:rsidR="000F290A" w:rsidRPr="00F04CCD" w:rsidTr="004B6BB8">
        <w:trPr>
          <w:trHeight w:val="1747"/>
        </w:trPr>
        <w:tc>
          <w:tcPr>
            <w:tcW w:w="9212" w:type="dxa"/>
          </w:tcPr>
          <w:p w:rsidR="000F290A" w:rsidRPr="00F04CCD" w:rsidRDefault="000F290A" w:rsidP="004B6BB8">
            <w:pPr>
              <w:rPr>
                <w:i/>
              </w:rPr>
            </w:pPr>
          </w:p>
        </w:tc>
      </w:tr>
    </w:tbl>
    <w:p w:rsidR="000F290A" w:rsidRPr="00F04CCD" w:rsidRDefault="000F290A" w:rsidP="000F290A"/>
    <w:p w:rsidR="000F290A" w:rsidRDefault="000F290A" w:rsidP="000F290A"/>
    <w:p w:rsidR="000F290A" w:rsidRDefault="000F290A" w:rsidP="000F290A"/>
    <w:p w:rsidR="000F290A" w:rsidRDefault="000F290A" w:rsidP="000F290A"/>
    <w:p w:rsidR="000F290A" w:rsidRDefault="000F290A" w:rsidP="000F290A"/>
    <w:p w:rsidR="000F290A" w:rsidRDefault="000F290A" w:rsidP="000F290A"/>
    <w:p w:rsidR="000F290A" w:rsidRDefault="000F290A" w:rsidP="000F290A"/>
    <w:p w:rsidR="000F290A" w:rsidRDefault="000F290A" w:rsidP="000F290A"/>
    <w:p w:rsidR="000F290A" w:rsidRPr="001813A6" w:rsidRDefault="000F290A" w:rsidP="000F290A">
      <w:pPr>
        <w:rPr>
          <w:b/>
          <w:sz w:val="24"/>
        </w:rPr>
      </w:pPr>
    </w:p>
    <w:p w:rsidR="0045196E" w:rsidRDefault="0045196E" w:rsidP="00DA01F2">
      <w:pPr>
        <w:spacing w:after="0" w:line="240" w:lineRule="auto"/>
        <w:ind w:left="360"/>
        <w:jc w:val="both"/>
        <w:rPr>
          <w:rFonts w:ascii="Times New Roman" w:hAnsi="Times New Roman" w:cs="Times New Roman"/>
          <w:b/>
          <w:sz w:val="24"/>
          <w:szCs w:val="24"/>
        </w:rPr>
      </w:pPr>
    </w:p>
    <w:p w:rsidR="000F290A" w:rsidRDefault="000F290A" w:rsidP="00DA01F2">
      <w:pPr>
        <w:spacing w:after="0" w:line="240" w:lineRule="auto"/>
        <w:ind w:left="360"/>
        <w:jc w:val="both"/>
        <w:rPr>
          <w:rFonts w:ascii="Times New Roman" w:hAnsi="Times New Roman" w:cs="Times New Roman"/>
          <w:b/>
          <w:sz w:val="24"/>
          <w:szCs w:val="24"/>
        </w:rPr>
      </w:pPr>
    </w:p>
    <w:p w:rsidR="000F290A" w:rsidRDefault="000F290A" w:rsidP="00DA01F2">
      <w:pPr>
        <w:spacing w:after="0" w:line="240" w:lineRule="auto"/>
        <w:ind w:left="360"/>
        <w:jc w:val="both"/>
        <w:rPr>
          <w:rFonts w:ascii="Times New Roman" w:hAnsi="Times New Roman" w:cs="Times New Roman"/>
          <w:b/>
          <w:sz w:val="24"/>
          <w:szCs w:val="24"/>
        </w:rPr>
      </w:pPr>
    </w:p>
    <w:p w:rsidR="00B5447A" w:rsidRPr="006E0873" w:rsidRDefault="00B5447A" w:rsidP="00B5447A">
      <w:pPr>
        <w:jc w:val="center"/>
        <w:rPr>
          <w:rFonts w:ascii="Times New Roman" w:hAnsi="Times New Roman" w:cs="Times New Roman"/>
          <w:b/>
          <w:bCs/>
          <w:sz w:val="24"/>
          <w:szCs w:val="24"/>
        </w:rPr>
      </w:pPr>
      <w:r w:rsidRPr="006E0873">
        <w:rPr>
          <w:rFonts w:ascii="Times New Roman" w:hAnsi="Times New Roman" w:cs="Times New Roman"/>
          <w:b/>
          <w:bCs/>
          <w:sz w:val="24"/>
          <w:szCs w:val="24"/>
        </w:rPr>
        <w:t>DOLOŽKA ZLUČITEĽNOSTI</w:t>
      </w:r>
    </w:p>
    <w:p w:rsidR="00B5447A" w:rsidRPr="006E0873" w:rsidRDefault="00B5447A" w:rsidP="00B5447A">
      <w:pPr>
        <w:pBdr>
          <w:bottom w:val="single" w:sz="6" w:space="1" w:color="auto"/>
        </w:pBdr>
        <w:jc w:val="center"/>
        <w:rPr>
          <w:rFonts w:ascii="Times New Roman" w:hAnsi="Times New Roman" w:cs="Times New Roman"/>
          <w:b/>
          <w:bCs/>
          <w:sz w:val="24"/>
          <w:szCs w:val="24"/>
        </w:rPr>
      </w:pPr>
      <w:r w:rsidRPr="006E0873">
        <w:rPr>
          <w:rFonts w:ascii="Times New Roman" w:hAnsi="Times New Roman" w:cs="Times New Roman"/>
          <w:b/>
          <w:bCs/>
          <w:sz w:val="24"/>
          <w:szCs w:val="24"/>
        </w:rPr>
        <w:t xml:space="preserve">návrhu zákona, </w:t>
      </w:r>
      <w:r w:rsidRPr="006E0873">
        <w:rPr>
          <w:rFonts w:ascii="Times New Roman" w:hAnsi="Times New Roman" w:cs="Times New Roman"/>
          <w:b/>
          <w:sz w:val="24"/>
          <w:szCs w:val="24"/>
        </w:rPr>
        <w:t>ktorým sa mení a dopĺňa zákon č. 442/2012 Z. z. o medzinárodnej pomoci a spolupráci pri správe daní v znení neskorších predpisov a ktorým sa menia a dopĺňajú niektoré zákony</w:t>
      </w:r>
    </w:p>
    <w:p w:rsidR="00B5447A" w:rsidRPr="006E0873" w:rsidRDefault="00B5447A" w:rsidP="00B5447A">
      <w:pPr>
        <w:numPr>
          <w:ilvl w:val="0"/>
          <w:numId w:val="7"/>
        </w:numPr>
        <w:spacing w:after="120" w:line="240" w:lineRule="auto"/>
        <w:jc w:val="both"/>
        <w:rPr>
          <w:rFonts w:ascii="Times New Roman" w:hAnsi="Times New Roman" w:cs="Times New Roman"/>
          <w:sz w:val="24"/>
          <w:szCs w:val="24"/>
        </w:rPr>
      </w:pPr>
      <w:r w:rsidRPr="006E0873">
        <w:rPr>
          <w:rFonts w:ascii="Times New Roman" w:hAnsi="Times New Roman" w:cs="Times New Roman"/>
          <w:b/>
          <w:bCs/>
          <w:sz w:val="24"/>
          <w:szCs w:val="24"/>
        </w:rPr>
        <w:t>Navrhovateľ návrhu zákona:</w:t>
      </w:r>
    </w:p>
    <w:p w:rsidR="00B5447A" w:rsidRPr="006E0873" w:rsidRDefault="00B5447A" w:rsidP="00B5447A">
      <w:pPr>
        <w:ind w:firstLine="425"/>
        <w:jc w:val="both"/>
        <w:rPr>
          <w:rFonts w:ascii="Times New Roman" w:hAnsi="Times New Roman" w:cs="Times New Roman"/>
          <w:sz w:val="24"/>
          <w:szCs w:val="24"/>
        </w:rPr>
      </w:pPr>
      <w:r w:rsidRPr="006E0873">
        <w:rPr>
          <w:rFonts w:ascii="Times New Roman" w:hAnsi="Times New Roman" w:cs="Times New Roman"/>
          <w:sz w:val="24"/>
          <w:szCs w:val="24"/>
        </w:rPr>
        <w:t xml:space="preserve">Ministerstvo financií Slovenskej republiky. </w:t>
      </w:r>
    </w:p>
    <w:p w:rsidR="00B5447A" w:rsidRPr="006E0873" w:rsidRDefault="00B5447A" w:rsidP="00B5447A">
      <w:pPr>
        <w:jc w:val="both"/>
        <w:rPr>
          <w:rFonts w:ascii="Times New Roman" w:hAnsi="Times New Roman" w:cs="Times New Roman"/>
          <w:b/>
          <w:bCs/>
          <w:sz w:val="24"/>
          <w:szCs w:val="24"/>
        </w:rPr>
      </w:pPr>
    </w:p>
    <w:p w:rsidR="00B5447A" w:rsidRPr="006E0873" w:rsidRDefault="00B5447A" w:rsidP="00B5447A">
      <w:pPr>
        <w:numPr>
          <w:ilvl w:val="0"/>
          <w:numId w:val="7"/>
        </w:numPr>
        <w:spacing w:after="120" w:line="240" w:lineRule="auto"/>
        <w:jc w:val="both"/>
        <w:rPr>
          <w:rFonts w:ascii="Times New Roman" w:hAnsi="Times New Roman" w:cs="Times New Roman"/>
          <w:b/>
          <w:bCs/>
          <w:sz w:val="24"/>
          <w:szCs w:val="24"/>
        </w:rPr>
      </w:pPr>
      <w:r w:rsidRPr="006E0873">
        <w:rPr>
          <w:rFonts w:ascii="Times New Roman" w:hAnsi="Times New Roman" w:cs="Times New Roman"/>
          <w:b/>
          <w:bCs/>
          <w:sz w:val="24"/>
          <w:szCs w:val="24"/>
        </w:rPr>
        <w:t>Názov návrhu zákona:</w:t>
      </w:r>
    </w:p>
    <w:p w:rsidR="00B5447A" w:rsidRPr="006E0873" w:rsidRDefault="00B5447A" w:rsidP="00B5447A">
      <w:pPr>
        <w:ind w:left="425"/>
        <w:jc w:val="both"/>
        <w:rPr>
          <w:rFonts w:ascii="Times New Roman" w:hAnsi="Times New Roman" w:cs="Times New Roman"/>
          <w:b/>
          <w:bCs/>
          <w:sz w:val="24"/>
          <w:szCs w:val="24"/>
        </w:rPr>
      </w:pPr>
      <w:r w:rsidRPr="006E0873">
        <w:rPr>
          <w:rFonts w:ascii="Times New Roman" w:hAnsi="Times New Roman" w:cs="Times New Roman"/>
          <w:sz w:val="24"/>
          <w:szCs w:val="24"/>
        </w:rPr>
        <w:t>Návrh zákona, ktorým sa mení a dopĺňa zákon č. 442/2012 Z. z. o medzinárodnej pomoci a spolupráci pri správe daní v znení neskorších predpisov a ktorým sa menia a dopĺňajú niektoré zákony</w:t>
      </w:r>
    </w:p>
    <w:p w:rsidR="00B5447A" w:rsidRPr="006E0873" w:rsidRDefault="00B5447A" w:rsidP="00B5447A">
      <w:pPr>
        <w:jc w:val="both"/>
        <w:rPr>
          <w:rFonts w:ascii="Times New Roman" w:hAnsi="Times New Roman" w:cs="Times New Roman"/>
          <w:b/>
          <w:bCs/>
          <w:sz w:val="24"/>
          <w:szCs w:val="24"/>
        </w:rPr>
      </w:pPr>
    </w:p>
    <w:p w:rsidR="00B5447A" w:rsidRPr="006E0873" w:rsidRDefault="00B5447A" w:rsidP="00B5447A">
      <w:pPr>
        <w:numPr>
          <w:ilvl w:val="0"/>
          <w:numId w:val="7"/>
        </w:numPr>
        <w:spacing w:after="240" w:line="240" w:lineRule="auto"/>
        <w:jc w:val="both"/>
        <w:rPr>
          <w:rFonts w:ascii="Times New Roman" w:hAnsi="Times New Roman" w:cs="Times New Roman"/>
          <w:b/>
          <w:bCs/>
          <w:sz w:val="24"/>
          <w:szCs w:val="24"/>
        </w:rPr>
      </w:pPr>
      <w:r w:rsidRPr="006E0873">
        <w:rPr>
          <w:rFonts w:ascii="Times New Roman" w:hAnsi="Times New Roman" w:cs="Times New Roman"/>
          <w:b/>
          <w:bCs/>
          <w:sz w:val="24"/>
          <w:szCs w:val="24"/>
        </w:rPr>
        <w:t xml:space="preserve">Predmet návrhu zákona </w:t>
      </w:r>
      <w:r w:rsidRPr="006E0873">
        <w:rPr>
          <w:rFonts w:ascii="Times New Roman" w:hAnsi="Times New Roman" w:cs="Times New Roman"/>
          <w:b/>
          <w:sz w:val="24"/>
          <w:szCs w:val="24"/>
          <w:lang w:eastAsia="cs-CZ"/>
        </w:rPr>
        <w:t>je upravený v práve Európskej únie:</w:t>
      </w:r>
    </w:p>
    <w:p w:rsidR="00B5447A" w:rsidRPr="006E0873" w:rsidRDefault="00B5447A" w:rsidP="00B5447A">
      <w:pPr>
        <w:pStyle w:val="Odsekzoznamu"/>
        <w:numPr>
          <w:ilvl w:val="1"/>
          <w:numId w:val="7"/>
        </w:numPr>
        <w:spacing w:after="120" w:line="276" w:lineRule="auto"/>
        <w:jc w:val="both"/>
        <w:rPr>
          <w:b/>
          <w:bCs/>
          <w:iCs/>
          <w:lang w:eastAsia="cs-CZ"/>
        </w:rPr>
      </w:pPr>
      <w:r w:rsidRPr="006E0873">
        <w:rPr>
          <w:b/>
          <w:bCs/>
          <w:iCs/>
          <w:lang w:eastAsia="cs-CZ"/>
        </w:rPr>
        <w:t xml:space="preserve">Primárne právo: </w:t>
      </w:r>
    </w:p>
    <w:p w:rsidR="00B5447A" w:rsidRPr="006E0873" w:rsidRDefault="00B5447A" w:rsidP="00B5447A">
      <w:pPr>
        <w:numPr>
          <w:ilvl w:val="0"/>
          <w:numId w:val="8"/>
        </w:numPr>
        <w:spacing w:after="240" w:line="240" w:lineRule="auto"/>
        <w:ind w:left="901" w:hanging="391"/>
        <w:jc w:val="both"/>
        <w:rPr>
          <w:rFonts w:ascii="Times New Roman" w:hAnsi="Times New Roman" w:cs="Times New Roman"/>
          <w:sz w:val="24"/>
          <w:szCs w:val="24"/>
          <w:lang w:eastAsia="cs-CZ"/>
        </w:rPr>
      </w:pPr>
      <w:r w:rsidRPr="006E0873">
        <w:rPr>
          <w:rFonts w:ascii="Times New Roman" w:hAnsi="Times New Roman" w:cs="Times New Roman"/>
          <w:sz w:val="24"/>
          <w:szCs w:val="24"/>
          <w:lang w:eastAsia="cs-CZ"/>
        </w:rPr>
        <w:t>čl. 110,113 a 115 Zmluvy o fungovaní Európskej únie.</w:t>
      </w:r>
    </w:p>
    <w:p w:rsidR="00B5447A" w:rsidRPr="006E0873" w:rsidRDefault="00B5447A" w:rsidP="00B5447A">
      <w:pPr>
        <w:pStyle w:val="Zarkazkladnhotextu"/>
        <w:numPr>
          <w:ilvl w:val="1"/>
          <w:numId w:val="7"/>
        </w:numPr>
        <w:spacing w:after="240"/>
        <w:jc w:val="both"/>
      </w:pPr>
      <w:r w:rsidRPr="006E0873">
        <w:rPr>
          <w:b/>
          <w:bCs/>
          <w:iCs/>
        </w:rPr>
        <w:t>Sekundárne právo:</w:t>
      </w:r>
      <w:r w:rsidRPr="006E0873">
        <w:rPr>
          <w:b/>
          <w:bCs/>
          <w:i/>
          <w:iCs/>
        </w:rPr>
        <w:t xml:space="preserve"> </w:t>
      </w:r>
    </w:p>
    <w:p w:rsidR="00B5447A" w:rsidRPr="006E0873" w:rsidRDefault="00B5447A" w:rsidP="00B5447A">
      <w:pPr>
        <w:pStyle w:val="Zarkazkladnhotextu"/>
        <w:numPr>
          <w:ilvl w:val="0"/>
          <w:numId w:val="8"/>
        </w:numPr>
        <w:spacing w:after="240"/>
        <w:jc w:val="both"/>
        <w:rPr>
          <w:bCs/>
        </w:rPr>
      </w:pPr>
      <w:r w:rsidRPr="006E0873">
        <w:rPr>
          <w:bCs/>
          <w:bdr w:val="none" w:sz="0" w:space="0" w:color="auto" w:frame="1"/>
          <w:shd w:val="clear" w:color="auto" w:fill="FFFFFF"/>
        </w:rPr>
        <w:t>smernica Rady (EÚ) 2018/822 z 25. mája 2018, ktorou sa mení smernica 2011/16/EÚ, pokiaľ ide o povinnú automatickú výmenu informácií v oblasti daní v súvislosti s cezhraničnými opatreniami podliehajúcimi oznamovaniu (</w:t>
      </w:r>
      <w:r w:rsidRPr="006E0873">
        <w:rPr>
          <w:iCs/>
        </w:rPr>
        <w:t>Ú. v. EÚ L 139, 5.6.2018), gestor: Ministerstvo financií SR,</w:t>
      </w:r>
    </w:p>
    <w:p w:rsidR="00B5447A" w:rsidRPr="006E0873" w:rsidRDefault="00B5447A" w:rsidP="00B5447A">
      <w:pPr>
        <w:pStyle w:val="Odsekzoznamu"/>
        <w:numPr>
          <w:ilvl w:val="0"/>
          <w:numId w:val="8"/>
        </w:numPr>
        <w:spacing w:after="200"/>
        <w:jc w:val="both"/>
        <w:rPr>
          <w:bCs/>
        </w:rPr>
      </w:pPr>
      <w:r w:rsidRPr="006E0873">
        <w:rPr>
          <w:bCs/>
        </w:rPr>
        <w:t>smernica Rady 2011/16/EÚ  z 15. februára 2011 o administratívnej spolupráci v oblasti daní a zrušení smernice 77/799/EHS (Ú. v. EÚ L 64, 11.3.2011) v platnom znení, gestor:  Ministerstvo financií SR.</w:t>
      </w:r>
    </w:p>
    <w:p w:rsidR="00B5447A" w:rsidRPr="006E0873" w:rsidRDefault="00B5447A" w:rsidP="00B5447A">
      <w:pPr>
        <w:numPr>
          <w:ilvl w:val="1"/>
          <w:numId w:val="7"/>
        </w:numPr>
        <w:spacing w:after="120" w:line="240" w:lineRule="auto"/>
        <w:jc w:val="both"/>
        <w:rPr>
          <w:rFonts w:ascii="Times New Roman" w:hAnsi="Times New Roman" w:cs="Times New Roman"/>
          <w:b/>
          <w:sz w:val="24"/>
          <w:szCs w:val="24"/>
          <w:lang w:eastAsia="cs-CZ"/>
        </w:rPr>
      </w:pPr>
      <w:r w:rsidRPr="006E0873">
        <w:rPr>
          <w:rFonts w:ascii="Times New Roman" w:hAnsi="Times New Roman" w:cs="Times New Roman"/>
          <w:b/>
          <w:sz w:val="24"/>
          <w:szCs w:val="24"/>
          <w:lang w:eastAsia="cs-CZ"/>
        </w:rPr>
        <w:t>Judikatúra Súdneho dvora Európskej únie:</w:t>
      </w:r>
    </w:p>
    <w:p w:rsidR="00B5447A" w:rsidRPr="006E0873" w:rsidRDefault="00B5447A" w:rsidP="00B5447A">
      <w:pPr>
        <w:pStyle w:val="Odsekzoznamu"/>
        <w:numPr>
          <w:ilvl w:val="0"/>
          <w:numId w:val="8"/>
        </w:numPr>
        <w:spacing w:after="120" w:line="276" w:lineRule="auto"/>
        <w:jc w:val="both"/>
        <w:rPr>
          <w:lang w:eastAsia="cs-CZ"/>
        </w:rPr>
      </w:pPr>
      <w:r w:rsidRPr="006E0873">
        <w:rPr>
          <w:lang w:eastAsia="cs-CZ"/>
        </w:rPr>
        <w:t xml:space="preserve">v rozhodnutí Súdneho dvora EÚ vo veci C – 682/15 </w:t>
      </w:r>
      <w:proofErr w:type="spellStart"/>
      <w:r w:rsidRPr="006E0873">
        <w:rPr>
          <w:lang w:eastAsia="cs-CZ"/>
        </w:rPr>
        <w:t>Berlioz</w:t>
      </w:r>
      <w:proofErr w:type="spellEnd"/>
      <w:r w:rsidRPr="006E0873">
        <w:rPr>
          <w:lang w:eastAsia="cs-CZ"/>
        </w:rPr>
        <w:t xml:space="preserve"> </w:t>
      </w:r>
      <w:proofErr w:type="spellStart"/>
      <w:r w:rsidRPr="006E0873">
        <w:rPr>
          <w:lang w:eastAsia="cs-CZ"/>
        </w:rPr>
        <w:t>Investment</w:t>
      </w:r>
      <w:proofErr w:type="spellEnd"/>
      <w:r w:rsidRPr="006E0873">
        <w:rPr>
          <w:lang w:eastAsia="cs-CZ"/>
        </w:rPr>
        <w:t xml:space="preserve"> </w:t>
      </w:r>
      <w:proofErr w:type="spellStart"/>
      <w:r w:rsidRPr="006E0873">
        <w:rPr>
          <w:lang w:eastAsia="cs-CZ"/>
        </w:rPr>
        <w:t>Fund</w:t>
      </w:r>
      <w:proofErr w:type="spellEnd"/>
      <w:r w:rsidRPr="006E0873">
        <w:rPr>
          <w:lang w:eastAsia="cs-CZ"/>
        </w:rPr>
        <w:t xml:space="preserve"> S.A. proti </w:t>
      </w:r>
      <w:proofErr w:type="spellStart"/>
      <w:r w:rsidRPr="006E0873">
        <w:rPr>
          <w:lang w:eastAsia="cs-CZ"/>
        </w:rPr>
        <w:t>Directeur</w:t>
      </w:r>
      <w:proofErr w:type="spellEnd"/>
      <w:r w:rsidRPr="006E0873">
        <w:rPr>
          <w:lang w:eastAsia="cs-CZ"/>
        </w:rPr>
        <w:t xml:space="preserve"> de </w:t>
      </w:r>
      <w:proofErr w:type="spellStart"/>
      <w:r w:rsidRPr="006E0873">
        <w:rPr>
          <w:lang w:eastAsia="cs-CZ"/>
        </w:rPr>
        <w:t>l'administration</w:t>
      </w:r>
      <w:proofErr w:type="spellEnd"/>
      <w:r w:rsidRPr="006E0873">
        <w:rPr>
          <w:lang w:eastAsia="cs-CZ"/>
        </w:rPr>
        <w:t xml:space="preserve"> des </w:t>
      </w:r>
      <w:proofErr w:type="spellStart"/>
      <w:r w:rsidRPr="006E0873">
        <w:rPr>
          <w:lang w:eastAsia="cs-CZ"/>
        </w:rPr>
        <w:t>contributions</w:t>
      </w:r>
      <w:proofErr w:type="spellEnd"/>
      <w:r w:rsidRPr="006E0873">
        <w:rPr>
          <w:lang w:eastAsia="cs-CZ"/>
        </w:rPr>
        <w:t xml:space="preserve"> </w:t>
      </w:r>
      <w:proofErr w:type="spellStart"/>
      <w:r w:rsidRPr="006E0873">
        <w:rPr>
          <w:lang w:eastAsia="cs-CZ"/>
        </w:rPr>
        <w:t>directes</w:t>
      </w:r>
      <w:proofErr w:type="spellEnd"/>
      <w:r w:rsidRPr="006E0873">
        <w:rPr>
          <w:lang w:eastAsia="cs-CZ"/>
        </w:rPr>
        <w:t>.</w:t>
      </w:r>
    </w:p>
    <w:p w:rsidR="00B5447A" w:rsidRPr="006E0873" w:rsidRDefault="00B5447A" w:rsidP="00B5447A">
      <w:pPr>
        <w:pStyle w:val="Odsekzoznamu"/>
        <w:spacing w:after="120"/>
        <w:ind w:left="900"/>
        <w:jc w:val="both"/>
        <w:rPr>
          <w:lang w:eastAsia="cs-CZ"/>
        </w:rPr>
      </w:pPr>
    </w:p>
    <w:p w:rsidR="00B5447A" w:rsidRPr="006E0873" w:rsidRDefault="00B5447A" w:rsidP="00B5447A">
      <w:pPr>
        <w:pStyle w:val="Odsekzoznamu"/>
        <w:spacing w:after="120"/>
        <w:ind w:left="900"/>
        <w:jc w:val="both"/>
        <w:rPr>
          <w:u w:val="single"/>
          <w:lang w:eastAsia="cs-CZ"/>
        </w:rPr>
      </w:pPr>
      <w:r w:rsidRPr="006E0873">
        <w:rPr>
          <w:u w:val="single"/>
          <w:lang w:eastAsia="cs-CZ"/>
        </w:rPr>
        <w:t>Výrok rozhodnutia:</w:t>
      </w:r>
    </w:p>
    <w:p w:rsidR="00B5447A" w:rsidRPr="006E0873" w:rsidRDefault="00B5447A" w:rsidP="00B5447A">
      <w:pPr>
        <w:pStyle w:val="Odsekzoznamu"/>
        <w:spacing w:after="120"/>
        <w:ind w:left="900"/>
        <w:jc w:val="both"/>
        <w:rPr>
          <w:i/>
          <w:lang w:eastAsia="cs-CZ"/>
        </w:rPr>
      </w:pPr>
    </w:p>
    <w:p w:rsidR="00B5447A" w:rsidRPr="006E0873" w:rsidRDefault="00B5447A" w:rsidP="00B5447A">
      <w:pPr>
        <w:pStyle w:val="Odsekzoznamu"/>
        <w:spacing w:after="120"/>
        <w:ind w:left="900"/>
        <w:jc w:val="both"/>
        <w:rPr>
          <w:i/>
          <w:lang w:eastAsia="cs-CZ"/>
        </w:rPr>
      </w:pPr>
      <w:r w:rsidRPr="006E0873">
        <w:rPr>
          <w:i/>
          <w:lang w:eastAsia="cs-CZ"/>
        </w:rPr>
        <w:t xml:space="preserve">,,1. Článok 51 ods. 1 Charty základných práv Európskej únie sa má vykladať v tom zmysle, že členský štát vykonáva právo Únie v zmysle tohto ustanovenia, a teda dôjde k uplatneniu Charty základných práv Európskej únie, keď ukladá vo svojej právnej úprave peňažnú sankciu účastníkovi správneho konania, ktorý odmieta poskytnúť informácie v rámci výmeny medzi daňovými orgánmi, založenú najmä na ustanoveniach smernice Rady 2011/16/EÚ z 15. februára 2011 o administratívnej spolupráci v oblasti daní a zrušení smernice 77/799/EHS. </w:t>
      </w:r>
    </w:p>
    <w:p w:rsidR="00B5447A" w:rsidRPr="006E0873" w:rsidRDefault="00B5447A" w:rsidP="00B5447A">
      <w:pPr>
        <w:pStyle w:val="Odsekzoznamu"/>
        <w:spacing w:after="120"/>
        <w:ind w:left="900"/>
        <w:jc w:val="both"/>
        <w:rPr>
          <w:i/>
          <w:lang w:eastAsia="cs-CZ"/>
        </w:rPr>
      </w:pPr>
      <w:r w:rsidRPr="006E0873">
        <w:rPr>
          <w:i/>
          <w:lang w:eastAsia="cs-CZ"/>
        </w:rPr>
        <w:t xml:space="preserve"> </w:t>
      </w:r>
    </w:p>
    <w:p w:rsidR="00B5447A" w:rsidRPr="006E0873" w:rsidRDefault="00B5447A" w:rsidP="00B5447A">
      <w:pPr>
        <w:pStyle w:val="Odsekzoznamu"/>
        <w:spacing w:after="120"/>
        <w:ind w:left="900"/>
        <w:jc w:val="both"/>
        <w:rPr>
          <w:i/>
          <w:lang w:eastAsia="cs-CZ"/>
        </w:rPr>
      </w:pPr>
      <w:r w:rsidRPr="006E0873">
        <w:rPr>
          <w:i/>
          <w:lang w:eastAsia="cs-CZ"/>
        </w:rPr>
        <w:lastRenderedPageBreak/>
        <w:t xml:space="preserve">2. Článok 47 Charty základných práv Európskej únie sa má vykladať v tom zmysle, že účastník správneho konania, ktorému bola uložená peňažná sankcia za nesplnenie správneho rozhodnutia, ktoré mu podľa smernice 2011/16 ukladalo povinnosť poskytnúť informácie v rámci výmeny medzi vnútroštátnymi daňovými správami, má právo napadnúť zákonnosť tohto rozhodnutia. </w:t>
      </w:r>
    </w:p>
    <w:p w:rsidR="00B5447A" w:rsidRPr="006E0873" w:rsidRDefault="00B5447A" w:rsidP="00B5447A">
      <w:pPr>
        <w:pStyle w:val="Odsekzoznamu"/>
        <w:spacing w:after="120"/>
        <w:ind w:left="900"/>
        <w:jc w:val="both"/>
        <w:rPr>
          <w:i/>
          <w:lang w:eastAsia="cs-CZ"/>
        </w:rPr>
      </w:pPr>
    </w:p>
    <w:p w:rsidR="00B5447A" w:rsidRPr="006E0873" w:rsidRDefault="00B5447A" w:rsidP="00B5447A">
      <w:pPr>
        <w:pStyle w:val="Odsekzoznamu"/>
        <w:spacing w:after="120"/>
        <w:ind w:left="900"/>
        <w:jc w:val="both"/>
        <w:rPr>
          <w:i/>
          <w:lang w:eastAsia="cs-CZ"/>
        </w:rPr>
      </w:pPr>
      <w:r w:rsidRPr="006E0873">
        <w:rPr>
          <w:i/>
          <w:lang w:eastAsia="cs-CZ"/>
        </w:rPr>
        <w:t xml:space="preserve">3. Článok 1 ods. 1 a článok 5 smernice 2011/16 sa majú vykladať v tom zmysle, že „predvídateľná relevantnosť“ informácií, ktoré si jeden členský štát vyžiadal od iného členského štátu, je podmienkou, ktorú musí uvedená žiadosť o informácie spĺňať, aby dožiadanému členského štátu vznikla povinnosť vyhovieť tejto žiadosti, a tým aj podmienkou zákonnosti rozhodnutia o uložení povinnosti adresovanej týmto členským štátom účastníkovi správneho konania a podmienkou sankčného opatrenia uloženému tomuto účastníkovi správneho konania za nesplnenie tohto rozhodnutia. </w:t>
      </w:r>
    </w:p>
    <w:p w:rsidR="00B5447A" w:rsidRPr="006E0873" w:rsidRDefault="00B5447A" w:rsidP="00B5447A">
      <w:pPr>
        <w:pStyle w:val="Odsekzoznamu"/>
        <w:spacing w:after="120"/>
        <w:ind w:left="900"/>
        <w:jc w:val="both"/>
        <w:rPr>
          <w:i/>
          <w:lang w:eastAsia="cs-CZ"/>
        </w:rPr>
      </w:pPr>
    </w:p>
    <w:p w:rsidR="00B5447A" w:rsidRPr="006E0873" w:rsidRDefault="00B5447A" w:rsidP="00B5447A">
      <w:pPr>
        <w:pStyle w:val="Odsekzoznamu"/>
        <w:spacing w:after="120"/>
        <w:ind w:left="900"/>
        <w:jc w:val="both"/>
        <w:rPr>
          <w:i/>
          <w:lang w:eastAsia="cs-CZ"/>
        </w:rPr>
      </w:pPr>
      <w:r w:rsidRPr="006E0873">
        <w:rPr>
          <w:i/>
          <w:lang w:eastAsia="cs-CZ"/>
        </w:rPr>
        <w:t xml:space="preserve">4. Článok 1 ods. 1 a článok 5 smernice 2011/16 sa majú vykladať v tom zmysle, že overenie dožiadaného orgánu, ktorému dožadujúci orgán podal žiadosť o informácie podľa tejto smernice, sa neobmedzuje na formálnu správnosť tejto žiadosti, ale musí tomuto dožiadanému orgánu umožniť zabezpečenie toho, aby požadované informácie neboli úplne zbavené predvídateľnej relevantnosti z hľadiska určenia dotknutého platiteľa dane a určenia tretej osoby, ktorá bola prípadne informovaná, ako aj z hľadiska potreby predmetného daňového vyšetrovania. Tieto isté ustanovenia smernice 2011/16 a článok 47 Charty základných práv Európskej únie sa majú vykladať v tom zmysle, že v rámci žaloby podanej účastníkom správneho konania proti sankčnému opatreniu, ktoré mu bolo uložené dožiadaným orgánom z dôvodu nedodržania rozhodnutia o uložení povinnosti prijatého týmto orgánom na základe žiadosti o informácie adresovanej dožadujúcim orgánom na základe smernice 2011/16, má vnútroštátny súd okrem právomoci zmeniť uloženú pokutu právomoc preskúmať zákonnosť tohto rozhodnutia o uložení povinnosti. Pokiaľ ide o podmienku zákonnosti uvedeného rozhodnutia týkajúcu sa predvídateľnej relevantnosti požadovaných informácií, súdne preskúmanie sa obmedzuje na overenie zjavnej neexistencie takejto relevantnosti. </w:t>
      </w:r>
    </w:p>
    <w:p w:rsidR="00B5447A" w:rsidRPr="006E0873" w:rsidRDefault="00B5447A" w:rsidP="00B5447A">
      <w:pPr>
        <w:pStyle w:val="Odsekzoznamu"/>
        <w:spacing w:after="120"/>
        <w:ind w:left="900"/>
        <w:jc w:val="both"/>
        <w:rPr>
          <w:i/>
          <w:lang w:eastAsia="cs-CZ"/>
        </w:rPr>
      </w:pPr>
      <w:r w:rsidRPr="006E0873">
        <w:rPr>
          <w:i/>
          <w:lang w:eastAsia="cs-CZ"/>
        </w:rPr>
        <w:t xml:space="preserve"> </w:t>
      </w:r>
    </w:p>
    <w:p w:rsidR="00B5447A" w:rsidRPr="006E0873" w:rsidRDefault="00B5447A" w:rsidP="00B5447A">
      <w:pPr>
        <w:pStyle w:val="Odsekzoznamu"/>
        <w:spacing w:after="120"/>
        <w:ind w:left="900"/>
        <w:jc w:val="both"/>
        <w:rPr>
          <w:i/>
          <w:lang w:eastAsia="cs-CZ"/>
        </w:rPr>
      </w:pPr>
      <w:r w:rsidRPr="006E0873">
        <w:rPr>
          <w:i/>
          <w:lang w:eastAsia="cs-CZ"/>
        </w:rPr>
        <w:t xml:space="preserve">5. Článok 47 druhý odsek Charty základných práv Európskej únie sa má vykladať v tom zmysle, že súd dožiadaného členského štátu má v rámci výkonu svojej súdnej právomoci právo na prístup k žiadosti o informácie adresovanej dožadujúcim členským štátom dožiadanému členskému štátu. Dotknutý účastník správneho konania naopak nemá právo na prístup k celej žiadosti o informácie, ktorá zostáva tajným dokumentom v súlade s článkom 16 smernice 2011/16. Na to, aby bola jeho záležitosť </w:t>
      </w:r>
      <w:proofErr w:type="spellStart"/>
      <w:r w:rsidRPr="006E0873">
        <w:rPr>
          <w:i/>
          <w:lang w:eastAsia="cs-CZ"/>
        </w:rPr>
        <w:t>prejednaná</w:t>
      </w:r>
      <w:proofErr w:type="spellEnd"/>
      <w:r w:rsidRPr="006E0873">
        <w:rPr>
          <w:i/>
          <w:lang w:eastAsia="cs-CZ"/>
        </w:rPr>
        <w:t xml:space="preserve"> v celom rozsahu v súvislosti s neexistenciou predvídateľnej relevantnosti požadovaných informácií, v zásade stačí, aby mal informácie uvedené v článku 20 ods. 2 tejto smernice.</w:t>
      </w:r>
    </w:p>
    <w:p w:rsidR="00B5447A" w:rsidRPr="006E0873" w:rsidRDefault="00B5447A" w:rsidP="00B5447A">
      <w:pPr>
        <w:pStyle w:val="Odsekzoznamu"/>
        <w:spacing w:after="120"/>
        <w:ind w:left="900"/>
        <w:jc w:val="both"/>
        <w:rPr>
          <w:i/>
          <w:lang w:eastAsia="cs-CZ"/>
        </w:rPr>
      </w:pPr>
    </w:p>
    <w:p w:rsidR="00B5447A" w:rsidRPr="006E0873" w:rsidRDefault="00B5447A" w:rsidP="00B5447A">
      <w:pPr>
        <w:pStyle w:val="Odsekzoznamu"/>
        <w:numPr>
          <w:ilvl w:val="0"/>
          <w:numId w:val="8"/>
        </w:numPr>
        <w:spacing w:after="120" w:line="276" w:lineRule="auto"/>
        <w:jc w:val="both"/>
        <w:rPr>
          <w:lang w:eastAsia="cs-CZ"/>
        </w:rPr>
      </w:pPr>
      <w:r w:rsidRPr="006E0873">
        <w:rPr>
          <w:lang w:eastAsia="cs-CZ"/>
        </w:rPr>
        <w:t xml:space="preserve">v rozhodnutí Súdneho dvora EÚ vo veci C – 276/12 </w:t>
      </w:r>
      <w:proofErr w:type="spellStart"/>
      <w:r w:rsidRPr="006E0873">
        <w:rPr>
          <w:lang w:eastAsia="cs-CZ"/>
        </w:rPr>
        <w:t>Jiří</w:t>
      </w:r>
      <w:proofErr w:type="spellEnd"/>
      <w:r w:rsidRPr="006E0873">
        <w:rPr>
          <w:lang w:eastAsia="cs-CZ"/>
        </w:rPr>
        <w:t xml:space="preserve"> </w:t>
      </w:r>
      <w:proofErr w:type="spellStart"/>
      <w:r w:rsidRPr="006E0873">
        <w:rPr>
          <w:lang w:eastAsia="cs-CZ"/>
        </w:rPr>
        <w:t>Sabou</w:t>
      </w:r>
      <w:proofErr w:type="spellEnd"/>
      <w:r w:rsidRPr="006E0873">
        <w:rPr>
          <w:lang w:eastAsia="cs-CZ"/>
        </w:rPr>
        <w:t xml:space="preserve"> proti </w:t>
      </w:r>
      <w:proofErr w:type="spellStart"/>
      <w:r w:rsidRPr="006E0873">
        <w:rPr>
          <w:lang w:eastAsia="cs-CZ"/>
        </w:rPr>
        <w:t>Finančnímu</w:t>
      </w:r>
      <w:proofErr w:type="spellEnd"/>
      <w:r w:rsidRPr="006E0873">
        <w:rPr>
          <w:lang w:eastAsia="cs-CZ"/>
        </w:rPr>
        <w:t xml:space="preserve"> </w:t>
      </w:r>
      <w:proofErr w:type="spellStart"/>
      <w:r w:rsidRPr="006E0873">
        <w:rPr>
          <w:lang w:eastAsia="cs-CZ"/>
        </w:rPr>
        <w:t>ředitelství</w:t>
      </w:r>
      <w:proofErr w:type="spellEnd"/>
      <w:r w:rsidRPr="006E0873">
        <w:rPr>
          <w:lang w:eastAsia="cs-CZ"/>
        </w:rPr>
        <w:t xml:space="preserve"> pro hlavní </w:t>
      </w:r>
      <w:proofErr w:type="spellStart"/>
      <w:r w:rsidRPr="006E0873">
        <w:rPr>
          <w:lang w:eastAsia="cs-CZ"/>
        </w:rPr>
        <w:t>město</w:t>
      </w:r>
      <w:proofErr w:type="spellEnd"/>
      <w:r w:rsidRPr="006E0873">
        <w:rPr>
          <w:lang w:eastAsia="cs-CZ"/>
        </w:rPr>
        <w:t xml:space="preserve"> Prahu.</w:t>
      </w:r>
    </w:p>
    <w:p w:rsidR="00B5447A" w:rsidRPr="006E0873" w:rsidRDefault="00B5447A" w:rsidP="00B5447A">
      <w:pPr>
        <w:pStyle w:val="Odsekzoznamu"/>
        <w:spacing w:after="120"/>
        <w:ind w:left="900"/>
        <w:jc w:val="both"/>
        <w:rPr>
          <w:lang w:eastAsia="cs-CZ"/>
        </w:rPr>
      </w:pPr>
    </w:p>
    <w:p w:rsidR="00B5447A" w:rsidRPr="006E0873" w:rsidRDefault="00B5447A" w:rsidP="00B5447A">
      <w:pPr>
        <w:pStyle w:val="Odsekzoznamu"/>
        <w:spacing w:after="120"/>
        <w:ind w:left="900"/>
        <w:jc w:val="both"/>
        <w:rPr>
          <w:lang w:eastAsia="cs-CZ"/>
        </w:rPr>
      </w:pPr>
      <w:r w:rsidRPr="006E0873">
        <w:rPr>
          <w:lang w:eastAsia="cs-CZ"/>
        </w:rPr>
        <w:t>Výrok rozhodnutia:</w:t>
      </w:r>
    </w:p>
    <w:p w:rsidR="00B5447A" w:rsidRPr="006E0873" w:rsidRDefault="00B5447A" w:rsidP="00B5447A">
      <w:pPr>
        <w:pStyle w:val="Odsekzoznamu"/>
        <w:spacing w:after="120"/>
        <w:ind w:left="900"/>
        <w:jc w:val="both"/>
        <w:rPr>
          <w:i/>
          <w:lang w:eastAsia="cs-CZ"/>
        </w:rPr>
      </w:pPr>
      <w:r w:rsidRPr="006E0873">
        <w:rPr>
          <w:i/>
          <w:lang w:eastAsia="cs-CZ"/>
        </w:rPr>
        <w:t xml:space="preserve">,,1. Právo Únie, tak ako vyplýva najmä zo smernice Rady 77/799/EHS z 19. decembra 1977 o vzájomnej pomoci príslušných orgánov členských štátov v oblasti priamych daní a dane poistnej prémie, zmenenej a doplnenej smernicou Rady 2006/98/ES z 20. novembra 2006, a zo základného práva byť vypočutý, sa má vykladať v tom zmysle, že </w:t>
      </w:r>
      <w:r w:rsidRPr="006E0873">
        <w:rPr>
          <w:i/>
          <w:lang w:eastAsia="cs-CZ"/>
        </w:rPr>
        <w:lastRenderedPageBreak/>
        <w:t xml:space="preserve">daňovníkovi určitého členského štátu nepriznáva ani právo byť informovaný o žiadosti tohto štátu o pomoc adresovanej inému členskému štátu najmä na účely overenia údajov, ktoré tento daňovník poskytol v rámci svojho priznania k dani z príjmov, ani právo podieľať sa na formulácii žiadosti adresovanej dožiadanému členskému štátu, ani právo zúčastniť sa na výsluchu svedkov, ktorý tento štát uskutočnil. </w:t>
      </w:r>
    </w:p>
    <w:p w:rsidR="00B5447A" w:rsidRPr="006E0873" w:rsidRDefault="00B5447A" w:rsidP="00B5447A">
      <w:pPr>
        <w:pStyle w:val="Odsekzoznamu"/>
        <w:spacing w:after="120"/>
        <w:ind w:left="900"/>
        <w:jc w:val="both"/>
        <w:rPr>
          <w:i/>
          <w:lang w:eastAsia="cs-CZ"/>
        </w:rPr>
      </w:pPr>
    </w:p>
    <w:p w:rsidR="00B5447A" w:rsidRPr="006E0873" w:rsidRDefault="00B5447A" w:rsidP="00B5447A">
      <w:pPr>
        <w:pStyle w:val="Odsekzoznamu"/>
        <w:spacing w:after="120"/>
        <w:ind w:left="900"/>
        <w:jc w:val="both"/>
        <w:rPr>
          <w:i/>
          <w:highlight w:val="yellow"/>
          <w:lang w:eastAsia="cs-CZ"/>
        </w:rPr>
      </w:pPr>
      <w:r w:rsidRPr="006E0873">
        <w:rPr>
          <w:i/>
          <w:lang w:eastAsia="cs-CZ"/>
        </w:rPr>
        <w:t>2.  Smernica 77/799, zmenená a doplnená smernicou 2006/98, neupravuje otázku, za akých podmienok môže daňovník spochybniť správnosť informácie, ktorú poskytol dožiadaný členský štát, ani nestanovuje nijakú osobitnú požiadavku v súvislosti s obsahom poskytnutej informácie.“</w:t>
      </w:r>
    </w:p>
    <w:p w:rsidR="00B5447A" w:rsidRPr="006E0873" w:rsidRDefault="00B5447A" w:rsidP="00B5447A">
      <w:pPr>
        <w:spacing w:after="120"/>
        <w:ind w:left="870"/>
        <w:jc w:val="both"/>
        <w:rPr>
          <w:rFonts w:ascii="Times New Roman" w:hAnsi="Times New Roman" w:cs="Times New Roman"/>
          <w:sz w:val="24"/>
          <w:szCs w:val="24"/>
          <w:lang w:eastAsia="cs-CZ"/>
        </w:rPr>
      </w:pPr>
    </w:p>
    <w:p w:rsidR="00B5447A" w:rsidRPr="006E0873" w:rsidRDefault="00B5447A" w:rsidP="00B5447A">
      <w:pPr>
        <w:numPr>
          <w:ilvl w:val="0"/>
          <w:numId w:val="7"/>
        </w:numPr>
        <w:spacing w:after="120" w:line="240" w:lineRule="auto"/>
        <w:jc w:val="both"/>
        <w:rPr>
          <w:rFonts w:ascii="Times New Roman" w:hAnsi="Times New Roman" w:cs="Times New Roman"/>
          <w:b/>
          <w:bCs/>
          <w:sz w:val="24"/>
          <w:szCs w:val="24"/>
        </w:rPr>
      </w:pPr>
      <w:r w:rsidRPr="006E0873">
        <w:rPr>
          <w:rFonts w:ascii="Times New Roman" w:hAnsi="Times New Roman" w:cs="Times New Roman"/>
          <w:b/>
          <w:bCs/>
          <w:sz w:val="24"/>
          <w:szCs w:val="24"/>
        </w:rPr>
        <w:t>Záväz</w:t>
      </w:r>
      <w:bookmarkStart w:id="0" w:name="_GoBack"/>
      <w:bookmarkEnd w:id="0"/>
      <w:r w:rsidRPr="006E0873">
        <w:rPr>
          <w:rFonts w:ascii="Times New Roman" w:hAnsi="Times New Roman" w:cs="Times New Roman"/>
          <w:b/>
          <w:bCs/>
          <w:sz w:val="24"/>
          <w:szCs w:val="24"/>
        </w:rPr>
        <w:t>ky Slovenskej republiky vo vzťahu k Európskej únii:</w:t>
      </w:r>
    </w:p>
    <w:p w:rsidR="00B5447A" w:rsidRPr="006E0873" w:rsidRDefault="00B5447A" w:rsidP="00B5447A">
      <w:pPr>
        <w:numPr>
          <w:ilvl w:val="0"/>
          <w:numId w:val="9"/>
        </w:numPr>
        <w:tabs>
          <w:tab w:val="clear" w:pos="720"/>
          <w:tab w:val="left" w:pos="425"/>
        </w:tabs>
        <w:spacing w:after="120" w:line="240" w:lineRule="auto"/>
        <w:ind w:left="425" w:hanging="425"/>
        <w:jc w:val="both"/>
        <w:rPr>
          <w:rFonts w:ascii="Times New Roman" w:hAnsi="Times New Roman" w:cs="Times New Roman"/>
          <w:sz w:val="24"/>
          <w:szCs w:val="24"/>
          <w:lang w:eastAsia="cs-CZ"/>
        </w:rPr>
      </w:pPr>
      <w:r w:rsidRPr="006E0873">
        <w:rPr>
          <w:rFonts w:ascii="Times New Roman" w:hAnsi="Times New Roman" w:cs="Times New Roman"/>
          <w:sz w:val="24"/>
          <w:szCs w:val="24"/>
          <w:lang w:eastAsia="cs-CZ"/>
        </w:rPr>
        <w:t xml:space="preserve">Lehota na prebratie smernice Rady (EÚ) 2018/822 bola stanovená do 31.12. 2019. Dátum uplatňovania je 1. júl 2020. </w:t>
      </w:r>
    </w:p>
    <w:p w:rsidR="00B5447A" w:rsidRPr="006E0873" w:rsidRDefault="00B5447A" w:rsidP="00B5447A">
      <w:pPr>
        <w:numPr>
          <w:ilvl w:val="0"/>
          <w:numId w:val="9"/>
        </w:numPr>
        <w:tabs>
          <w:tab w:val="clear" w:pos="720"/>
          <w:tab w:val="left" w:pos="425"/>
        </w:tabs>
        <w:spacing w:after="120" w:line="240" w:lineRule="auto"/>
        <w:ind w:left="425" w:hanging="425"/>
        <w:jc w:val="both"/>
        <w:rPr>
          <w:rFonts w:ascii="Times New Roman" w:hAnsi="Times New Roman" w:cs="Times New Roman"/>
          <w:sz w:val="24"/>
          <w:szCs w:val="24"/>
          <w:lang w:eastAsia="cs-CZ"/>
        </w:rPr>
      </w:pPr>
      <w:r w:rsidRPr="006E0873">
        <w:rPr>
          <w:rFonts w:ascii="Times New Roman" w:hAnsi="Times New Roman" w:cs="Times New Roman"/>
          <w:sz w:val="24"/>
          <w:szCs w:val="24"/>
          <w:lang w:eastAsia="cs-CZ"/>
        </w:rPr>
        <w:t xml:space="preserve">Proti SR nebolo </w:t>
      </w:r>
      <w:r w:rsidRPr="006E0873">
        <w:rPr>
          <w:rFonts w:ascii="Times New Roman" w:hAnsi="Times New Roman" w:cs="Times New Roman"/>
          <w:sz w:val="24"/>
          <w:szCs w:val="24"/>
        </w:rPr>
        <w:t xml:space="preserve">začaté konanie v rámci „EÚ Pilot“, ani nebol začatý postup EK ako aj nebolo </w:t>
      </w:r>
      <w:r w:rsidRPr="006E0873">
        <w:rPr>
          <w:rFonts w:ascii="Times New Roman" w:hAnsi="Times New Roman" w:cs="Times New Roman"/>
          <w:sz w:val="24"/>
          <w:szCs w:val="24"/>
          <w:lang w:eastAsia="cs-CZ"/>
        </w:rPr>
        <w:t>začaté konanie o porušení Zmluvy o fungovaní Európskej únie podľa čl. 258 až 260.</w:t>
      </w:r>
    </w:p>
    <w:p w:rsidR="00B5447A" w:rsidRPr="006E0873" w:rsidRDefault="00B5447A" w:rsidP="00B5447A">
      <w:pPr>
        <w:numPr>
          <w:ilvl w:val="0"/>
          <w:numId w:val="9"/>
        </w:numPr>
        <w:tabs>
          <w:tab w:val="clear" w:pos="720"/>
          <w:tab w:val="left" w:pos="425"/>
        </w:tabs>
        <w:spacing w:after="120" w:line="240" w:lineRule="auto"/>
        <w:ind w:left="425" w:hanging="425"/>
        <w:jc w:val="both"/>
        <w:rPr>
          <w:rFonts w:ascii="Times New Roman" w:hAnsi="Times New Roman" w:cs="Times New Roman"/>
          <w:sz w:val="24"/>
          <w:szCs w:val="24"/>
          <w:lang w:eastAsia="cs-CZ"/>
        </w:rPr>
      </w:pPr>
      <w:r w:rsidRPr="006E0873">
        <w:rPr>
          <w:rFonts w:ascii="Times New Roman" w:hAnsi="Times New Roman" w:cs="Times New Roman"/>
          <w:sz w:val="24"/>
          <w:szCs w:val="24"/>
          <w:lang w:eastAsia="cs-CZ"/>
        </w:rPr>
        <w:t>Smernica Rady (EÚ) 2018/822 bola prebratá do zákona č. 442/2012 Z. z. o medzinárodnej pomoci a spolupráci pri správe daní v znení neskorších predpisov a do zákona č. 595/2003 Z. z. o dani z príjmov v znení neskorších právnych predpisov.</w:t>
      </w:r>
    </w:p>
    <w:p w:rsidR="00B5447A" w:rsidRPr="006E0873" w:rsidRDefault="00B5447A" w:rsidP="00B5447A">
      <w:pPr>
        <w:numPr>
          <w:ilvl w:val="0"/>
          <w:numId w:val="7"/>
        </w:numPr>
        <w:spacing w:after="120" w:line="240" w:lineRule="auto"/>
        <w:jc w:val="both"/>
        <w:rPr>
          <w:rFonts w:ascii="Times New Roman" w:hAnsi="Times New Roman" w:cs="Times New Roman"/>
          <w:b/>
          <w:bCs/>
          <w:sz w:val="24"/>
          <w:szCs w:val="24"/>
        </w:rPr>
      </w:pPr>
      <w:r w:rsidRPr="006E0873">
        <w:rPr>
          <w:rFonts w:ascii="Times New Roman" w:hAnsi="Times New Roman" w:cs="Times New Roman"/>
          <w:b/>
          <w:bCs/>
          <w:sz w:val="24"/>
          <w:szCs w:val="24"/>
        </w:rPr>
        <w:t>Návrh zákona je zlučiteľný s právom Európskej únie:</w:t>
      </w:r>
    </w:p>
    <w:p w:rsidR="00B5447A" w:rsidRPr="006E0873" w:rsidRDefault="00B5447A" w:rsidP="00B5447A">
      <w:pPr>
        <w:spacing w:after="120"/>
        <w:ind w:left="425"/>
        <w:jc w:val="both"/>
        <w:rPr>
          <w:rFonts w:ascii="Times New Roman" w:hAnsi="Times New Roman" w:cs="Times New Roman"/>
          <w:sz w:val="24"/>
          <w:szCs w:val="24"/>
        </w:rPr>
      </w:pPr>
      <w:r w:rsidRPr="006E0873">
        <w:rPr>
          <w:rFonts w:ascii="Times New Roman" w:hAnsi="Times New Roman" w:cs="Times New Roman"/>
          <w:sz w:val="24"/>
          <w:szCs w:val="24"/>
        </w:rPr>
        <w:t>Úplne.</w:t>
      </w:r>
    </w:p>
    <w:p w:rsidR="00B5447A" w:rsidRDefault="00B5447A" w:rsidP="00B5447A">
      <w:pPr>
        <w:spacing w:after="0" w:line="240" w:lineRule="auto"/>
        <w:jc w:val="both"/>
        <w:rPr>
          <w:rFonts w:ascii="Times New Roman" w:hAnsi="Times New Roman" w:cs="Times New Roman"/>
          <w:b/>
          <w:sz w:val="24"/>
          <w:szCs w:val="24"/>
        </w:rPr>
      </w:pPr>
    </w:p>
    <w:p w:rsidR="00B5447A" w:rsidRDefault="00B5447A" w:rsidP="00B5447A">
      <w:pPr>
        <w:spacing w:after="0" w:line="240" w:lineRule="auto"/>
        <w:jc w:val="both"/>
        <w:rPr>
          <w:rFonts w:ascii="Times New Roman" w:hAnsi="Times New Roman" w:cs="Times New Roman"/>
          <w:b/>
          <w:sz w:val="24"/>
          <w:szCs w:val="24"/>
        </w:rPr>
      </w:pPr>
    </w:p>
    <w:p w:rsidR="0033092E" w:rsidRPr="00EA3F99" w:rsidRDefault="0033092E" w:rsidP="0033092E">
      <w:pPr>
        <w:suppressAutoHyphens/>
        <w:spacing w:after="0" w:line="100" w:lineRule="atLeast"/>
        <w:rPr>
          <w:rFonts w:ascii="Times New Roman" w:eastAsia="Arial Unicode MS" w:hAnsi="Times New Roman" w:cs="Times New Roman"/>
          <w:b/>
          <w:kern w:val="1"/>
          <w:sz w:val="24"/>
          <w:szCs w:val="24"/>
          <w:u w:val="single"/>
          <w:lang w:eastAsia="ar-SA"/>
        </w:rPr>
      </w:pPr>
      <w:r w:rsidRPr="00EA3F99">
        <w:rPr>
          <w:rFonts w:ascii="Times New Roman" w:eastAsia="Arial Unicode MS" w:hAnsi="Times New Roman" w:cs="Times New Roman"/>
          <w:b/>
          <w:kern w:val="1"/>
          <w:sz w:val="24"/>
          <w:szCs w:val="24"/>
          <w:u w:val="single"/>
          <w:lang w:eastAsia="ar-SA"/>
        </w:rPr>
        <w:t>Osobitná časť</w:t>
      </w:r>
    </w:p>
    <w:p w:rsidR="0033092E" w:rsidRPr="00EA3F99" w:rsidRDefault="0033092E" w:rsidP="0033092E">
      <w:pPr>
        <w:suppressAutoHyphens/>
        <w:spacing w:after="0" w:line="100" w:lineRule="atLeast"/>
        <w:rPr>
          <w:rFonts w:ascii="Times New Roman" w:eastAsia="Arial Unicode MS" w:hAnsi="Times New Roman" w:cs="Times New Roman"/>
          <w:b/>
          <w:kern w:val="1"/>
          <w:sz w:val="24"/>
          <w:szCs w:val="24"/>
          <w:u w:val="single"/>
          <w:lang w:eastAsia="ar-SA"/>
        </w:rPr>
      </w:pPr>
    </w:p>
    <w:p w:rsidR="0033092E" w:rsidRPr="00EA3F99" w:rsidRDefault="0033092E" w:rsidP="0033092E">
      <w:pPr>
        <w:suppressAutoHyphens/>
        <w:spacing w:after="0" w:line="100" w:lineRule="atLeast"/>
        <w:rPr>
          <w:rFonts w:ascii="Times New Roman" w:eastAsia="Arial Unicode MS" w:hAnsi="Times New Roman" w:cs="Times New Roman"/>
          <w:b/>
          <w:kern w:val="1"/>
          <w:sz w:val="24"/>
          <w:szCs w:val="24"/>
          <w:lang w:eastAsia="ar-SA"/>
        </w:rPr>
      </w:pPr>
      <w:r w:rsidRPr="00EA3F99">
        <w:rPr>
          <w:rFonts w:ascii="Times New Roman" w:eastAsia="Arial Unicode MS" w:hAnsi="Times New Roman" w:cs="Times New Roman"/>
          <w:b/>
          <w:kern w:val="1"/>
          <w:sz w:val="24"/>
          <w:szCs w:val="24"/>
          <w:lang w:eastAsia="ar-SA"/>
        </w:rPr>
        <w:t>K Čl. I</w:t>
      </w:r>
    </w:p>
    <w:p w:rsidR="0033092E" w:rsidRPr="00EA3F99" w:rsidRDefault="0033092E" w:rsidP="0033092E">
      <w:pPr>
        <w:suppressAutoHyphens/>
        <w:spacing w:after="0" w:line="100" w:lineRule="atLeast"/>
        <w:rPr>
          <w:rFonts w:ascii="Times New Roman" w:eastAsia="Arial Unicode MS" w:hAnsi="Times New Roman" w:cs="Times New Roman"/>
          <w:kern w:val="1"/>
          <w:sz w:val="24"/>
          <w:szCs w:val="24"/>
          <w:lang w:eastAsia="ar-SA"/>
        </w:rPr>
      </w:pPr>
    </w:p>
    <w:p w:rsidR="0033092E" w:rsidRDefault="0033092E" w:rsidP="0033092E">
      <w:pPr>
        <w:suppressAutoHyphens/>
        <w:spacing w:after="0" w:line="100" w:lineRule="atLeast"/>
        <w:rPr>
          <w:rFonts w:ascii="Times New Roman" w:eastAsia="Arial Unicode MS" w:hAnsi="Times New Roman" w:cs="Times New Roman"/>
          <w:b/>
          <w:kern w:val="1"/>
          <w:sz w:val="24"/>
          <w:szCs w:val="24"/>
          <w:u w:val="single"/>
          <w:lang w:eastAsia="ar-SA"/>
        </w:rPr>
      </w:pPr>
      <w:r w:rsidRPr="00EA3F99">
        <w:rPr>
          <w:rFonts w:ascii="Times New Roman" w:eastAsia="Arial Unicode MS" w:hAnsi="Times New Roman" w:cs="Times New Roman"/>
          <w:b/>
          <w:kern w:val="1"/>
          <w:sz w:val="24"/>
          <w:szCs w:val="24"/>
          <w:u w:val="single"/>
          <w:lang w:eastAsia="ar-SA"/>
        </w:rPr>
        <w:t>K bodu 1 – § 8a až 8</w:t>
      </w:r>
      <w:r>
        <w:rPr>
          <w:rFonts w:ascii="Times New Roman" w:eastAsia="Arial Unicode MS" w:hAnsi="Times New Roman" w:cs="Times New Roman"/>
          <w:b/>
          <w:kern w:val="1"/>
          <w:sz w:val="24"/>
          <w:szCs w:val="24"/>
          <w:u w:val="single"/>
          <w:lang w:eastAsia="ar-SA"/>
        </w:rPr>
        <w:t>g</w:t>
      </w:r>
    </w:p>
    <w:p w:rsidR="0033092E" w:rsidRDefault="0033092E" w:rsidP="0033092E">
      <w:pPr>
        <w:suppressAutoHyphens/>
        <w:spacing w:after="0" w:line="100" w:lineRule="atLeast"/>
        <w:rPr>
          <w:rFonts w:ascii="Times New Roman" w:eastAsia="Arial Unicode MS" w:hAnsi="Times New Roman" w:cs="Times New Roman"/>
          <w:b/>
          <w:kern w:val="1"/>
          <w:sz w:val="24"/>
          <w:szCs w:val="24"/>
          <w:u w:val="single"/>
          <w:lang w:eastAsia="ar-SA"/>
        </w:rPr>
      </w:pPr>
    </w:p>
    <w:p w:rsidR="0033092E" w:rsidRPr="00476A66" w:rsidRDefault="0033092E" w:rsidP="0033092E">
      <w:pPr>
        <w:suppressAutoHyphens/>
        <w:spacing w:after="0" w:line="100" w:lineRule="atLeast"/>
        <w:rPr>
          <w:rFonts w:ascii="Times New Roman" w:eastAsia="Arial Unicode MS" w:hAnsi="Times New Roman" w:cs="Times New Roman"/>
          <w:kern w:val="1"/>
          <w:sz w:val="24"/>
          <w:szCs w:val="24"/>
          <w:lang w:eastAsia="ar-SA"/>
        </w:rPr>
      </w:pPr>
      <w:r w:rsidRPr="00476A66">
        <w:rPr>
          <w:rFonts w:ascii="Times New Roman" w:eastAsia="Arial Unicode MS" w:hAnsi="Times New Roman" w:cs="Times New Roman"/>
          <w:kern w:val="1"/>
          <w:sz w:val="24"/>
          <w:szCs w:val="24"/>
          <w:lang w:eastAsia="ar-SA"/>
        </w:rPr>
        <w:t xml:space="preserve">§ 8a </w:t>
      </w:r>
    </w:p>
    <w:p w:rsidR="0033092E" w:rsidRPr="00EA3F99" w:rsidRDefault="0033092E" w:rsidP="0033092E">
      <w:pPr>
        <w:suppressAutoHyphens/>
        <w:spacing w:after="0" w:line="100" w:lineRule="atLeast"/>
        <w:rPr>
          <w:rFonts w:ascii="Times New Roman" w:eastAsia="Arial Unicode MS" w:hAnsi="Times New Roman" w:cs="Times New Roman"/>
          <w:b/>
          <w:kern w:val="1"/>
          <w:sz w:val="24"/>
          <w:szCs w:val="24"/>
          <w:u w:val="single"/>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Arial Unicode MS" w:hAnsi="Times New Roman" w:cs="Times New Roman"/>
          <w:kern w:val="1"/>
          <w:sz w:val="24"/>
          <w:szCs w:val="24"/>
          <w:lang w:eastAsia="ar-SA"/>
        </w:rPr>
        <w:t xml:space="preserve">V jednotlivých písmenách a) až </w:t>
      </w:r>
      <w:r>
        <w:rPr>
          <w:rFonts w:ascii="Times New Roman" w:eastAsia="Arial Unicode MS" w:hAnsi="Times New Roman" w:cs="Times New Roman"/>
          <w:kern w:val="1"/>
          <w:sz w:val="24"/>
          <w:szCs w:val="24"/>
          <w:lang w:eastAsia="ar-SA"/>
        </w:rPr>
        <w:t>g</w:t>
      </w:r>
      <w:r w:rsidRPr="00EA3F99">
        <w:rPr>
          <w:rFonts w:ascii="Times New Roman" w:eastAsia="Arial Unicode MS" w:hAnsi="Times New Roman" w:cs="Times New Roman"/>
          <w:kern w:val="1"/>
          <w:sz w:val="24"/>
          <w:szCs w:val="24"/>
          <w:lang w:eastAsia="ar-SA"/>
        </w:rPr>
        <w:t xml:space="preserve">) §8a sa vymedzujú pojmy, ktoré sa používajú v oblasti </w:t>
      </w:r>
      <w:r w:rsidRPr="00EA3F99">
        <w:rPr>
          <w:rFonts w:ascii="Times New Roman" w:eastAsia="MS Mincho" w:hAnsi="Times New Roman" w:cs="Times New Roman"/>
          <w:kern w:val="1"/>
          <w:sz w:val="24"/>
          <w:szCs w:val="24"/>
          <w:lang w:eastAsia="ar-SA"/>
        </w:rPr>
        <w:t>automatickej výmeny informácií o cezhraničných opatreniach podliehajúcich oznamovaniu.</w:t>
      </w: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Písm. a)</w:t>
      </w:r>
    </w:p>
    <w:p w:rsidR="0033092E"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V písmene a) sa definuje pojem cezhraničné opatrenie. Na to, aby opatrenie naplnilo znaky cezhraničného opatrenia, musí sa predmetné opatrenie</w:t>
      </w:r>
      <w:r>
        <w:rPr>
          <w:rFonts w:ascii="Times New Roman" w:eastAsia="MS Mincho" w:hAnsi="Times New Roman" w:cs="Times New Roman"/>
          <w:kern w:val="1"/>
          <w:sz w:val="24"/>
          <w:szCs w:val="24"/>
          <w:lang w:eastAsia="ar-SA"/>
        </w:rPr>
        <w:t xml:space="preserve"> alebo viac opatrení, ktoré ešte môžu pozostávať z viac ako jednej časti,</w:t>
      </w:r>
      <w:r w:rsidRPr="00EA3F99">
        <w:rPr>
          <w:rFonts w:ascii="Times New Roman" w:eastAsia="MS Mincho" w:hAnsi="Times New Roman" w:cs="Times New Roman"/>
          <w:kern w:val="1"/>
          <w:sz w:val="24"/>
          <w:szCs w:val="24"/>
          <w:lang w:eastAsia="ar-SA"/>
        </w:rPr>
        <w:t xml:space="preserve"> týkať aspoň 2 členských štátov alebo členského štátu a nečlenského štátu, pričom musí byť splnená aspoň jedna z ďalších podmienok stanovených v bodoch 1-5</w:t>
      </w:r>
      <w:r>
        <w:rPr>
          <w:rFonts w:ascii="Times New Roman" w:eastAsia="MS Mincho" w:hAnsi="Times New Roman" w:cs="Times New Roman"/>
          <w:kern w:val="1"/>
          <w:sz w:val="24"/>
          <w:szCs w:val="24"/>
          <w:lang w:eastAsia="ar-SA"/>
        </w:rPr>
        <w:t>.</w:t>
      </w:r>
      <w:r w:rsidRPr="00EA3F99">
        <w:rPr>
          <w:rFonts w:ascii="Times New Roman" w:eastAsia="MS Mincho" w:hAnsi="Times New Roman" w:cs="Times New Roman"/>
          <w:kern w:val="1"/>
          <w:sz w:val="24"/>
          <w:szCs w:val="24"/>
          <w:lang w:eastAsia="ar-SA"/>
        </w:rPr>
        <w:t xml:space="preserve"> </w:t>
      </w:r>
      <w:r>
        <w:rPr>
          <w:rFonts w:ascii="Times New Roman" w:eastAsia="MS Mincho" w:hAnsi="Times New Roman" w:cs="Times New Roman"/>
          <w:kern w:val="1"/>
          <w:sz w:val="24"/>
          <w:szCs w:val="24"/>
          <w:lang w:eastAsia="ar-SA"/>
        </w:rPr>
        <w:t>I</w:t>
      </w:r>
      <w:r w:rsidRPr="00EA3F99">
        <w:rPr>
          <w:rFonts w:ascii="Times New Roman" w:eastAsia="MS Mincho" w:hAnsi="Times New Roman" w:cs="Times New Roman"/>
          <w:kern w:val="1"/>
          <w:sz w:val="24"/>
          <w:szCs w:val="24"/>
          <w:lang w:eastAsia="ar-SA"/>
        </w:rPr>
        <w:t xml:space="preserve">ch podstatou je, že sú stále v danom </w:t>
      </w:r>
      <w:r>
        <w:rPr>
          <w:rFonts w:ascii="Times New Roman" w:eastAsia="MS Mincho" w:hAnsi="Times New Roman" w:cs="Times New Roman"/>
          <w:kern w:val="1"/>
          <w:sz w:val="24"/>
          <w:szCs w:val="24"/>
          <w:lang w:eastAsia="ar-SA"/>
        </w:rPr>
        <w:t xml:space="preserve">cezhraničnom </w:t>
      </w:r>
      <w:r w:rsidRPr="00EA3F99">
        <w:rPr>
          <w:rFonts w:ascii="Times New Roman" w:eastAsia="MS Mincho" w:hAnsi="Times New Roman" w:cs="Times New Roman"/>
          <w:kern w:val="1"/>
          <w:sz w:val="24"/>
          <w:szCs w:val="24"/>
          <w:lang w:eastAsia="ar-SA"/>
        </w:rPr>
        <w:t>opatrení prítomné najmenej dva štáty, či už členské</w:t>
      </w:r>
      <w:r>
        <w:rPr>
          <w:rFonts w:ascii="Times New Roman" w:eastAsia="MS Mincho" w:hAnsi="Times New Roman" w:cs="Times New Roman"/>
          <w:kern w:val="1"/>
          <w:sz w:val="24"/>
          <w:szCs w:val="24"/>
          <w:lang w:eastAsia="ar-SA"/>
        </w:rPr>
        <w:t xml:space="preserve"> štáty</w:t>
      </w:r>
      <w:r w:rsidRPr="00EA3F99">
        <w:rPr>
          <w:rFonts w:ascii="Times New Roman" w:eastAsia="MS Mincho" w:hAnsi="Times New Roman" w:cs="Times New Roman"/>
          <w:kern w:val="1"/>
          <w:sz w:val="24"/>
          <w:szCs w:val="24"/>
          <w:lang w:eastAsia="ar-SA"/>
        </w:rPr>
        <w:t>, alebo jeden členský štát a druhý nečlenský štát</w:t>
      </w:r>
      <w:r>
        <w:rPr>
          <w:rFonts w:ascii="Times New Roman" w:eastAsia="MS Mincho" w:hAnsi="Times New Roman" w:cs="Times New Roman"/>
          <w:kern w:val="1"/>
          <w:sz w:val="24"/>
          <w:szCs w:val="24"/>
          <w:lang w:eastAsia="ar-SA"/>
        </w:rPr>
        <w:t>, v rámci ktorých majú fyzické osoby alebo subjekty rezidenciu na daňové účely, stálu prevádzkareň, alebo tam vykonávajú činnosť alebo toto cezhraničné opatrenie poskytuje možnosť vyhnúť sa povinnostiam súvisiacich s automatickou výmenou informácií o finančných účtoch alebo súvisiacich s identifikáciou skutočného vlastníka príjmu.</w:t>
      </w: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sidRPr="00EA3F99" w:rsidDel="009B24F6">
        <w:rPr>
          <w:rFonts w:ascii="Times New Roman" w:eastAsia="MS Mincho" w:hAnsi="Times New Roman" w:cs="Times New Roman"/>
          <w:kern w:val="1"/>
          <w:sz w:val="24"/>
          <w:szCs w:val="24"/>
          <w:lang w:eastAsia="ar-SA"/>
        </w:rPr>
        <w:t xml:space="preserve"> </w:t>
      </w: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lastRenderedPageBreak/>
        <w:t>Písm. b)</w:t>
      </w:r>
    </w:p>
    <w:p w:rsidR="0033092E"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 xml:space="preserve">Písmeno b) </w:t>
      </w:r>
      <w:r w:rsidRPr="00626858">
        <w:rPr>
          <w:rFonts w:ascii="Times New Roman" w:eastAsia="MS Mincho" w:hAnsi="Times New Roman" w:cs="Times New Roman"/>
          <w:kern w:val="1"/>
          <w:sz w:val="24"/>
          <w:szCs w:val="24"/>
          <w:lang w:eastAsia="ar-SA"/>
        </w:rPr>
        <w:t xml:space="preserve">definuje charakteristický znak, ktorým je vlastnosť, prvok, aspekt cezhraničného opatrenia, ktorý môže predstavovať riziko vyhýbania sa daňovým povinnostiam, resp. riziko vyhýbania sa plateniu daní. Opis charakteristických znakov sa nachádza v prílohe č. </w:t>
      </w:r>
      <w:r>
        <w:rPr>
          <w:rFonts w:ascii="Times New Roman" w:eastAsia="MS Mincho" w:hAnsi="Times New Roman" w:cs="Times New Roman"/>
          <w:kern w:val="1"/>
          <w:sz w:val="24"/>
          <w:szCs w:val="24"/>
          <w:lang w:eastAsia="ar-SA"/>
        </w:rPr>
        <w:t>1a</w:t>
      </w:r>
      <w:r w:rsidRPr="00626858">
        <w:rPr>
          <w:rFonts w:ascii="Times New Roman" w:eastAsia="MS Mincho" w:hAnsi="Times New Roman" w:cs="Times New Roman"/>
          <w:kern w:val="1"/>
          <w:sz w:val="24"/>
          <w:szCs w:val="24"/>
          <w:lang w:eastAsia="ar-SA"/>
        </w:rPr>
        <w:t xml:space="preserve"> zákona. Ide napr. o aspekt využívania strát spoločnosti, zmeny povahy príjmu alebo kapitálu, obchádzania automatickej výmeny informácií o finančných účtoch a pod.</w:t>
      </w:r>
    </w:p>
    <w:p w:rsidR="0033092E"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Písm. c)</w:t>
      </w:r>
    </w:p>
    <w:p w:rsidR="0033092E"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Pr>
          <w:rFonts w:ascii="Times New Roman" w:eastAsia="MS Mincho" w:hAnsi="Times New Roman" w:cs="Times New Roman"/>
          <w:kern w:val="1"/>
          <w:sz w:val="24"/>
          <w:szCs w:val="24"/>
          <w:lang w:eastAsia="ar-SA"/>
        </w:rPr>
        <w:t>Písmeno c) d</w:t>
      </w:r>
      <w:r w:rsidRPr="00626858">
        <w:rPr>
          <w:rFonts w:ascii="Times New Roman" w:eastAsia="MS Mincho" w:hAnsi="Times New Roman" w:cs="Times New Roman"/>
          <w:kern w:val="1"/>
          <w:sz w:val="24"/>
          <w:szCs w:val="24"/>
          <w:lang w:eastAsia="ar-SA"/>
        </w:rPr>
        <w:t>efinuje pojem</w:t>
      </w:r>
      <w:r>
        <w:rPr>
          <w:rFonts w:ascii="Times New Roman" w:eastAsia="MS Mincho" w:hAnsi="Times New Roman" w:cs="Times New Roman"/>
          <w:kern w:val="1"/>
          <w:sz w:val="24"/>
          <w:szCs w:val="24"/>
          <w:lang w:eastAsia="ar-SA"/>
        </w:rPr>
        <w:t xml:space="preserve"> „oznamované opatrenie“</w:t>
      </w:r>
      <w:r w:rsidRPr="00626858">
        <w:rPr>
          <w:rFonts w:ascii="Times New Roman" w:eastAsia="MS Mincho" w:hAnsi="Times New Roman" w:cs="Times New Roman"/>
          <w:kern w:val="1"/>
          <w:sz w:val="24"/>
          <w:szCs w:val="24"/>
          <w:lang w:eastAsia="ar-SA"/>
        </w:rPr>
        <w:t>, ktorý sa používa v celom zákone a na ktorý sa vzťahuje aj povinnosť podávať informácie</w:t>
      </w:r>
      <w:r>
        <w:rPr>
          <w:rFonts w:ascii="Times New Roman" w:eastAsia="MS Mincho" w:hAnsi="Times New Roman" w:cs="Times New Roman"/>
          <w:kern w:val="1"/>
          <w:sz w:val="24"/>
          <w:szCs w:val="24"/>
          <w:lang w:eastAsia="ar-SA"/>
        </w:rPr>
        <w:t xml:space="preserve">. Oznamovaniu </w:t>
      </w:r>
      <w:r w:rsidRPr="00626858">
        <w:rPr>
          <w:rFonts w:ascii="Times New Roman" w:eastAsia="MS Mincho" w:hAnsi="Times New Roman" w:cs="Times New Roman"/>
          <w:kern w:val="1"/>
          <w:sz w:val="24"/>
          <w:szCs w:val="24"/>
          <w:lang w:eastAsia="ar-SA"/>
        </w:rPr>
        <w:t xml:space="preserve">podlieha </w:t>
      </w:r>
      <w:r>
        <w:rPr>
          <w:rFonts w:ascii="Times New Roman" w:eastAsia="MS Mincho" w:hAnsi="Times New Roman" w:cs="Times New Roman"/>
          <w:kern w:val="1"/>
          <w:sz w:val="24"/>
          <w:szCs w:val="24"/>
          <w:lang w:eastAsia="ar-SA"/>
        </w:rPr>
        <w:t>c</w:t>
      </w:r>
      <w:r w:rsidRPr="00626858">
        <w:rPr>
          <w:rFonts w:ascii="Times New Roman" w:eastAsia="MS Mincho" w:hAnsi="Times New Roman" w:cs="Times New Roman"/>
          <w:kern w:val="1"/>
          <w:sz w:val="24"/>
          <w:szCs w:val="24"/>
          <w:lang w:eastAsia="ar-SA"/>
        </w:rPr>
        <w:t xml:space="preserve">ezhraničné opatrenie, </w:t>
      </w:r>
      <w:r>
        <w:rPr>
          <w:rFonts w:ascii="Times New Roman" w:eastAsia="MS Mincho" w:hAnsi="Times New Roman" w:cs="Times New Roman"/>
          <w:kern w:val="1"/>
          <w:sz w:val="24"/>
          <w:szCs w:val="24"/>
          <w:lang w:eastAsia="ar-SA"/>
        </w:rPr>
        <w:t>ktoré spĺňa</w:t>
      </w:r>
      <w:r w:rsidRPr="00626858">
        <w:rPr>
          <w:rFonts w:ascii="Times New Roman" w:eastAsia="MS Mincho" w:hAnsi="Times New Roman" w:cs="Times New Roman"/>
          <w:kern w:val="1"/>
          <w:sz w:val="24"/>
          <w:szCs w:val="24"/>
          <w:lang w:eastAsia="ar-SA"/>
        </w:rPr>
        <w:t xml:space="preserve"> aspoň jeden charakteristický znak uvedený v prílohe č. </w:t>
      </w:r>
      <w:r>
        <w:rPr>
          <w:rFonts w:ascii="Times New Roman" w:eastAsia="MS Mincho" w:hAnsi="Times New Roman" w:cs="Times New Roman"/>
          <w:kern w:val="1"/>
          <w:sz w:val="24"/>
          <w:szCs w:val="24"/>
          <w:lang w:eastAsia="ar-SA"/>
        </w:rPr>
        <w:t>1a</w:t>
      </w:r>
      <w:r w:rsidRPr="00626858">
        <w:rPr>
          <w:rFonts w:ascii="Times New Roman" w:eastAsia="MS Mincho" w:hAnsi="Times New Roman" w:cs="Times New Roman"/>
          <w:kern w:val="1"/>
          <w:sz w:val="24"/>
          <w:szCs w:val="24"/>
          <w:lang w:eastAsia="ar-SA"/>
        </w:rPr>
        <w:t xml:space="preserve"> zákona. V prípade všeobecných a niektorých osobitných charakteristických znakov je potrebné, aby bol splnený test hlavného účelu, ktorého podstatou je dosiahnutie daňovej výhody prostredníctvom daného cezhraničného opatrenia,</w:t>
      </w:r>
      <w:r>
        <w:rPr>
          <w:rFonts w:ascii="Times New Roman" w:eastAsia="MS Mincho" w:hAnsi="Times New Roman" w:cs="Times New Roman"/>
          <w:kern w:val="1"/>
          <w:sz w:val="24"/>
          <w:szCs w:val="24"/>
          <w:lang w:eastAsia="ar-SA"/>
        </w:rPr>
        <w:t xml:space="preserve">. </w:t>
      </w:r>
      <w:proofErr w:type="spellStart"/>
      <w:r>
        <w:rPr>
          <w:rFonts w:ascii="Times New Roman" w:eastAsia="MS Mincho" w:hAnsi="Times New Roman" w:cs="Times New Roman"/>
          <w:kern w:val="1"/>
          <w:sz w:val="24"/>
          <w:szCs w:val="24"/>
          <w:lang w:eastAsia="ar-SA"/>
        </w:rPr>
        <w:t>T.j</w:t>
      </w:r>
      <w:proofErr w:type="spellEnd"/>
      <w:r>
        <w:rPr>
          <w:rFonts w:ascii="Times New Roman" w:eastAsia="MS Mincho" w:hAnsi="Times New Roman" w:cs="Times New Roman"/>
          <w:kern w:val="1"/>
          <w:sz w:val="24"/>
          <w:szCs w:val="24"/>
          <w:lang w:eastAsia="ar-SA"/>
        </w:rPr>
        <w:t>. test hlavného účelu musí byť naplnený,</w:t>
      </w:r>
      <w:r w:rsidRPr="00626858">
        <w:rPr>
          <w:rFonts w:ascii="Times New Roman" w:eastAsia="MS Mincho" w:hAnsi="Times New Roman" w:cs="Times New Roman"/>
          <w:kern w:val="1"/>
          <w:sz w:val="24"/>
          <w:szCs w:val="24"/>
          <w:lang w:eastAsia="ar-SA"/>
        </w:rPr>
        <w:t xml:space="preserve"> aby </w:t>
      </w:r>
      <w:r>
        <w:rPr>
          <w:rFonts w:ascii="Times New Roman" w:eastAsia="MS Mincho" w:hAnsi="Times New Roman" w:cs="Times New Roman"/>
          <w:kern w:val="1"/>
          <w:sz w:val="24"/>
          <w:szCs w:val="24"/>
          <w:lang w:eastAsia="ar-SA"/>
        </w:rPr>
        <w:t>tieto niektoré charakteristické znaky</w:t>
      </w:r>
      <w:r w:rsidRPr="00626858">
        <w:rPr>
          <w:rFonts w:ascii="Times New Roman" w:eastAsia="MS Mincho" w:hAnsi="Times New Roman" w:cs="Times New Roman"/>
          <w:kern w:val="1"/>
          <w:sz w:val="24"/>
          <w:szCs w:val="24"/>
          <w:lang w:eastAsia="ar-SA"/>
        </w:rPr>
        <w:t xml:space="preserve"> bolo</w:t>
      </w:r>
      <w:r>
        <w:rPr>
          <w:rFonts w:ascii="Times New Roman" w:eastAsia="MS Mincho" w:hAnsi="Times New Roman" w:cs="Times New Roman"/>
          <w:kern w:val="1"/>
          <w:sz w:val="24"/>
          <w:szCs w:val="24"/>
          <w:lang w:eastAsia="ar-SA"/>
        </w:rPr>
        <w:t xml:space="preserve"> vôbec</w:t>
      </w:r>
      <w:r w:rsidRPr="00626858">
        <w:rPr>
          <w:rFonts w:ascii="Times New Roman" w:eastAsia="MS Mincho" w:hAnsi="Times New Roman" w:cs="Times New Roman"/>
          <w:kern w:val="1"/>
          <w:sz w:val="24"/>
          <w:szCs w:val="24"/>
          <w:lang w:eastAsia="ar-SA"/>
        </w:rPr>
        <w:t xml:space="preserve"> možné použiť pri hodnotení toho, či cezhraničné opatrenie podlieha oznamovaniu alebo nie. </w:t>
      </w:r>
      <w:r>
        <w:rPr>
          <w:rFonts w:ascii="Times New Roman" w:eastAsia="MS Mincho" w:hAnsi="Times New Roman" w:cs="Times New Roman"/>
          <w:kern w:val="1"/>
          <w:sz w:val="24"/>
          <w:szCs w:val="24"/>
          <w:lang w:eastAsia="ar-SA"/>
        </w:rPr>
        <w:t>To znamená, že niektoré charakteristické znaky sa uplatnia bez ohľadu na test hlavného účelu.</w:t>
      </w:r>
    </w:p>
    <w:p w:rsidR="0033092E" w:rsidRDefault="0033092E" w:rsidP="0033092E">
      <w:pPr>
        <w:suppressAutoHyphens/>
        <w:spacing w:after="0" w:line="100" w:lineRule="atLeast"/>
        <w:ind w:firstLine="708"/>
        <w:jc w:val="both"/>
        <w:rPr>
          <w:rFonts w:ascii="Times New Roman" w:eastAsia="MS Mincho" w:hAnsi="Times New Roman" w:cs="Times New Roman"/>
          <w:kern w:val="1"/>
          <w:sz w:val="24"/>
          <w:szCs w:val="24"/>
          <w:lang w:eastAsia="ar-SA"/>
        </w:rPr>
      </w:pPr>
      <w:r w:rsidRPr="00626858">
        <w:rPr>
          <w:rFonts w:ascii="Times New Roman" w:eastAsia="MS Mincho" w:hAnsi="Times New Roman" w:cs="Times New Roman"/>
          <w:kern w:val="1"/>
          <w:sz w:val="24"/>
          <w:szCs w:val="24"/>
          <w:lang w:eastAsia="ar-SA"/>
        </w:rPr>
        <w:t xml:space="preserve">V prílohe č. </w:t>
      </w:r>
      <w:r>
        <w:rPr>
          <w:rFonts w:ascii="Times New Roman" w:eastAsia="MS Mincho" w:hAnsi="Times New Roman" w:cs="Times New Roman"/>
          <w:kern w:val="1"/>
          <w:sz w:val="24"/>
          <w:szCs w:val="24"/>
          <w:lang w:eastAsia="ar-SA"/>
        </w:rPr>
        <w:t>1a</w:t>
      </w:r>
      <w:r w:rsidRPr="00626858">
        <w:rPr>
          <w:rFonts w:ascii="Times New Roman" w:eastAsia="MS Mincho" w:hAnsi="Times New Roman" w:cs="Times New Roman"/>
          <w:kern w:val="1"/>
          <w:sz w:val="24"/>
          <w:szCs w:val="24"/>
          <w:lang w:eastAsia="ar-SA"/>
        </w:rPr>
        <w:t xml:space="preserve"> sú presne zadefinované charakteristické znaky, ktorými sú: znak </w:t>
      </w:r>
      <w:r>
        <w:rPr>
          <w:rFonts w:ascii="Times New Roman" w:eastAsia="MS Mincho" w:hAnsi="Times New Roman" w:cs="Times New Roman"/>
          <w:kern w:val="1"/>
          <w:sz w:val="24"/>
          <w:szCs w:val="24"/>
          <w:lang w:eastAsia="ar-SA"/>
        </w:rPr>
        <w:t>dôvernosti</w:t>
      </w:r>
      <w:r w:rsidRPr="00626858">
        <w:rPr>
          <w:rFonts w:ascii="Times New Roman" w:eastAsia="MS Mincho" w:hAnsi="Times New Roman" w:cs="Times New Roman"/>
          <w:kern w:val="1"/>
          <w:sz w:val="24"/>
          <w:szCs w:val="24"/>
          <w:lang w:eastAsia="ar-SA"/>
        </w:rPr>
        <w:t xml:space="preserve">, znak odmeny, znak </w:t>
      </w:r>
      <w:proofErr w:type="spellStart"/>
      <w:r w:rsidRPr="00626858">
        <w:rPr>
          <w:rFonts w:ascii="Times New Roman" w:eastAsia="MS Mincho" w:hAnsi="Times New Roman" w:cs="Times New Roman"/>
          <w:kern w:val="1"/>
          <w:sz w:val="24"/>
          <w:szCs w:val="24"/>
          <w:lang w:eastAsia="ar-SA"/>
        </w:rPr>
        <w:t>štandardizovanosti</w:t>
      </w:r>
      <w:proofErr w:type="spellEnd"/>
      <w:r w:rsidRPr="00626858">
        <w:rPr>
          <w:rFonts w:ascii="Times New Roman" w:eastAsia="MS Mincho" w:hAnsi="Times New Roman" w:cs="Times New Roman"/>
          <w:kern w:val="1"/>
          <w:sz w:val="24"/>
          <w:szCs w:val="24"/>
          <w:lang w:eastAsia="ar-SA"/>
        </w:rPr>
        <w:t>,</w:t>
      </w:r>
      <w:r>
        <w:rPr>
          <w:rFonts w:ascii="Times New Roman" w:eastAsia="MS Mincho" w:hAnsi="Times New Roman" w:cs="Times New Roman"/>
          <w:kern w:val="1"/>
          <w:sz w:val="24"/>
          <w:szCs w:val="24"/>
          <w:lang w:eastAsia="ar-SA"/>
        </w:rPr>
        <w:t xml:space="preserve"> pokiaľ ide o všeobecné charakteristické znaky prepojené s testom hlavného účelu. Medzi osobitné charakteristické znaky prepojené s testom hlavného účelu zaraďujeme</w:t>
      </w:r>
      <w:r w:rsidRPr="00626858">
        <w:rPr>
          <w:rFonts w:ascii="Times New Roman" w:eastAsia="MS Mincho" w:hAnsi="Times New Roman" w:cs="Times New Roman"/>
          <w:kern w:val="1"/>
          <w:sz w:val="24"/>
          <w:szCs w:val="24"/>
          <w:lang w:eastAsia="ar-SA"/>
        </w:rPr>
        <w:t xml:space="preserve"> znak využitia strá</w:t>
      </w:r>
      <w:r>
        <w:rPr>
          <w:rFonts w:ascii="Times New Roman" w:eastAsia="MS Mincho" w:hAnsi="Times New Roman" w:cs="Times New Roman"/>
          <w:kern w:val="1"/>
          <w:sz w:val="24"/>
          <w:szCs w:val="24"/>
          <w:lang w:eastAsia="ar-SA"/>
        </w:rPr>
        <w:t xml:space="preserve">t, znak zmeny charakteru príjmu a znak kruhových transakcií.  Znak </w:t>
      </w:r>
      <w:r w:rsidRPr="0027798C">
        <w:rPr>
          <w:rFonts w:ascii="Times New Roman" w:eastAsia="MS Mincho" w:hAnsi="Times New Roman" w:cs="Times New Roman"/>
          <w:kern w:val="1"/>
          <w:sz w:val="24"/>
          <w:szCs w:val="24"/>
          <w:lang w:eastAsia="ar-SA"/>
        </w:rPr>
        <w:t>odpočítania výdavku (nákladu) b</w:t>
      </w:r>
      <w:r>
        <w:rPr>
          <w:rFonts w:ascii="Times New Roman" w:eastAsia="MS Mincho" w:hAnsi="Times New Roman" w:cs="Times New Roman"/>
          <w:kern w:val="1"/>
          <w:sz w:val="24"/>
          <w:szCs w:val="24"/>
          <w:lang w:eastAsia="ar-SA"/>
        </w:rPr>
        <w:t>ez zahrnutia do príjmu (výnosu)</w:t>
      </w:r>
      <w:r w:rsidRPr="00626858">
        <w:rPr>
          <w:rFonts w:ascii="Times New Roman" w:eastAsia="MS Mincho" w:hAnsi="Times New Roman" w:cs="Times New Roman"/>
          <w:kern w:val="1"/>
          <w:sz w:val="24"/>
          <w:szCs w:val="24"/>
          <w:lang w:eastAsia="ar-SA"/>
        </w:rPr>
        <w:t>, znak viacnásobného odpisovania, viacnásobného zamedzenia dvojitého zdanenia, znak významného rozdielu v</w:t>
      </w:r>
      <w:r>
        <w:rPr>
          <w:rFonts w:ascii="Times New Roman" w:eastAsia="MS Mincho" w:hAnsi="Times New Roman" w:cs="Times New Roman"/>
          <w:kern w:val="1"/>
          <w:sz w:val="24"/>
          <w:szCs w:val="24"/>
          <w:lang w:eastAsia="ar-SA"/>
        </w:rPr>
        <w:t> pri ocenení protiplnenia predstavujú osobitné charakteristické znaky súvisiace s cezhraničnými transakciami. Z</w:t>
      </w:r>
      <w:r w:rsidRPr="00626858">
        <w:rPr>
          <w:rFonts w:ascii="Times New Roman" w:eastAsia="MS Mincho" w:hAnsi="Times New Roman" w:cs="Times New Roman"/>
          <w:kern w:val="1"/>
          <w:sz w:val="24"/>
          <w:szCs w:val="24"/>
          <w:lang w:eastAsia="ar-SA"/>
        </w:rPr>
        <w:t>nak</w:t>
      </w:r>
      <w:r>
        <w:rPr>
          <w:rFonts w:ascii="Times New Roman" w:eastAsia="MS Mincho" w:hAnsi="Times New Roman" w:cs="Times New Roman"/>
          <w:kern w:val="1"/>
          <w:sz w:val="24"/>
          <w:szCs w:val="24"/>
          <w:lang w:eastAsia="ar-SA"/>
        </w:rPr>
        <w:t xml:space="preserve"> obchádzania automatickej výmeny</w:t>
      </w:r>
      <w:r w:rsidRPr="00626858">
        <w:rPr>
          <w:rFonts w:ascii="Times New Roman" w:eastAsia="MS Mincho" w:hAnsi="Times New Roman" w:cs="Times New Roman"/>
          <w:kern w:val="1"/>
          <w:sz w:val="24"/>
          <w:szCs w:val="24"/>
          <w:lang w:eastAsia="ar-SA"/>
        </w:rPr>
        <w:t xml:space="preserve"> informácií</w:t>
      </w:r>
      <w:r>
        <w:rPr>
          <w:rFonts w:ascii="Times New Roman" w:eastAsia="MS Mincho" w:hAnsi="Times New Roman" w:cs="Times New Roman"/>
          <w:kern w:val="1"/>
          <w:sz w:val="24"/>
          <w:szCs w:val="24"/>
          <w:lang w:eastAsia="ar-SA"/>
        </w:rPr>
        <w:t xml:space="preserve"> a identifikácie skutočného vlastníctva</w:t>
      </w:r>
      <w:r w:rsidRPr="00626858">
        <w:rPr>
          <w:rFonts w:ascii="Times New Roman" w:eastAsia="MS Mincho" w:hAnsi="Times New Roman" w:cs="Times New Roman"/>
          <w:kern w:val="1"/>
          <w:sz w:val="24"/>
          <w:szCs w:val="24"/>
          <w:lang w:eastAsia="ar-SA"/>
        </w:rPr>
        <w:t xml:space="preserve">, znak </w:t>
      </w:r>
      <w:r>
        <w:rPr>
          <w:rFonts w:ascii="Times New Roman" w:eastAsia="MS Mincho" w:hAnsi="Times New Roman" w:cs="Times New Roman"/>
          <w:kern w:val="1"/>
          <w:sz w:val="24"/>
          <w:szCs w:val="24"/>
          <w:lang w:eastAsia="ar-SA"/>
        </w:rPr>
        <w:t xml:space="preserve">netransparentného skutočného vlastníctva sú osobitnými charakteristickými znakmi týkajúcimi sa automatickej výmeny informácií a skutočného vlastníctva. </w:t>
      </w:r>
      <w:r w:rsidRPr="006B7C52">
        <w:rPr>
          <w:rFonts w:ascii="Times New Roman" w:eastAsia="MS Mincho" w:hAnsi="Times New Roman" w:cs="Times New Roman"/>
          <w:kern w:val="1"/>
          <w:sz w:val="24"/>
          <w:szCs w:val="24"/>
          <w:lang w:eastAsia="ar-SA"/>
        </w:rPr>
        <w:t>Osobitné charakteristické znaky týkajúce sa transferového oceňovania</w:t>
      </w:r>
      <w:r>
        <w:rPr>
          <w:rFonts w:ascii="Times New Roman" w:eastAsia="MS Mincho" w:hAnsi="Times New Roman" w:cs="Times New Roman"/>
          <w:kern w:val="1"/>
          <w:sz w:val="24"/>
          <w:szCs w:val="24"/>
          <w:lang w:eastAsia="ar-SA"/>
        </w:rPr>
        <w:t xml:space="preserve"> zahŕňajú </w:t>
      </w:r>
      <w:r w:rsidRPr="00626858">
        <w:rPr>
          <w:rFonts w:ascii="Times New Roman" w:eastAsia="MS Mincho" w:hAnsi="Times New Roman" w:cs="Times New Roman"/>
          <w:kern w:val="1"/>
          <w:sz w:val="24"/>
          <w:szCs w:val="24"/>
          <w:lang w:eastAsia="ar-SA"/>
        </w:rPr>
        <w:t xml:space="preserve">znak bezpečného prístavu, znak ťažko </w:t>
      </w:r>
      <w:r>
        <w:rPr>
          <w:rFonts w:ascii="Times New Roman" w:eastAsia="MS Mincho" w:hAnsi="Times New Roman" w:cs="Times New Roman"/>
          <w:kern w:val="1"/>
          <w:sz w:val="24"/>
          <w:szCs w:val="24"/>
          <w:lang w:eastAsia="ar-SA"/>
        </w:rPr>
        <w:t xml:space="preserve">oceniteľného majetku a znak </w:t>
      </w:r>
      <w:proofErr w:type="spellStart"/>
      <w:r>
        <w:rPr>
          <w:rFonts w:ascii="Times New Roman" w:eastAsia="MS Mincho" w:hAnsi="Times New Roman" w:cs="Times New Roman"/>
          <w:kern w:val="1"/>
          <w:sz w:val="24"/>
          <w:szCs w:val="24"/>
          <w:lang w:eastAsia="ar-SA"/>
        </w:rPr>
        <w:t>vnútro</w:t>
      </w:r>
      <w:r w:rsidRPr="00626858">
        <w:rPr>
          <w:rFonts w:ascii="Times New Roman" w:eastAsia="MS Mincho" w:hAnsi="Times New Roman" w:cs="Times New Roman"/>
          <w:kern w:val="1"/>
          <w:sz w:val="24"/>
          <w:szCs w:val="24"/>
          <w:lang w:eastAsia="ar-SA"/>
        </w:rPr>
        <w:t>skupinových</w:t>
      </w:r>
      <w:proofErr w:type="spellEnd"/>
      <w:r w:rsidRPr="00626858">
        <w:rPr>
          <w:rFonts w:ascii="Times New Roman" w:eastAsia="MS Mincho" w:hAnsi="Times New Roman" w:cs="Times New Roman"/>
          <w:kern w:val="1"/>
          <w:sz w:val="24"/>
          <w:szCs w:val="24"/>
          <w:lang w:eastAsia="ar-SA"/>
        </w:rPr>
        <w:t xml:space="preserve"> cezhraničných presunov.</w:t>
      </w: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r w:rsidRPr="00EA3F99">
        <w:rPr>
          <w:rFonts w:ascii="Times New Roman" w:eastAsia="MS Mincho" w:hAnsi="Times New Roman" w:cs="Times New Roman"/>
          <w:kern w:val="1"/>
          <w:sz w:val="24"/>
          <w:szCs w:val="24"/>
          <w:lang w:eastAsia="ar-SA"/>
        </w:rPr>
        <w:t>Písm. d)</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kern w:val="1"/>
          <w:sz w:val="24"/>
          <w:szCs w:val="24"/>
          <w:lang w:eastAsia="ar-SA"/>
        </w:rPr>
        <w:t>Sprostredkovateľ</w:t>
      </w:r>
      <w:r>
        <w:rPr>
          <w:rFonts w:ascii="Times New Roman" w:eastAsia="MS Mincho" w:hAnsi="Times New Roman" w:cs="Times New Roman"/>
          <w:kern w:val="1"/>
          <w:sz w:val="24"/>
          <w:szCs w:val="24"/>
          <w:lang w:eastAsia="ar-SA"/>
        </w:rPr>
        <w:t>om</w:t>
      </w:r>
      <w:r w:rsidRPr="00EA3F99">
        <w:rPr>
          <w:rFonts w:ascii="Times New Roman" w:eastAsia="MS Mincho" w:hAnsi="Times New Roman" w:cs="Times New Roman"/>
          <w:kern w:val="1"/>
          <w:sz w:val="24"/>
          <w:szCs w:val="24"/>
          <w:lang w:eastAsia="ar-SA"/>
        </w:rPr>
        <w:t xml:space="preserve"> môže byť akákoľvek fyzická osoba</w:t>
      </w:r>
      <w:r>
        <w:rPr>
          <w:rFonts w:ascii="Times New Roman" w:eastAsia="MS Mincho" w:hAnsi="Times New Roman" w:cs="Times New Roman"/>
          <w:kern w:val="1"/>
          <w:sz w:val="24"/>
          <w:szCs w:val="24"/>
          <w:lang w:eastAsia="ar-SA"/>
        </w:rPr>
        <w:t xml:space="preserve"> alebo subjekt podľa § 2 písm. l) zákona č. 442/2012 </w:t>
      </w:r>
      <w:proofErr w:type="spellStart"/>
      <w:r>
        <w:rPr>
          <w:rFonts w:ascii="Times New Roman" w:eastAsia="MS Mincho" w:hAnsi="Times New Roman" w:cs="Times New Roman"/>
          <w:kern w:val="1"/>
          <w:sz w:val="24"/>
          <w:szCs w:val="24"/>
          <w:lang w:eastAsia="ar-SA"/>
        </w:rPr>
        <w:t>Z.z</w:t>
      </w:r>
      <w:proofErr w:type="spellEnd"/>
      <w:r>
        <w:rPr>
          <w:rFonts w:ascii="Times New Roman" w:eastAsia="MS Mincho" w:hAnsi="Times New Roman" w:cs="Times New Roman"/>
          <w:kern w:val="1"/>
          <w:sz w:val="24"/>
          <w:szCs w:val="24"/>
          <w:lang w:eastAsia="ar-SA"/>
        </w:rPr>
        <w:t>. T</w:t>
      </w:r>
      <w:r w:rsidRPr="00EA3F99">
        <w:rPr>
          <w:rFonts w:ascii="Times New Roman" w:eastAsia="MS Mincho" w:hAnsi="Times New Roman" w:cs="Times New Roman"/>
          <w:kern w:val="1"/>
          <w:sz w:val="24"/>
          <w:szCs w:val="24"/>
          <w:lang w:eastAsia="ar-SA"/>
        </w:rPr>
        <w:t>áto osoba</w:t>
      </w:r>
      <w:r>
        <w:rPr>
          <w:rFonts w:ascii="Times New Roman" w:eastAsia="MS Mincho" w:hAnsi="Times New Roman" w:cs="Times New Roman"/>
          <w:kern w:val="1"/>
          <w:sz w:val="24"/>
          <w:szCs w:val="24"/>
          <w:lang w:eastAsia="ar-SA"/>
        </w:rPr>
        <w:t>, definovaná ako sprostredkovateľ,</w:t>
      </w:r>
      <w:r w:rsidRPr="00EA3F99">
        <w:rPr>
          <w:rFonts w:ascii="Times New Roman" w:eastAsia="MS Mincho" w:hAnsi="Times New Roman" w:cs="Times New Roman"/>
          <w:kern w:val="1"/>
          <w:sz w:val="24"/>
          <w:szCs w:val="24"/>
          <w:lang w:eastAsia="ar-SA"/>
        </w:rPr>
        <w:t xml:space="preserve"> buď navrhuje </w:t>
      </w:r>
      <w:r w:rsidRPr="00EA3F99">
        <w:rPr>
          <w:rFonts w:ascii="Times New Roman" w:eastAsia="MS Mincho" w:hAnsi="Times New Roman" w:cs="Times New Roman"/>
          <w:bCs/>
          <w:kern w:val="1"/>
          <w:sz w:val="24"/>
          <w:szCs w:val="24"/>
          <w:lang w:eastAsia="ar-SA"/>
        </w:rPr>
        <w:t>cezhraničné opatrenie podliehajúce oznamovaniu, ponúka ho na trhu, organizuje ho, sprístupňuje ho na implementáciu</w:t>
      </w:r>
      <w:r>
        <w:rPr>
          <w:rFonts w:ascii="Times New Roman" w:eastAsia="MS Mincho" w:hAnsi="Times New Roman" w:cs="Times New Roman"/>
          <w:bCs/>
          <w:kern w:val="1"/>
          <w:sz w:val="24"/>
          <w:szCs w:val="24"/>
          <w:lang w:eastAsia="ar-SA"/>
        </w:rPr>
        <w:t>, resp. zavedenie</w:t>
      </w:r>
      <w:r w:rsidRPr="00EA3F99">
        <w:rPr>
          <w:rFonts w:ascii="Times New Roman" w:eastAsia="MS Mincho" w:hAnsi="Times New Roman" w:cs="Times New Roman"/>
          <w:bCs/>
          <w:kern w:val="1"/>
          <w:sz w:val="24"/>
          <w:szCs w:val="24"/>
          <w:lang w:eastAsia="ar-SA"/>
        </w:rPr>
        <w:t xml:space="preserve"> alebo riadi jeho </w:t>
      </w:r>
      <w:r>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pričom stačí, aby bola splnená jedna z týchto činností</w:t>
      </w:r>
      <w:r>
        <w:rPr>
          <w:rFonts w:ascii="Times New Roman" w:eastAsia="MS Mincho" w:hAnsi="Times New Roman" w:cs="Times New Roman"/>
          <w:bCs/>
          <w:kern w:val="1"/>
          <w:sz w:val="24"/>
          <w:szCs w:val="24"/>
          <w:lang w:eastAsia="ar-SA"/>
        </w:rPr>
        <w:t>.</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Za sprostredkovateľa sa považuje aj </w:t>
      </w:r>
      <w:r w:rsidRPr="00EA3F99">
        <w:rPr>
          <w:rFonts w:ascii="Times New Roman" w:eastAsia="MS Mincho" w:hAnsi="Times New Roman" w:cs="Times New Roman"/>
          <w:kern w:val="1"/>
          <w:sz w:val="24"/>
          <w:szCs w:val="24"/>
          <w:lang w:eastAsia="ar-SA"/>
        </w:rPr>
        <w:t>akákoľvek fyzická osoba</w:t>
      </w:r>
      <w:r>
        <w:rPr>
          <w:rFonts w:ascii="Times New Roman" w:eastAsia="MS Mincho" w:hAnsi="Times New Roman" w:cs="Times New Roman"/>
          <w:kern w:val="1"/>
          <w:sz w:val="24"/>
          <w:szCs w:val="24"/>
          <w:lang w:eastAsia="ar-SA"/>
        </w:rPr>
        <w:t xml:space="preserve"> alebo subjekt,</w:t>
      </w:r>
      <w:r w:rsidRPr="00EA3F99">
        <w:rPr>
          <w:rFonts w:ascii="Times New Roman" w:eastAsia="MS Mincho" w:hAnsi="Times New Roman" w:cs="Times New Roman"/>
          <w:kern w:val="1"/>
          <w:sz w:val="24"/>
          <w:szCs w:val="24"/>
          <w:lang w:eastAsia="ar-SA"/>
        </w:rPr>
        <w:t xml:space="preserve"> ktorá poskytuje</w:t>
      </w:r>
      <w:r>
        <w:rPr>
          <w:rFonts w:ascii="Times New Roman" w:eastAsia="MS Mincho" w:hAnsi="Times New Roman" w:cs="Times New Roman"/>
          <w:kern w:val="1"/>
          <w:sz w:val="24"/>
          <w:szCs w:val="24"/>
          <w:lang w:eastAsia="ar-SA"/>
        </w:rPr>
        <w:t xml:space="preserve"> priamo</w:t>
      </w:r>
      <w:r w:rsidRPr="00EA3F99">
        <w:rPr>
          <w:rFonts w:ascii="Times New Roman" w:eastAsia="MS Mincho" w:hAnsi="Times New Roman" w:cs="Times New Roman"/>
          <w:kern w:val="1"/>
          <w:sz w:val="24"/>
          <w:szCs w:val="24"/>
          <w:lang w:eastAsia="ar-SA"/>
        </w:rPr>
        <w:t xml:space="preserve"> alebo prostredníctvom inej osoby</w:t>
      </w:r>
      <w:r>
        <w:rPr>
          <w:rFonts w:ascii="Times New Roman" w:eastAsia="MS Mincho" w:hAnsi="Times New Roman" w:cs="Times New Roman"/>
          <w:kern w:val="1"/>
          <w:sz w:val="24"/>
          <w:szCs w:val="24"/>
          <w:lang w:eastAsia="ar-SA"/>
        </w:rPr>
        <w:t xml:space="preserve"> pomoc, podporu alebo poradenstvo. Túto pomoc, podporu poradenstvo však musí poskytovať</w:t>
      </w:r>
      <w:r w:rsidRPr="00EA3F99">
        <w:rPr>
          <w:rFonts w:ascii="Times New Roman" w:eastAsia="MS Mincho" w:hAnsi="Times New Roman" w:cs="Times New Roman"/>
          <w:kern w:val="1"/>
          <w:sz w:val="24"/>
          <w:szCs w:val="24"/>
          <w:lang w:eastAsia="ar-SA"/>
        </w:rPr>
        <w:t xml:space="preserve"> v súvislosti s </w:t>
      </w:r>
      <w:r w:rsidRPr="00EA3F99">
        <w:rPr>
          <w:rFonts w:ascii="Times New Roman" w:eastAsia="MS Mincho" w:hAnsi="Times New Roman" w:cs="Times New Roman"/>
          <w:bCs/>
          <w:kern w:val="1"/>
          <w:sz w:val="24"/>
          <w:szCs w:val="24"/>
          <w:lang w:eastAsia="ar-SA"/>
        </w:rPr>
        <w:t>navrhovaním, ponúkaním na trhu, organizova</w:t>
      </w:r>
      <w:r>
        <w:rPr>
          <w:rFonts w:ascii="Times New Roman" w:eastAsia="MS Mincho" w:hAnsi="Times New Roman" w:cs="Times New Roman"/>
          <w:bCs/>
          <w:kern w:val="1"/>
          <w:sz w:val="24"/>
          <w:szCs w:val="24"/>
          <w:lang w:eastAsia="ar-SA"/>
        </w:rPr>
        <w:t>ním tohto opatrenia</w:t>
      </w:r>
      <w:r w:rsidRPr="00EA3F99">
        <w:rPr>
          <w:rFonts w:ascii="Times New Roman" w:eastAsia="MS Mincho" w:hAnsi="Times New Roman" w:cs="Times New Roman"/>
          <w:bCs/>
          <w:kern w:val="1"/>
          <w:sz w:val="24"/>
          <w:szCs w:val="24"/>
          <w:lang w:eastAsia="ar-SA"/>
        </w:rPr>
        <w:t xml:space="preserve">, sprístupňovaním na </w:t>
      </w:r>
      <w:r>
        <w:rPr>
          <w:rFonts w:ascii="Times New Roman" w:eastAsia="MS Mincho" w:hAnsi="Times New Roman" w:cs="Times New Roman"/>
          <w:bCs/>
          <w:kern w:val="1"/>
          <w:sz w:val="24"/>
          <w:szCs w:val="24"/>
          <w:lang w:eastAsia="ar-SA"/>
        </w:rPr>
        <w:t>zavedenie alebo s riadením</w:t>
      </w:r>
      <w:r w:rsidRPr="00EA3F99">
        <w:rPr>
          <w:rFonts w:ascii="Times New Roman" w:eastAsia="MS Mincho" w:hAnsi="Times New Roman" w:cs="Times New Roman"/>
          <w:bCs/>
          <w:kern w:val="1"/>
          <w:sz w:val="24"/>
          <w:szCs w:val="24"/>
          <w:lang w:eastAsia="ar-SA"/>
        </w:rPr>
        <w:t xml:space="preserve"> zavedenia</w:t>
      </w:r>
      <w:r w:rsidRPr="00EA3F99">
        <w:rPr>
          <w:rFonts w:ascii="Times New Roman" w:eastAsia="MS Mincho" w:hAnsi="Times New Roman" w:cs="Times New Roman"/>
          <w:kern w:val="1"/>
          <w:sz w:val="24"/>
          <w:szCs w:val="24"/>
          <w:lang w:eastAsia="ar-SA"/>
        </w:rPr>
        <w:t xml:space="preserve"> </w:t>
      </w:r>
      <w:r>
        <w:rPr>
          <w:rFonts w:ascii="Times New Roman" w:eastAsia="MS Mincho" w:hAnsi="Times New Roman" w:cs="Times New Roman"/>
          <w:bCs/>
          <w:kern w:val="1"/>
          <w:sz w:val="24"/>
          <w:szCs w:val="24"/>
          <w:lang w:eastAsia="ar-SA"/>
        </w:rPr>
        <w:t>oznamovaného opatrenia</w:t>
      </w:r>
      <w:r w:rsidRPr="00EA3F99">
        <w:rPr>
          <w:rFonts w:ascii="Times New Roman" w:eastAsia="MS Mincho" w:hAnsi="Times New Roman" w:cs="Times New Roman"/>
          <w:bCs/>
          <w:kern w:val="1"/>
          <w:sz w:val="24"/>
          <w:szCs w:val="24"/>
          <w:lang w:eastAsia="ar-SA"/>
        </w:rPr>
        <w:t xml:space="preserve">. Pri tejto osobe je zároveň potrebné, aby vedela alebo </w:t>
      </w:r>
      <w:r>
        <w:rPr>
          <w:rFonts w:ascii="Times New Roman" w:eastAsia="MS Mincho" w:hAnsi="Times New Roman" w:cs="Times New Roman"/>
          <w:bCs/>
          <w:kern w:val="1"/>
          <w:sz w:val="24"/>
          <w:szCs w:val="24"/>
          <w:lang w:eastAsia="ar-SA"/>
        </w:rPr>
        <w:t xml:space="preserve">by </w:t>
      </w:r>
      <w:r w:rsidRPr="00EA3F99">
        <w:rPr>
          <w:rFonts w:ascii="Times New Roman" w:eastAsia="MS Mincho" w:hAnsi="Times New Roman" w:cs="Times New Roman"/>
          <w:bCs/>
          <w:kern w:val="1"/>
          <w:sz w:val="24"/>
          <w:szCs w:val="24"/>
          <w:lang w:eastAsia="ar-SA"/>
        </w:rPr>
        <w:t xml:space="preserve">mohla vedieť, vzhľadom na odborné znalosti, poznatky, skúsenosti a chápania a so zreteľom na všetky relevantné skutočnosti, okolnosti a dostupné informácie, že poskytuje takúto pomoc, podporu a poradenstvo. </w:t>
      </w:r>
      <w:r w:rsidRPr="008A09B6">
        <w:rPr>
          <w:rFonts w:ascii="Times New Roman" w:eastAsia="MS Mincho" w:hAnsi="Times New Roman" w:cs="Times New Roman"/>
          <w:bCs/>
          <w:kern w:val="1"/>
          <w:sz w:val="24"/>
          <w:szCs w:val="24"/>
          <w:lang w:eastAsia="ar-SA"/>
        </w:rPr>
        <w:t>Každá fyzická osoba alebo subjekt, ktorí sú sprostredkovateľmi</w:t>
      </w:r>
      <w:r>
        <w:rPr>
          <w:rFonts w:ascii="Times New Roman" w:eastAsia="MS Mincho" w:hAnsi="Times New Roman" w:cs="Times New Roman"/>
          <w:bCs/>
          <w:kern w:val="1"/>
          <w:sz w:val="24"/>
          <w:szCs w:val="24"/>
          <w:lang w:eastAsia="ar-SA"/>
        </w:rPr>
        <w:t>,</w:t>
      </w:r>
      <w:r w:rsidRPr="008A09B6">
        <w:rPr>
          <w:rFonts w:ascii="Times New Roman" w:eastAsia="MS Mincho" w:hAnsi="Times New Roman" w:cs="Times New Roman"/>
          <w:bCs/>
          <w:kern w:val="1"/>
          <w:sz w:val="24"/>
          <w:szCs w:val="24"/>
          <w:lang w:eastAsia="ar-SA"/>
        </w:rPr>
        <w:t xml:space="preserve"> sú oprávnení použiť všetky dostupné informácie, odvolať sa na všetky relevantné skutočnosti a okolnosti a ich odborné zhodnotenie ako dôkazy o tom, že nevedeli a ani nemohli vedieť, že sú zapojení do </w:t>
      </w:r>
      <w:r>
        <w:rPr>
          <w:rFonts w:ascii="Times New Roman" w:eastAsia="MS Mincho" w:hAnsi="Times New Roman" w:cs="Times New Roman"/>
          <w:bCs/>
          <w:kern w:val="1"/>
          <w:sz w:val="24"/>
          <w:szCs w:val="24"/>
          <w:lang w:eastAsia="ar-SA"/>
        </w:rPr>
        <w:t>oznamovaného opatrenia</w:t>
      </w:r>
      <w:r w:rsidRPr="008A09B6">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Takéto osoby nie sú sprostredkovateľmi. </w:t>
      </w:r>
      <w:r w:rsidRPr="00895312">
        <w:rPr>
          <w:rFonts w:ascii="Times New Roman" w:eastAsia="MS Mincho" w:hAnsi="Times New Roman" w:cs="Times New Roman"/>
          <w:bCs/>
          <w:kern w:val="1"/>
          <w:sz w:val="24"/>
          <w:szCs w:val="24"/>
          <w:lang w:eastAsia="ar-SA"/>
        </w:rPr>
        <w:t xml:space="preserve">Ako dôkaz možno použiť </w:t>
      </w:r>
      <w:r w:rsidRPr="00895312">
        <w:rPr>
          <w:rFonts w:ascii="Times New Roman" w:eastAsia="MS Mincho" w:hAnsi="Times New Roman" w:cs="Times New Roman"/>
          <w:bCs/>
          <w:kern w:val="1"/>
          <w:sz w:val="24"/>
          <w:szCs w:val="24"/>
          <w:lang w:eastAsia="ar-SA"/>
        </w:rPr>
        <w:lastRenderedPageBreak/>
        <w:t>všetko, čo môže prispieť k zisteniu a objasneniu skutočností preukazujúcich tvrdenie fyzickej osoby alebo subjektu.</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Okrem týchto základných definičných znakov sprostredkovateľa, fyzická osoba alebo subjekt sa považujú za sprostredkovateľov ak spĺňajú aspoň jednu z ďalších definičných znakov, ktoré sa viažu buď k rezidencii na daňové účely, ktorú musí mať v členskom štáte</w:t>
      </w:r>
      <w:r>
        <w:rPr>
          <w:rFonts w:ascii="Arial" w:eastAsia="MS Mincho" w:hAnsi="Arial" w:cs="Arial"/>
          <w:bCs/>
          <w:kern w:val="1"/>
          <w:sz w:val="24"/>
          <w:szCs w:val="24"/>
          <w:lang w:eastAsia="ar-SA"/>
        </w:rPr>
        <w:t>;</w:t>
      </w:r>
      <w:r>
        <w:rPr>
          <w:rFonts w:ascii="Times New Roman" w:eastAsia="MS Mincho" w:hAnsi="Times New Roman" w:cs="Times New Roman"/>
          <w:bCs/>
          <w:kern w:val="1"/>
          <w:sz w:val="24"/>
          <w:szCs w:val="24"/>
          <w:lang w:eastAsia="ar-SA"/>
        </w:rPr>
        <w:t xml:space="preserve"> ku stálej prevádzkarni, </w:t>
      </w:r>
      <w:r w:rsidRPr="00C47CF0">
        <w:rPr>
          <w:rFonts w:ascii="Times New Roman" w:eastAsia="MS Mincho" w:hAnsi="Times New Roman" w:cs="Times New Roman"/>
          <w:bCs/>
          <w:sz w:val="24"/>
          <w:szCs w:val="24"/>
        </w:rPr>
        <w:t>prostredníctvom ktorej poskytuje služby v súvislosti s cezhraničným opatrením</w:t>
      </w:r>
      <w:r>
        <w:rPr>
          <w:rFonts w:ascii="Times New Roman" w:eastAsia="MS Mincho" w:hAnsi="Times New Roman" w:cs="Times New Roman"/>
          <w:bCs/>
          <w:sz w:val="24"/>
          <w:szCs w:val="24"/>
        </w:rPr>
        <w:t>, ktorú musí mať v členskom štáte</w:t>
      </w:r>
      <w:r>
        <w:rPr>
          <w:rFonts w:ascii="Arial" w:eastAsia="MS Mincho" w:hAnsi="Arial" w:cs="Arial"/>
          <w:bCs/>
          <w:sz w:val="24"/>
          <w:szCs w:val="24"/>
        </w:rPr>
        <w:t>;</w:t>
      </w:r>
      <w:r>
        <w:rPr>
          <w:rFonts w:ascii="Times New Roman" w:eastAsia="MS Mincho" w:hAnsi="Times New Roman" w:cs="Times New Roman"/>
          <w:bCs/>
          <w:sz w:val="24"/>
          <w:szCs w:val="24"/>
        </w:rPr>
        <w:t xml:space="preserve"> ku skutočnosti, že je táto fyzická osoba alebo subjekt založená alebo zriadená podľa právneho poriadku členského štátu alebo sa riadi právnym poriadkom členského štátu alebo ku skutočnosti, že táto fyzická osoba alebo subjekt, je zaregistrovaná</w:t>
      </w:r>
      <w:r w:rsidRPr="006027C3">
        <w:rPr>
          <w:rFonts w:ascii="Times New Roman" w:eastAsia="MS Mincho" w:hAnsi="Times New Roman" w:cs="Times New Roman"/>
          <w:bCs/>
          <w:sz w:val="24"/>
          <w:szCs w:val="24"/>
        </w:rPr>
        <w:t xml:space="preserve"> </w:t>
      </w:r>
      <w:r w:rsidRPr="00C47CF0">
        <w:rPr>
          <w:rFonts w:ascii="Times New Roman" w:eastAsia="MS Mincho" w:hAnsi="Times New Roman" w:cs="Times New Roman"/>
          <w:bCs/>
          <w:sz w:val="24"/>
          <w:szCs w:val="24"/>
        </w:rPr>
        <w:t>v</w:t>
      </w:r>
      <w:r>
        <w:rPr>
          <w:rFonts w:ascii="Times New Roman" w:eastAsia="MS Mincho" w:hAnsi="Times New Roman" w:cs="Times New Roman"/>
          <w:bCs/>
          <w:sz w:val="24"/>
          <w:szCs w:val="24"/>
        </w:rPr>
        <w:t> profesijnej organizácii</w:t>
      </w:r>
      <w:r w:rsidRPr="00C47CF0">
        <w:rPr>
          <w:rFonts w:ascii="Times New Roman" w:eastAsia="MS Mincho" w:hAnsi="Times New Roman" w:cs="Times New Roman"/>
          <w:bCs/>
          <w:sz w:val="24"/>
          <w:szCs w:val="24"/>
        </w:rPr>
        <w:t xml:space="preserve"> pre právne, daňové alebo </w:t>
      </w:r>
      <w:r>
        <w:rPr>
          <w:rFonts w:ascii="Times New Roman" w:eastAsia="MS Mincho" w:hAnsi="Times New Roman" w:cs="Times New Roman"/>
          <w:bCs/>
          <w:sz w:val="24"/>
          <w:szCs w:val="24"/>
        </w:rPr>
        <w:t xml:space="preserve">obdobné </w:t>
      </w:r>
      <w:r w:rsidRPr="00C47CF0">
        <w:rPr>
          <w:rFonts w:ascii="Times New Roman" w:eastAsia="MS Mincho" w:hAnsi="Times New Roman" w:cs="Times New Roman"/>
          <w:bCs/>
          <w:sz w:val="24"/>
          <w:szCs w:val="24"/>
        </w:rPr>
        <w:t>poradenské služby v</w:t>
      </w:r>
      <w:r>
        <w:rPr>
          <w:rFonts w:ascii="Times New Roman" w:eastAsia="MS Mincho" w:hAnsi="Times New Roman" w:cs="Times New Roman"/>
          <w:bCs/>
          <w:sz w:val="24"/>
          <w:szCs w:val="24"/>
        </w:rPr>
        <w:t> členskom štáte.</w:t>
      </w:r>
    </w:p>
    <w:p w:rsidR="0033092E" w:rsidRPr="00EA3F99"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V praktickom živ</w:t>
      </w:r>
      <w:r>
        <w:rPr>
          <w:rFonts w:ascii="Times New Roman" w:eastAsia="MS Mincho" w:hAnsi="Times New Roman" w:cs="Times New Roman"/>
          <w:bCs/>
          <w:kern w:val="1"/>
          <w:sz w:val="24"/>
          <w:szCs w:val="24"/>
          <w:lang w:eastAsia="ar-SA"/>
        </w:rPr>
        <w:t xml:space="preserve">ote sprostredkovateľom môžu byť najmä </w:t>
      </w:r>
      <w:r w:rsidRPr="00EA3F99">
        <w:rPr>
          <w:rFonts w:ascii="Times New Roman" w:eastAsia="MS Mincho" w:hAnsi="Times New Roman" w:cs="Times New Roman"/>
          <w:bCs/>
          <w:kern w:val="1"/>
          <w:sz w:val="24"/>
          <w:szCs w:val="24"/>
          <w:lang w:eastAsia="ar-SA"/>
        </w:rPr>
        <w:t>daňoví poradcovia, advokáti, účtovníci</w:t>
      </w:r>
      <w:r>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a</w:t>
      </w:r>
      <w:r>
        <w:rPr>
          <w:rFonts w:ascii="Times New Roman" w:eastAsia="MS Mincho" w:hAnsi="Times New Roman" w:cs="Times New Roman"/>
          <w:bCs/>
          <w:kern w:val="1"/>
          <w:sz w:val="24"/>
          <w:szCs w:val="24"/>
          <w:lang w:eastAsia="ar-SA"/>
        </w:rPr>
        <w:t> </w:t>
      </w:r>
      <w:r w:rsidRPr="00EA3F99">
        <w:rPr>
          <w:rFonts w:ascii="Times New Roman" w:eastAsia="MS Mincho" w:hAnsi="Times New Roman" w:cs="Times New Roman"/>
          <w:bCs/>
          <w:kern w:val="1"/>
          <w:sz w:val="24"/>
          <w:szCs w:val="24"/>
          <w:lang w:eastAsia="ar-SA"/>
        </w:rPr>
        <w:t>pod</w:t>
      </w:r>
      <w:r>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ktorí sú schopní posúdiť daňové</w:t>
      </w:r>
      <w:r>
        <w:rPr>
          <w:rFonts w:ascii="Times New Roman" w:eastAsia="MS Mincho" w:hAnsi="Times New Roman" w:cs="Times New Roman"/>
          <w:bCs/>
          <w:kern w:val="1"/>
          <w:sz w:val="24"/>
          <w:szCs w:val="24"/>
          <w:lang w:eastAsia="ar-SA"/>
        </w:rPr>
        <w:t xml:space="preserve"> ustanovenia právnych poriadkov</w:t>
      </w:r>
      <w:r w:rsidRPr="00EA3F99">
        <w:rPr>
          <w:rFonts w:ascii="Times New Roman" w:eastAsia="MS Mincho" w:hAnsi="Times New Roman" w:cs="Times New Roman"/>
          <w:bCs/>
          <w:kern w:val="1"/>
          <w:sz w:val="24"/>
          <w:szCs w:val="24"/>
          <w:lang w:eastAsia="ar-SA"/>
        </w:rPr>
        <w:t xml:space="preserve"> jednotlivých členských štátov a navrhnúť, ponúknuť, organizovať</w:t>
      </w:r>
      <w:r>
        <w:rPr>
          <w:rFonts w:ascii="Times New Roman" w:eastAsia="MS Mincho" w:hAnsi="Times New Roman" w:cs="Times New Roman"/>
          <w:bCs/>
          <w:kern w:val="1"/>
          <w:sz w:val="24"/>
          <w:szCs w:val="24"/>
          <w:lang w:eastAsia="ar-SA"/>
        </w:rPr>
        <w:t xml:space="preserve"> alebo</w:t>
      </w:r>
      <w:r w:rsidRPr="00EA3F99">
        <w:rPr>
          <w:rFonts w:ascii="Times New Roman" w:eastAsia="MS Mincho" w:hAnsi="Times New Roman" w:cs="Times New Roman"/>
          <w:bCs/>
          <w:kern w:val="1"/>
          <w:sz w:val="24"/>
          <w:szCs w:val="24"/>
          <w:lang w:eastAsia="ar-SA"/>
        </w:rPr>
        <w:t xml:space="preserve"> implementovať cezhraničné opatrenie</w:t>
      </w:r>
      <w:r>
        <w:rPr>
          <w:rFonts w:ascii="Times New Roman" w:eastAsia="MS Mincho" w:hAnsi="Times New Roman" w:cs="Times New Roman"/>
          <w:bCs/>
          <w:kern w:val="1"/>
          <w:sz w:val="24"/>
          <w:szCs w:val="24"/>
          <w:lang w:eastAsia="ar-SA"/>
        </w:rPr>
        <w:t xml:space="preserve">, ktoré pri splnení charakteristických znakov bude podliehať oznamovaniu. Avšak sprostredkovateľov nemožno presne v texte zákona zadefinovať, lebo sprostredkovateľom je každá fyzická osoba alebo subjekt, ktorý spĺňa definičné znaky sprostredkovateľa. Za určitých okolností to môžu byť napr. aj banky. Hoci banky nie sú oprávnené poskytovať daňové poradenstvo v zmysle zákona o daňových poradcoch, teda nie sú oprávnené vytvárať a ponúkať daňové schémy, avšak môžu podporovať daňové schémy cez poskytovanie bankových činností v podobe vytvárania zahraničných finančných účtov, ako aj v podobe poskytovania investičného poradenstva. Podstatnou otázkou je, či banka má alebo by mohla mať dostatočnú vedomosť o tom, že prostredníctvom finančnej služby poskytuje pomoc, podporu alebo poradenstvo </w:t>
      </w:r>
      <w:r w:rsidRPr="00E62B1A">
        <w:rPr>
          <w:rFonts w:ascii="Times New Roman" w:eastAsia="MS Mincho" w:hAnsi="Times New Roman" w:cs="Times New Roman"/>
          <w:bCs/>
          <w:kern w:val="1"/>
          <w:sz w:val="24"/>
          <w:szCs w:val="24"/>
          <w:lang w:eastAsia="ar-SA"/>
        </w:rPr>
        <w:t>v súvislosti s navrhovaním, ponúkaním na trh, organizovaním, sprístupňovaním na zavedenie alebo s riadením zavedenia oznamovaného opatrenia</w:t>
      </w:r>
      <w:r>
        <w:rPr>
          <w:rFonts w:ascii="Times New Roman" w:eastAsia="MS Mincho" w:hAnsi="Times New Roman" w:cs="Times New Roman"/>
          <w:bCs/>
          <w:kern w:val="1"/>
          <w:sz w:val="24"/>
          <w:szCs w:val="24"/>
          <w:lang w:eastAsia="ar-SA"/>
        </w:rPr>
        <w:t xml:space="preserve">. Ak finančná inštitúcia, napr. banka, nevie po zohľadnení odborných vedomostí, že je zapojená do oznamovaného opatrenia, v tom prípade nemôže byť považovaná za sprostredkovateľa a nemá povinnosť podať informácie o oznamovanom opatrení príslušnému orgánu SR. Vo všeobecnosti, finančné inštitúcie zhromažďujú a overujú širokú škálu informácií o svojich klientoch už aj v súčasnosti podľa zákona č. 359/2015 Z. z. a zákona č. 297/2008 Z. z.  Finančné inštitúcie by mali vedieť zvážiť opodstatnenosť charakteristických znakov uvedených v prílohe č. 1a ohľadne služieb, ktoré poskytujú. Osobitne, charakteristické znaky uvedené v bode II časti D v prílohe č. 1a, ktoré priamo súvisia s bankovými činnosťami. </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Písm. e)</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V rámci </w:t>
      </w:r>
      <w:r>
        <w:rPr>
          <w:rFonts w:ascii="Times New Roman" w:eastAsia="MS Mincho" w:hAnsi="Times New Roman" w:cs="Times New Roman"/>
          <w:bCs/>
          <w:kern w:val="1"/>
          <w:sz w:val="24"/>
          <w:szCs w:val="24"/>
          <w:lang w:eastAsia="ar-SA"/>
        </w:rPr>
        <w:t xml:space="preserve">oznamovaného opatrenia </w:t>
      </w:r>
      <w:r w:rsidRPr="00EA3F99">
        <w:rPr>
          <w:rFonts w:ascii="Times New Roman" w:eastAsia="MS Mincho" w:hAnsi="Times New Roman" w:cs="Times New Roman"/>
          <w:bCs/>
          <w:kern w:val="1"/>
          <w:sz w:val="24"/>
          <w:szCs w:val="24"/>
          <w:lang w:eastAsia="ar-SA"/>
        </w:rPr>
        <w:t xml:space="preserve">môže byť povinným subjektom aj </w:t>
      </w:r>
      <w:r>
        <w:rPr>
          <w:rFonts w:ascii="Times New Roman" w:eastAsia="MS Mincho" w:hAnsi="Times New Roman" w:cs="Times New Roman"/>
          <w:bCs/>
          <w:kern w:val="1"/>
          <w:sz w:val="24"/>
          <w:szCs w:val="24"/>
          <w:lang w:eastAsia="ar-SA"/>
        </w:rPr>
        <w:t xml:space="preserve">fyzická osoba alebo subjekt definovaný v písmene e) ako používateľ oznamovaného opatrenia. Používateľom oznamovaného opatrenia sa </w:t>
      </w:r>
      <w:r w:rsidRPr="00EA3F99">
        <w:rPr>
          <w:rFonts w:ascii="Times New Roman" w:eastAsia="MS Mincho" w:hAnsi="Times New Roman" w:cs="Times New Roman"/>
          <w:bCs/>
          <w:kern w:val="1"/>
          <w:sz w:val="24"/>
          <w:szCs w:val="24"/>
          <w:lang w:eastAsia="ar-SA"/>
        </w:rPr>
        <w:t xml:space="preserve">chápe </w:t>
      </w:r>
      <w:r w:rsidRPr="00EA3F99">
        <w:rPr>
          <w:rFonts w:ascii="Times New Roman" w:eastAsia="MS Mincho" w:hAnsi="Times New Roman" w:cs="Times New Roman"/>
          <w:kern w:val="1"/>
          <w:sz w:val="24"/>
          <w:szCs w:val="24"/>
          <w:lang w:eastAsia="ar-SA"/>
        </w:rPr>
        <w:t>fyzická osoba</w:t>
      </w:r>
      <w:r>
        <w:rPr>
          <w:rFonts w:ascii="Times New Roman" w:eastAsia="MS Mincho" w:hAnsi="Times New Roman" w:cs="Times New Roman"/>
          <w:kern w:val="1"/>
          <w:sz w:val="24"/>
          <w:szCs w:val="24"/>
          <w:lang w:eastAsia="ar-SA"/>
        </w:rPr>
        <w:t xml:space="preserve"> alebo subjekt</w:t>
      </w:r>
      <w:r w:rsidRPr="009411C3">
        <w:t xml:space="preserve"> </w:t>
      </w:r>
      <w:r w:rsidRPr="009411C3">
        <w:rPr>
          <w:rFonts w:ascii="Times New Roman" w:eastAsia="MS Mincho" w:hAnsi="Times New Roman" w:cs="Times New Roman"/>
          <w:kern w:val="1"/>
          <w:sz w:val="24"/>
          <w:szCs w:val="24"/>
          <w:lang w:eastAsia="ar-SA"/>
        </w:rPr>
        <w:t>podľa § 2 písm. l) zákona č. 442/2012 Z.</w:t>
      </w:r>
      <w:r>
        <w:rPr>
          <w:rFonts w:ascii="Times New Roman" w:eastAsia="MS Mincho" w:hAnsi="Times New Roman" w:cs="Times New Roman"/>
          <w:kern w:val="1"/>
          <w:sz w:val="24"/>
          <w:szCs w:val="24"/>
          <w:lang w:eastAsia="ar-SA"/>
        </w:rPr>
        <w:t xml:space="preserve"> </w:t>
      </w:r>
      <w:r w:rsidRPr="009411C3">
        <w:rPr>
          <w:rFonts w:ascii="Times New Roman" w:eastAsia="MS Mincho" w:hAnsi="Times New Roman" w:cs="Times New Roman"/>
          <w:kern w:val="1"/>
          <w:sz w:val="24"/>
          <w:szCs w:val="24"/>
          <w:lang w:eastAsia="ar-SA"/>
        </w:rPr>
        <w:t>z</w:t>
      </w:r>
      <w:r>
        <w:rPr>
          <w:rFonts w:ascii="Times New Roman" w:eastAsia="MS Mincho" w:hAnsi="Times New Roman" w:cs="Times New Roman"/>
          <w:kern w:val="1"/>
          <w:sz w:val="24"/>
          <w:szCs w:val="24"/>
          <w:lang w:eastAsia="ar-SA"/>
        </w:rPr>
        <w:t>.</w:t>
      </w:r>
      <w:r w:rsidRPr="00EA3F99">
        <w:rPr>
          <w:rFonts w:ascii="Times New Roman" w:eastAsia="MS Mincho" w:hAnsi="Times New Roman" w:cs="Times New Roman"/>
          <w:kern w:val="1"/>
          <w:sz w:val="24"/>
          <w:szCs w:val="24"/>
          <w:lang w:eastAsia="ar-SA"/>
        </w:rPr>
        <w:t xml:space="preserve"> </w:t>
      </w:r>
      <w:r>
        <w:rPr>
          <w:rFonts w:ascii="Times New Roman" w:eastAsia="MS Mincho" w:hAnsi="Times New Roman" w:cs="Times New Roman"/>
          <w:kern w:val="1"/>
          <w:sz w:val="24"/>
          <w:szCs w:val="24"/>
          <w:lang w:eastAsia="ar-SA"/>
        </w:rPr>
        <w:t>Používateľom sú osoby, ktorým je</w:t>
      </w:r>
      <w:r w:rsidRPr="00EA3F99">
        <w:rPr>
          <w:rFonts w:ascii="Times New Roman" w:eastAsia="MS Mincho" w:hAnsi="Times New Roman" w:cs="Times New Roman"/>
          <w:kern w:val="1"/>
          <w:sz w:val="24"/>
          <w:szCs w:val="24"/>
          <w:lang w:eastAsia="ar-SA"/>
        </w:rPr>
        <w:t xml:space="preserve"> </w:t>
      </w:r>
      <w:r>
        <w:rPr>
          <w:rFonts w:ascii="Times New Roman" w:eastAsia="MS Mincho" w:hAnsi="Times New Roman" w:cs="Times New Roman"/>
          <w:bCs/>
          <w:kern w:val="1"/>
          <w:sz w:val="24"/>
          <w:szCs w:val="24"/>
          <w:lang w:eastAsia="ar-SA"/>
        </w:rPr>
        <w:t>oznamované opatrenie sprístupnené na zavedenie</w:t>
      </w:r>
      <w:r w:rsidRPr="00EA3F99">
        <w:rPr>
          <w:rFonts w:ascii="Times New Roman" w:eastAsia="MS Mincho" w:hAnsi="Times New Roman" w:cs="Times New Roman"/>
          <w:bCs/>
          <w:kern w:val="1"/>
          <w:sz w:val="24"/>
          <w:szCs w:val="24"/>
          <w:lang w:eastAsia="ar-SA"/>
        </w:rPr>
        <w:t>, ktor</w:t>
      </w:r>
      <w:r>
        <w:rPr>
          <w:rFonts w:ascii="Times New Roman" w:eastAsia="MS Mincho" w:hAnsi="Times New Roman" w:cs="Times New Roman"/>
          <w:bCs/>
          <w:kern w:val="1"/>
          <w:sz w:val="24"/>
          <w:szCs w:val="24"/>
          <w:lang w:eastAsia="ar-SA"/>
        </w:rPr>
        <w:t>é sú pripravené zaviesť oznamovaného opatrenia,</w:t>
      </w:r>
      <w:r w:rsidRPr="00EA3F99">
        <w:rPr>
          <w:rFonts w:ascii="Times New Roman" w:eastAsia="MS Mincho" w:hAnsi="Times New Roman" w:cs="Times New Roman"/>
          <w:bCs/>
          <w:kern w:val="1"/>
          <w:sz w:val="24"/>
          <w:szCs w:val="24"/>
          <w:lang w:eastAsia="ar-SA"/>
        </w:rPr>
        <w:t xml:space="preserve"> alebo ktor</w:t>
      </w:r>
      <w:r>
        <w:rPr>
          <w:rFonts w:ascii="Times New Roman" w:eastAsia="MS Mincho" w:hAnsi="Times New Roman" w:cs="Times New Roman"/>
          <w:bCs/>
          <w:kern w:val="1"/>
          <w:sz w:val="24"/>
          <w:szCs w:val="24"/>
          <w:lang w:eastAsia="ar-SA"/>
        </w:rPr>
        <w:t>é</w:t>
      </w:r>
      <w:r w:rsidRPr="00EA3F99">
        <w:rPr>
          <w:rFonts w:ascii="Times New Roman" w:eastAsia="MS Mincho" w:hAnsi="Times New Roman" w:cs="Times New Roman"/>
          <w:bCs/>
          <w:kern w:val="1"/>
          <w:sz w:val="24"/>
          <w:szCs w:val="24"/>
          <w:lang w:eastAsia="ar-SA"/>
        </w:rPr>
        <w:t xml:space="preserve"> vykonal</w:t>
      </w:r>
      <w:r>
        <w:rPr>
          <w:rFonts w:ascii="Times New Roman" w:eastAsia="MS Mincho" w:hAnsi="Times New Roman" w:cs="Times New Roman"/>
          <w:bCs/>
          <w:kern w:val="1"/>
          <w:sz w:val="24"/>
          <w:szCs w:val="24"/>
          <w:lang w:eastAsia="ar-SA"/>
        </w:rPr>
        <w:t>i</w:t>
      </w:r>
      <w:r w:rsidRPr="00EA3F99">
        <w:rPr>
          <w:rFonts w:ascii="Times New Roman" w:eastAsia="MS Mincho" w:hAnsi="Times New Roman" w:cs="Times New Roman"/>
          <w:bCs/>
          <w:kern w:val="1"/>
          <w:sz w:val="24"/>
          <w:szCs w:val="24"/>
          <w:lang w:eastAsia="ar-SA"/>
        </w:rPr>
        <w:t xml:space="preserve"> prvý krok</w:t>
      </w:r>
      <w:r>
        <w:rPr>
          <w:rFonts w:ascii="Times New Roman" w:eastAsia="MS Mincho" w:hAnsi="Times New Roman" w:cs="Times New Roman"/>
          <w:bCs/>
          <w:kern w:val="1"/>
          <w:sz w:val="24"/>
          <w:szCs w:val="24"/>
          <w:lang w:eastAsia="ar-SA"/>
        </w:rPr>
        <w:t>/úkon</w:t>
      </w:r>
      <w:r w:rsidRPr="00EA3F99">
        <w:rPr>
          <w:rFonts w:ascii="Times New Roman" w:eastAsia="MS Mincho" w:hAnsi="Times New Roman" w:cs="Times New Roman"/>
          <w:bCs/>
          <w:kern w:val="1"/>
          <w:sz w:val="24"/>
          <w:szCs w:val="24"/>
          <w:lang w:eastAsia="ar-SA"/>
        </w:rPr>
        <w:t xml:space="preserve"> v súvislosti s týmto opatrením.</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Písm. f</w:t>
      </w:r>
      <w:r w:rsidRPr="00EA3F99">
        <w:rPr>
          <w:rFonts w:ascii="Times New Roman" w:eastAsia="MS Mincho" w:hAnsi="Times New Roman" w:cs="Times New Roman"/>
          <w:bCs/>
          <w:kern w:val="1"/>
          <w:sz w:val="24"/>
          <w:szCs w:val="24"/>
          <w:lang w:eastAsia="ar-SA"/>
        </w:rPr>
        <w:t>)</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Opatrenie ur</w:t>
      </w:r>
      <w:r>
        <w:rPr>
          <w:rFonts w:ascii="Times New Roman" w:eastAsia="MS Mincho" w:hAnsi="Times New Roman" w:cs="Times New Roman"/>
          <w:bCs/>
          <w:kern w:val="1"/>
          <w:sz w:val="24"/>
          <w:szCs w:val="24"/>
          <w:lang w:eastAsia="ar-SA"/>
        </w:rPr>
        <w:t>čené pre trh uvedené v písmene f</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je</w:t>
      </w:r>
      <w:r w:rsidRPr="00EA3F99">
        <w:rPr>
          <w:rFonts w:ascii="Times New Roman" w:eastAsia="MS Mincho" w:hAnsi="Times New Roman" w:cs="Times New Roman"/>
          <w:bCs/>
          <w:kern w:val="1"/>
          <w:sz w:val="24"/>
          <w:szCs w:val="24"/>
          <w:lang w:eastAsia="ar-SA"/>
        </w:rPr>
        <w:t xml:space="preserve"> opatrenie, ktoré je navrhnuté, ponúknuté alebo pripravené na </w:t>
      </w:r>
      <w:r>
        <w:rPr>
          <w:rFonts w:ascii="Times New Roman" w:eastAsia="MS Mincho" w:hAnsi="Times New Roman" w:cs="Times New Roman"/>
          <w:bCs/>
          <w:kern w:val="1"/>
          <w:sz w:val="24"/>
          <w:szCs w:val="24"/>
          <w:lang w:eastAsia="ar-SA"/>
        </w:rPr>
        <w:t>zavedenie používateľom oznamovaného opatrenia</w:t>
      </w:r>
      <w:r w:rsidRPr="00EA3F99">
        <w:rPr>
          <w:rFonts w:ascii="Times New Roman" w:eastAsia="MS Mincho" w:hAnsi="Times New Roman" w:cs="Times New Roman"/>
          <w:bCs/>
          <w:kern w:val="1"/>
          <w:sz w:val="24"/>
          <w:szCs w:val="24"/>
          <w:lang w:eastAsia="ar-SA"/>
        </w:rPr>
        <w:t xml:space="preserve"> bez podstatného prispôsobenia potrebám, požiadavkám </w:t>
      </w:r>
      <w:r>
        <w:rPr>
          <w:rFonts w:ascii="Times New Roman" w:eastAsia="MS Mincho" w:hAnsi="Times New Roman" w:cs="Times New Roman"/>
          <w:bCs/>
          <w:kern w:val="1"/>
          <w:sz w:val="24"/>
          <w:szCs w:val="24"/>
          <w:lang w:eastAsia="ar-SA"/>
        </w:rPr>
        <w:t>po</w:t>
      </w:r>
      <w:r w:rsidRPr="00EA3F99">
        <w:rPr>
          <w:rFonts w:ascii="Times New Roman" w:eastAsia="MS Mincho" w:hAnsi="Times New Roman" w:cs="Times New Roman"/>
          <w:bCs/>
          <w:kern w:val="1"/>
          <w:sz w:val="24"/>
          <w:szCs w:val="24"/>
          <w:lang w:eastAsia="ar-SA"/>
        </w:rPr>
        <w:t xml:space="preserve">užívateľa opatrenia. Takýmto opatrením sa však nerozumejú návrhy, informácie alebo odporúčania na vytvorenie </w:t>
      </w:r>
      <w:r>
        <w:rPr>
          <w:rFonts w:ascii="Times New Roman" w:eastAsia="MS Mincho" w:hAnsi="Times New Roman" w:cs="Times New Roman"/>
          <w:bCs/>
          <w:kern w:val="1"/>
          <w:sz w:val="24"/>
          <w:szCs w:val="24"/>
          <w:lang w:eastAsia="ar-SA"/>
        </w:rPr>
        <w:t>oznamovaných opatrení</w:t>
      </w:r>
      <w:r w:rsidRPr="00EA3F99">
        <w:rPr>
          <w:rFonts w:ascii="Times New Roman" w:eastAsia="MS Mincho" w:hAnsi="Times New Roman" w:cs="Times New Roman"/>
          <w:bCs/>
          <w:kern w:val="1"/>
          <w:sz w:val="24"/>
          <w:szCs w:val="24"/>
          <w:lang w:eastAsia="ar-SA"/>
        </w:rPr>
        <w:t xml:space="preserve">, ktoré sú uvedené vo všeobecnej rovine v knihe, na internetovej stránke a podobne, pretože jeho použitie </w:t>
      </w:r>
      <w:r>
        <w:rPr>
          <w:rFonts w:ascii="Times New Roman" w:eastAsia="MS Mincho" w:hAnsi="Times New Roman" w:cs="Times New Roman"/>
          <w:bCs/>
          <w:kern w:val="1"/>
          <w:sz w:val="24"/>
          <w:szCs w:val="24"/>
          <w:lang w:eastAsia="ar-SA"/>
        </w:rPr>
        <w:t>používateľom</w:t>
      </w:r>
      <w:r w:rsidRPr="00EA3F99">
        <w:rPr>
          <w:rFonts w:ascii="Times New Roman" w:eastAsia="MS Mincho" w:hAnsi="Times New Roman" w:cs="Times New Roman"/>
          <w:bCs/>
          <w:kern w:val="1"/>
          <w:sz w:val="24"/>
          <w:szCs w:val="24"/>
          <w:lang w:eastAsia="ar-SA"/>
        </w:rPr>
        <w:t xml:space="preserve"> je potenciálne a veľmi vzdialené od skutočného využitia </w:t>
      </w:r>
      <w:r>
        <w:rPr>
          <w:rFonts w:ascii="Times New Roman" w:eastAsia="MS Mincho" w:hAnsi="Times New Roman" w:cs="Times New Roman"/>
          <w:bCs/>
          <w:kern w:val="1"/>
          <w:sz w:val="24"/>
          <w:szCs w:val="24"/>
          <w:lang w:eastAsia="ar-SA"/>
        </w:rPr>
        <w:t>používateľom</w:t>
      </w:r>
      <w:r w:rsidRPr="00EA3F99">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lastRenderedPageBreak/>
        <w:t xml:space="preserve">To znamená, že ide o opatrenie, ktoré nie je vytvorené podľa požiadaviek, potrieb používateľa oznamovaného opatrenie,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nie je šité na mieru konkrétnemu používateľovi.</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Písm. g</w:t>
      </w:r>
      <w:r w:rsidRPr="00EA3F99">
        <w:rPr>
          <w:rFonts w:ascii="Times New Roman" w:eastAsia="MS Mincho" w:hAnsi="Times New Roman" w:cs="Times New Roman"/>
          <w:bCs/>
          <w:kern w:val="1"/>
          <w:sz w:val="24"/>
          <w:szCs w:val="24"/>
          <w:lang w:eastAsia="ar-SA"/>
        </w:rPr>
        <w:t>)</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Individualizované opatrenie je opatrenie vytvorené podľa požiadaviek, potrieb konkrétneho klienta,</w:t>
      </w:r>
      <w:r>
        <w:rPr>
          <w:rFonts w:ascii="Times New Roman" w:eastAsia="MS Mincho" w:hAnsi="Times New Roman" w:cs="Times New Roman"/>
          <w:bCs/>
          <w:kern w:val="1"/>
          <w:sz w:val="24"/>
          <w:szCs w:val="24"/>
          <w:lang w:eastAsia="ar-SA"/>
        </w:rPr>
        <w:t xml:space="preserve">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po</w:t>
      </w:r>
      <w:r w:rsidRPr="00EA3F99">
        <w:rPr>
          <w:rFonts w:ascii="Times New Roman" w:eastAsia="MS Mincho" w:hAnsi="Times New Roman" w:cs="Times New Roman"/>
          <w:bCs/>
          <w:kern w:val="1"/>
          <w:sz w:val="24"/>
          <w:szCs w:val="24"/>
          <w:lang w:eastAsia="ar-SA"/>
        </w:rPr>
        <w:t>užívateľa predmetného opatrenia</w:t>
      </w:r>
      <w:r>
        <w:rPr>
          <w:rFonts w:ascii="Times New Roman" w:eastAsia="MS Mincho" w:hAnsi="Times New Roman" w:cs="Times New Roman"/>
          <w:bCs/>
          <w:kern w:val="1"/>
          <w:sz w:val="24"/>
          <w:szCs w:val="24"/>
          <w:lang w:eastAsia="ar-SA"/>
        </w:rPr>
        <w:t xml:space="preserve"> a teda ,,je šité na mieru“ konkrétneho používateľa.</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§8b</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V odseku 1 je zadefinovaná osoba, ktorá je povinná plniť povinnosti v podobe podávania informácií o</w:t>
      </w:r>
      <w:r>
        <w:rPr>
          <w:rFonts w:ascii="Times New Roman" w:eastAsia="MS Mincho" w:hAnsi="Times New Roman" w:cs="Times New Roman"/>
          <w:kern w:val="1"/>
          <w:sz w:val="24"/>
          <w:szCs w:val="24"/>
          <w:lang w:eastAsia="ar-SA"/>
        </w:rPr>
        <w:t> </w:t>
      </w:r>
      <w:r>
        <w:rPr>
          <w:rFonts w:ascii="Times New Roman" w:eastAsia="MS Mincho" w:hAnsi="Times New Roman" w:cs="Times New Roman"/>
          <w:bCs/>
          <w:kern w:val="1"/>
          <w:sz w:val="24"/>
          <w:szCs w:val="24"/>
          <w:lang w:eastAsia="ar-SA"/>
        </w:rPr>
        <w:t>oznamovaných opatreniach</w:t>
      </w:r>
      <w:r w:rsidRPr="00EA3F99">
        <w:rPr>
          <w:rFonts w:ascii="Times New Roman" w:eastAsia="MS Mincho" w:hAnsi="Times New Roman" w:cs="Times New Roman"/>
          <w:bCs/>
          <w:kern w:val="1"/>
          <w:sz w:val="24"/>
          <w:szCs w:val="24"/>
          <w:lang w:eastAsia="ar-SA"/>
        </w:rPr>
        <w:t xml:space="preserve"> príslušnému orgánu Slovenskej republiky</w:t>
      </w:r>
      <w:r>
        <w:rPr>
          <w:rFonts w:ascii="Times New Roman" w:eastAsia="MS Mincho" w:hAnsi="Times New Roman" w:cs="Times New Roman"/>
          <w:bCs/>
          <w:kern w:val="1"/>
          <w:sz w:val="24"/>
          <w:szCs w:val="24"/>
          <w:lang w:eastAsia="ar-SA"/>
        </w:rPr>
        <w:t xml:space="preserve"> v zákonom stanovenej lehote</w:t>
      </w:r>
      <w:r w:rsidRPr="00EA3F99">
        <w:rPr>
          <w:rFonts w:ascii="Times New Roman" w:eastAsia="MS Mincho" w:hAnsi="Times New Roman" w:cs="Times New Roman"/>
          <w:bCs/>
          <w:kern w:val="1"/>
          <w:sz w:val="24"/>
          <w:szCs w:val="24"/>
          <w:lang w:eastAsia="ar-SA"/>
        </w:rPr>
        <w:t>. Pr</w:t>
      </w:r>
      <w:r>
        <w:rPr>
          <w:rFonts w:ascii="Times New Roman" w:eastAsia="MS Mincho" w:hAnsi="Times New Roman" w:cs="Times New Roman"/>
          <w:bCs/>
          <w:kern w:val="1"/>
          <w:sz w:val="24"/>
          <w:szCs w:val="24"/>
          <w:lang w:eastAsia="ar-SA"/>
        </w:rPr>
        <w:t>imárnym</w:t>
      </w:r>
      <w:r w:rsidRPr="00EA3F99">
        <w:rPr>
          <w:rFonts w:ascii="Times New Roman" w:eastAsia="MS Mincho" w:hAnsi="Times New Roman" w:cs="Times New Roman"/>
          <w:bCs/>
          <w:kern w:val="1"/>
          <w:sz w:val="24"/>
          <w:szCs w:val="24"/>
          <w:lang w:eastAsia="ar-SA"/>
        </w:rPr>
        <w:t xml:space="preserve"> povinným subjektom je osoba, ktorá predmetné opatrenie navrhla, ponúkla ho na trhu, organizovala ho, sprístupnila ho na implementáciu alebo riadila jeho implementáciu, alebo osoba, ktorá v súvislosti s týmito činnosťami poskytla pomoc, podporu alebo poradenstvo,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ide o osobu sprostredkovateľa. </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ab/>
      </w:r>
      <w:r w:rsidRPr="00EA3F99">
        <w:rPr>
          <w:rFonts w:ascii="Times New Roman" w:eastAsia="MS Mincho" w:hAnsi="Times New Roman" w:cs="Times New Roman"/>
          <w:bCs/>
          <w:kern w:val="1"/>
          <w:sz w:val="24"/>
          <w:szCs w:val="24"/>
          <w:lang w:eastAsia="ar-SA"/>
        </w:rPr>
        <w:t>Aby sprostredkovateľ bol povinnou osobou, musí ísť o sprostredkovateľa, ktorý nie je viazaný povinnosťou mlčanlivosti</w:t>
      </w:r>
      <w:r>
        <w:rPr>
          <w:rFonts w:ascii="Times New Roman" w:eastAsia="MS Mincho" w:hAnsi="Times New Roman" w:cs="Times New Roman"/>
          <w:bCs/>
          <w:kern w:val="1"/>
          <w:sz w:val="24"/>
          <w:szCs w:val="24"/>
          <w:lang w:eastAsia="ar-SA"/>
        </w:rPr>
        <w:t xml:space="preserve"> ohľadne oznamovaného opatrenia</w:t>
      </w:r>
      <w:r w:rsidRPr="00EA3F99">
        <w:rPr>
          <w:rFonts w:ascii="Times New Roman" w:eastAsia="MS Mincho" w:hAnsi="Times New Roman" w:cs="Times New Roman"/>
          <w:bCs/>
          <w:kern w:val="1"/>
          <w:sz w:val="24"/>
          <w:szCs w:val="24"/>
          <w:lang w:eastAsia="ar-SA"/>
        </w:rPr>
        <w:t>, ktorá vyplýva zo zákon</w:t>
      </w:r>
      <w:r>
        <w:rPr>
          <w:rFonts w:ascii="Times New Roman" w:eastAsia="MS Mincho" w:hAnsi="Times New Roman" w:cs="Times New Roman"/>
          <w:bCs/>
          <w:kern w:val="1"/>
          <w:sz w:val="24"/>
          <w:szCs w:val="24"/>
          <w:lang w:eastAsia="ar-SA"/>
        </w:rPr>
        <w:t>a upravujúceho jeho povolanie (napr. zákon č. 78/1992 Zb.</w:t>
      </w:r>
      <w:r w:rsidRPr="00895312">
        <w:t xml:space="preserve"> </w:t>
      </w:r>
      <w:r w:rsidRPr="00895312">
        <w:rPr>
          <w:rFonts w:ascii="Times New Roman" w:eastAsia="MS Mincho" w:hAnsi="Times New Roman" w:cs="Times New Roman"/>
          <w:bCs/>
          <w:kern w:val="1"/>
          <w:sz w:val="24"/>
          <w:szCs w:val="24"/>
          <w:lang w:eastAsia="ar-SA"/>
        </w:rPr>
        <w:t>o daňových poradcoch a Slovenskej komore daňových poradcov</w:t>
      </w:r>
      <w:r>
        <w:rPr>
          <w:rFonts w:ascii="Times New Roman" w:eastAsia="MS Mincho" w:hAnsi="Times New Roman" w:cs="Times New Roman"/>
          <w:bCs/>
          <w:kern w:val="1"/>
          <w:sz w:val="24"/>
          <w:szCs w:val="24"/>
          <w:lang w:eastAsia="ar-SA"/>
        </w:rPr>
        <w:t xml:space="preserve">, zákon č. 586/2003 </w:t>
      </w:r>
      <w:proofErr w:type="spellStart"/>
      <w:r>
        <w:rPr>
          <w:rFonts w:ascii="Times New Roman" w:eastAsia="MS Mincho" w:hAnsi="Times New Roman" w:cs="Times New Roman"/>
          <w:bCs/>
          <w:kern w:val="1"/>
          <w:sz w:val="24"/>
          <w:szCs w:val="24"/>
          <w:lang w:eastAsia="ar-SA"/>
        </w:rPr>
        <w:t>Z.z</w:t>
      </w:r>
      <w:proofErr w:type="spellEnd"/>
      <w:r>
        <w:rPr>
          <w:rFonts w:ascii="Times New Roman" w:eastAsia="MS Mincho" w:hAnsi="Times New Roman" w:cs="Times New Roman"/>
          <w:bCs/>
          <w:kern w:val="1"/>
          <w:sz w:val="24"/>
          <w:szCs w:val="24"/>
          <w:lang w:eastAsia="ar-SA"/>
        </w:rPr>
        <w:t xml:space="preserve">. o advokácii </w:t>
      </w:r>
      <w:r w:rsidRPr="00895312">
        <w:rPr>
          <w:rFonts w:ascii="Times New Roman" w:eastAsia="MS Mincho" w:hAnsi="Times New Roman" w:cs="Times New Roman"/>
          <w:bCs/>
          <w:kern w:val="1"/>
          <w:sz w:val="24"/>
          <w:szCs w:val="24"/>
          <w:lang w:eastAsia="ar-SA"/>
        </w:rPr>
        <w:t xml:space="preserve">a o zmene a doplnení zákona č. 455/1991 Zb. o živnostenskom podnikaní (živnostenský zákon) v znení neskorších predpisov </w:t>
      </w:r>
      <w:r>
        <w:rPr>
          <w:rFonts w:ascii="Times New Roman" w:eastAsia="MS Mincho" w:hAnsi="Times New Roman" w:cs="Times New Roman"/>
          <w:bCs/>
          <w:kern w:val="1"/>
          <w:sz w:val="24"/>
          <w:szCs w:val="24"/>
          <w:lang w:eastAsia="ar-SA"/>
        </w:rPr>
        <w:t>a pod.) alebo sa naňho nevzťahuje obdobná povinnosť mlčanlivosti vyplývajúca z právneho poriadku iného členského štátu.</w:t>
      </w:r>
      <w:r w:rsidRPr="00EA3F99">
        <w:rPr>
          <w:rFonts w:ascii="Times New Roman" w:eastAsia="MS Mincho" w:hAnsi="Times New Roman" w:cs="Times New Roman"/>
          <w:bCs/>
          <w:kern w:val="1"/>
          <w:sz w:val="24"/>
          <w:szCs w:val="24"/>
          <w:lang w:eastAsia="ar-SA"/>
        </w:rPr>
        <w:t xml:space="preserve"> Ak sprostredkovateľ má povinnosť zachovávať mlčanlivosť, avšak táto povinnosť mu vyplýva zo zmluvy uzavretej s kli</w:t>
      </w:r>
      <w:r>
        <w:rPr>
          <w:rFonts w:ascii="Times New Roman" w:eastAsia="MS Mincho" w:hAnsi="Times New Roman" w:cs="Times New Roman"/>
          <w:bCs/>
          <w:kern w:val="1"/>
          <w:sz w:val="24"/>
          <w:szCs w:val="24"/>
          <w:lang w:eastAsia="ar-SA"/>
        </w:rPr>
        <w:t>entom, táto zmluvná povinnosť</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ho </w:t>
      </w:r>
      <w:r w:rsidRPr="00EA3F99">
        <w:rPr>
          <w:rFonts w:ascii="Times New Roman" w:eastAsia="MS Mincho" w:hAnsi="Times New Roman" w:cs="Times New Roman"/>
          <w:bCs/>
          <w:kern w:val="1"/>
          <w:sz w:val="24"/>
          <w:szCs w:val="24"/>
          <w:lang w:eastAsia="ar-SA"/>
        </w:rPr>
        <w:t>nezbavuje povinnosti podať príslušnému orgánu zákonom požadované informácie a je naďalej povinnou osobou.</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Ak je sprostredkovateľ viazaný zákonnou povinnosťou mlčanlivosti</w:t>
      </w:r>
      <w:r>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a aj všetci sprostredkovatelia, ktorí sú zapojení do </w:t>
      </w:r>
      <w:r>
        <w:rPr>
          <w:rFonts w:ascii="Times New Roman" w:eastAsia="MS Mincho" w:hAnsi="Times New Roman" w:cs="Times New Roman"/>
          <w:bCs/>
          <w:kern w:val="1"/>
          <w:sz w:val="24"/>
          <w:szCs w:val="24"/>
          <w:lang w:eastAsia="ar-SA"/>
        </w:rPr>
        <w:t>oznamovaného opatrenia</w:t>
      </w:r>
      <w:r w:rsidRPr="00EA3F99">
        <w:rPr>
          <w:rFonts w:ascii="Times New Roman" w:eastAsia="MS Mincho" w:hAnsi="Times New Roman" w:cs="Times New Roman"/>
          <w:bCs/>
          <w:kern w:val="1"/>
          <w:sz w:val="24"/>
          <w:szCs w:val="24"/>
          <w:lang w:eastAsia="ar-SA"/>
        </w:rPr>
        <w:t>, sú viazaní zákonnou povinnosťou mlčanlivosti</w:t>
      </w:r>
      <w:r>
        <w:rPr>
          <w:rFonts w:ascii="Times New Roman" w:eastAsia="MS Mincho" w:hAnsi="Times New Roman" w:cs="Times New Roman"/>
          <w:bCs/>
          <w:kern w:val="1"/>
          <w:sz w:val="24"/>
          <w:szCs w:val="24"/>
          <w:lang w:eastAsia="ar-SA"/>
        </w:rPr>
        <w:t xml:space="preserve"> ohľadom konkrétneho oznamovaného opatrenia, ktoré ponúkol, navrhol a pod. používateľovi (svojmu klientovi)</w:t>
      </w:r>
      <w:r w:rsidRPr="00EA3F99">
        <w:rPr>
          <w:rFonts w:ascii="Times New Roman" w:eastAsia="MS Mincho" w:hAnsi="Times New Roman" w:cs="Times New Roman"/>
          <w:bCs/>
          <w:kern w:val="1"/>
          <w:sz w:val="24"/>
          <w:szCs w:val="24"/>
          <w:lang w:eastAsia="ar-SA"/>
        </w:rPr>
        <w:t xml:space="preserve">, tak sa povinnou osobou namiesto sprostredkovateľa stáva </w:t>
      </w:r>
      <w:r>
        <w:rPr>
          <w:rFonts w:ascii="Times New Roman" w:eastAsia="MS Mincho" w:hAnsi="Times New Roman" w:cs="Times New Roman"/>
          <w:bCs/>
          <w:kern w:val="1"/>
          <w:sz w:val="24"/>
          <w:szCs w:val="24"/>
          <w:lang w:eastAsia="ar-SA"/>
        </w:rPr>
        <w:t>používateľ oznamovaného opatrenia</w:t>
      </w:r>
      <w:r w:rsidRPr="00EA3F99">
        <w:rPr>
          <w:rFonts w:ascii="Times New Roman" w:eastAsia="MS Mincho" w:hAnsi="Times New Roman" w:cs="Times New Roman"/>
          <w:bCs/>
          <w:kern w:val="1"/>
          <w:sz w:val="24"/>
          <w:szCs w:val="24"/>
          <w:lang w:eastAsia="ar-SA"/>
        </w:rPr>
        <w:t>, na ktorého sa týmto presúva povinnosť podať príslušnému orgánu informácie o</w:t>
      </w:r>
      <w:r>
        <w:rPr>
          <w:rFonts w:ascii="Times New Roman" w:eastAsia="MS Mincho" w:hAnsi="Times New Roman" w:cs="Times New Roman"/>
          <w:bCs/>
          <w:kern w:val="1"/>
          <w:sz w:val="24"/>
          <w:szCs w:val="24"/>
          <w:lang w:eastAsia="ar-SA"/>
        </w:rPr>
        <w:t> oznamovanom opatrení</w:t>
      </w:r>
      <w:r w:rsidRPr="00EA3F99">
        <w:rPr>
          <w:rFonts w:ascii="Times New Roman" w:eastAsia="MS Mincho" w:hAnsi="Times New Roman" w:cs="Times New Roman"/>
          <w:bCs/>
          <w:kern w:val="1"/>
          <w:sz w:val="24"/>
          <w:szCs w:val="24"/>
          <w:lang w:eastAsia="ar-SA"/>
        </w:rPr>
        <w:t xml:space="preserve">. </w:t>
      </w:r>
    </w:p>
    <w:p w:rsidR="0033092E" w:rsidRPr="00EA3F99"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sa stane povinnou osobou aj v prípade, že si </w:t>
      </w:r>
      <w:r>
        <w:rPr>
          <w:rFonts w:ascii="Times New Roman" w:eastAsia="MS Mincho" w:hAnsi="Times New Roman" w:cs="Times New Roman"/>
          <w:bCs/>
          <w:kern w:val="1"/>
          <w:sz w:val="24"/>
          <w:szCs w:val="24"/>
          <w:lang w:eastAsia="ar-SA"/>
        </w:rPr>
        <w:t>oznamované opatrenie</w:t>
      </w:r>
      <w:r w:rsidRPr="00EA3F99">
        <w:rPr>
          <w:rFonts w:ascii="Times New Roman" w:eastAsia="MS Mincho" w:hAnsi="Times New Roman" w:cs="Times New Roman"/>
          <w:bCs/>
          <w:kern w:val="1"/>
          <w:sz w:val="24"/>
          <w:szCs w:val="24"/>
          <w:lang w:eastAsia="ar-SA"/>
        </w:rPr>
        <w:t xml:space="preserve"> navrhuje sám, bez využitia služieb sprostredkovateľa, tzv. ,,in-</w:t>
      </w:r>
      <w:proofErr w:type="spellStart"/>
      <w:r w:rsidRPr="00EA3F99">
        <w:rPr>
          <w:rFonts w:ascii="Times New Roman" w:eastAsia="MS Mincho" w:hAnsi="Times New Roman" w:cs="Times New Roman"/>
          <w:bCs/>
          <w:kern w:val="1"/>
          <w:sz w:val="24"/>
          <w:szCs w:val="24"/>
          <w:lang w:eastAsia="ar-SA"/>
        </w:rPr>
        <w:t>house</w:t>
      </w:r>
      <w:proofErr w:type="spellEnd"/>
      <w:r w:rsidRPr="00EA3F99">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čo je upravené v písmene b) § 8b ods. 3</w:t>
      </w:r>
      <w:r w:rsidRPr="00EA3F99">
        <w:rPr>
          <w:rFonts w:ascii="Times New Roman" w:eastAsia="MS Mincho" w:hAnsi="Times New Roman" w:cs="Times New Roman"/>
          <w:bCs/>
          <w:kern w:val="1"/>
          <w:sz w:val="24"/>
          <w:szCs w:val="24"/>
          <w:lang w:eastAsia="ar-SA"/>
        </w:rPr>
        <w:t xml:space="preserve">. Pri </w:t>
      </w:r>
      <w:r>
        <w:rPr>
          <w:rFonts w:ascii="Times New Roman" w:eastAsia="MS Mincho" w:hAnsi="Times New Roman" w:cs="Times New Roman"/>
          <w:bCs/>
          <w:kern w:val="1"/>
          <w:sz w:val="24"/>
          <w:szCs w:val="24"/>
          <w:lang w:eastAsia="ar-SA"/>
        </w:rPr>
        <w:t>navrhovaní ,,in-</w:t>
      </w:r>
      <w:proofErr w:type="spellStart"/>
      <w:r>
        <w:rPr>
          <w:rFonts w:ascii="Times New Roman" w:eastAsia="MS Mincho" w:hAnsi="Times New Roman" w:cs="Times New Roman"/>
          <w:bCs/>
          <w:kern w:val="1"/>
          <w:sz w:val="24"/>
          <w:szCs w:val="24"/>
          <w:lang w:eastAsia="ar-SA"/>
        </w:rPr>
        <w:t>house</w:t>
      </w:r>
      <w:proofErr w:type="spellEnd"/>
      <w:r>
        <w:rPr>
          <w:rFonts w:ascii="Times New Roman" w:eastAsia="MS Mincho" w:hAnsi="Times New Roman" w:cs="Times New Roman"/>
          <w:bCs/>
          <w:kern w:val="1"/>
          <w:sz w:val="24"/>
          <w:szCs w:val="24"/>
          <w:lang w:eastAsia="ar-SA"/>
        </w:rPr>
        <w:t>“ opatrení</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môže využiť svojich právnikov, účtovníkov, daňových expertov, ktorí sú jeho zamestnancami a aj v tomto prípade je povinnou osobou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zamestnávajúci týchto ľudí. Ak si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zmluvne objedná </w:t>
      </w:r>
      <w:r>
        <w:rPr>
          <w:rFonts w:ascii="Times New Roman" w:eastAsia="MS Mincho" w:hAnsi="Times New Roman" w:cs="Times New Roman"/>
          <w:bCs/>
          <w:kern w:val="1"/>
          <w:sz w:val="24"/>
          <w:szCs w:val="24"/>
          <w:lang w:eastAsia="ar-SA"/>
        </w:rPr>
        <w:t xml:space="preserve">externého </w:t>
      </w:r>
      <w:r w:rsidRPr="00EA3F99">
        <w:rPr>
          <w:rFonts w:ascii="Times New Roman" w:eastAsia="MS Mincho" w:hAnsi="Times New Roman" w:cs="Times New Roman"/>
          <w:bCs/>
          <w:kern w:val="1"/>
          <w:sz w:val="24"/>
          <w:szCs w:val="24"/>
          <w:lang w:eastAsia="ar-SA"/>
        </w:rPr>
        <w:t xml:space="preserve">sprostredkovateľa – napr. </w:t>
      </w:r>
      <w:r>
        <w:rPr>
          <w:rFonts w:ascii="Times New Roman" w:eastAsia="MS Mincho" w:hAnsi="Times New Roman" w:cs="Times New Roman"/>
          <w:bCs/>
          <w:kern w:val="1"/>
          <w:sz w:val="24"/>
          <w:szCs w:val="24"/>
          <w:lang w:eastAsia="ar-SA"/>
        </w:rPr>
        <w:t xml:space="preserve">externých </w:t>
      </w:r>
      <w:r w:rsidRPr="00EA3F99">
        <w:rPr>
          <w:rFonts w:ascii="Times New Roman" w:eastAsia="MS Mincho" w:hAnsi="Times New Roman" w:cs="Times New Roman"/>
          <w:bCs/>
          <w:kern w:val="1"/>
          <w:sz w:val="24"/>
          <w:szCs w:val="24"/>
          <w:lang w:eastAsia="ar-SA"/>
        </w:rPr>
        <w:t>právnikov</w:t>
      </w:r>
      <w:r>
        <w:rPr>
          <w:rFonts w:ascii="Times New Roman" w:eastAsia="MS Mincho" w:hAnsi="Times New Roman" w:cs="Times New Roman"/>
          <w:bCs/>
          <w:kern w:val="1"/>
          <w:sz w:val="24"/>
          <w:szCs w:val="24"/>
          <w:lang w:eastAsia="ar-SA"/>
        </w:rPr>
        <w:t>, advokátsku kanceláriu,</w:t>
      </w:r>
      <w:r w:rsidRPr="00EA3F99">
        <w:rPr>
          <w:rFonts w:ascii="Times New Roman" w:eastAsia="MS Mincho" w:hAnsi="Times New Roman" w:cs="Times New Roman"/>
          <w:bCs/>
          <w:kern w:val="1"/>
          <w:sz w:val="24"/>
          <w:szCs w:val="24"/>
          <w:lang w:eastAsia="ar-SA"/>
        </w:rPr>
        <w:t xml:space="preserve"> daňových poradcov a pod.</w:t>
      </w:r>
      <w:r>
        <w:rPr>
          <w:rFonts w:ascii="Times New Roman" w:eastAsia="MS Mincho" w:hAnsi="Times New Roman" w:cs="Times New Roman"/>
          <w:bCs/>
          <w:kern w:val="1"/>
          <w:sz w:val="24"/>
          <w:szCs w:val="24"/>
          <w:lang w:eastAsia="ar-SA"/>
        </w:rPr>
        <w:t xml:space="preserve">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nebudú to jeho zamestnanci)</w:t>
      </w:r>
      <w:r w:rsidRPr="00EA3F99">
        <w:rPr>
          <w:rFonts w:ascii="Times New Roman" w:eastAsia="MS Mincho" w:hAnsi="Times New Roman" w:cs="Times New Roman"/>
          <w:bCs/>
          <w:kern w:val="1"/>
          <w:sz w:val="24"/>
          <w:szCs w:val="24"/>
          <w:lang w:eastAsia="ar-SA"/>
        </w:rPr>
        <w:t xml:space="preserve">, v tomto prípade bude povinnou osobou sprostredkovateľ, keďže on cezhraničné opatrenie navrhuje, ponúka, prípadne implementuje a pod. a v tomto prípade pôjde o individualizované opatrenie. </w:t>
      </w:r>
      <w:r>
        <w:rPr>
          <w:rFonts w:ascii="Times New Roman" w:eastAsia="MS Mincho" w:hAnsi="Times New Roman" w:cs="Times New Roman"/>
          <w:bCs/>
          <w:kern w:val="1"/>
          <w:sz w:val="24"/>
          <w:szCs w:val="24"/>
          <w:lang w:eastAsia="ar-SA"/>
        </w:rPr>
        <w:t>Zo samotného používateľa sa</w:t>
      </w:r>
      <w:r w:rsidRPr="00EA3F99">
        <w:rPr>
          <w:rFonts w:ascii="Times New Roman" w:eastAsia="MS Mincho" w:hAnsi="Times New Roman" w:cs="Times New Roman"/>
          <w:bCs/>
          <w:kern w:val="1"/>
          <w:sz w:val="24"/>
          <w:szCs w:val="24"/>
          <w:lang w:eastAsia="ar-SA"/>
        </w:rPr>
        <w:t xml:space="preserve"> stáva povinná osoba</w:t>
      </w:r>
      <w:r>
        <w:rPr>
          <w:rFonts w:ascii="Times New Roman" w:eastAsia="MS Mincho" w:hAnsi="Times New Roman" w:cs="Times New Roman"/>
          <w:bCs/>
          <w:kern w:val="1"/>
          <w:sz w:val="24"/>
          <w:szCs w:val="24"/>
          <w:lang w:eastAsia="ar-SA"/>
        </w:rPr>
        <w:t xml:space="preserve"> aj v prípade, že je</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oznamované opatrenie</w:t>
      </w:r>
      <w:r w:rsidRPr="00EA3F99">
        <w:rPr>
          <w:rFonts w:ascii="Times New Roman" w:eastAsia="MS Mincho" w:hAnsi="Times New Roman" w:cs="Times New Roman"/>
          <w:bCs/>
          <w:kern w:val="1"/>
          <w:sz w:val="24"/>
          <w:szCs w:val="24"/>
          <w:lang w:eastAsia="ar-SA"/>
        </w:rPr>
        <w:t xml:space="preserve"> síce poskytnuté sprostredkovateľom priamo </w:t>
      </w:r>
      <w:r>
        <w:rPr>
          <w:rFonts w:ascii="Times New Roman" w:eastAsia="MS Mincho" w:hAnsi="Times New Roman" w:cs="Times New Roman"/>
          <w:bCs/>
          <w:kern w:val="1"/>
          <w:sz w:val="24"/>
          <w:szCs w:val="24"/>
          <w:lang w:eastAsia="ar-SA"/>
        </w:rPr>
        <w:t>používateľovi</w:t>
      </w:r>
      <w:r w:rsidRPr="00EA3F99">
        <w:rPr>
          <w:rFonts w:ascii="Times New Roman" w:eastAsia="MS Mincho" w:hAnsi="Times New Roman" w:cs="Times New Roman"/>
          <w:bCs/>
          <w:kern w:val="1"/>
          <w:sz w:val="24"/>
          <w:szCs w:val="24"/>
          <w:lang w:eastAsia="ar-SA"/>
        </w:rPr>
        <w:t>, avšak tento sprostredkovateľ</w:t>
      </w:r>
      <w:r>
        <w:rPr>
          <w:rFonts w:ascii="Times New Roman" w:eastAsia="MS Mincho" w:hAnsi="Times New Roman" w:cs="Times New Roman"/>
          <w:bCs/>
          <w:kern w:val="1"/>
          <w:sz w:val="24"/>
          <w:szCs w:val="24"/>
          <w:lang w:eastAsia="ar-SA"/>
        </w:rPr>
        <w:t xml:space="preserve"> nie</w:t>
      </w:r>
      <w:r w:rsidRPr="00EA3F99">
        <w:rPr>
          <w:rFonts w:ascii="Times New Roman" w:eastAsia="MS Mincho" w:hAnsi="Times New Roman" w:cs="Times New Roman"/>
          <w:bCs/>
          <w:kern w:val="1"/>
          <w:sz w:val="24"/>
          <w:szCs w:val="24"/>
          <w:lang w:eastAsia="ar-SA"/>
        </w:rPr>
        <w:t xml:space="preserve"> je sprostredkovateľo</w:t>
      </w:r>
      <w:r>
        <w:rPr>
          <w:rFonts w:ascii="Times New Roman" w:eastAsia="MS Mincho" w:hAnsi="Times New Roman" w:cs="Times New Roman"/>
          <w:bCs/>
          <w:kern w:val="1"/>
          <w:sz w:val="24"/>
          <w:szCs w:val="24"/>
          <w:lang w:eastAsia="ar-SA"/>
        </w:rPr>
        <w:t>m z členského štátu EÚ a teda nespĺňa definíciu sprostredkovateľa podľa § 8a písm. d)</w:t>
      </w:r>
      <w:r w:rsidRPr="00EA3F99">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§8c</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lastRenderedPageBreak/>
        <w:t>Ods. 1</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Odsek 1 upravuje základnú povinnosť povinných osôb,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sprostredkovateľa alebo používateľa, ktorou je povinnosť podať zákonom požadované informácie príslušnému orgánu Slovenskej republiky v lehote stanovenej v zákone.</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Ods. 2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Odsek 2</w:t>
      </w:r>
      <w:r w:rsidRPr="00EA3F99">
        <w:rPr>
          <w:rFonts w:ascii="Times New Roman" w:eastAsia="MS Mincho" w:hAnsi="Times New Roman" w:cs="Times New Roman"/>
          <w:bCs/>
          <w:kern w:val="1"/>
          <w:sz w:val="24"/>
          <w:szCs w:val="24"/>
          <w:lang w:eastAsia="ar-SA"/>
        </w:rPr>
        <w:t xml:space="preserve"> ustanovuje, kedy je sprostredkovateľ povinný podať informácie o cezhraničných opatreniach príslušnému org</w:t>
      </w:r>
      <w:r>
        <w:rPr>
          <w:rFonts w:ascii="Times New Roman" w:eastAsia="MS Mincho" w:hAnsi="Times New Roman" w:cs="Times New Roman"/>
          <w:bCs/>
          <w:kern w:val="1"/>
          <w:sz w:val="24"/>
          <w:szCs w:val="24"/>
          <w:lang w:eastAsia="ar-SA"/>
        </w:rPr>
        <w:t xml:space="preserve">ánu Slovenskej republiky.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Ak sprostredkovateľ pôsobí</w:t>
      </w:r>
      <w:r w:rsidRPr="00EA3F99">
        <w:rPr>
          <w:rFonts w:ascii="Times New Roman" w:eastAsia="MS Mincho" w:hAnsi="Times New Roman" w:cs="Times New Roman"/>
          <w:bCs/>
          <w:kern w:val="1"/>
          <w:sz w:val="24"/>
          <w:szCs w:val="24"/>
          <w:lang w:eastAsia="ar-SA"/>
        </w:rPr>
        <w:t xml:space="preserve"> vo viac</w:t>
      </w:r>
      <w:r>
        <w:rPr>
          <w:rFonts w:ascii="Times New Roman" w:eastAsia="MS Mincho" w:hAnsi="Times New Roman" w:cs="Times New Roman"/>
          <w:bCs/>
          <w:kern w:val="1"/>
          <w:sz w:val="24"/>
          <w:szCs w:val="24"/>
          <w:lang w:eastAsia="ar-SA"/>
        </w:rPr>
        <w:t>erých členských štátoch a je</w:t>
      </w:r>
      <w:r w:rsidRPr="00EA3F99">
        <w:rPr>
          <w:rFonts w:ascii="Times New Roman" w:eastAsia="MS Mincho" w:hAnsi="Times New Roman" w:cs="Times New Roman"/>
          <w:bCs/>
          <w:kern w:val="1"/>
          <w:sz w:val="24"/>
          <w:szCs w:val="24"/>
          <w:lang w:eastAsia="ar-SA"/>
        </w:rPr>
        <w:t xml:space="preserve"> povinný podať informácie o cezhraničných opatreniach príslušným orgánom z viacerých </w:t>
      </w:r>
      <w:r>
        <w:rPr>
          <w:rFonts w:ascii="Times New Roman" w:eastAsia="MS Mincho" w:hAnsi="Times New Roman" w:cs="Times New Roman"/>
          <w:bCs/>
          <w:kern w:val="1"/>
          <w:sz w:val="24"/>
          <w:szCs w:val="24"/>
          <w:lang w:eastAsia="ar-SA"/>
        </w:rPr>
        <w:t xml:space="preserve">členských </w:t>
      </w:r>
      <w:r w:rsidRPr="00EA3F99">
        <w:rPr>
          <w:rFonts w:ascii="Times New Roman" w:eastAsia="MS Mincho" w:hAnsi="Times New Roman" w:cs="Times New Roman"/>
          <w:bCs/>
          <w:kern w:val="1"/>
          <w:sz w:val="24"/>
          <w:szCs w:val="24"/>
          <w:lang w:eastAsia="ar-SA"/>
        </w:rPr>
        <w:t>štátov, príslušnému orgánu Slovenskej republiky bude pov</w:t>
      </w:r>
      <w:r>
        <w:rPr>
          <w:rFonts w:ascii="Times New Roman" w:eastAsia="MS Mincho" w:hAnsi="Times New Roman" w:cs="Times New Roman"/>
          <w:bCs/>
          <w:kern w:val="1"/>
          <w:sz w:val="24"/>
          <w:szCs w:val="24"/>
          <w:lang w:eastAsia="ar-SA"/>
        </w:rPr>
        <w:t>inný podať predmetné informácie, ak má sprostredkovateľ na území Slovenskej republiky rezidenciu, stálu prevádzkareň, je v Slovenskej republike zriadený alebo založený, riadi sa jeho právnym poriadkom a je zaregistrovaný v profesijnej organizácii pre právne, daňové alebo poradenské služby v Slovenskej republike.</w:t>
      </w:r>
      <w:r w:rsidRPr="00FB3FF0">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Smernica a teda aj zákon zavádza mechanizmus ako určiť, v ktorom štáte sprostredkovateľ podá informácie. Príslušnému orgánu Slovenskej republiky sprostredkovateľ podá informácie podľa kritérií určených v predmetnom ustanovení.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Sprostredkovateľ podá informácie príslušnému orgánu Slovenskej republiky, ak je sprostredkovateľ rezidentom na daňové účely v Slovenskej republike. Môže sa stať, že sprostredkovateľ bude mať daňovú rezidenciu aj v inom členskom štáte ako v Slovenskej republike, a potom je potrebné, aby podal informáciu o oznamovanom opatrení v jednom z členských štátov, kde má rezidenciu a druhému štátu, kde má sprostredkovateľ rezidenciu, predloží vyhlásenie, že tie isté informácie predložil už príslušnému orgánu iného členského štátu,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xml:space="preserve">. bude postupovať podľa § 8c ods. 4. </w:t>
      </w:r>
      <w:r w:rsidRPr="00C13D3A">
        <w:rPr>
          <w:rFonts w:ascii="Times New Roman" w:eastAsia="MS Mincho" w:hAnsi="Times New Roman" w:cs="Times New Roman"/>
          <w:bCs/>
          <w:kern w:val="1"/>
          <w:sz w:val="24"/>
          <w:szCs w:val="24"/>
          <w:lang w:eastAsia="ar-SA"/>
        </w:rPr>
        <w:t>Ak sprostredkovateľ nemá na území Slovenskej republiky rezidenciu na daňové účely a nemá ju ani v žiadnom inom členskom štáte, informácie sprostredkovateľ podá príslušnému orgánu Slovenskej republiky, ak má na území Slovenskej republiky stálu prevádzkareň, prostredníctvom ktorej poskytuje služby v súvislosti s oznamovaným opatrením</w:t>
      </w:r>
      <w:r>
        <w:rPr>
          <w:rFonts w:ascii="Times New Roman" w:eastAsia="MS Mincho" w:hAnsi="Times New Roman" w:cs="Times New Roman"/>
          <w:bCs/>
          <w:kern w:val="1"/>
          <w:sz w:val="24"/>
          <w:szCs w:val="24"/>
          <w:lang w:eastAsia="ar-SA"/>
        </w:rPr>
        <w:t xml:space="preserve">. </w:t>
      </w:r>
      <w:r w:rsidRPr="00FB3FF0">
        <w:rPr>
          <w:rFonts w:ascii="Times New Roman" w:eastAsia="MS Mincho" w:hAnsi="Times New Roman" w:cs="Times New Roman"/>
          <w:bCs/>
          <w:kern w:val="1"/>
          <w:sz w:val="24"/>
          <w:szCs w:val="24"/>
          <w:lang w:eastAsia="ar-SA"/>
        </w:rPr>
        <w:t>Analogicky</w:t>
      </w:r>
      <w:r>
        <w:rPr>
          <w:rFonts w:ascii="Times New Roman" w:eastAsia="MS Mincho" w:hAnsi="Times New Roman" w:cs="Times New Roman"/>
          <w:bCs/>
          <w:kern w:val="1"/>
          <w:sz w:val="24"/>
          <w:szCs w:val="24"/>
          <w:lang w:eastAsia="ar-SA"/>
        </w:rPr>
        <w:t>, podľa stanovených kritérií,</w:t>
      </w:r>
      <w:r w:rsidRPr="00FB3FF0">
        <w:rPr>
          <w:rFonts w:ascii="Times New Roman" w:eastAsia="MS Mincho" w:hAnsi="Times New Roman" w:cs="Times New Roman"/>
          <w:bCs/>
          <w:kern w:val="1"/>
          <w:sz w:val="24"/>
          <w:szCs w:val="24"/>
          <w:lang w:eastAsia="ar-SA"/>
        </w:rPr>
        <w:t xml:space="preserve"> sa postupuje aj pri písmenách c) a d). </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3</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05786">
        <w:rPr>
          <w:rFonts w:ascii="Times New Roman" w:eastAsia="MS Mincho" w:hAnsi="Times New Roman" w:cs="Times New Roman"/>
          <w:bCs/>
          <w:kern w:val="1"/>
          <w:sz w:val="24"/>
          <w:szCs w:val="24"/>
          <w:lang w:eastAsia="ar-SA"/>
        </w:rPr>
        <w:t>V rámci daného odseku je ustanovená povinnosť podávať informácie o</w:t>
      </w:r>
      <w:r>
        <w:rPr>
          <w:rFonts w:ascii="Times New Roman" w:eastAsia="MS Mincho" w:hAnsi="Times New Roman" w:cs="Times New Roman"/>
          <w:bCs/>
          <w:kern w:val="1"/>
          <w:sz w:val="24"/>
          <w:szCs w:val="24"/>
          <w:lang w:eastAsia="ar-SA"/>
        </w:rPr>
        <w:t xml:space="preserve"> oznamovanom opatrení </w:t>
      </w:r>
      <w:r w:rsidRPr="00E05786">
        <w:rPr>
          <w:rFonts w:ascii="Times New Roman" w:eastAsia="MS Mincho" w:hAnsi="Times New Roman" w:cs="Times New Roman"/>
          <w:bCs/>
          <w:kern w:val="1"/>
          <w:sz w:val="24"/>
          <w:szCs w:val="24"/>
          <w:lang w:eastAsia="ar-SA"/>
        </w:rPr>
        <w:t xml:space="preserve">v rozsahu podľa § 8f oznamovaniu príslušnému orgánu Slovenskej republiky všetkým sprostredkovateľom, ktorí sú zapojení do toho istého </w:t>
      </w:r>
      <w:r>
        <w:rPr>
          <w:rFonts w:ascii="Times New Roman" w:eastAsia="MS Mincho" w:hAnsi="Times New Roman" w:cs="Times New Roman"/>
          <w:bCs/>
          <w:kern w:val="1"/>
          <w:sz w:val="24"/>
          <w:szCs w:val="24"/>
          <w:lang w:eastAsia="ar-SA"/>
        </w:rPr>
        <w:t>oznamovaného opatrenia.</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4</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05786">
        <w:rPr>
          <w:rFonts w:ascii="Times New Roman" w:eastAsia="MS Mincho" w:hAnsi="Times New Roman" w:cs="Times New Roman"/>
          <w:bCs/>
          <w:kern w:val="1"/>
          <w:sz w:val="24"/>
          <w:szCs w:val="24"/>
          <w:lang w:eastAsia="ar-SA"/>
        </w:rPr>
        <w:t xml:space="preserve">Sprostredkovateľ pôsobiaci vo viacerých členských </w:t>
      </w:r>
      <w:r>
        <w:rPr>
          <w:rFonts w:ascii="Times New Roman" w:eastAsia="MS Mincho" w:hAnsi="Times New Roman" w:cs="Times New Roman"/>
          <w:bCs/>
          <w:kern w:val="1"/>
          <w:sz w:val="24"/>
          <w:szCs w:val="24"/>
          <w:lang w:eastAsia="ar-SA"/>
        </w:rPr>
        <w:t>štátoch, ktorý je podľa odseku 2</w:t>
      </w:r>
      <w:r w:rsidRPr="00E05786">
        <w:rPr>
          <w:rFonts w:ascii="Times New Roman" w:eastAsia="MS Mincho" w:hAnsi="Times New Roman" w:cs="Times New Roman"/>
          <w:bCs/>
          <w:kern w:val="1"/>
          <w:sz w:val="24"/>
          <w:szCs w:val="24"/>
          <w:lang w:eastAsia="ar-SA"/>
        </w:rPr>
        <w:t xml:space="preserve"> povinný podať informácie príslušnému orgánu Slovenskej republiky, je od tejto povinnosti podať </w:t>
      </w:r>
      <w:r>
        <w:rPr>
          <w:rFonts w:ascii="Times New Roman" w:eastAsia="MS Mincho" w:hAnsi="Times New Roman" w:cs="Times New Roman"/>
          <w:bCs/>
          <w:kern w:val="1"/>
          <w:sz w:val="24"/>
          <w:szCs w:val="24"/>
          <w:lang w:eastAsia="ar-SA"/>
        </w:rPr>
        <w:t xml:space="preserve">informácie </w:t>
      </w:r>
      <w:r w:rsidRPr="00E05786">
        <w:rPr>
          <w:rFonts w:ascii="Times New Roman" w:eastAsia="MS Mincho" w:hAnsi="Times New Roman" w:cs="Times New Roman"/>
          <w:bCs/>
          <w:kern w:val="1"/>
          <w:sz w:val="24"/>
          <w:szCs w:val="24"/>
          <w:lang w:eastAsia="ar-SA"/>
        </w:rPr>
        <w:t>oslobodený, ak príslušnému orgánu Slovenskej republiky</w:t>
      </w:r>
      <w:r>
        <w:rPr>
          <w:rFonts w:ascii="Times New Roman" w:eastAsia="MS Mincho" w:hAnsi="Times New Roman" w:cs="Times New Roman"/>
          <w:bCs/>
          <w:kern w:val="1"/>
          <w:sz w:val="24"/>
          <w:szCs w:val="24"/>
          <w:lang w:eastAsia="ar-SA"/>
        </w:rPr>
        <w:t xml:space="preserve"> elektronicky</w:t>
      </w:r>
      <w:r w:rsidRPr="00E05786">
        <w:rPr>
          <w:rFonts w:ascii="Times New Roman" w:eastAsia="MS Mincho" w:hAnsi="Times New Roman" w:cs="Times New Roman"/>
          <w:bCs/>
          <w:kern w:val="1"/>
          <w:sz w:val="24"/>
          <w:szCs w:val="24"/>
          <w:lang w:eastAsia="ar-SA"/>
        </w:rPr>
        <w:t xml:space="preserve"> predloží dôkaz</w:t>
      </w:r>
      <w:r>
        <w:rPr>
          <w:rFonts w:ascii="Times New Roman" w:eastAsia="MS Mincho" w:hAnsi="Times New Roman" w:cs="Times New Roman"/>
          <w:bCs/>
          <w:kern w:val="1"/>
          <w:sz w:val="24"/>
          <w:szCs w:val="24"/>
          <w:lang w:eastAsia="ar-SA"/>
        </w:rPr>
        <w:t xml:space="preserve">,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xml:space="preserve">. vyhlásenie </w:t>
      </w:r>
      <w:r w:rsidRPr="00E05786">
        <w:rPr>
          <w:rFonts w:ascii="Times New Roman" w:eastAsia="MS Mincho" w:hAnsi="Times New Roman" w:cs="Times New Roman"/>
          <w:bCs/>
          <w:kern w:val="1"/>
          <w:sz w:val="24"/>
          <w:szCs w:val="24"/>
          <w:lang w:eastAsia="ar-SA"/>
        </w:rPr>
        <w:t xml:space="preserve">o tom, že </w:t>
      </w:r>
      <w:r>
        <w:rPr>
          <w:rFonts w:ascii="Times New Roman" w:eastAsia="MS Mincho" w:hAnsi="Times New Roman" w:cs="Times New Roman"/>
          <w:bCs/>
          <w:kern w:val="1"/>
          <w:sz w:val="24"/>
          <w:szCs w:val="24"/>
          <w:lang w:eastAsia="ar-SA"/>
        </w:rPr>
        <w:t xml:space="preserve">tie isté </w:t>
      </w:r>
      <w:r w:rsidRPr="00E05786">
        <w:rPr>
          <w:rFonts w:ascii="Times New Roman" w:eastAsia="MS Mincho" w:hAnsi="Times New Roman" w:cs="Times New Roman"/>
          <w:bCs/>
          <w:kern w:val="1"/>
          <w:sz w:val="24"/>
          <w:szCs w:val="24"/>
          <w:lang w:eastAsia="ar-SA"/>
        </w:rPr>
        <w:t>informácie o</w:t>
      </w:r>
      <w:r>
        <w:rPr>
          <w:rFonts w:ascii="Times New Roman" w:eastAsia="MS Mincho" w:hAnsi="Times New Roman" w:cs="Times New Roman"/>
          <w:bCs/>
          <w:kern w:val="1"/>
          <w:sz w:val="24"/>
          <w:szCs w:val="24"/>
          <w:lang w:eastAsia="ar-SA"/>
        </w:rPr>
        <w:t> oznamovanom opatrení</w:t>
      </w:r>
      <w:r w:rsidRPr="00E05786">
        <w:rPr>
          <w:rFonts w:ascii="Times New Roman" w:eastAsia="MS Mincho" w:hAnsi="Times New Roman" w:cs="Times New Roman"/>
          <w:bCs/>
          <w:kern w:val="1"/>
          <w:sz w:val="24"/>
          <w:szCs w:val="24"/>
          <w:lang w:eastAsia="ar-SA"/>
        </w:rPr>
        <w:t>, ktoré mal o</w:t>
      </w:r>
      <w:r>
        <w:rPr>
          <w:rFonts w:ascii="Times New Roman" w:eastAsia="MS Mincho" w:hAnsi="Times New Roman" w:cs="Times New Roman"/>
          <w:bCs/>
          <w:kern w:val="1"/>
          <w:sz w:val="24"/>
          <w:szCs w:val="24"/>
          <w:lang w:eastAsia="ar-SA"/>
        </w:rPr>
        <w:t>n</w:t>
      </w:r>
      <w:r w:rsidRPr="00E05786">
        <w:rPr>
          <w:rFonts w:ascii="Times New Roman" w:eastAsia="MS Mincho" w:hAnsi="Times New Roman" w:cs="Times New Roman"/>
          <w:bCs/>
          <w:kern w:val="1"/>
          <w:sz w:val="24"/>
          <w:szCs w:val="24"/>
          <w:lang w:eastAsia="ar-SA"/>
        </w:rPr>
        <w:t xml:space="preserve"> podať príslušnému orgánu Slovenskej republiky</w:t>
      </w:r>
      <w:r>
        <w:rPr>
          <w:rFonts w:ascii="Times New Roman" w:eastAsia="MS Mincho" w:hAnsi="Times New Roman" w:cs="Times New Roman"/>
          <w:bCs/>
          <w:kern w:val="1"/>
          <w:sz w:val="24"/>
          <w:szCs w:val="24"/>
          <w:lang w:eastAsia="ar-SA"/>
        </w:rPr>
        <w:t>,</w:t>
      </w:r>
      <w:r w:rsidRPr="00E05786">
        <w:rPr>
          <w:rFonts w:ascii="Times New Roman" w:eastAsia="MS Mincho" w:hAnsi="Times New Roman" w:cs="Times New Roman"/>
          <w:bCs/>
          <w:kern w:val="1"/>
          <w:sz w:val="24"/>
          <w:szCs w:val="24"/>
          <w:lang w:eastAsia="ar-SA"/>
        </w:rPr>
        <w:t xml:space="preserve"> už</w:t>
      </w:r>
      <w:r>
        <w:rPr>
          <w:rFonts w:ascii="Times New Roman" w:eastAsia="MS Mincho" w:hAnsi="Times New Roman" w:cs="Times New Roman"/>
          <w:bCs/>
          <w:kern w:val="1"/>
          <w:sz w:val="24"/>
          <w:szCs w:val="24"/>
          <w:lang w:eastAsia="ar-SA"/>
        </w:rPr>
        <w:t xml:space="preserve"> </w:t>
      </w:r>
      <w:r w:rsidRPr="00E05786">
        <w:rPr>
          <w:rFonts w:ascii="Times New Roman" w:eastAsia="MS Mincho" w:hAnsi="Times New Roman" w:cs="Times New Roman"/>
          <w:bCs/>
          <w:kern w:val="1"/>
          <w:sz w:val="24"/>
          <w:szCs w:val="24"/>
          <w:lang w:eastAsia="ar-SA"/>
        </w:rPr>
        <w:t xml:space="preserve">boli podané inému príslušnému orgánu členského </w:t>
      </w:r>
      <w:r>
        <w:rPr>
          <w:rFonts w:ascii="Times New Roman" w:eastAsia="MS Mincho" w:hAnsi="Times New Roman" w:cs="Times New Roman"/>
          <w:bCs/>
          <w:kern w:val="1"/>
          <w:sz w:val="24"/>
          <w:szCs w:val="24"/>
          <w:lang w:eastAsia="ar-SA"/>
        </w:rPr>
        <w:t>štátu. Môže ísť napr. o situácie, ktoré sú rozpísané aj v rámci ods. 2 § 8c, napr. ak sprostredkovateľ je súčasne rezidentom v dvoch členských štátoch a podal informácie o oznamovanom opatrení príslušnému orgánu jedného členského štátu, kde má rezidenciu na daňové účely</w:t>
      </w:r>
      <w:r w:rsidRPr="009B259C">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tak</w:t>
      </w:r>
      <w:r w:rsidRPr="009B259C">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príslušnému orgánu Slovenskej republiky len</w:t>
      </w:r>
      <w:r w:rsidRPr="009B259C">
        <w:rPr>
          <w:rFonts w:ascii="Times New Roman" w:eastAsia="MS Mincho" w:hAnsi="Times New Roman" w:cs="Times New Roman"/>
          <w:bCs/>
          <w:kern w:val="1"/>
          <w:sz w:val="24"/>
          <w:szCs w:val="24"/>
          <w:lang w:eastAsia="ar-SA"/>
        </w:rPr>
        <w:t xml:space="preserve"> predloží </w:t>
      </w:r>
      <w:r>
        <w:rPr>
          <w:rFonts w:ascii="Times New Roman" w:eastAsia="MS Mincho" w:hAnsi="Times New Roman" w:cs="Times New Roman"/>
          <w:bCs/>
          <w:kern w:val="1"/>
          <w:sz w:val="24"/>
          <w:szCs w:val="24"/>
          <w:lang w:eastAsia="ar-SA"/>
        </w:rPr>
        <w:t xml:space="preserve">elektronické </w:t>
      </w:r>
      <w:r w:rsidRPr="009B259C">
        <w:rPr>
          <w:rFonts w:ascii="Times New Roman" w:eastAsia="MS Mincho" w:hAnsi="Times New Roman" w:cs="Times New Roman"/>
          <w:bCs/>
          <w:kern w:val="1"/>
          <w:sz w:val="24"/>
          <w:szCs w:val="24"/>
          <w:lang w:eastAsia="ar-SA"/>
        </w:rPr>
        <w:t>vyhlásenie, že tie isté informácie predložil už príslušnému orgánu iného členského štátu</w:t>
      </w:r>
      <w:r>
        <w:rPr>
          <w:rFonts w:ascii="Times New Roman" w:eastAsia="MS Mincho" w:hAnsi="Times New Roman" w:cs="Times New Roman"/>
          <w:bCs/>
          <w:kern w:val="1"/>
          <w:sz w:val="24"/>
          <w:szCs w:val="24"/>
          <w:lang w:eastAsia="ar-SA"/>
        </w:rPr>
        <w:t>.</w:t>
      </w:r>
      <w:r w:rsidRPr="00C7709A">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Zároveň tento odsek 4 nadväzuje aj na odsek 3, </w:t>
      </w:r>
      <w:r w:rsidRPr="00E05786">
        <w:rPr>
          <w:rFonts w:ascii="Times New Roman" w:eastAsia="MS Mincho" w:hAnsi="Times New Roman" w:cs="Times New Roman"/>
          <w:bCs/>
          <w:kern w:val="1"/>
          <w:sz w:val="24"/>
          <w:szCs w:val="24"/>
          <w:lang w:eastAsia="ar-SA"/>
        </w:rPr>
        <w:t>v ktorom sa zaviedla povinnosť podať informácie príslušnému orgánu Slovenskej republiky všetkým</w:t>
      </w:r>
      <w:r>
        <w:rPr>
          <w:rFonts w:ascii="Times New Roman" w:eastAsia="MS Mincho" w:hAnsi="Times New Roman" w:cs="Times New Roman"/>
          <w:bCs/>
          <w:kern w:val="1"/>
          <w:sz w:val="24"/>
          <w:szCs w:val="24"/>
          <w:lang w:eastAsia="ar-SA"/>
        </w:rPr>
        <w:t>i</w:t>
      </w:r>
      <w:r w:rsidRPr="00E05786">
        <w:rPr>
          <w:rFonts w:ascii="Times New Roman" w:eastAsia="MS Mincho" w:hAnsi="Times New Roman" w:cs="Times New Roman"/>
          <w:bCs/>
          <w:kern w:val="1"/>
          <w:sz w:val="24"/>
          <w:szCs w:val="24"/>
          <w:lang w:eastAsia="ar-SA"/>
        </w:rPr>
        <w:t xml:space="preserve"> sprostredkovateľ</w:t>
      </w:r>
      <w:r>
        <w:rPr>
          <w:rFonts w:ascii="Times New Roman" w:eastAsia="MS Mincho" w:hAnsi="Times New Roman" w:cs="Times New Roman"/>
          <w:bCs/>
          <w:kern w:val="1"/>
          <w:sz w:val="24"/>
          <w:szCs w:val="24"/>
          <w:lang w:eastAsia="ar-SA"/>
        </w:rPr>
        <w:t>mi</w:t>
      </w:r>
      <w:r w:rsidRPr="00E05786">
        <w:rPr>
          <w:rFonts w:ascii="Times New Roman" w:eastAsia="MS Mincho" w:hAnsi="Times New Roman" w:cs="Times New Roman"/>
          <w:bCs/>
          <w:kern w:val="1"/>
          <w:sz w:val="24"/>
          <w:szCs w:val="24"/>
          <w:lang w:eastAsia="ar-SA"/>
        </w:rPr>
        <w:t xml:space="preserve">, ktorí sú zapojení do toho istého </w:t>
      </w:r>
      <w:r>
        <w:rPr>
          <w:rFonts w:ascii="Times New Roman" w:eastAsia="MS Mincho" w:hAnsi="Times New Roman" w:cs="Times New Roman"/>
          <w:bCs/>
          <w:kern w:val="1"/>
          <w:sz w:val="24"/>
          <w:szCs w:val="24"/>
          <w:lang w:eastAsia="ar-SA"/>
        </w:rPr>
        <w:t>oznamovaného opatrenia, pričom odsek 4</w:t>
      </w:r>
      <w:r w:rsidRPr="00E05786">
        <w:rPr>
          <w:rFonts w:ascii="Times New Roman" w:eastAsia="MS Mincho" w:hAnsi="Times New Roman" w:cs="Times New Roman"/>
          <w:bCs/>
          <w:kern w:val="1"/>
          <w:sz w:val="24"/>
          <w:szCs w:val="24"/>
          <w:lang w:eastAsia="ar-SA"/>
        </w:rPr>
        <w:t xml:space="preserve"> u</w:t>
      </w:r>
      <w:r>
        <w:rPr>
          <w:rFonts w:ascii="Times New Roman" w:eastAsia="MS Mincho" w:hAnsi="Times New Roman" w:cs="Times New Roman"/>
          <w:bCs/>
          <w:kern w:val="1"/>
          <w:sz w:val="24"/>
          <w:szCs w:val="24"/>
          <w:lang w:eastAsia="ar-SA"/>
        </w:rPr>
        <w:t>stanovuje</w:t>
      </w:r>
      <w:r w:rsidRPr="00E05786">
        <w:rPr>
          <w:rFonts w:ascii="Times New Roman" w:eastAsia="MS Mincho" w:hAnsi="Times New Roman" w:cs="Times New Roman"/>
          <w:bCs/>
          <w:kern w:val="1"/>
          <w:sz w:val="24"/>
          <w:szCs w:val="24"/>
          <w:lang w:eastAsia="ar-SA"/>
        </w:rPr>
        <w:t xml:space="preserve"> výnimku z tejto povinnosti, resp. oslobodenie od tejto povinnosti.</w:t>
      </w:r>
      <w:r>
        <w:rPr>
          <w:rFonts w:ascii="Times New Roman" w:eastAsia="MS Mincho" w:hAnsi="Times New Roman" w:cs="Times New Roman"/>
          <w:bCs/>
          <w:kern w:val="1"/>
          <w:sz w:val="24"/>
          <w:szCs w:val="24"/>
          <w:lang w:eastAsia="ar-SA"/>
        </w:rPr>
        <w:t xml:space="preserve"> Uvedené znamená, že</w:t>
      </w:r>
      <w:r w:rsidRPr="00D53C68">
        <w:rPr>
          <w:rFonts w:ascii="Times New Roman" w:eastAsia="MS Mincho" w:hAnsi="Times New Roman" w:cs="Times New Roman"/>
          <w:bCs/>
          <w:kern w:val="1"/>
          <w:sz w:val="24"/>
          <w:szCs w:val="24"/>
          <w:lang w:eastAsia="ar-SA"/>
        </w:rPr>
        <w:t xml:space="preserve"> ak je do toho istého </w:t>
      </w:r>
      <w:r w:rsidRPr="00D53C68">
        <w:rPr>
          <w:rFonts w:ascii="Times New Roman" w:eastAsia="MS Mincho" w:hAnsi="Times New Roman" w:cs="Times New Roman"/>
          <w:bCs/>
          <w:kern w:val="1"/>
          <w:sz w:val="24"/>
          <w:szCs w:val="24"/>
          <w:lang w:eastAsia="ar-SA"/>
        </w:rPr>
        <w:lastRenderedPageBreak/>
        <w:t xml:space="preserve">opatrenia zapojených viac sprostredkovateľov, ktorí sú povinnými osobami, vzťahuje sa na nich podľa ods. 3 povinnosť podať príslušnému orgánu SR informácie o oznamovanom opatrení, avšak od tejto povinnosti sú oslobodení, </w:t>
      </w:r>
      <w:r>
        <w:rPr>
          <w:rFonts w:ascii="Times New Roman" w:eastAsia="MS Mincho" w:hAnsi="Times New Roman" w:cs="Times New Roman"/>
          <w:bCs/>
          <w:kern w:val="1"/>
          <w:sz w:val="24"/>
          <w:szCs w:val="24"/>
          <w:lang w:eastAsia="ar-SA"/>
        </w:rPr>
        <w:t xml:space="preserve">a teda nie sú povinní podať tieto informácie, </w:t>
      </w:r>
      <w:r w:rsidRPr="00D53C68">
        <w:rPr>
          <w:rFonts w:ascii="Times New Roman" w:eastAsia="MS Mincho" w:hAnsi="Times New Roman" w:cs="Times New Roman"/>
          <w:bCs/>
          <w:kern w:val="1"/>
          <w:sz w:val="24"/>
          <w:szCs w:val="24"/>
          <w:lang w:eastAsia="ar-SA"/>
        </w:rPr>
        <w:t>ak prostredníctvom elektronického vyhlásenia potvrdia, že tieto informácie, ktoré by mali povinnosť oznámiť</w:t>
      </w:r>
      <w:r>
        <w:rPr>
          <w:rFonts w:ascii="Times New Roman" w:eastAsia="MS Mincho" w:hAnsi="Times New Roman" w:cs="Times New Roman"/>
          <w:bCs/>
          <w:kern w:val="1"/>
          <w:sz w:val="24"/>
          <w:szCs w:val="24"/>
          <w:lang w:eastAsia="ar-SA"/>
        </w:rPr>
        <w:t>,</w:t>
      </w:r>
      <w:r w:rsidRPr="00D53C68">
        <w:rPr>
          <w:rFonts w:ascii="Times New Roman" w:eastAsia="MS Mincho" w:hAnsi="Times New Roman" w:cs="Times New Roman"/>
          <w:bCs/>
          <w:kern w:val="1"/>
          <w:sz w:val="24"/>
          <w:szCs w:val="24"/>
          <w:lang w:eastAsia="ar-SA"/>
        </w:rPr>
        <w:t xml:space="preserve"> už oznámil iný sprostredkovateľ zapojený do toho istého opatrenia</w:t>
      </w:r>
      <w:r>
        <w:rPr>
          <w:rFonts w:ascii="Times New Roman" w:eastAsia="MS Mincho" w:hAnsi="Times New Roman" w:cs="Times New Roman"/>
          <w:bCs/>
          <w:kern w:val="1"/>
          <w:sz w:val="24"/>
          <w:szCs w:val="24"/>
          <w:lang w:eastAsia="ar-SA"/>
        </w:rPr>
        <w:t xml:space="preserve">.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05786">
        <w:rPr>
          <w:rFonts w:ascii="Times New Roman" w:eastAsia="MS Mincho" w:hAnsi="Times New Roman" w:cs="Times New Roman"/>
          <w:bCs/>
          <w:kern w:val="1"/>
          <w:sz w:val="24"/>
          <w:szCs w:val="24"/>
          <w:lang w:eastAsia="ar-SA"/>
        </w:rPr>
        <w:t>Sprostredkovateľ podľa predchádzajúceho odseku,</w:t>
      </w:r>
      <w:r>
        <w:rPr>
          <w:rFonts w:ascii="Times New Roman" w:eastAsia="MS Mincho" w:hAnsi="Times New Roman" w:cs="Times New Roman"/>
          <w:bCs/>
          <w:kern w:val="1"/>
          <w:sz w:val="24"/>
          <w:szCs w:val="24"/>
          <w:lang w:eastAsia="ar-SA"/>
        </w:rPr>
        <w:t xml:space="preserve"> teda ods. 3,</w:t>
      </w:r>
      <w:r w:rsidRPr="00E05786">
        <w:rPr>
          <w:rFonts w:ascii="Times New Roman" w:eastAsia="MS Mincho" w:hAnsi="Times New Roman" w:cs="Times New Roman"/>
          <w:bCs/>
          <w:kern w:val="1"/>
          <w:sz w:val="24"/>
          <w:szCs w:val="24"/>
          <w:lang w:eastAsia="ar-SA"/>
        </w:rPr>
        <w:t xml:space="preserve"> ktorý by bol inak povinný podať informácie, je od tejto povinnosti oslobodený, ak v súlade s vnútroštátnym právnym poriadkom hodnoverne preukáže</w:t>
      </w:r>
      <w:r>
        <w:rPr>
          <w:rFonts w:ascii="Times New Roman" w:eastAsia="MS Mincho" w:hAnsi="Times New Roman" w:cs="Times New Roman"/>
          <w:bCs/>
          <w:kern w:val="1"/>
          <w:sz w:val="24"/>
          <w:szCs w:val="24"/>
          <w:lang w:eastAsia="ar-SA"/>
        </w:rPr>
        <w:t xml:space="preserve"> (predloží dôkaz)</w:t>
      </w:r>
      <w:r w:rsidRPr="00E05786">
        <w:rPr>
          <w:rFonts w:ascii="Times New Roman" w:eastAsia="MS Mincho" w:hAnsi="Times New Roman" w:cs="Times New Roman"/>
          <w:bCs/>
          <w:kern w:val="1"/>
          <w:sz w:val="24"/>
          <w:szCs w:val="24"/>
          <w:lang w:eastAsia="ar-SA"/>
        </w:rPr>
        <w:t>, že tie isté informácie, ktoré by mal podať on, podal už iný sprostredkovateľ.</w:t>
      </w:r>
      <w:r>
        <w:rPr>
          <w:rFonts w:ascii="Times New Roman" w:eastAsia="MS Mincho" w:hAnsi="Times New Roman" w:cs="Times New Roman"/>
          <w:bCs/>
          <w:kern w:val="1"/>
          <w:sz w:val="24"/>
          <w:szCs w:val="24"/>
          <w:lang w:eastAsia="ar-SA"/>
        </w:rPr>
        <w:t xml:space="preserve"> </w:t>
      </w:r>
      <w:r w:rsidRPr="0091126E">
        <w:rPr>
          <w:rFonts w:ascii="Times New Roman" w:eastAsia="MS Mincho" w:hAnsi="Times New Roman" w:cs="Times New Roman"/>
          <w:bCs/>
          <w:kern w:val="1"/>
          <w:sz w:val="24"/>
          <w:szCs w:val="24"/>
          <w:lang w:eastAsia="ar-SA"/>
        </w:rPr>
        <w:t>Cieľom odseku 4 je aj administratívne odbremeniť sprostredkovateľov, ktorí sú zapojení do toho istého oznamovaného opatrenia a majú o sebe navzájom vedomosť</w:t>
      </w:r>
      <w:r>
        <w:rPr>
          <w:rFonts w:ascii="Times New Roman" w:eastAsia="MS Mincho" w:hAnsi="Times New Roman" w:cs="Times New Roman"/>
          <w:bCs/>
          <w:kern w:val="1"/>
          <w:sz w:val="24"/>
          <w:szCs w:val="24"/>
          <w:lang w:eastAsia="ar-SA"/>
        </w:rPr>
        <w:t>. U</w:t>
      </w:r>
      <w:r w:rsidRPr="0091126E">
        <w:rPr>
          <w:rFonts w:ascii="Times New Roman" w:eastAsia="MS Mincho" w:hAnsi="Times New Roman" w:cs="Times New Roman"/>
          <w:bCs/>
          <w:kern w:val="1"/>
          <w:sz w:val="24"/>
          <w:szCs w:val="24"/>
          <w:lang w:eastAsia="ar-SA"/>
        </w:rPr>
        <w:t>možňuje</w:t>
      </w:r>
      <w:r>
        <w:rPr>
          <w:rFonts w:ascii="Times New Roman" w:eastAsia="MS Mincho" w:hAnsi="Times New Roman" w:cs="Times New Roman"/>
          <w:bCs/>
          <w:kern w:val="1"/>
          <w:sz w:val="24"/>
          <w:szCs w:val="24"/>
          <w:lang w:eastAsia="ar-SA"/>
        </w:rPr>
        <w:t xml:space="preserve"> sa im dohodnúť sa na spoločnom zástupcovi, ktorý elektronicky predloží</w:t>
      </w:r>
      <w:r w:rsidRPr="0091126E">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za</w:t>
      </w:r>
      <w:r w:rsidRPr="0091126E">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seba a aj </w:t>
      </w:r>
      <w:r w:rsidRPr="0091126E">
        <w:rPr>
          <w:rFonts w:ascii="Times New Roman" w:eastAsia="MS Mincho" w:hAnsi="Times New Roman" w:cs="Times New Roman"/>
          <w:bCs/>
          <w:kern w:val="1"/>
          <w:sz w:val="24"/>
          <w:szCs w:val="24"/>
          <w:lang w:eastAsia="ar-SA"/>
        </w:rPr>
        <w:t>ostatných zapojených sprostredkovateľov spol</w:t>
      </w:r>
      <w:r>
        <w:rPr>
          <w:rFonts w:ascii="Times New Roman" w:eastAsia="MS Mincho" w:hAnsi="Times New Roman" w:cs="Times New Roman"/>
          <w:bCs/>
          <w:kern w:val="1"/>
          <w:sz w:val="24"/>
          <w:szCs w:val="24"/>
          <w:lang w:eastAsia="ar-SA"/>
        </w:rPr>
        <w:t>očné vyhlásenie, v ktorom preukáže</w:t>
      </w:r>
      <w:r w:rsidRPr="0091126E">
        <w:rPr>
          <w:rFonts w:ascii="Times New Roman" w:eastAsia="MS Mincho" w:hAnsi="Times New Roman" w:cs="Times New Roman"/>
          <w:bCs/>
          <w:kern w:val="1"/>
          <w:sz w:val="24"/>
          <w:szCs w:val="24"/>
          <w:lang w:eastAsia="ar-SA"/>
        </w:rPr>
        <w:t>, že tie isté informácie, ktoré by mali títo sprostredkovatelia podať</w:t>
      </w:r>
      <w:r>
        <w:rPr>
          <w:rFonts w:ascii="Times New Roman" w:eastAsia="MS Mincho" w:hAnsi="Times New Roman" w:cs="Times New Roman"/>
          <w:bCs/>
          <w:kern w:val="1"/>
          <w:sz w:val="24"/>
          <w:szCs w:val="24"/>
          <w:lang w:eastAsia="ar-SA"/>
        </w:rPr>
        <w:t xml:space="preserve"> (vrátane neho –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spoločného zástupcu)</w:t>
      </w:r>
      <w:r w:rsidRPr="0091126E">
        <w:rPr>
          <w:rFonts w:ascii="Times New Roman" w:eastAsia="MS Mincho" w:hAnsi="Times New Roman" w:cs="Times New Roman"/>
          <w:bCs/>
          <w:kern w:val="1"/>
          <w:sz w:val="24"/>
          <w:szCs w:val="24"/>
          <w:lang w:eastAsia="ar-SA"/>
        </w:rPr>
        <w:t>, už boli</w:t>
      </w:r>
      <w:r>
        <w:rPr>
          <w:rFonts w:ascii="Times New Roman" w:eastAsia="MS Mincho" w:hAnsi="Times New Roman" w:cs="Times New Roman"/>
          <w:bCs/>
          <w:kern w:val="1"/>
          <w:sz w:val="24"/>
          <w:szCs w:val="24"/>
          <w:lang w:eastAsia="ar-SA"/>
        </w:rPr>
        <w:t xml:space="preserve"> podané iným sprostredkovateľom</w:t>
      </w:r>
      <w:r w:rsidRPr="0091126E">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V</w:t>
      </w:r>
      <w:r w:rsidRPr="0091126E">
        <w:rPr>
          <w:rFonts w:ascii="Times New Roman" w:eastAsia="MS Mincho" w:hAnsi="Times New Roman" w:cs="Times New Roman"/>
          <w:bCs/>
          <w:kern w:val="1"/>
          <w:sz w:val="24"/>
          <w:szCs w:val="24"/>
          <w:lang w:eastAsia="ar-SA"/>
        </w:rPr>
        <w:t>šetci sprostredkovatelia, ktorí sa dohodli na spoločnom zástupcovi, sú spoločn</w:t>
      </w:r>
      <w:r>
        <w:rPr>
          <w:rFonts w:ascii="Times New Roman" w:eastAsia="MS Mincho" w:hAnsi="Times New Roman" w:cs="Times New Roman"/>
          <w:bCs/>
          <w:kern w:val="1"/>
          <w:sz w:val="24"/>
          <w:szCs w:val="24"/>
          <w:lang w:eastAsia="ar-SA"/>
        </w:rPr>
        <w:t>e a nerozdielne zodpovední za predloženie spoločného vyhlásenia</w:t>
      </w:r>
      <w:r w:rsidRPr="0091126E">
        <w:rPr>
          <w:rFonts w:ascii="Times New Roman" w:eastAsia="MS Mincho" w:hAnsi="Times New Roman" w:cs="Times New Roman"/>
          <w:bCs/>
          <w:kern w:val="1"/>
          <w:sz w:val="24"/>
          <w:szCs w:val="24"/>
          <w:lang w:eastAsia="ar-SA"/>
        </w:rPr>
        <w:t>. Sprostredkovateľ podľa ods. 3, ktorý elektronicky predložil vyhlásenie preukazujúce, že tie isté informácie už boli po</w:t>
      </w:r>
      <w:r>
        <w:rPr>
          <w:rFonts w:ascii="Times New Roman" w:eastAsia="MS Mincho" w:hAnsi="Times New Roman" w:cs="Times New Roman"/>
          <w:bCs/>
          <w:kern w:val="1"/>
          <w:sz w:val="24"/>
          <w:szCs w:val="24"/>
          <w:lang w:eastAsia="ar-SA"/>
        </w:rPr>
        <w:t>dané iným sprostredkovateľ,</w:t>
      </w:r>
      <w:r w:rsidRPr="0091126E">
        <w:rPr>
          <w:rFonts w:ascii="Times New Roman" w:eastAsia="MS Mincho" w:hAnsi="Times New Roman" w:cs="Times New Roman"/>
          <w:bCs/>
          <w:kern w:val="1"/>
          <w:sz w:val="24"/>
          <w:szCs w:val="24"/>
          <w:lang w:eastAsia="ar-SA"/>
        </w:rPr>
        <w:t xml:space="preserve"> v pre</w:t>
      </w:r>
      <w:r>
        <w:rPr>
          <w:rFonts w:ascii="Times New Roman" w:eastAsia="MS Mincho" w:hAnsi="Times New Roman" w:cs="Times New Roman"/>
          <w:bCs/>
          <w:kern w:val="1"/>
          <w:sz w:val="24"/>
          <w:szCs w:val="24"/>
          <w:lang w:eastAsia="ar-SA"/>
        </w:rPr>
        <w:t>dloženom vyhlásení uvedie</w:t>
      </w:r>
      <w:r w:rsidRPr="0091126E">
        <w:rPr>
          <w:rFonts w:ascii="Times New Roman" w:eastAsia="MS Mincho" w:hAnsi="Times New Roman" w:cs="Times New Roman"/>
          <w:bCs/>
          <w:kern w:val="1"/>
          <w:sz w:val="24"/>
          <w:szCs w:val="24"/>
          <w:lang w:eastAsia="ar-SA"/>
        </w:rPr>
        <w:t xml:space="preserve"> identifikačné údaje podľa § 8f písmeno a) toho sprostredkovateľa, ktor</w:t>
      </w:r>
      <w:r>
        <w:rPr>
          <w:rFonts w:ascii="Times New Roman" w:eastAsia="MS Mincho" w:hAnsi="Times New Roman" w:cs="Times New Roman"/>
          <w:bCs/>
          <w:kern w:val="1"/>
          <w:sz w:val="24"/>
          <w:szCs w:val="24"/>
          <w:lang w:eastAsia="ar-SA"/>
        </w:rPr>
        <w:t xml:space="preserve">ý už podal tie isté informácie a v prípade spoločného vyhlásenia </w:t>
      </w:r>
      <w:r w:rsidRPr="0091126E">
        <w:rPr>
          <w:rFonts w:ascii="Times New Roman" w:eastAsia="MS Mincho" w:hAnsi="Times New Roman" w:cs="Times New Roman"/>
          <w:bCs/>
          <w:kern w:val="1"/>
          <w:sz w:val="24"/>
          <w:szCs w:val="24"/>
          <w:lang w:eastAsia="ar-SA"/>
        </w:rPr>
        <w:t xml:space="preserve">aj identifikačné údaje tých sprostredkovateľov, v mene ktorých predkladá spoločné vyhlásenie.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FB3FF0">
        <w:rPr>
          <w:rFonts w:ascii="Times New Roman" w:eastAsia="MS Mincho" w:hAnsi="Times New Roman" w:cs="Times New Roman"/>
          <w:bCs/>
          <w:kern w:val="1"/>
          <w:sz w:val="24"/>
          <w:szCs w:val="24"/>
          <w:lang w:eastAsia="ar-SA"/>
        </w:rPr>
        <w:t>Vyhlásenie</w:t>
      </w:r>
      <w:r>
        <w:rPr>
          <w:rFonts w:ascii="Times New Roman" w:eastAsia="MS Mincho" w:hAnsi="Times New Roman" w:cs="Times New Roman"/>
          <w:bCs/>
          <w:kern w:val="1"/>
          <w:sz w:val="24"/>
          <w:szCs w:val="24"/>
          <w:lang w:eastAsia="ar-SA"/>
        </w:rPr>
        <w:t>, ako aj spoločné vyhlásenie,</w:t>
      </w:r>
      <w:r w:rsidRPr="00FB3FF0">
        <w:rPr>
          <w:rFonts w:ascii="Times New Roman" w:eastAsia="MS Mincho" w:hAnsi="Times New Roman" w:cs="Times New Roman"/>
          <w:bCs/>
          <w:kern w:val="1"/>
          <w:sz w:val="24"/>
          <w:szCs w:val="24"/>
          <w:lang w:eastAsia="ar-SA"/>
        </w:rPr>
        <w:t xml:space="preserve"> sa má podať v lehote rovnakej, ako je lehota na podanie informácie o oznamova</w:t>
      </w:r>
      <w:r>
        <w:rPr>
          <w:rFonts w:ascii="Times New Roman" w:eastAsia="MS Mincho" w:hAnsi="Times New Roman" w:cs="Times New Roman"/>
          <w:bCs/>
          <w:kern w:val="1"/>
          <w:sz w:val="24"/>
          <w:szCs w:val="24"/>
          <w:lang w:eastAsia="ar-SA"/>
        </w:rPr>
        <w:t>nom opatrení podľa § 8e ods. 1.</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5</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Odsek 5</w:t>
      </w:r>
      <w:r w:rsidRPr="00EA3F99">
        <w:rPr>
          <w:rFonts w:ascii="Times New Roman" w:eastAsia="MS Mincho" w:hAnsi="Times New Roman" w:cs="Times New Roman"/>
          <w:bCs/>
          <w:kern w:val="1"/>
          <w:sz w:val="24"/>
          <w:szCs w:val="24"/>
          <w:lang w:eastAsia="ar-SA"/>
        </w:rPr>
        <w:t xml:space="preserve"> ustanovuje, kedy je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povinný podať informácie o cezhraničných opatreniach príslušnému orgánu Slovenskej republiky. </w:t>
      </w:r>
      <w:r>
        <w:rPr>
          <w:rFonts w:ascii="Times New Roman" w:eastAsia="MS Mincho" w:hAnsi="Times New Roman" w:cs="Times New Roman"/>
          <w:bCs/>
          <w:kern w:val="1"/>
          <w:sz w:val="24"/>
          <w:szCs w:val="24"/>
          <w:lang w:eastAsia="ar-SA"/>
        </w:rPr>
        <w:t>Ak používateľ pôsobí</w:t>
      </w:r>
      <w:r w:rsidRPr="00EA3F99">
        <w:rPr>
          <w:rFonts w:ascii="Times New Roman" w:eastAsia="MS Mincho" w:hAnsi="Times New Roman" w:cs="Times New Roman"/>
          <w:bCs/>
          <w:kern w:val="1"/>
          <w:sz w:val="24"/>
          <w:szCs w:val="24"/>
          <w:lang w:eastAsia="ar-SA"/>
        </w:rPr>
        <w:t xml:space="preserve"> vo viace</w:t>
      </w:r>
      <w:r>
        <w:rPr>
          <w:rFonts w:ascii="Times New Roman" w:eastAsia="MS Mincho" w:hAnsi="Times New Roman" w:cs="Times New Roman"/>
          <w:bCs/>
          <w:kern w:val="1"/>
          <w:sz w:val="24"/>
          <w:szCs w:val="24"/>
          <w:lang w:eastAsia="ar-SA"/>
        </w:rPr>
        <w:t xml:space="preserve">rých členských štátoch a je </w:t>
      </w:r>
      <w:r w:rsidRPr="00EA3F99">
        <w:rPr>
          <w:rFonts w:ascii="Times New Roman" w:eastAsia="MS Mincho" w:hAnsi="Times New Roman" w:cs="Times New Roman"/>
          <w:bCs/>
          <w:kern w:val="1"/>
          <w:sz w:val="24"/>
          <w:szCs w:val="24"/>
          <w:lang w:eastAsia="ar-SA"/>
        </w:rPr>
        <w:t xml:space="preserve">povinný podať informácie o cezhraničných opatreniach príslušným orgánom z viacerých </w:t>
      </w:r>
      <w:r>
        <w:rPr>
          <w:rFonts w:ascii="Times New Roman" w:eastAsia="MS Mincho" w:hAnsi="Times New Roman" w:cs="Times New Roman"/>
          <w:bCs/>
          <w:kern w:val="1"/>
          <w:sz w:val="24"/>
          <w:szCs w:val="24"/>
          <w:lang w:eastAsia="ar-SA"/>
        </w:rPr>
        <w:t xml:space="preserve">členských </w:t>
      </w:r>
      <w:r w:rsidRPr="00EA3F99">
        <w:rPr>
          <w:rFonts w:ascii="Times New Roman" w:eastAsia="MS Mincho" w:hAnsi="Times New Roman" w:cs="Times New Roman"/>
          <w:bCs/>
          <w:kern w:val="1"/>
          <w:sz w:val="24"/>
          <w:szCs w:val="24"/>
          <w:lang w:eastAsia="ar-SA"/>
        </w:rPr>
        <w:t xml:space="preserve">štátov, príslušnému orgánu Slovenskej republiky </w:t>
      </w:r>
      <w:r>
        <w:rPr>
          <w:rFonts w:ascii="Times New Roman" w:eastAsia="MS Mincho" w:hAnsi="Times New Roman" w:cs="Times New Roman"/>
          <w:bCs/>
          <w:kern w:val="1"/>
          <w:sz w:val="24"/>
          <w:szCs w:val="24"/>
          <w:lang w:eastAsia="ar-SA"/>
        </w:rPr>
        <w:t>je</w:t>
      </w:r>
      <w:r w:rsidRPr="00EA3F99">
        <w:rPr>
          <w:rFonts w:ascii="Times New Roman" w:eastAsia="MS Mincho" w:hAnsi="Times New Roman" w:cs="Times New Roman"/>
          <w:bCs/>
          <w:kern w:val="1"/>
          <w:sz w:val="24"/>
          <w:szCs w:val="24"/>
          <w:lang w:eastAsia="ar-SA"/>
        </w:rPr>
        <w:t xml:space="preserve"> povinný podať predmetné informácie, </w:t>
      </w:r>
      <w:r w:rsidRPr="00EF1DC6">
        <w:rPr>
          <w:rFonts w:ascii="Times New Roman" w:eastAsia="MS Mincho" w:hAnsi="Times New Roman" w:cs="Times New Roman"/>
          <w:bCs/>
          <w:kern w:val="1"/>
          <w:sz w:val="24"/>
          <w:szCs w:val="24"/>
          <w:lang w:eastAsia="ar-SA"/>
        </w:rPr>
        <w:t xml:space="preserve">ak </w:t>
      </w:r>
      <w:r w:rsidRPr="00564F81">
        <w:rPr>
          <w:rFonts w:ascii="Times New Roman" w:eastAsia="MS Mincho" w:hAnsi="Times New Roman" w:cs="Times New Roman"/>
          <w:bCs/>
          <w:kern w:val="1"/>
          <w:sz w:val="24"/>
          <w:szCs w:val="24"/>
          <w:lang w:eastAsia="ar-SA"/>
        </w:rPr>
        <w:t xml:space="preserve">má </w:t>
      </w:r>
      <w:r>
        <w:rPr>
          <w:rFonts w:ascii="Times New Roman" w:eastAsia="MS Mincho" w:hAnsi="Times New Roman" w:cs="Times New Roman"/>
          <w:bCs/>
          <w:kern w:val="1"/>
          <w:sz w:val="24"/>
          <w:szCs w:val="24"/>
          <w:lang w:eastAsia="ar-SA"/>
        </w:rPr>
        <w:t xml:space="preserve">používateľ v Slovenskej republike </w:t>
      </w:r>
      <w:r w:rsidRPr="00564F81">
        <w:rPr>
          <w:rFonts w:ascii="Times New Roman" w:eastAsia="MS Mincho" w:hAnsi="Times New Roman" w:cs="Times New Roman"/>
          <w:bCs/>
          <w:kern w:val="1"/>
          <w:sz w:val="24"/>
          <w:szCs w:val="24"/>
          <w:lang w:eastAsia="ar-SA"/>
        </w:rPr>
        <w:t>rezidenciu</w:t>
      </w:r>
      <w:r>
        <w:rPr>
          <w:rFonts w:ascii="Times New Roman" w:eastAsia="MS Mincho" w:hAnsi="Times New Roman" w:cs="Times New Roman"/>
          <w:bCs/>
          <w:kern w:val="1"/>
          <w:sz w:val="24"/>
          <w:szCs w:val="24"/>
          <w:lang w:eastAsia="ar-SA"/>
        </w:rPr>
        <w:t xml:space="preserve"> na daňové účely</w:t>
      </w:r>
      <w:r w:rsidRPr="00564F81">
        <w:rPr>
          <w:rFonts w:ascii="Times New Roman" w:eastAsia="MS Mincho" w:hAnsi="Times New Roman" w:cs="Times New Roman"/>
          <w:bCs/>
          <w:kern w:val="1"/>
          <w:sz w:val="24"/>
          <w:szCs w:val="24"/>
          <w:lang w:eastAsia="ar-SA"/>
        </w:rPr>
        <w:t>, stálu prevádzkareň,</w:t>
      </w:r>
      <w:r>
        <w:rPr>
          <w:rFonts w:ascii="Times New Roman" w:eastAsia="MS Mincho" w:hAnsi="Times New Roman" w:cs="Times New Roman"/>
          <w:bCs/>
          <w:kern w:val="1"/>
          <w:sz w:val="24"/>
          <w:szCs w:val="24"/>
          <w:lang w:eastAsia="ar-SA"/>
        </w:rPr>
        <w:t xml:space="preserve"> ktorá má z oznamovaného opatrenia výhody, má zo zdrojov na území Slovenskej republiky príjem alebo tu vykonáva činnosť.</w:t>
      </w:r>
      <w:r w:rsidRPr="00564F81">
        <w:rPr>
          <w:rFonts w:ascii="Times New Roman" w:eastAsia="MS Mincho" w:hAnsi="Times New Roman" w:cs="Times New Roman"/>
          <w:bCs/>
          <w:kern w:val="1"/>
          <w:sz w:val="24"/>
          <w:szCs w:val="24"/>
          <w:lang w:eastAsia="ar-SA"/>
        </w:rPr>
        <w:t xml:space="preserve"> </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AC2ABA">
        <w:rPr>
          <w:rFonts w:ascii="Times New Roman" w:eastAsia="MS Mincho" w:hAnsi="Times New Roman" w:cs="Times New Roman"/>
          <w:bCs/>
          <w:kern w:val="1"/>
          <w:sz w:val="24"/>
          <w:szCs w:val="24"/>
          <w:lang w:eastAsia="ar-SA"/>
        </w:rPr>
        <w:t>Smernica a teda aj zákon zavádza mechanizmus ako určiť, v ktorom štáte používateľ podá informácie. Príslušnému orgánu Slovenskej republiky používateľ podá informácie podľa kritérií určených v predmetnom ustanovení.</w:t>
      </w:r>
      <w:r>
        <w:rPr>
          <w:rFonts w:ascii="Times New Roman" w:eastAsia="MS Mincho" w:hAnsi="Times New Roman" w:cs="Times New Roman"/>
          <w:bCs/>
          <w:kern w:val="1"/>
          <w:sz w:val="24"/>
          <w:szCs w:val="24"/>
          <w:lang w:eastAsia="ar-SA"/>
        </w:rPr>
        <w:t xml:space="preserve">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xml:space="preserve">. používateľ podá príslušnému orgánu Slovenskej republiky informácie, ak je používateľ rezidentom na daňové účely v Slovenskej republike. </w:t>
      </w:r>
      <w:r w:rsidRPr="008B5CFE">
        <w:rPr>
          <w:rFonts w:ascii="Times New Roman" w:eastAsia="MS Mincho" w:hAnsi="Times New Roman" w:cs="Times New Roman"/>
          <w:bCs/>
          <w:kern w:val="1"/>
          <w:sz w:val="24"/>
          <w:szCs w:val="24"/>
          <w:lang w:eastAsia="ar-SA"/>
        </w:rPr>
        <w:t xml:space="preserve">Môže sa stať, že </w:t>
      </w:r>
      <w:r>
        <w:rPr>
          <w:rFonts w:ascii="Times New Roman" w:eastAsia="MS Mincho" w:hAnsi="Times New Roman" w:cs="Times New Roman"/>
          <w:bCs/>
          <w:kern w:val="1"/>
          <w:sz w:val="24"/>
          <w:szCs w:val="24"/>
          <w:lang w:eastAsia="ar-SA"/>
        </w:rPr>
        <w:t xml:space="preserve">používateľ </w:t>
      </w:r>
      <w:r w:rsidRPr="008B5CFE">
        <w:rPr>
          <w:rFonts w:ascii="Times New Roman" w:eastAsia="MS Mincho" w:hAnsi="Times New Roman" w:cs="Times New Roman"/>
          <w:bCs/>
          <w:kern w:val="1"/>
          <w:sz w:val="24"/>
          <w:szCs w:val="24"/>
          <w:lang w:eastAsia="ar-SA"/>
        </w:rPr>
        <w:t>bude mať daňovú rezidenciu aj v inom členskom štáte ako v Slovenskej republike, a potom je potrebné, aby podal informáciu o oznamovanom opatrení</w:t>
      </w:r>
      <w:r>
        <w:rPr>
          <w:rFonts w:ascii="Times New Roman" w:eastAsia="MS Mincho" w:hAnsi="Times New Roman" w:cs="Times New Roman"/>
          <w:bCs/>
          <w:kern w:val="1"/>
          <w:sz w:val="24"/>
          <w:szCs w:val="24"/>
          <w:lang w:eastAsia="ar-SA"/>
        </w:rPr>
        <w:t> jednému príslušnému orgánu</w:t>
      </w:r>
      <w:r w:rsidRPr="008B5CFE">
        <w:rPr>
          <w:rFonts w:ascii="Times New Roman" w:eastAsia="MS Mincho" w:hAnsi="Times New Roman" w:cs="Times New Roman"/>
          <w:bCs/>
          <w:kern w:val="1"/>
          <w:sz w:val="24"/>
          <w:szCs w:val="24"/>
          <w:lang w:eastAsia="ar-SA"/>
        </w:rPr>
        <w:t xml:space="preserve"> z</w:t>
      </w:r>
      <w:r>
        <w:rPr>
          <w:rFonts w:ascii="Times New Roman" w:eastAsia="MS Mincho" w:hAnsi="Times New Roman" w:cs="Times New Roman"/>
          <w:bCs/>
          <w:kern w:val="1"/>
          <w:sz w:val="24"/>
          <w:szCs w:val="24"/>
          <w:lang w:eastAsia="ar-SA"/>
        </w:rPr>
        <w:t xml:space="preserve"> týchto </w:t>
      </w:r>
      <w:r w:rsidRPr="008B5CFE">
        <w:rPr>
          <w:rFonts w:ascii="Times New Roman" w:eastAsia="MS Mincho" w:hAnsi="Times New Roman" w:cs="Times New Roman"/>
          <w:bCs/>
          <w:kern w:val="1"/>
          <w:sz w:val="24"/>
          <w:szCs w:val="24"/>
          <w:lang w:eastAsia="ar-SA"/>
        </w:rPr>
        <w:t>členských štátov, kde má rezidenciu a</w:t>
      </w:r>
      <w:r>
        <w:rPr>
          <w:rFonts w:ascii="Times New Roman" w:eastAsia="MS Mincho" w:hAnsi="Times New Roman" w:cs="Times New Roman"/>
          <w:bCs/>
          <w:kern w:val="1"/>
          <w:sz w:val="24"/>
          <w:szCs w:val="24"/>
          <w:lang w:eastAsia="ar-SA"/>
        </w:rPr>
        <w:t> príslušnému orgánu druhého</w:t>
      </w:r>
      <w:r w:rsidRPr="008B5CFE">
        <w:rPr>
          <w:rFonts w:ascii="Times New Roman" w:eastAsia="MS Mincho" w:hAnsi="Times New Roman" w:cs="Times New Roman"/>
          <w:bCs/>
          <w:kern w:val="1"/>
          <w:sz w:val="24"/>
          <w:szCs w:val="24"/>
          <w:lang w:eastAsia="ar-SA"/>
        </w:rPr>
        <w:t xml:space="preserve"> štátu, </w:t>
      </w:r>
      <w:r>
        <w:rPr>
          <w:rFonts w:ascii="Times New Roman" w:eastAsia="MS Mincho" w:hAnsi="Times New Roman" w:cs="Times New Roman"/>
          <w:bCs/>
          <w:kern w:val="1"/>
          <w:sz w:val="24"/>
          <w:szCs w:val="24"/>
          <w:lang w:eastAsia="ar-SA"/>
        </w:rPr>
        <w:t>kde má používateľ</w:t>
      </w:r>
      <w:r w:rsidRPr="008B5CFE">
        <w:rPr>
          <w:rFonts w:ascii="Times New Roman" w:eastAsia="MS Mincho" w:hAnsi="Times New Roman" w:cs="Times New Roman"/>
          <w:bCs/>
          <w:kern w:val="1"/>
          <w:sz w:val="24"/>
          <w:szCs w:val="24"/>
          <w:lang w:eastAsia="ar-SA"/>
        </w:rPr>
        <w:t xml:space="preserve"> rezidenciu, predloží vyhlásenie</w:t>
      </w:r>
      <w:r>
        <w:rPr>
          <w:rFonts w:ascii="Times New Roman" w:eastAsia="MS Mincho" w:hAnsi="Times New Roman" w:cs="Times New Roman"/>
          <w:bCs/>
          <w:kern w:val="1"/>
          <w:sz w:val="24"/>
          <w:szCs w:val="24"/>
          <w:lang w:eastAsia="ar-SA"/>
        </w:rPr>
        <w:t xml:space="preserve"> potvrdzujúce to</w:t>
      </w:r>
      <w:r w:rsidRPr="008B5CFE">
        <w:rPr>
          <w:rFonts w:ascii="Times New Roman" w:eastAsia="MS Mincho" w:hAnsi="Times New Roman" w:cs="Times New Roman"/>
          <w:bCs/>
          <w:kern w:val="1"/>
          <w:sz w:val="24"/>
          <w:szCs w:val="24"/>
          <w:lang w:eastAsia="ar-SA"/>
        </w:rPr>
        <w:t>, že tie isté informácie predl</w:t>
      </w:r>
      <w:r>
        <w:rPr>
          <w:rFonts w:ascii="Times New Roman" w:eastAsia="MS Mincho" w:hAnsi="Times New Roman" w:cs="Times New Roman"/>
          <w:bCs/>
          <w:kern w:val="1"/>
          <w:sz w:val="24"/>
          <w:szCs w:val="24"/>
          <w:lang w:eastAsia="ar-SA"/>
        </w:rPr>
        <w:t>ožil už príslušnému orgánu iného</w:t>
      </w:r>
      <w:r w:rsidRPr="008B5CFE">
        <w:rPr>
          <w:rFonts w:ascii="Times New Roman" w:eastAsia="MS Mincho" w:hAnsi="Times New Roman" w:cs="Times New Roman"/>
          <w:bCs/>
          <w:kern w:val="1"/>
          <w:sz w:val="24"/>
          <w:szCs w:val="24"/>
          <w:lang w:eastAsia="ar-SA"/>
        </w:rPr>
        <w:t xml:space="preserve"> členského štátu. </w:t>
      </w:r>
      <w:r w:rsidRPr="00FB3FF0">
        <w:rPr>
          <w:rFonts w:ascii="Times New Roman" w:eastAsia="MS Mincho" w:hAnsi="Times New Roman" w:cs="Times New Roman"/>
          <w:bCs/>
          <w:kern w:val="1"/>
          <w:sz w:val="24"/>
          <w:szCs w:val="24"/>
          <w:lang w:eastAsia="ar-SA"/>
        </w:rPr>
        <w:t xml:space="preserve">Ak používateľ nemá na území Slovenskej republiky rezidenciu na daňové účely a nemá ju ani v žiadnom inom členskom štáte, používateľ podá informácie príslušnému orgánu Slovenskej republiky, ak má na území Slovenskej republiky stálu prevádzkareň, ktorá má z oznamovaného opatrenia výhody. </w:t>
      </w:r>
      <w:r>
        <w:rPr>
          <w:rFonts w:ascii="Times New Roman" w:eastAsia="MS Mincho" w:hAnsi="Times New Roman" w:cs="Times New Roman"/>
          <w:bCs/>
          <w:kern w:val="1"/>
          <w:sz w:val="24"/>
          <w:szCs w:val="24"/>
          <w:lang w:eastAsia="ar-SA"/>
        </w:rPr>
        <w:t>Analogicky, podľa stanovených kritérií, sa postupuje aj pri písmenách</w:t>
      </w:r>
      <w:r w:rsidRPr="00564D33">
        <w:rPr>
          <w:rFonts w:ascii="Times New Roman" w:eastAsia="MS Mincho" w:hAnsi="Times New Roman" w:cs="Times New Roman"/>
          <w:bCs/>
          <w:kern w:val="1"/>
          <w:sz w:val="24"/>
          <w:szCs w:val="24"/>
          <w:lang w:eastAsia="ar-SA"/>
        </w:rPr>
        <w:t xml:space="preserve"> c)</w:t>
      </w:r>
      <w:r>
        <w:rPr>
          <w:rFonts w:ascii="Times New Roman" w:eastAsia="MS Mincho" w:hAnsi="Times New Roman" w:cs="Times New Roman"/>
          <w:bCs/>
          <w:kern w:val="1"/>
          <w:sz w:val="24"/>
          <w:szCs w:val="24"/>
          <w:lang w:eastAsia="ar-SA"/>
        </w:rPr>
        <w:t xml:space="preserve"> a d).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6</w:t>
      </w:r>
    </w:p>
    <w:p w:rsidR="0033092E" w:rsidRPr="005743C8"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5743C8">
        <w:rPr>
          <w:rFonts w:ascii="Times New Roman" w:eastAsia="MS Mincho" w:hAnsi="Times New Roman" w:cs="Times New Roman"/>
          <w:bCs/>
          <w:kern w:val="1"/>
          <w:sz w:val="24"/>
          <w:szCs w:val="24"/>
          <w:lang w:eastAsia="ar-SA"/>
        </w:rPr>
        <w:t xml:space="preserve">Predmetné ustanovenie rieši situáciu, ak existuje viac </w:t>
      </w:r>
      <w:r>
        <w:rPr>
          <w:rFonts w:ascii="Times New Roman" w:eastAsia="MS Mincho" w:hAnsi="Times New Roman" w:cs="Times New Roman"/>
          <w:bCs/>
          <w:kern w:val="1"/>
          <w:sz w:val="24"/>
          <w:szCs w:val="24"/>
          <w:lang w:eastAsia="ar-SA"/>
        </w:rPr>
        <w:t>používateľov</w:t>
      </w:r>
      <w:r w:rsidRPr="005743C8">
        <w:rPr>
          <w:rFonts w:ascii="Times New Roman" w:eastAsia="MS Mincho" w:hAnsi="Times New Roman" w:cs="Times New Roman"/>
          <w:bCs/>
          <w:kern w:val="1"/>
          <w:sz w:val="24"/>
          <w:szCs w:val="24"/>
          <w:lang w:eastAsia="ar-SA"/>
        </w:rPr>
        <w:t>, ktorí sú povinnými osobami, teda sú povinné podať informácie o</w:t>
      </w:r>
      <w:r>
        <w:rPr>
          <w:rFonts w:ascii="Times New Roman" w:eastAsia="MS Mincho" w:hAnsi="Times New Roman" w:cs="Times New Roman"/>
          <w:bCs/>
          <w:kern w:val="1"/>
          <w:sz w:val="24"/>
          <w:szCs w:val="24"/>
          <w:lang w:eastAsia="ar-SA"/>
        </w:rPr>
        <w:t> tom istom oznamovanom opatrení.</w:t>
      </w:r>
      <w:r w:rsidRPr="005743C8">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P</w:t>
      </w:r>
      <w:r w:rsidRPr="005743C8">
        <w:rPr>
          <w:rFonts w:ascii="Times New Roman" w:eastAsia="MS Mincho" w:hAnsi="Times New Roman" w:cs="Times New Roman"/>
          <w:bCs/>
          <w:kern w:val="1"/>
          <w:sz w:val="24"/>
          <w:szCs w:val="24"/>
          <w:lang w:eastAsia="ar-SA"/>
        </w:rPr>
        <w:t xml:space="preserve">ovinnosť </w:t>
      </w:r>
      <w:r w:rsidRPr="005743C8">
        <w:rPr>
          <w:rFonts w:ascii="Times New Roman" w:eastAsia="MS Mincho" w:hAnsi="Times New Roman" w:cs="Times New Roman"/>
          <w:bCs/>
          <w:kern w:val="1"/>
          <w:sz w:val="24"/>
          <w:szCs w:val="24"/>
          <w:lang w:eastAsia="ar-SA"/>
        </w:rPr>
        <w:lastRenderedPageBreak/>
        <w:t>podať informáciu o</w:t>
      </w:r>
      <w:r>
        <w:rPr>
          <w:rFonts w:ascii="Times New Roman" w:eastAsia="MS Mincho" w:hAnsi="Times New Roman" w:cs="Times New Roman"/>
          <w:bCs/>
          <w:kern w:val="1"/>
          <w:sz w:val="24"/>
          <w:szCs w:val="24"/>
          <w:lang w:eastAsia="ar-SA"/>
        </w:rPr>
        <w:t> oznamovanom opatrení</w:t>
      </w:r>
      <w:r w:rsidRPr="005743C8">
        <w:rPr>
          <w:rFonts w:ascii="Times New Roman" w:eastAsia="MS Mincho" w:hAnsi="Times New Roman" w:cs="Times New Roman"/>
          <w:bCs/>
          <w:kern w:val="1"/>
          <w:sz w:val="24"/>
          <w:szCs w:val="24"/>
          <w:lang w:eastAsia="ar-SA"/>
        </w:rPr>
        <w:t xml:space="preserve"> príslušnému orgánu Slovenskej republiky </w:t>
      </w:r>
      <w:r>
        <w:rPr>
          <w:rFonts w:ascii="Times New Roman" w:eastAsia="MS Mincho" w:hAnsi="Times New Roman" w:cs="Times New Roman"/>
          <w:bCs/>
          <w:kern w:val="1"/>
          <w:sz w:val="24"/>
          <w:szCs w:val="24"/>
          <w:lang w:eastAsia="ar-SA"/>
        </w:rPr>
        <w:t>má v tomto prípade</w:t>
      </w:r>
      <w:r w:rsidRPr="005743C8">
        <w:rPr>
          <w:rFonts w:ascii="Times New Roman" w:eastAsia="MS Mincho" w:hAnsi="Times New Roman" w:cs="Times New Roman"/>
          <w:bCs/>
          <w:kern w:val="1"/>
          <w:sz w:val="24"/>
          <w:szCs w:val="24"/>
          <w:lang w:eastAsia="ar-SA"/>
        </w:rPr>
        <w:t xml:space="preserve"> ten </w:t>
      </w:r>
      <w:r>
        <w:rPr>
          <w:rFonts w:ascii="Times New Roman" w:eastAsia="MS Mincho" w:hAnsi="Times New Roman" w:cs="Times New Roman"/>
          <w:bCs/>
          <w:kern w:val="1"/>
          <w:sz w:val="24"/>
          <w:szCs w:val="24"/>
          <w:lang w:eastAsia="ar-SA"/>
        </w:rPr>
        <w:t>používateľ</w:t>
      </w:r>
      <w:r w:rsidRPr="005743C8">
        <w:rPr>
          <w:rFonts w:ascii="Times New Roman" w:eastAsia="MS Mincho" w:hAnsi="Times New Roman" w:cs="Times New Roman"/>
          <w:bCs/>
          <w:kern w:val="1"/>
          <w:sz w:val="24"/>
          <w:szCs w:val="24"/>
          <w:lang w:eastAsia="ar-SA"/>
        </w:rPr>
        <w:t xml:space="preserve">, ktorý so sprostredkovateľom dohodol </w:t>
      </w:r>
      <w:r>
        <w:rPr>
          <w:rFonts w:ascii="Times New Roman" w:eastAsia="MS Mincho" w:hAnsi="Times New Roman" w:cs="Times New Roman"/>
          <w:bCs/>
          <w:kern w:val="1"/>
          <w:sz w:val="24"/>
          <w:szCs w:val="24"/>
          <w:lang w:eastAsia="ar-SA"/>
        </w:rPr>
        <w:t>oznamované opatrenie. Ak takýto používateľ, ktorý so sprostredkovateľom dohodol oznamované opatrenia, neexistuje v žiadnom členskom štáte EÚ</w:t>
      </w:r>
      <w:r w:rsidRPr="005743C8">
        <w:rPr>
          <w:rFonts w:ascii="Times New Roman" w:eastAsia="MS Mincho" w:hAnsi="Times New Roman" w:cs="Times New Roman"/>
          <w:bCs/>
          <w:kern w:val="1"/>
          <w:sz w:val="24"/>
          <w:szCs w:val="24"/>
          <w:lang w:eastAsia="ar-SA"/>
        </w:rPr>
        <w:t>, tak</w:t>
      </w:r>
      <w:r>
        <w:rPr>
          <w:rFonts w:ascii="Times New Roman" w:eastAsia="MS Mincho" w:hAnsi="Times New Roman" w:cs="Times New Roman"/>
          <w:bCs/>
          <w:kern w:val="1"/>
          <w:sz w:val="24"/>
          <w:szCs w:val="24"/>
          <w:lang w:eastAsia="ar-SA"/>
        </w:rPr>
        <w:t xml:space="preserve"> príslušnému orgánu Slovenskej republiky podáva</w:t>
      </w:r>
      <w:r w:rsidRPr="005743C8">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informácie </w:t>
      </w:r>
      <w:r w:rsidRPr="005743C8">
        <w:rPr>
          <w:rFonts w:ascii="Times New Roman" w:eastAsia="MS Mincho" w:hAnsi="Times New Roman" w:cs="Times New Roman"/>
          <w:bCs/>
          <w:kern w:val="1"/>
          <w:sz w:val="24"/>
          <w:szCs w:val="24"/>
          <w:lang w:eastAsia="ar-SA"/>
        </w:rPr>
        <w:t xml:space="preserve">ten </w:t>
      </w:r>
      <w:r>
        <w:rPr>
          <w:rFonts w:ascii="Times New Roman" w:eastAsia="MS Mincho" w:hAnsi="Times New Roman" w:cs="Times New Roman"/>
          <w:bCs/>
          <w:kern w:val="1"/>
          <w:sz w:val="24"/>
          <w:szCs w:val="24"/>
          <w:lang w:eastAsia="ar-SA"/>
        </w:rPr>
        <w:t>používateľ</w:t>
      </w:r>
      <w:r w:rsidRPr="005743C8">
        <w:rPr>
          <w:rFonts w:ascii="Times New Roman" w:eastAsia="MS Mincho" w:hAnsi="Times New Roman" w:cs="Times New Roman"/>
          <w:bCs/>
          <w:kern w:val="1"/>
          <w:sz w:val="24"/>
          <w:szCs w:val="24"/>
          <w:lang w:eastAsia="ar-SA"/>
        </w:rPr>
        <w:t xml:space="preserve">, ktorý riadi </w:t>
      </w:r>
      <w:r>
        <w:rPr>
          <w:rFonts w:ascii="Times New Roman" w:eastAsia="MS Mincho" w:hAnsi="Times New Roman" w:cs="Times New Roman"/>
          <w:bCs/>
          <w:kern w:val="1"/>
          <w:sz w:val="24"/>
          <w:szCs w:val="24"/>
          <w:lang w:eastAsia="ar-SA"/>
        </w:rPr>
        <w:t>zavedenie</w:t>
      </w:r>
      <w:r w:rsidRPr="005743C8">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oznamovaného opatrenia</w:t>
      </w:r>
      <w:r w:rsidRPr="005743C8">
        <w:rPr>
          <w:rFonts w:ascii="Times New Roman" w:eastAsia="MS Mincho" w:hAnsi="Times New Roman" w:cs="Times New Roman"/>
          <w:bCs/>
          <w:kern w:val="1"/>
          <w:sz w:val="24"/>
          <w:szCs w:val="24"/>
          <w:lang w:eastAsia="ar-SA"/>
        </w:rPr>
        <w:t>.</w:t>
      </w:r>
      <w:r>
        <w:rPr>
          <w:rFonts w:ascii="Times New Roman" w:eastAsia="MS Mincho" w:hAnsi="Times New Roman" w:cs="Times New Roman"/>
          <w:bCs/>
          <w:kern w:val="1"/>
          <w:sz w:val="24"/>
          <w:szCs w:val="24"/>
          <w:lang w:eastAsia="ar-SA"/>
        </w:rPr>
        <w:t xml:space="preserve"> Informácie podáva v prvom rade vždy ten používateľ, ktorý so sprostredkovateľom dohodol oznamované opatrenie. Až keď takýto používateľ nie je, tak sa povinnosť podať informácie presúva na používateľa, ktorý riadi zavedenie oznamovaného opatrenia. Napr. ak používateľ A riadil zavedenie oznamovaného opatrenia, ale používateľ B bol ten, ktorý so sprostredkovateľom dohodol oznamované opatrenie, informácie je príslušnému orgánu Slovenskej republiky povinný podať sprostredkovateľ B.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7</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pôsobiaci vo viacerých členských </w:t>
      </w:r>
      <w:r>
        <w:rPr>
          <w:rFonts w:ascii="Times New Roman" w:eastAsia="MS Mincho" w:hAnsi="Times New Roman" w:cs="Times New Roman"/>
          <w:bCs/>
          <w:kern w:val="1"/>
          <w:sz w:val="24"/>
          <w:szCs w:val="24"/>
          <w:lang w:eastAsia="ar-SA"/>
        </w:rPr>
        <w:t>štátoch, ktorý je podľa odseku 5</w:t>
      </w:r>
      <w:r w:rsidRPr="00EA3F99">
        <w:rPr>
          <w:rFonts w:ascii="Times New Roman" w:eastAsia="MS Mincho" w:hAnsi="Times New Roman" w:cs="Times New Roman"/>
          <w:bCs/>
          <w:kern w:val="1"/>
          <w:sz w:val="24"/>
          <w:szCs w:val="24"/>
          <w:lang w:eastAsia="ar-SA"/>
        </w:rPr>
        <w:t xml:space="preserve"> povinný podať informácie príslušnému orgánu Slovenskej republiky, je od tejto povinnosti podať zákonom požadované informácie o </w:t>
      </w:r>
      <w:r>
        <w:rPr>
          <w:rFonts w:ascii="Times New Roman" w:eastAsia="MS Mincho" w:hAnsi="Times New Roman" w:cs="Times New Roman"/>
          <w:bCs/>
          <w:kern w:val="1"/>
          <w:sz w:val="24"/>
          <w:szCs w:val="24"/>
          <w:lang w:eastAsia="ar-SA"/>
        </w:rPr>
        <w:t>oznamovanom</w:t>
      </w:r>
      <w:r w:rsidRPr="00EA3F99">
        <w:rPr>
          <w:rFonts w:ascii="Times New Roman" w:eastAsia="MS Mincho" w:hAnsi="Times New Roman" w:cs="Times New Roman"/>
          <w:bCs/>
          <w:kern w:val="1"/>
          <w:sz w:val="24"/>
          <w:szCs w:val="24"/>
          <w:lang w:eastAsia="ar-SA"/>
        </w:rPr>
        <w:t xml:space="preserve"> opatrení príslušnému orgánu Slovenskej republiky oslobodený</w:t>
      </w:r>
      <w:r>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ak príslušnému orgánu Slovenskej republiky </w:t>
      </w:r>
      <w:r>
        <w:rPr>
          <w:rFonts w:ascii="Times New Roman" w:eastAsia="MS Mincho" w:hAnsi="Times New Roman" w:cs="Times New Roman"/>
          <w:bCs/>
          <w:kern w:val="1"/>
          <w:sz w:val="24"/>
          <w:szCs w:val="24"/>
          <w:lang w:eastAsia="ar-SA"/>
        </w:rPr>
        <w:t xml:space="preserve">elektronicky </w:t>
      </w:r>
      <w:r w:rsidRPr="00EA3F99">
        <w:rPr>
          <w:rFonts w:ascii="Times New Roman" w:eastAsia="MS Mincho" w:hAnsi="Times New Roman" w:cs="Times New Roman"/>
          <w:bCs/>
          <w:kern w:val="1"/>
          <w:sz w:val="24"/>
          <w:szCs w:val="24"/>
          <w:lang w:eastAsia="ar-SA"/>
        </w:rPr>
        <w:t xml:space="preserve">predloží </w:t>
      </w:r>
      <w:r>
        <w:rPr>
          <w:rFonts w:ascii="Times New Roman" w:eastAsia="MS Mincho" w:hAnsi="Times New Roman" w:cs="Times New Roman"/>
          <w:bCs/>
          <w:kern w:val="1"/>
          <w:sz w:val="24"/>
          <w:szCs w:val="24"/>
          <w:lang w:eastAsia="ar-SA"/>
        </w:rPr>
        <w:t>vyhlásenie</w:t>
      </w:r>
      <w:r w:rsidRPr="00EA3F99">
        <w:rPr>
          <w:rFonts w:ascii="Times New Roman" w:eastAsia="MS Mincho" w:hAnsi="Times New Roman" w:cs="Times New Roman"/>
          <w:bCs/>
          <w:kern w:val="1"/>
          <w:sz w:val="24"/>
          <w:szCs w:val="24"/>
          <w:lang w:eastAsia="ar-SA"/>
        </w:rPr>
        <w:t xml:space="preserve">  o tom, že tie isté informácie o</w:t>
      </w:r>
      <w:r>
        <w:rPr>
          <w:rFonts w:ascii="Times New Roman" w:eastAsia="MS Mincho" w:hAnsi="Times New Roman" w:cs="Times New Roman"/>
          <w:bCs/>
          <w:kern w:val="1"/>
          <w:sz w:val="24"/>
          <w:szCs w:val="24"/>
          <w:lang w:eastAsia="ar-SA"/>
        </w:rPr>
        <w:t> oznamovanom opatrení</w:t>
      </w:r>
      <w:r w:rsidRPr="00EA3F99">
        <w:rPr>
          <w:rFonts w:ascii="Times New Roman" w:eastAsia="MS Mincho" w:hAnsi="Times New Roman" w:cs="Times New Roman"/>
          <w:bCs/>
          <w:kern w:val="1"/>
          <w:sz w:val="24"/>
          <w:szCs w:val="24"/>
          <w:lang w:eastAsia="ar-SA"/>
        </w:rPr>
        <w:t xml:space="preserve">, ktoré mal on podať príslušnému orgánu Slovenskej republiky, už </w:t>
      </w:r>
      <w:r>
        <w:rPr>
          <w:rFonts w:ascii="Times New Roman" w:eastAsia="MS Mincho" w:hAnsi="Times New Roman" w:cs="Times New Roman"/>
          <w:bCs/>
          <w:kern w:val="1"/>
          <w:sz w:val="24"/>
          <w:szCs w:val="24"/>
          <w:lang w:eastAsia="ar-SA"/>
        </w:rPr>
        <w:t xml:space="preserve">ním </w:t>
      </w:r>
      <w:r w:rsidRPr="00EA3F99">
        <w:rPr>
          <w:rFonts w:ascii="Times New Roman" w:eastAsia="MS Mincho" w:hAnsi="Times New Roman" w:cs="Times New Roman"/>
          <w:bCs/>
          <w:kern w:val="1"/>
          <w:sz w:val="24"/>
          <w:szCs w:val="24"/>
          <w:lang w:eastAsia="ar-SA"/>
        </w:rPr>
        <w:t xml:space="preserve">boli podané príslušnému orgánu </w:t>
      </w:r>
      <w:r>
        <w:rPr>
          <w:rFonts w:ascii="Times New Roman" w:eastAsia="MS Mincho" w:hAnsi="Times New Roman" w:cs="Times New Roman"/>
          <w:bCs/>
          <w:kern w:val="1"/>
          <w:sz w:val="24"/>
          <w:szCs w:val="24"/>
          <w:lang w:eastAsia="ar-SA"/>
        </w:rPr>
        <w:t xml:space="preserve">iného </w:t>
      </w:r>
      <w:r w:rsidRPr="00EA3F99">
        <w:rPr>
          <w:rFonts w:ascii="Times New Roman" w:eastAsia="MS Mincho" w:hAnsi="Times New Roman" w:cs="Times New Roman"/>
          <w:bCs/>
          <w:kern w:val="1"/>
          <w:sz w:val="24"/>
          <w:szCs w:val="24"/>
          <w:lang w:eastAsia="ar-SA"/>
        </w:rPr>
        <w:t>členského štátu.</w:t>
      </w:r>
      <w:r w:rsidRPr="005E447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Môže ísť napr. o situácie, ktoré sú rozpísané aj v rámci § 8c ods. 5, napr. ak používateľ je súčasne rezidentom na daňové účely v dvoch členských štátoch a podal informácie o oznamovanom opatrení príslušnému orgánu jedného členského štátu, kde má rezidenciu na daňové účely.</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Zároveň tento odsek nadväzuje na odsek 6</w:t>
      </w:r>
      <w:r w:rsidRPr="00EA3F99">
        <w:rPr>
          <w:rFonts w:ascii="Times New Roman" w:eastAsia="MS Mincho" w:hAnsi="Times New Roman" w:cs="Times New Roman"/>
          <w:bCs/>
          <w:kern w:val="1"/>
          <w:sz w:val="24"/>
          <w:szCs w:val="24"/>
          <w:lang w:eastAsia="ar-SA"/>
        </w:rPr>
        <w:t xml:space="preserve">, v ktorom sa vyriešila situácia, ktorý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má podať informácie o </w:t>
      </w:r>
      <w:r>
        <w:rPr>
          <w:rFonts w:ascii="Times New Roman" w:eastAsia="MS Mincho" w:hAnsi="Times New Roman" w:cs="Times New Roman"/>
          <w:bCs/>
          <w:kern w:val="1"/>
          <w:sz w:val="24"/>
          <w:szCs w:val="24"/>
          <w:lang w:eastAsia="ar-SA"/>
        </w:rPr>
        <w:t>oznamovanom</w:t>
      </w:r>
      <w:r w:rsidRPr="00EA3F99">
        <w:rPr>
          <w:rFonts w:ascii="Times New Roman" w:eastAsia="MS Mincho" w:hAnsi="Times New Roman" w:cs="Times New Roman"/>
          <w:bCs/>
          <w:kern w:val="1"/>
          <w:sz w:val="24"/>
          <w:szCs w:val="24"/>
          <w:lang w:eastAsia="ar-SA"/>
        </w:rPr>
        <w:t xml:space="preserve"> opatrení príslušnému orgánu Slovenskej republiky, ak exis</w:t>
      </w:r>
      <w:r>
        <w:rPr>
          <w:rFonts w:ascii="Times New Roman" w:eastAsia="MS Mincho" w:hAnsi="Times New Roman" w:cs="Times New Roman"/>
          <w:bCs/>
          <w:kern w:val="1"/>
          <w:sz w:val="24"/>
          <w:szCs w:val="24"/>
          <w:lang w:eastAsia="ar-SA"/>
        </w:rPr>
        <w:t>tuje viac používateľov oznamovaného opatrenia</w:t>
      </w:r>
      <w:r w:rsidRPr="00EA3F99">
        <w:rPr>
          <w:rFonts w:ascii="Times New Roman" w:eastAsia="MS Mincho" w:hAnsi="Times New Roman" w:cs="Times New Roman"/>
          <w:bCs/>
          <w:kern w:val="1"/>
          <w:sz w:val="24"/>
          <w:szCs w:val="24"/>
          <w:lang w:eastAsia="ar-SA"/>
        </w:rPr>
        <w:t>, ktorí sú povinnými osobami a teda majú povinnosť podávať informácie príslušnému orgán</w:t>
      </w:r>
      <w:r>
        <w:rPr>
          <w:rFonts w:ascii="Times New Roman" w:eastAsia="MS Mincho" w:hAnsi="Times New Roman" w:cs="Times New Roman"/>
          <w:bCs/>
          <w:kern w:val="1"/>
          <w:sz w:val="24"/>
          <w:szCs w:val="24"/>
          <w:lang w:eastAsia="ar-SA"/>
        </w:rPr>
        <w:t>u Slovenskej republiky</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podľa odseku</w:t>
      </w:r>
      <w:r>
        <w:rPr>
          <w:rFonts w:ascii="Times New Roman" w:eastAsia="MS Mincho" w:hAnsi="Times New Roman" w:cs="Times New Roman"/>
          <w:bCs/>
          <w:kern w:val="1"/>
          <w:sz w:val="24"/>
          <w:szCs w:val="24"/>
          <w:lang w:eastAsia="ar-SA"/>
        </w:rPr>
        <w:t xml:space="preserve"> 6</w:t>
      </w:r>
      <w:r w:rsidRPr="00EA3F99">
        <w:rPr>
          <w:rFonts w:ascii="Times New Roman" w:eastAsia="MS Mincho" w:hAnsi="Times New Roman" w:cs="Times New Roman"/>
          <w:bCs/>
          <w:kern w:val="1"/>
          <w:sz w:val="24"/>
          <w:szCs w:val="24"/>
          <w:lang w:eastAsia="ar-SA"/>
        </w:rPr>
        <w:t>, ktorý by bol inak povinný podať informácie, je od tejto povinnosti oslobodený, ak v súlade s vnútroštátnym právnym poriadkom</w:t>
      </w:r>
      <w:r>
        <w:rPr>
          <w:rFonts w:ascii="Times New Roman" w:eastAsia="MS Mincho" w:hAnsi="Times New Roman" w:cs="Times New Roman"/>
          <w:bCs/>
          <w:kern w:val="1"/>
          <w:sz w:val="24"/>
          <w:szCs w:val="24"/>
          <w:lang w:eastAsia="ar-SA"/>
        </w:rPr>
        <w:t xml:space="preserve"> SR</w:t>
      </w:r>
      <w:r w:rsidRPr="00EA3F99">
        <w:rPr>
          <w:rFonts w:ascii="Times New Roman" w:eastAsia="MS Mincho" w:hAnsi="Times New Roman" w:cs="Times New Roman"/>
          <w:bCs/>
          <w:kern w:val="1"/>
          <w:sz w:val="24"/>
          <w:szCs w:val="24"/>
          <w:lang w:eastAsia="ar-SA"/>
        </w:rPr>
        <w:t xml:space="preserve"> hodnoverne preukáže</w:t>
      </w:r>
      <w:r>
        <w:rPr>
          <w:rFonts w:ascii="Times New Roman" w:eastAsia="MS Mincho" w:hAnsi="Times New Roman" w:cs="Times New Roman"/>
          <w:bCs/>
          <w:kern w:val="1"/>
          <w:sz w:val="24"/>
          <w:szCs w:val="24"/>
          <w:lang w:eastAsia="ar-SA"/>
        </w:rPr>
        <w:t xml:space="preserve"> (tým, že elektronicky predloží vyhlásenie)</w:t>
      </w:r>
      <w:r w:rsidRPr="00EA3F99">
        <w:rPr>
          <w:rFonts w:ascii="Times New Roman" w:eastAsia="MS Mincho" w:hAnsi="Times New Roman" w:cs="Times New Roman"/>
          <w:bCs/>
          <w:kern w:val="1"/>
          <w:sz w:val="24"/>
          <w:szCs w:val="24"/>
          <w:lang w:eastAsia="ar-SA"/>
        </w:rPr>
        <w:t xml:space="preserve">, že tie isté informácie, ktoré by mal podať on, podal príslušnému orgánu už iný </w:t>
      </w:r>
      <w:r>
        <w:rPr>
          <w:rFonts w:ascii="Times New Roman" w:eastAsia="MS Mincho" w:hAnsi="Times New Roman" w:cs="Times New Roman"/>
          <w:bCs/>
          <w:kern w:val="1"/>
          <w:sz w:val="24"/>
          <w:szCs w:val="24"/>
          <w:lang w:eastAsia="ar-SA"/>
        </w:rPr>
        <w:t>používateľ opatrenia</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Ak existuje viac používateľov, ktorí sú povinní podať informácie o tom istom oznamovanom opatrení a majú o sebe vedomosť, že sú zapojení do toho istého oznamovaného opatrenia, tak títo používatelia sa môžu rovnako ako sprostredkovatelia podľa ods. 4 dohodnúť a zvoliť si spoločného zástupcu a podať spoločné vyhlásenie. Používateľ podľa ods. 6,</w:t>
      </w:r>
      <w:r w:rsidRPr="00062E5A">
        <w:rPr>
          <w:rFonts w:ascii="Times New Roman" w:eastAsia="MS Mincho" w:hAnsi="Times New Roman" w:cs="Times New Roman"/>
          <w:bCs/>
          <w:kern w:val="1"/>
          <w:sz w:val="24"/>
          <w:szCs w:val="24"/>
          <w:lang w:eastAsia="ar-SA"/>
        </w:rPr>
        <w:t xml:space="preserve"> ktorý predložil vyhlásenie preukazujúce, že tie isté informácie už boli podané iným </w:t>
      </w:r>
      <w:r>
        <w:rPr>
          <w:rFonts w:ascii="Times New Roman" w:eastAsia="MS Mincho" w:hAnsi="Times New Roman" w:cs="Times New Roman"/>
          <w:bCs/>
          <w:kern w:val="1"/>
          <w:sz w:val="24"/>
          <w:szCs w:val="24"/>
          <w:lang w:eastAsia="ar-SA"/>
        </w:rPr>
        <w:t>používateľom</w:t>
      </w:r>
      <w:r w:rsidRPr="00062E5A">
        <w:rPr>
          <w:rFonts w:ascii="Times New Roman" w:eastAsia="MS Mincho" w:hAnsi="Times New Roman" w:cs="Times New Roman"/>
          <w:bCs/>
          <w:kern w:val="1"/>
          <w:sz w:val="24"/>
          <w:szCs w:val="24"/>
          <w:lang w:eastAsia="ar-SA"/>
        </w:rPr>
        <w:t xml:space="preserve">, musí v predloženom vyhlásení uviesť identifikačné údaje </w:t>
      </w:r>
      <w:r>
        <w:rPr>
          <w:rFonts w:ascii="Times New Roman" w:eastAsia="MS Mincho" w:hAnsi="Times New Roman" w:cs="Times New Roman"/>
          <w:bCs/>
          <w:kern w:val="1"/>
          <w:sz w:val="24"/>
          <w:szCs w:val="24"/>
          <w:lang w:eastAsia="ar-SA"/>
        </w:rPr>
        <w:t xml:space="preserve">v rozsahu </w:t>
      </w:r>
      <w:r w:rsidRPr="00062E5A">
        <w:rPr>
          <w:rFonts w:ascii="Times New Roman" w:eastAsia="MS Mincho" w:hAnsi="Times New Roman" w:cs="Times New Roman"/>
          <w:bCs/>
          <w:kern w:val="1"/>
          <w:sz w:val="24"/>
          <w:szCs w:val="24"/>
          <w:lang w:eastAsia="ar-SA"/>
        </w:rPr>
        <w:t xml:space="preserve">podľa § 8f </w:t>
      </w:r>
      <w:r>
        <w:rPr>
          <w:rFonts w:ascii="Times New Roman" w:eastAsia="MS Mincho" w:hAnsi="Times New Roman" w:cs="Times New Roman"/>
          <w:bCs/>
          <w:kern w:val="1"/>
          <w:sz w:val="24"/>
          <w:szCs w:val="24"/>
          <w:lang w:eastAsia="ar-SA"/>
        </w:rPr>
        <w:t>písmeno a) toho používateľa</w:t>
      </w:r>
      <w:r w:rsidRPr="00062E5A">
        <w:rPr>
          <w:rFonts w:ascii="Times New Roman" w:eastAsia="MS Mincho" w:hAnsi="Times New Roman" w:cs="Times New Roman"/>
          <w:bCs/>
          <w:kern w:val="1"/>
          <w:sz w:val="24"/>
          <w:szCs w:val="24"/>
          <w:lang w:eastAsia="ar-SA"/>
        </w:rPr>
        <w:t>, ktorý už podal tie isté informácie.</w:t>
      </w:r>
      <w:r>
        <w:t xml:space="preserve"> </w:t>
      </w:r>
      <w:r>
        <w:rPr>
          <w:rFonts w:ascii="Times New Roman" w:eastAsia="MS Mincho" w:hAnsi="Times New Roman" w:cs="Times New Roman"/>
          <w:bCs/>
          <w:kern w:val="1"/>
          <w:sz w:val="24"/>
          <w:szCs w:val="24"/>
          <w:lang w:eastAsia="ar-SA"/>
        </w:rPr>
        <w:t>Obsah spoločného vyhlásenia podľa ods. 7 je obdobný ako obsah spoločného vyhlásenia podľa ods. 4.</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7F1F82">
        <w:rPr>
          <w:rFonts w:ascii="Times New Roman" w:eastAsia="MS Mincho" w:hAnsi="Times New Roman" w:cs="Times New Roman"/>
          <w:bCs/>
          <w:kern w:val="1"/>
          <w:sz w:val="24"/>
          <w:szCs w:val="24"/>
          <w:lang w:eastAsia="ar-SA"/>
        </w:rPr>
        <w:t>Vyhlásenie</w:t>
      </w:r>
      <w:r>
        <w:rPr>
          <w:rFonts w:ascii="Times New Roman" w:eastAsia="MS Mincho" w:hAnsi="Times New Roman" w:cs="Times New Roman"/>
          <w:bCs/>
          <w:kern w:val="1"/>
          <w:sz w:val="24"/>
          <w:szCs w:val="24"/>
          <w:lang w:eastAsia="ar-SA"/>
        </w:rPr>
        <w:t>, ako aj spoločné vyhlásenie,</w:t>
      </w:r>
      <w:r w:rsidRPr="007F1F82">
        <w:rPr>
          <w:rFonts w:ascii="Times New Roman" w:eastAsia="MS Mincho" w:hAnsi="Times New Roman" w:cs="Times New Roman"/>
          <w:bCs/>
          <w:kern w:val="1"/>
          <w:sz w:val="24"/>
          <w:szCs w:val="24"/>
          <w:lang w:eastAsia="ar-SA"/>
        </w:rPr>
        <w:t xml:space="preserve"> sa má podať v lehote rovnakej, ako je lehota na podanie informácie o oznamov</w:t>
      </w:r>
      <w:r>
        <w:rPr>
          <w:rFonts w:ascii="Times New Roman" w:eastAsia="MS Mincho" w:hAnsi="Times New Roman" w:cs="Times New Roman"/>
          <w:bCs/>
          <w:kern w:val="1"/>
          <w:sz w:val="24"/>
          <w:szCs w:val="24"/>
          <w:lang w:eastAsia="ar-SA"/>
        </w:rPr>
        <w:t>anom opatrení podľa § 8e ods. 5.</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Ods. 8</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Vzor elektronických vyhlásení a spoločných vyhlásení v presne stanovenej štruktúrovanej podobe, ktoré sprostredkovateľ, používateľ alebo spoločný zástupca predkladajú príslušnému orgánu,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xml:space="preserve">. Finančnému riaditeľstvu SR, zverejní Finančné riaditeľstvo SR na svojom webovom sídle. </w:t>
      </w:r>
    </w:p>
    <w:p w:rsidR="0033092E" w:rsidRPr="00EA3F99" w:rsidRDefault="0033092E" w:rsidP="0033092E">
      <w:pPr>
        <w:suppressAutoHyphens/>
        <w:spacing w:after="0" w:line="100" w:lineRule="atLeast"/>
        <w:jc w:val="both"/>
        <w:rPr>
          <w:rFonts w:ascii="Times New Roman" w:eastAsia="MS Mincho" w:hAnsi="Times New Roman" w:cs="Times New Roman"/>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§8d</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080521" w:rsidRDefault="0033092E" w:rsidP="0033092E">
      <w:pPr>
        <w:spacing w:after="0" w:line="240" w:lineRule="auto"/>
        <w:jc w:val="both"/>
        <w:rPr>
          <w:rFonts w:ascii="Times New Roman" w:eastAsia="MS Mincho" w:hAnsi="Times New Roman" w:cs="Times New Roman"/>
          <w:bCs/>
          <w:kern w:val="1"/>
          <w:sz w:val="24"/>
          <w:szCs w:val="24"/>
          <w:lang w:eastAsia="ar-SA"/>
        </w:rPr>
      </w:pPr>
      <w:r w:rsidRPr="001803D4">
        <w:rPr>
          <w:rFonts w:ascii="Times New Roman" w:eastAsia="MS Mincho" w:hAnsi="Times New Roman" w:cs="Times New Roman"/>
          <w:bCs/>
          <w:kern w:val="1"/>
          <w:sz w:val="24"/>
          <w:szCs w:val="24"/>
          <w:lang w:eastAsia="ar-SA"/>
        </w:rPr>
        <w:lastRenderedPageBreak/>
        <w:t xml:space="preserve">Tento paragraf upravuje situáciu, keď je do </w:t>
      </w:r>
      <w:r>
        <w:rPr>
          <w:rFonts w:ascii="Times New Roman" w:eastAsia="MS Mincho" w:hAnsi="Times New Roman" w:cs="Times New Roman"/>
          <w:bCs/>
          <w:kern w:val="1"/>
          <w:sz w:val="24"/>
          <w:szCs w:val="24"/>
          <w:lang w:eastAsia="ar-SA"/>
        </w:rPr>
        <w:t xml:space="preserve">oznamovaného opatrenia </w:t>
      </w:r>
      <w:r w:rsidRPr="001803D4">
        <w:rPr>
          <w:rFonts w:ascii="Times New Roman" w:eastAsia="MS Mincho" w:hAnsi="Times New Roman" w:cs="Times New Roman"/>
          <w:bCs/>
          <w:kern w:val="1"/>
          <w:sz w:val="24"/>
          <w:szCs w:val="24"/>
          <w:lang w:eastAsia="ar-SA"/>
        </w:rPr>
        <w:t>zapojený sprostredkovateľ, ktorý je viazaný povinnosťou mlčanlivosti ohľadne oznamovaného opatrenia, ktorá vyplýva z právnych predpisov upravujúcich jeho povolanie. Ak je do cezhraničného opatrenia zapojený takýto sprostredkovateľ a zároveň sa na danom opatrení podieľa aj iný sprostredkovateľ, zákon</w:t>
      </w:r>
      <w:r>
        <w:rPr>
          <w:rFonts w:ascii="Times New Roman" w:eastAsia="MS Mincho" w:hAnsi="Times New Roman" w:cs="Times New Roman"/>
          <w:bCs/>
          <w:kern w:val="1"/>
          <w:sz w:val="24"/>
          <w:szCs w:val="24"/>
          <w:lang w:eastAsia="ar-SA"/>
        </w:rPr>
        <w:t xml:space="preserve"> tomuto</w:t>
      </w:r>
      <w:r w:rsidRPr="001803D4">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prvému </w:t>
      </w:r>
      <w:r w:rsidRPr="001803D4">
        <w:rPr>
          <w:rFonts w:ascii="Times New Roman" w:eastAsia="MS Mincho" w:hAnsi="Times New Roman" w:cs="Times New Roman"/>
          <w:bCs/>
          <w:kern w:val="1"/>
          <w:sz w:val="24"/>
          <w:szCs w:val="24"/>
          <w:lang w:eastAsia="ar-SA"/>
        </w:rPr>
        <w:t>sprostredkovateľ</w:t>
      </w:r>
      <w:r>
        <w:rPr>
          <w:rFonts w:ascii="Times New Roman" w:eastAsia="MS Mincho" w:hAnsi="Times New Roman" w:cs="Times New Roman"/>
          <w:bCs/>
          <w:kern w:val="1"/>
          <w:sz w:val="24"/>
          <w:szCs w:val="24"/>
          <w:lang w:eastAsia="ar-SA"/>
        </w:rPr>
        <w:t>ovi</w:t>
      </w:r>
      <w:r w:rsidRPr="001803D4">
        <w:rPr>
          <w:rFonts w:ascii="Times New Roman" w:eastAsia="MS Mincho" w:hAnsi="Times New Roman" w:cs="Times New Roman"/>
          <w:bCs/>
          <w:kern w:val="1"/>
          <w:sz w:val="24"/>
          <w:szCs w:val="24"/>
          <w:lang w:eastAsia="ar-SA"/>
        </w:rPr>
        <w:t xml:space="preserve">, ukladá povinnosť bez zbytočného odkladu informovať ďalšieho sprostredkovateľa zúčastneného na </w:t>
      </w:r>
      <w:r>
        <w:rPr>
          <w:rFonts w:ascii="Times New Roman" w:eastAsia="MS Mincho" w:hAnsi="Times New Roman" w:cs="Times New Roman"/>
          <w:bCs/>
          <w:kern w:val="1"/>
          <w:sz w:val="24"/>
          <w:szCs w:val="24"/>
          <w:lang w:eastAsia="ar-SA"/>
        </w:rPr>
        <w:t>oznamovanom opatrení</w:t>
      </w:r>
      <w:r w:rsidRPr="001803D4">
        <w:rPr>
          <w:rFonts w:ascii="Times New Roman" w:eastAsia="MS Mincho" w:hAnsi="Times New Roman" w:cs="Times New Roman"/>
          <w:bCs/>
          <w:kern w:val="1"/>
          <w:sz w:val="24"/>
          <w:szCs w:val="24"/>
          <w:lang w:eastAsia="ar-SA"/>
        </w:rPr>
        <w:t xml:space="preserve"> o jeho povinnosti podať informácie o</w:t>
      </w:r>
      <w:r>
        <w:rPr>
          <w:rFonts w:ascii="Times New Roman" w:eastAsia="MS Mincho" w:hAnsi="Times New Roman" w:cs="Times New Roman"/>
          <w:bCs/>
          <w:kern w:val="1"/>
          <w:sz w:val="24"/>
          <w:szCs w:val="24"/>
          <w:lang w:eastAsia="ar-SA"/>
        </w:rPr>
        <w:t> oznamovanom opatrení</w:t>
      </w:r>
      <w:r w:rsidRPr="001803D4">
        <w:rPr>
          <w:rFonts w:ascii="Times New Roman" w:eastAsia="MS Mincho" w:hAnsi="Times New Roman" w:cs="Times New Roman"/>
          <w:bCs/>
          <w:kern w:val="1"/>
          <w:sz w:val="24"/>
          <w:szCs w:val="24"/>
          <w:lang w:eastAsia="ar-SA"/>
        </w:rPr>
        <w:t xml:space="preserve"> v rozsahu podľa § 8f príslušnému orgánu Slovenskej republiky. Ak všetci sprostredkovatelia zapojení do oznamovaného opatrenia sú viazaní zákonnou povinnosťou zachovávania mlčanlivosti alebo žiadny ďalší sprostredkovateľ sa na cezhraničnom opatrení nezúčastňuje,</w:t>
      </w:r>
      <w:r>
        <w:rPr>
          <w:rFonts w:ascii="Times New Roman" w:eastAsia="MS Mincho" w:hAnsi="Times New Roman" w:cs="Times New Roman"/>
          <w:bCs/>
          <w:kern w:val="1"/>
          <w:sz w:val="24"/>
          <w:szCs w:val="24"/>
          <w:lang w:eastAsia="ar-SA"/>
        </w:rPr>
        <w:t xml:space="preserve"> resp. sprostredkovateľ s povinnosťou zachovávania mlčanlivosti nemá vedomosť o žiadnom inom sprostredkovateľovi, tak</w:t>
      </w:r>
      <w:r w:rsidRPr="001803D4">
        <w:rPr>
          <w:rFonts w:ascii="Times New Roman" w:eastAsia="MS Mincho" w:hAnsi="Times New Roman" w:cs="Times New Roman"/>
          <w:bCs/>
          <w:kern w:val="1"/>
          <w:sz w:val="24"/>
          <w:szCs w:val="24"/>
          <w:lang w:eastAsia="ar-SA"/>
        </w:rPr>
        <w:t xml:space="preserve"> tento sprostredkovateľ, je povinný bez zbytočného odkladu informovať </w:t>
      </w:r>
      <w:r>
        <w:rPr>
          <w:rFonts w:ascii="Times New Roman" w:eastAsia="MS Mincho" w:hAnsi="Times New Roman" w:cs="Times New Roman"/>
          <w:bCs/>
          <w:kern w:val="1"/>
          <w:sz w:val="24"/>
          <w:szCs w:val="24"/>
          <w:lang w:eastAsia="ar-SA"/>
        </w:rPr>
        <w:t>používateľa</w:t>
      </w:r>
      <w:r w:rsidRPr="001803D4">
        <w:rPr>
          <w:rFonts w:ascii="Times New Roman" w:eastAsia="MS Mincho" w:hAnsi="Times New Roman" w:cs="Times New Roman"/>
          <w:bCs/>
          <w:kern w:val="1"/>
          <w:sz w:val="24"/>
          <w:szCs w:val="24"/>
          <w:lang w:eastAsia="ar-SA"/>
        </w:rPr>
        <w:t xml:space="preserve"> o jeho povinnosti podať zákonom požadované informácie príslušnému orgánu Slovenskej republiky. Zároveň je povinný poskytnúť mu všetky informácie o</w:t>
      </w:r>
      <w:r>
        <w:rPr>
          <w:rFonts w:ascii="Times New Roman" w:eastAsia="MS Mincho" w:hAnsi="Times New Roman" w:cs="Times New Roman"/>
          <w:bCs/>
          <w:kern w:val="1"/>
          <w:sz w:val="24"/>
          <w:szCs w:val="24"/>
          <w:lang w:eastAsia="ar-SA"/>
        </w:rPr>
        <w:t> oznamovanom opatrení</w:t>
      </w:r>
      <w:r w:rsidRPr="001803D4">
        <w:rPr>
          <w:rFonts w:ascii="Times New Roman" w:eastAsia="MS Mincho" w:hAnsi="Times New Roman" w:cs="Times New Roman"/>
          <w:bCs/>
          <w:kern w:val="1"/>
          <w:sz w:val="24"/>
          <w:szCs w:val="24"/>
          <w:lang w:eastAsia="ar-SA"/>
        </w:rPr>
        <w:t xml:space="preserve">, ktoré </w:t>
      </w:r>
      <w:r>
        <w:rPr>
          <w:rFonts w:ascii="Times New Roman" w:eastAsia="MS Mincho" w:hAnsi="Times New Roman" w:cs="Times New Roman"/>
          <w:bCs/>
          <w:kern w:val="1"/>
          <w:sz w:val="24"/>
          <w:szCs w:val="24"/>
          <w:lang w:eastAsia="ar-SA"/>
        </w:rPr>
        <w:t>používateľ</w:t>
      </w:r>
      <w:r w:rsidRPr="001803D4">
        <w:rPr>
          <w:rFonts w:ascii="Times New Roman" w:eastAsia="MS Mincho" w:hAnsi="Times New Roman" w:cs="Times New Roman"/>
          <w:bCs/>
          <w:kern w:val="1"/>
          <w:sz w:val="24"/>
          <w:szCs w:val="24"/>
          <w:lang w:eastAsia="ar-SA"/>
        </w:rPr>
        <w:t xml:space="preserve"> potrebuje na riadne a včasné splnenie povinnosti, </w:t>
      </w:r>
      <w:proofErr w:type="spellStart"/>
      <w:r w:rsidRPr="001803D4">
        <w:rPr>
          <w:rFonts w:ascii="Times New Roman" w:eastAsia="MS Mincho" w:hAnsi="Times New Roman" w:cs="Times New Roman"/>
          <w:bCs/>
          <w:kern w:val="1"/>
          <w:sz w:val="24"/>
          <w:szCs w:val="24"/>
          <w:lang w:eastAsia="ar-SA"/>
        </w:rPr>
        <w:t>t.j</w:t>
      </w:r>
      <w:proofErr w:type="spellEnd"/>
      <w:r w:rsidRPr="001803D4">
        <w:rPr>
          <w:rFonts w:ascii="Times New Roman" w:eastAsia="MS Mincho" w:hAnsi="Times New Roman" w:cs="Times New Roman"/>
          <w:bCs/>
          <w:kern w:val="1"/>
          <w:sz w:val="24"/>
          <w:szCs w:val="24"/>
          <w:lang w:eastAsia="ar-SA"/>
        </w:rPr>
        <w:t xml:space="preserve">. vyplnenie elektronického formulára a elektronické podanie informácií o oznamovanom opatrení, ktoré využíva, príslušnému orgánu Slovenskej republiky. </w:t>
      </w:r>
      <w:r>
        <w:rPr>
          <w:rFonts w:ascii="Times New Roman" w:eastAsia="MS Mincho" w:hAnsi="Times New Roman" w:cs="Times New Roman"/>
          <w:bCs/>
          <w:kern w:val="1"/>
          <w:sz w:val="24"/>
          <w:szCs w:val="24"/>
          <w:lang w:eastAsia="ar-SA"/>
        </w:rPr>
        <w:t>Môže nastať situácia, keď</w:t>
      </w:r>
      <w:r w:rsidRPr="001803D4">
        <w:rPr>
          <w:rFonts w:ascii="Times New Roman" w:eastAsia="MS Mincho" w:hAnsi="Times New Roman" w:cs="Times New Roman"/>
          <w:bCs/>
          <w:kern w:val="1"/>
          <w:sz w:val="24"/>
          <w:szCs w:val="24"/>
          <w:lang w:eastAsia="ar-SA"/>
        </w:rPr>
        <w:t xml:space="preserve"> sprostredkovateľ viazaný zákonnou povinnosťou zachovávania mlčanlivosti informuje ďalšiu </w:t>
      </w:r>
      <w:r>
        <w:rPr>
          <w:rFonts w:ascii="Times New Roman" w:eastAsia="MS Mincho" w:hAnsi="Times New Roman" w:cs="Times New Roman"/>
          <w:bCs/>
          <w:kern w:val="1"/>
          <w:sz w:val="24"/>
          <w:szCs w:val="24"/>
          <w:lang w:eastAsia="ar-SA"/>
        </w:rPr>
        <w:t xml:space="preserve">fyzickú </w:t>
      </w:r>
      <w:r w:rsidRPr="001803D4">
        <w:rPr>
          <w:rFonts w:ascii="Times New Roman" w:eastAsia="MS Mincho" w:hAnsi="Times New Roman" w:cs="Times New Roman"/>
          <w:bCs/>
          <w:kern w:val="1"/>
          <w:sz w:val="24"/>
          <w:szCs w:val="24"/>
          <w:lang w:eastAsia="ar-SA"/>
        </w:rPr>
        <w:t xml:space="preserve">osobu alebo subjekt v poradí, ktorého považuje za sprostredkovateľa. Ak táto fyzická osoba alebo subjekt </w:t>
      </w:r>
      <w:r>
        <w:rPr>
          <w:rFonts w:ascii="Times New Roman" w:eastAsia="MS Mincho" w:hAnsi="Times New Roman" w:cs="Times New Roman"/>
          <w:bCs/>
          <w:kern w:val="1"/>
          <w:sz w:val="24"/>
          <w:szCs w:val="24"/>
          <w:lang w:eastAsia="ar-SA"/>
        </w:rPr>
        <w:t xml:space="preserve">pri zohľadnení svojich odborných vedomostí nevie </w:t>
      </w:r>
      <w:r>
        <w:rPr>
          <w:rFonts w:ascii="Times New Roman" w:eastAsia="MS Mincho" w:hAnsi="Times New Roman" w:cs="Times New Roman"/>
          <w:bCs/>
          <w:sz w:val="24"/>
          <w:szCs w:val="24"/>
        </w:rPr>
        <w:t>o svojom zapojení</w:t>
      </w:r>
      <w:r w:rsidRPr="003E39FE">
        <w:rPr>
          <w:rFonts w:ascii="Times New Roman" w:eastAsia="MS Mincho" w:hAnsi="Times New Roman" w:cs="Times New Roman"/>
          <w:bCs/>
          <w:sz w:val="24"/>
          <w:szCs w:val="24"/>
        </w:rPr>
        <w:t xml:space="preserve"> do oznamovaného opatrenia, tak takáto osoba alebo subjekt </w:t>
      </w:r>
      <w:r>
        <w:rPr>
          <w:rFonts w:ascii="Times New Roman" w:eastAsia="MS Mincho" w:hAnsi="Times New Roman" w:cs="Times New Roman"/>
          <w:bCs/>
          <w:sz w:val="24"/>
          <w:szCs w:val="24"/>
        </w:rPr>
        <w:t>nespĺňa definíciu sprostredkovateľa a na túto osobu sprostredkovateľ viazaný</w:t>
      </w:r>
      <w:r w:rsidRPr="003E39FE">
        <w:rPr>
          <w:rFonts w:ascii="Times New Roman" w:eastAsia="MS Mincho" w:hAnsi="Times New Roman" w:cs="Times New Roman"/>
          <w:bCs/>
          <w:sz w:val="24"/>
          <w:szCs w:val="24"/>
        </w:rPr>
        <w:t xml:space="preserve"> zákonnou povinnosťou zachovávania mlčanlivosti </w:t>
      </w:r>
      <w:r>
        <w:rPr>
          <w:rFonts w:ascii="Times New Roman" w:eastAsia="MS Mincho" w:hAnsi="Times New Roman" w:cs="Times New Roman"/>
          <w:bCs/>
          <w:sz w:val="24"/>
          <w:szCs w:val="24"/>
        </w:rPr>
        <w:t xml:space="preserve">nemôže preniesť povinnosť podať informácie o oznamovanom opatrení. </w:t>
      </w:r>
      <w:r w:rsidRPr="003E39FE">
        <w:rPr>
          <w:rFonts w:ascii="Times New Roman" w:eastAsia="MS Mincho" w:hAnsi="Times New Roman" w:cs="Times New Roman"/>
          <w:bCs/>
          <w:sz w:val="24"/>
          <w:szCs w:val="24"/>
        </w:rPr>
        <w:t xml:space="preserve">V tomto </w:t>
      </w:r>
      <w:r>
        <w:rPr>
          <w:rFonts w:ascii="Times New Roman" w:eastAsia="MS Mincho" w:hAnsi="Times New Roman" w:cs="Times New Roman"/>
          <w:bCs/>
          <w:sz w:val="24"/>
          <w:szCs w:val="24"/>
        </w:rPr>
        <w:t>prípade je</w:t>
      </w:r>
      <w:r w:rsidRPr="003E39FE">
        <w:rPr>
          <w:rFonts w:ascii="Times New Roman" w:eastAsia="MS Mincho" w:hAnsi="Times New Roman" w:cs="Times New Roman"/>
          <w:bCs/>
          <w:sz w:val="24"/>
          <w:szCs w:val="24"/>
        </w:rPr>
        <w:t xml:space="preserve"> sprostredkovateľ</w:t>
      </w:r>
      <w:r>
        <w:rPr>
          <w:rFonts w:ascii="Times New Roman" w:eastAsia="MS Mincho" w:hAnsi="Times New Roman" w:cs="Times New Roman"/>
          <w:bCs/>
          <w:sz w:val="24"/>
          <w:szCs w:val="24"/>
        </w:rPr>
        <w:t>, ktorý je</w:t>
      </w:r>
      <w:r w:rsidRPr="003E39FE">
        <w:rPr>
          <w:rFonts w:ascii="Times New Roman" w:eastAsia="MS Mincho" w:hAnsi="Times New Roman" w:cs="Times New Roman"/>
          <w:bCs/>
          <w:sz w:val="24"/>
          <w:szCs w:val="24"/>
        </w:rPr>
        <w:t xml:space="preserve"> </w:t>
      </w:r>
      <w:r w:rsidRPr="003E39FE">
        <w:rPr>
          <w:rFonts w:ascii="Times New Roman" w:eastAsia="MS Mincho" w:hAnsi="Times New Roman" w:cs="Times New Roman"/>
          <w:bCs/>
          <w:kern w:val="1"/>
          <w:sz w:val="24"/>
          <w:szCs w:val="24"/>
          <w:lang w:eastAsia="ar-SA"/>
        </w:rPr>
        <w:t>viazaný zákonnou povinnosťou zachovávania mlčanlivosti</w:t>
      </w:r>
      <w:r>
        <w:rPr>
          <w:rFonts w:ascii="Times New Roman" w:eastAsia="MS Mincho" w:hAnsi="Times New Roman" w:cs="Times New Roman"/>
          <w:bCs/>
          <w:kern w:val="1"/>
          <w:sz w:val="24"/>
          <w:szCs w:val="24"/>
          <w:lang w:eastAsia="ar-SA"/>
        </w:rPr>
        <w:t xml:space="preserve">, povinný informovať ďalšieho sprostredkovateľa v poradí, a ak takýto nie je alebo sú všetci viazaní </w:t>
      </w:r>
      <w:r w:rsidRPr="003E39FE">
        <w:rPr>
          <w:rFonts w:ascii="Times New Roman" w:eastAsia="MS Mincho" w:hAnsi="Times New Roman" w:cs="Times New Roman"/>
          <w:bCs/>
          <w:sz w:val="24"/>
          <w:szCs w:val="24"/>
        </w:rPr>
        <w:t>zákonnou povinnosťou zachovávania mlčanlivosti</w:t>
      </w:r>
      <w:r>
        <w:rPr>
          <w:rFonts w:ascii="Times New Roman" w:eastAsia="MS Mincho" w:hAnsi="Times New Roman" w:cs="Times New Roman"/>
          <w:bCs/>
          <w:kern w:val="1"/>
          <w:sz w:val="24"/>
          <w:szCs w:val="24"/>
          <w:lang w:eastAsia="ar-SA"/>
        </w:rPr>
        <w:t>, tak priamo používateľa oznamovaného opatrenia.</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§8e</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Predmetný paragraf ustanovuje, v akej lehote sú povinné osoby splniť svoju povinnosť podať zákonom požadované informácie o</w:t>
      </w:r>
      <w:r>
        <w:rPr>
          <w:rFonts w:ascii="Times New Roman" w:eastAsia="MS Mincho" w:hAnsi="Times New Roman" w:cs="Times New Roman"/>
          <w:bCs/>
          <w:kern w:val="1"/>
          <w:sz w:val="24"/>
          <w:szCs w:val="24"/>
          <w:lang w:eastAsia="ar-SA"/>
        </w:rPr>
        <w:t> oznamovanom opatrení</w:t>
      </w:r>
      <w:r w:rsidRPr="00EA3F99">
        <w:rPr>
          <w:rFonts w:ascii="Times New Roman" w:eastAsia="MS Mincho" w:hAnsi="Times New Roman" w:cs="Times New Roman"/>
          <w:bCs/>
          <w:kern w:val="1"/>
          <w:sz w:val="24"/>
          <w:szCs w:val="24"/>
          <w:lang w:eastAsia="ar-SA"/>
        </w:rPr>
        <w:t xml:space="preserve"> príslušnému orgánu Slovenskej republiky. Sprostredkovateľ, ktorý je povinnou osobou, je povinný splniť svoju povinnosť podať informácie príslušnému orgánu do 30 dní odo dňa, ktorý nasleduje po dni, keď </w:t>
      </w:r>
      <w:r>
        <w:rPr>
          <w:rFonts w:ascii="Times New Roman" w:eastAsia="MS Mincho" w:hAnsi="Times New Roman" w:cs="Times New Roman"/>
          <w:bCs/>
          <w:kern w:val="1"/>
          <w:sz w:val="24"/>
          <w:szCs w:val="24"/>
          <w:lang w:eastAsia="ar-SA"/>
        </w:rPr>
        <w:t>oznamované opatrenie sprístupní</w:t>
      </w:r>
      <w:r w:rsidRPr="00EA3F99">
        <w:rPr>
          <w:rFonts w:ascii="Times New Roman" w:eastAsia="MS Mincho" w:hAnsi="Times New Roman" w:cs="Times New Roman"/>
          <w:bCs/>
          <w:kern w:val="1"/>
          <w:sz w:val="24"/>
          <w:szCs w:val="24"/>
          <w:lang w:eastAsia="ar-SA"/>
        </w:rPr>
        <w:t xml:space="preserve"> na </w:t>
      </w:r>
      <w:r>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xml:space="preserve">, je pripravené na </w:t>
      </w:r>
      <w:r>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xml:space="preserve"> alebo odo dňa keď sa uskutočnil prvý kr</w:t>
      </w:r>
      <w:r>
        <w:rPr>
          <w:rFonts w:ascii="Times New Roman" w:eastAsia="MS Mincho" w:hAnsi="Times New Roman" w:cs="Times New Roman"/>
          <w:bCs/>
          <w:kern w:val="1"/>
          <w:sz w:val="24"/>
          <w:szCs w:val="24"/>
          <w:lang w:eastAsia="ar-SA"/>
        </w:rPr>
        <w:t>ok/úkon pri zavedení oznamovaného</w:t>
      </w:r>
      <w:r w:rsidRPr="00EA3F99">
        <w:rPr>
          <w:rFonts w:ascii="Times New Roman" w:eastAsia="MS Mincho" w:hAnsi="Times New Roman" w:cs="Times New Roman"/>
          <w:bCs/>
          <w:kern w:val="1"/>
          <w:sz w:val="24"/>
          <w:szCs w:val="24"/>
          <w:lang w:eastAsia="ar-SA"/>
        </w:rPr>
        <w:t xml:space="preserve"> opatrenia a to podľa toho, ktorý deň nastane skôr. 30-dňová lehota na splnenie povinnosti sa vzťahuje aj na sprostredkovateľa, ktorý vedel, alebo mal vedieť, že sa zaviazal poskytnúť priamo alebo prostredníctvom tretej osoby pomoc, podporu alebo poradenstvo v súvislosti s navrhovaním, ponúkaním na trhu, organizovaním tohto opatrenia, sprístupňovaním na zavedenie alebo s riadením jeho zavedenia</w:t>
      </w:r>
      <w:r>
        <w:rPr>
          <w:rFonts w:ascii="Times New Roman" w:eastAsia="MS Mincho" w:hAnsi="Times New Roman" w:cs="Times New Roman"/>
          <w:bCs/>
          <w:kern w:val="1"/>
          <w:sz w:val="24"/>
          <w:szCs w:val="24"/>
          <w:lang w:eastAsia="ar-SA"/>
        </w:rPr>
        <w:t xml:space="preserve">. Táto lehota </w:t>
      </w:r>
      <w:r w:rsidRPr="00EA3F99">
        <w:rPr>
          <w:rFonts w:ascii="Times New Roman" w:eastAsia="MS Mincho" w:hAnsi="Times New Roman" w:cs="Times New Roman"/>
          <w:bCs/>
          <w:kern w:val="1"/>
          <w:sz w:val="24"/>
          <w:szCs w:val="24"/>
          <w:lang w:eastAsia="ar-SA"/>
        </w:rPr>
        <w:t>sa počíta odo dňa nasledujúceho</w:t>
      </w:r>
      <w:r>
        <w:rPr>
          <w:rFonts w:ascii="Times New Roman" w:eastAsia="MS Mincho" w:hAnsi="Times New Roman" w:cs="Times New Roman"/>
          <w:bCs/>
          <w:kern w:val="1"/>
          <w:sz w:val="24"/>
          <w:szCs w:val="24"/>
          <w:lang w:eastAsia="ar-SA"/>
        </w:rPr>
        <w:t xml:space="preserve"> po dni</w:t>
      </w:r>
      <w:r w:rsidRPr="00EA3F99">
        <w:rPr>
          <w:rFonts w:ascii="Times New Roman" w:eastAsia="MS Mincho" w:hAnsi="Times New Roman" w:cs="Times New Roman"/>
          <w:bCs/>
          <w:kern w:val="1"/>
          <w:sz w:val="24"/>
          <w:szCs w:val="24"/>
          <w:lang w:eastAsia="ar-SA"/>
        </w:rPr>
        <w:t xml:space="preserve">, keď poskytol priamo alebo prostredníctvom iných osôb pomoc, podporu alebo poradenstvo v súvislosti s daným </w:t>
      </w:r>
      <w:r>
        <w:rPr>
          <w:rFonts w:ascii="Times New Roman" w:eastAsia="MS Mincho" w:hAnsi="Times New Roman" w:cs="Times New Roman"/>
          <w:bCs/>
          <w:kern w:val="1"/>
          <w:sz w:val="24"/>
          <w:szCs w:val="24"/>
          <w:lang w:eastAsia="ar-SA"/>
        </w:rPr>
        <w:t>oznamovaným opatrením</w:t>
      </w:r>
      <w:r w:rsidRPr="00EA3F99">
        <w:rPr>
          <w:rFonts w:ascii="Times New Roman" w:eastAsia="MS Mincho" w:hAnsi="Times New Roman" w:cs="Times New Roman"/>
          <w:bCs/>
          <w:kern w:val="1"/>
          <w:sz w:val="24"/>
          <w:szCs w:val="24"/>
          <w:lang w:eastAsia="ar-SA"/>
        </w:rPr>
        <w:t xml:space="preserve">. </w:t>
      </w:r>
    </w:p>
    <w:p w:rsidR="0033092E" w:rsidRPr="00EA3F99"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Okrem tejto 30 dňovej lehoty je sprostredkovateľ, ktorý je povinnou osobou,</w:t>
      </w:r>
      <w:r>
        <w:rPr>
          <w:rFonts w:ascii="Times New Roman" w:eastAsia="MS Mincho" w:hAnsi="Times New Roman" w:cs="Times New Roman"/>
          <w:bCs/>
          <w:kern w:val="1"/>
          <w:sz w:val="24"/>
          <w:szCs w:val="24"/>
          <w:lang w:eastAsia="ar-SA"/>
        </w:rPr>
        <w:t xml:space="preserve"> povinný</w:t>
      </w:r>
      <w:r w:rsidRPr="00EA3F99">
        <w:rPr>
          <w:rFonts w:ascii="Times New Roman" w:eastAsia="MS Mincho" w:hAnsi="Times New Roman" w:cs="Times New Roman"/>
          <w:bCs/>
          <w:kern w:val="1"/>
          <w:sz w:val="24"/>
          <w:szCs w:val="24"/>
          <w:lang w:eastAsia="ar-SA"/>
        </w:rPr>
        <w:t xml:space="preserve"> predkladať príslušnému orgánu Slovenskej republiky pravidelné správy o opatreniach určených pre trh</w:t>
      </w:r>
      <w:r>
        <w:rPr>
          <w:rFonts w:ascii="Times New Roman" w:eastAsia="MS Mincho" w:hAnsi="Times New Roman" w:cs="Times New Roman"/>
          <w:bCs/>
          <w:kern w:val="1"/>
          <w:sz w:val="24"/>
          <w:szCs w:val="24"/>
          <w:lang w:eastAsia="ar-SA"/>
        </w:rPr>
        <w:t>. Tieto pravidelné správy predkladá len vtedy, ak od predloženia poslednej správy má k dispozícii</w:t>
      </w:r>
      <w:r w:rsidRPr="00EA3F99">
        <w:rPr>
          <w:rFonts w:ascii="Times New Roman" w:eastAsia="MS Mincho" w:hAnsi="Times New Roman" w:cs="Times New Roman"/>
          <w:bCs/>
          <w:kern w:val="1"/>
          <w:sz w:val="24"/>
          <w:szCs w:val="24"/>
          <w:lang w:eastAsia="ar-SA"/>
        </w:rPr>
        <w:t xml:space="preserve"> aktualizované</w:t>
      </w:r>
      <w:r>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 xml:space="preserve">informácie podliehajúce oznamovaniu, ktoré sú nové oproti už podaným informáciám zakotvených v poslednej predloženej správe. Túto povinnosť si daný </w:t>
      </w:r>
      <w:r w:rsidRPr="00EA3F99">
        <w:rPr>
          <w:rFonts w:ascii="Times New Roman" w:eastAsia="MS Mincho" w:hAnsi="Times New Roman" w:cs="Times New Roman"/>
          <w:bCs/>
          <w:kern w:val="1"/>
          <w:sz w:val="24"/>
          <w:szCs w:val="24"/>
          <w:lang w:eastAsia="ar-SA"/>
        </w:rPr>
        <w:lastRenderedPageBreak/>
        <w:t xml:space="preserve">sprostredkovateľ musí splniť do 30 dní </w:t>
      </w:r>
      <w:r>
        <w:rPr>
          <w:rFonts w:ascii="Times New Roman" w:eastAsia="MS Mincho" w:hAnsi="Times New Roman" w:cs="Times New Roman"/>
          <w:bCs/>
          <w:kern w:val="1"/>
          <w:sz w:val="24"/>
          <w:szCs w:val="24"/>
          <w:lang w:eastAsia="ar-SA"/>
        </w:rPr>
        <w:t>o</w:t>
      </w:r>
      <w:r w:rsidRPr="00EA3F99">
        <w:rPr>
          <w:rFonts w:ascii="Times New Roman" w:eastAsia="MS Mincho" w:hAnsi="Times New Roman" w:cs="Times New Roman"/>
          <w:bCs/>
          <w:kern w:val="1"/>
          <w:sz w:val="24"/>
          <w:szCs w:val="24"/>
          <w:lang w:eastAsia="ar-SA"/>
        </w:rPr>
        <w:t>d posledného dňa 3-mesačnej lehoty na podanie pravidelnej správy.</w:t>
      </w:r>
    </w:p>
    <w:p w:rsidR="0033092E" w:rsidRPr="00EA3F99"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Ak sa povinnosť podať informácie o cezhraničných opatreniach príslušnému orgánu prenesie na </w:t>
      </w:r>
      <w:r>
        <w:rPr>
          <w:rFonts w:ascii="Times New Roman" w:eastAsia="MS Mincho" w:hAnsi="Times New Roman" w:cs="Times New Roman"/>
          <w:bCs/>
          <w:kern w:val="1"/>
          <w:sz w:val="24"/>
          <w:szCs w:val="24"/>
          <w:lang w:eastAsia="ar-SA"/>
        </w:rPr>
        <w:t>používateľa opatrenia</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ktorý sa </w:t>
      </w:r>
      <w:r w:rsidRPr="00EA3F99">
        <w:rPr>
          <w:rFonts w:ascii="Times New Roman" w:eastAsia="MS Mincho" w:hAnsi="Times New Roman" w:cs="Times New Roman"/>
          <w:bCs/>
          <w:kern w:val="1"/>
          <w:sz w:val="24"/>
          <w:szCs w:val="24"/>
          <w:lang w:eastAsia="ar-SA"/>
        </w:rPr>
        <w:t>stane povinnou osobou,</w:t>
      </w:r>
      <w:r>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je povinný podať príslušnému orgánu Slovenskej republiky informácie o</w:t>
      </w:r>
      <w:r>
        <w:rPr>
          <w:rFonts w:ascii="Times New Roman" w:eastAsia="MS Mincho" w:hAnsi="Times New Roman" w:cs="Times New Roman"/>
          <w:bCs/>
          <w:kern w:val="1"/>
          <w:sz w:val="24"/>
          <w:szCs w:val="24"/>
          <w:lang w:eastAsia="ar-SA"/>
        </w:rPr>
        <w:t> oznamovaných opatreniach</w:t>
      </w:r>
      <w:r w:rsidRPr="00EA3F99">
        <w:rPr>
          <w:rFonts w:ascii="Times New Roman" w:eastAsia="MS Mincho" w:hAnsi="Times New Roman" w:cs="Times New Roman"/>
          <w:bCs/>
          <w:kern w:val="1"/>
          <w:sz w:val="24"/>
          <w:szCs w:val="24"/>
          <w:lang w:eastAsia="ar-SA"/>
        </w:rPr>
        <w:t xml:space="preserve"> do 30 dní od</w:t>
      </w:r>
      <w:r>
        <w:rPr>
          <w:rFonts w:ascii="Times New Roman" w:eastAsia="MS Mincho" w:hAnsi="Times New Roman" w:cs="Times New Roman"/>
          <w:bCs/>
          <w:kern w:val="1"/>
          <w:sz w:val="24"/>
          <w:szCs w:val="24"/>
          <w:lang w:eastAsia="ar-SA"/>
        </w:rPr>
        <w:t>o dňa nasledujúceho po dni, keď</w:t>
      </w:r>
      <w:r w:rsidRPr="00EA3F99">
        <w:rPr>
          <w:rFonts w:ascii="Times New Roman" w:eastAsia="MS Mincho" w:hAnsi="Times New Roman" w:cs="Times New Roman"/>
          <w:bCs/>
          <w:kern w:val="1"/>
          <w:sz w:val="24"/>
          <w:szCs w:val="24"/>
          <w:lang w:eastAsia="ar-SA"/>
        </w:rPr>
        <w:t xml:space="preserve"> sa </w:t>
      </w:r>
      <w:r>
        <w:rPr>
          <w:rFonts w:ascii="Times New Roman" w:eastAsia="MS Mincho" w:hAnsi="Times New Roman" w:cs="Times New Roman"/>
          <w:bCs/>
          <w:kern w:val="1"/>
          <w:sz w:val="24"/>
          <w:szCs w:val="24"/>
          <w:lang w:eastAsia="ar-SA"/>
        </w:rPr>
        <w:t>oznamované opatrenie sprístupní</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používateľovi </w:t>
      </w:r>
      <w:r w:rsidRPr="00EA3F99">
        <w:rPr>
          <w:rFonts w:ascii="Times New Roman" w:eastAsia="MS Mincho" w:hAnsi="Times New Roman" w:cs="Times New Roman"/>
          <w:bCs/>
          <w:kern w:val="1"/>
          <w:sz w:val="24"/>
          <w:szCs w:val="24"/>
          <w:lang w:eastAsia="ar-SA"/>
        </w:rPr>
        <w:t xml:space="preserve">na </w:t>
      </w:r>
      <w:r>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xml:space="preserve">, keď je pripravené na </w:t>
      </w:r>
      <w:r>
        <w:rPr>
          <w:rFonts w:ascii="Times New Roman" w:eastAsia="MS Mincho" w:hAnsi="Times New Roman" w:cs="Times New Roman"/>
          <w:bCs/>
          <w:kern w:val="1"/>
          <w:sz w:val="24"/>
          <w:szCs w:val="24"/>
          <w:lang w:eastAsia="ar-SA"/>
        </w:rPr>
        <w:t>zavedenie</w:t>
      </w:r>
      <w:r w:rsidRPr="00EA3F99">
        <w:rPr>
          <w:rFonts w:ascii="Times New Roman" w:eastAsia="MS Mincho" w:hAnsi="Times New Roman" w:cs="Times New Roman"/>
          <w:bCs/>
          <w:kern w:val="1"/>
          <w:sz w:val="24"/>
          <w:szCs w:val="24"/>
          <w:lang w:eastAsia="ar-SA"/>
        </w:rPr>
        <w:t xml:space="preserve"> zo strany </w:t>
      </w:r>
      <w:r>
        <w:rPr>
          <w:rFonts w:ascii="Times New Roman" w:eastAsia="MS Mincho" w:hAnsi="Times New Roman" w:cs="Times New Roman"/>
          <w:bCs/>
          <w:kern w:val="1"/>
          <w:sz w:val="24"/>
          <w:szCs w:val="24"/>
          <w:lang w:eastAsia="ar-SA"/>
        </w:rPr>
        <w:t>používateľa</w:t>
      </w:r>
      <w:r w:rsidRPr="00EA3F99">
        <w:rPr>
          <w:rFonts w:ascii="Times New Roman" w:eastAsia="MS Mincho" w:hAnsi="Times New Roman" w:cs="Times New Roman"/>
          <w:bCs/>
          <w:kern w:val="1"/>
          <w:sz w:val="24"/>
          <w:szCs w:val="24"/>
          <w:lang w:eastAsia="ar-SA"/>
        </w:rPr>
        <w:t xml:space="preserve"> alebo keď sa vo vzťahu k </w:t>
      </w:r>
      <w:r>
        <w:rPr>
          <w:rFonts w:ascii="Times New Roman" w:eastAsia="MS Mincho" w:hAnsi="Times New Roman" w:cs="Times New Roman"/>
          <w:bCs/>
          <w:kern w:val="1"/>
          <w:sz w:val="24"/>
          <w:szCs w:val="24"/>
          <w:lang w:eastAsia="ar-SA"/>
        </w:rPr>
        <w:t>používateľovi</w:t>
      </w:r>
      <w:r w:rsidRPr="00EA3F99">
        <w:rPr>
          <w:rFonts w:ascii="Times New Roman" w:eastAsia="MS Mincho" w:hAnsi="Times New Roman" w:cs="Times New Roman"/>
          <w:bCs/>
          <w:kern w:val="1"/>
          <w:sz w:val="24"/>
          <w:szCs w:val="24"/>
          <w:lang w:eastAsia="ar-SA"/>
        </w:rPr>
        <w:t xml:space="preserve"> uskutočnil prvý krok vo vykonávaní takého opatrenia a to podľa toho, ktorý deň nastane skôr – ten deň sa následne stáva rozhodným pre počítanie lehoty.</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§8f</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Povinné osoby podľa zákona majú povinnosť podávať zákonom požadované informácie o</w:t>
      </w:r>
      <w:r>
        <w:rPr>
          <w:rFonts w:ascii="Times New Roman" w:eastAsia="MS Mincho" w:hAnsi="Times New Roman" w:cs="Times New Roman"/>
          <w:bCs/>
          <w:kern w:val="1"/>
          <w:sz w:val="24"/>
          <w:szCs w:val="24"/>
          <w:lang w:eastAsia="ar-SA"/>
        </w:rPr>
        <w:t> oznamovaných opatreniach</w:t>
      </w:r>
      <w:r w:rsidRPr="00EA3F99">
        <w:rPr>
          <w:rFonts w:ascii="Times New Roman" w:eastAsia="MS Mincho" w:hAnsi="Times New Roman" w:cs="Times New Roman"/>
          <w:bCs/>
          <w:kern w:val="1"/>
          <w:sz w:val="24"/>
          <w:szCs w:val="24"/>
          <w:lang w:eastAsia="ar-SA"/>
        </w:rPr>
        <w:t xml:space="preserve"> príslušnému orgánu Slovenskej republiky. Tieto zákonom požadované informácie sú ustanovené v tomto </w:t>
      </w:r>
      <w:r>
        <w:rPr>
          <w:rFonts w:ascii="Times New Roman" w:eastAsia="MS Mincho" w:hAnsi="Times New Roman" w:cs="Times New Roman"/>
          <w:bCs/>
          <w:kern w:val="1"/>
          <w:sz w:val="24"/>
          <w:szCs w:val="24"/>
          <w:lang w:eastAsia="ar-SA"/>
        </w:rPr>
        <w:t>paragrafe v písmenách a) až h).</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V písmene a) sa vyžadujú od povinných osôb informácie o identifikačných údajoch sprostredkovateľov a </w:t>
      </w:r>
      <w:r>
        <w:rPr>
          <w:rFonts w:ascii="Times New Roman" w:eastAsia="MS Mincho" w:hAnsi="Times New Roman" w:cs="Times New Roman"/>
          <w:bCs/>
          <w:kern w:val="1"/>
          <w:sz w:val="24"/>
          <w:szCs w:val="24"/>
          <w:lang w:eastAsia="ar-SA"/>
        </w:rPr>
        <w:t>používateľov</w:t>
      </w:r>
      <w:r w:rsidRPr="00EA3F99">
        <w:rPr>
          <w:rFonts w:ascii="Times New Roman" w:eastAsia="MS Mincho" w:hAnsi="Times New Roman" w:cs="Times New Roman"/>
          <w:bCs/>
          <w:kern w:val="1"/>
          <w:sz w:val="24"/>
          <w:szCs w:val="24"/>
          <w:lang w:eastAsia="ar-SA"/>
        </w:rPr>
        <w:t>. V prípade právnickej osoby sa pod identifikačnými údajmi rozumie obchodné meno alebo názov</w:t>
      </w:r>
      <w:r>
        <w:rPr>
          <w:rFonts w:ascii="Times New Roman" w:eastAsia="MS Mincho" w:hAnsi="Times New Roman" w:cs="Times New Roman"/>
          <w:bCs/>
          <w:kern w:val="1"/>
          <w:sz w:val="24"/>
          <w:szCs w:val="24"/>
          <w:lang w:eastAsia="ar-SA"/>
        </w:rPr>
        <w:t>, daňové identifikačné číslo</w:t>
      </w:r>
      <w:r w:rsidRPr="00EA3F99">
        <w:rPr>
          <w:rFonts w:ascii="Times New Roman" w:eastAsia="MS Mincho" w:hAnsi="Times New Roman" w:cs="Times New Roman"/>
          <w:bCs/>
          <w:kern w:val="1"/>
          <w:sz w:val="24"/>
          <w:szCs w:val="24"/>
          <w:lang w:eastAsia="ar-SA"/>
        </w:rPr>
        <w:t>, tzv</w:t>
      </w:r>
      <w:r>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DIČ“, ak bolo pridelené, rezidencia na daňové účely. </w:t>
      </w:r>
      <w:r w:rsidRPr="00EA3F99">
        <w:rPr>
          <w:rFonts w:ascii="Times New Roman" w:eastAsia="MS Mincho" w:hAnsi="Times New Roman" w:cs="Times New Roman"/>
          <w:bCs/>
          <w:kern w:val="1"/>
          <w:sz w:val="24"/>
          <w:szCs w:val="24"/>
          <w:lang w:eastAsia="ar-SA"/>
        </w:rPr>
        <w:t xml:space="preserve">V prípade fyzickej osoby sa pod identifikačnými údajmi rozumie meno, priezvisko, </w:t>
      </w:r>
      <w:r>
        <w:rPr>
          <w:rFonts w:ascii="Times New Roman" w:eastAsia="MS Mincho" w:hAnsi="Times New Roman" w:cs="Times New Roman"/>
          <w:bCs/>
          <w:kern w:val="1"/>
          <w:sz w:val="24"/>
          <w:szCs w:val="24"/>
          <w:lang w:eastAsia="ar-SA"/>
        </w:rPr>
        <w:t>dátum a miesto narodenia a rezidencia na daňové účely. Tieto identifikačné údaje sa budú vyžadovať aj v prípade závislých osôb používateľa, ak budú zapojené do oznamovaného opatrenia.</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Písmeno b) vyžaduje uvedenie podrobných údajov o charakteristických znakoch uvedených v prílohe č. </w:t>
      </w:r>
      <w:r>
        <w:rPr>
          <w:rFonts w:ascii="Times New Roman" w:eastAsia="MS Mincho" w:hAnsi="Times New Roman" w:cs="Times New Roman"/>
          <w:bCs/>
          <w:kern w:val="1"/>
          <w:sz w:val="24"/>
          <w:szCs w:val="24"/>
          <w:lang w:eastAsia="ar-SA"/>
        </w:rPr>
        <w:t>1a</w:t>
      </w:r>
      <w:r w:rsidRPr="00EA3F99">
        <w:rPr>
          <w:rFonts w:ascii="Times New Roman" w:eastAsia="MS Mincho" w:hAnsi="Times New Roman" w:cs="Times New Roman"/>
          <w:bCs/>
          <w:kern w:val="1"/>
          <w:sz w:val="24"/>
          <w:szCs w:val="24"/>
          <w:lang w:eastAsia="ar-SA"/>
        </w:rPr>
        <w:t>, na základe ktorých sa usúdilo, že môže ísť o</w:t>
      </w:r>
      <w:r>
        <w:rPr>
          <w:rFonts w:ascii="Times New Roman" w:eastAsia="MS Mincho" w:hAnsi="Times New Roman" w:cs="Times New Roman"/>
          <w:bCs/>
          <w:kern w:val="1"/>
          <w:sz w:val="24"/>
          <w:szCs w:val="24"/>
          <w:lang w:eastAsia="ar-SA"/>
        </w:rPr>
        <w:t> oznamované opatrenie</w:t>
      </w:r>
      <w:r w:rsidRPr="00EA3F99">
        <w:rPr>
          <w:rFonts w:ascii="Times New Roman" w:eastAsia="MS Mincho" w:hAnsi="Times New Roman" w:cs="Times New Roman"/>
          <w:bCs/>
          <w:kern w:val="1"/>
          <w:sz w:val="24"/>
          <w:szCs w:val="24"/>
          <w:lang w:eastAsia="ar-SA"/>
        </w:rPr>
        <w:t xml:space="preserve">. Môže byť splnený napr. test hlavného účelu, ktorého cieľom je dosiahnutie daňového zvýhodnenia, alebo osobitný znak týkajúci sa transferového oceňovania alebo výmeny informácií a konečného vlastník príjmov a pod. </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Zatiaľ čo sa v písmene b) uviedli len údaje o charakteristických znakoch, na základe ktorých cezhraničné opatrenie podlieha oznamovaniu, v písmene c) sa už vyžaduje </w:t>
      </w:r>
      <w:r>
        <w:rPr>
          <w:rFonts w:ascii="Times New Roman" w:eastAsia="MS Mincho" w:hAnsi="Times New Roman" w:cs="Times New Roman"/>
          <w:bCs/>
          <w:kern w:val="1"/>
          <w:sz w:val="24"/>
          <w:szCs w:val="24"/>
          <w:lang w:eastAsia="ar-SA"/>
        </w:rPr>
        <w:t>uvedenie</w:t>
      </w:r>
      <w:r w:rsidRPr="00EA3F99">
        <w:rPr>
          <w:rFonts w:ascii="Times New Roman" w:eastAsia="MS Mincho" w:hAnsi="Times New Roman" w:cs="Times New Roman"/>
          <w:bCs/>
          <w:kern w:val="1"/>
          <w:sz w:val="24"/>
          <w:szCs w:val="24"/>
          <w:lang w:eastAsia="ar-SA"/>
        </w:rPr>
        <w:t xml:space="preserve"> obsahu opatren</w:t>
      </w:r>
      <w:r>
        <w:rPr>
          <w:rFonts w:ascii="Times New Roman" w:eastAsia="MS Mincho" w:hAnsi="Times New Roman" w:cs="Times New Roman"/>
          <w:bCs/>
          <w:kern w:val="1"/>
          <w:sz w:val="24"/>
          <w:szCs w:val="24"/>
          <w:lang w:eastAsia="ar-SA"/>
        </w:rPr>
        <w:t>ia a jeho jednotlivých krokov</w:t>
      </w:r>
      <w:r w:rsidRPr="00EA3F99">
        <w:rPr>
          <w:rFonts w:ascii="Times New Roman" w:eastAsia="MS Mincho" w:hAnsi="Times New Roman" w:cs="Times New Roman"/>
          <w:bCs/>
          <w:kern w:val="1"/>
          <w:sz w:val="24"/>
          <w:szCs w:val="24"/>
          <w:lang w:eastAsia="ar-SA"/>
        </w:rPr>
        <w:t xml:space="preserve"> s uvedeným názvu predmetného </w:t>
      </w:r>
      <w:r>
        <w:rPr>
          <w:rFonts w:ascii="Times New Roman" w:eastAsia="MS Mincho" w:hAnsi="Times New Roman" w:cs="Times New Roman"/>
          <w:bCs/>
          <w:kern w:val="1"/>
          <w:sz w:val="24"/>
          <w:szCs w:val="24"/>
          <w:lang w:eastAsia="ar-SA"/>
        </w:rPr>
        <w:t xml:space="preserve">oznamovaného opatrenia, ak je známy. V rámci obsahu oznamovaného opatrenia </w:t>
      </w:r>
      <w:r w:rsidRPr="00EA3F99">
        <w:rPr>
          <w:rFonts w:ascii="Times New Roman" w:eastAsia="MS Mincho" w:hAnsi="Times New Roman" w:cs="Times New Roman"/>
          <w:bCs/>
          <w:kern w:val="1"/>
          <w:sz w:val="24"/>
          <w:szCs w:val="24"/>
          <w:lang w:eastAsia="ar-SA"/>
        </w:rPr>
        <w:t>sa</w:t>
      </w:r>
      <w:r>
        <w:rPr>
          <w:rFonts w:ascii="Times New Roman" w:eastAsia="MS Mincho" w:hAnsi="Times New Roman" w:cs="Times New Roman"/>
          <w:bCs/>
          <w:kern w:val="1"/>
          <w:sz w:val="24"/>
          <w:szCs w:val="24"/>
          <w:lang w:eastAsia="ar-SA"/>
        </w:rPr>
        <w:t xml:space="preserve"> má poskytnúť aj všeobecný opis opatrenia a jeho jednotlivých krokov tak, aby sa</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ne</w:t>
      </w:r>
      <w:r w:rsidRPr="00EA3F99">
        <w:rPr>
          <w:rFonts w:ascii="Times New Roman" w:eastAsia="MS Mincho" w:hAnsi="Times New Roman" w:cs="Times New Roman"/>
          <w:bCs/>
          <w:kern w:val="1"/>
          <w:sz w:val="24"/>
          <w:szCs w:val="24"/>
          <w:lang w:eastAsia="ar-SA"/>
        </w:rPr>
        <w:t>vyzradili skutočnosti chránené obchodným, priemyselným alebo profesijným tajomstvom a</w:t>
      </w:r>
      <w:r>
        <w:rPr>
          <w:rFonts w:ascii="Times New Roman" w:eastAsia="MS Mincho" w:hAnsi="Times New Roman" w:cs="Times New Roman"/>
          <w:bCs/>
          <w:kern w:val="1"/>
          <w:sz w:val="24"/>
          <w:szCs w:val="24"/>
          <w:lang w:eastAsia="ar-SA"/>
        </w:rPr>
        <w:t> aby sa</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ne</w:t>
      </w:r>
      <w:r w:rsidRPr="00EA3F99">
        <w:rPr>
          <w:rFonts w:ascii="Times New Roman" w:eastAsia="MS Mincho" w:hAnsi="Times New Roman" w:cs="Times New Roman"/>
          <w:bCs/>
          <w:kern w:val="1"/>
          <w:sz w:val="24"/>
          <w:szCs w:val="24"/>
          <w:lang w:eastAsia="ar-SA"/>
        </w:rPr>
        <w:t>vyzradil obchodný postup alebo informácie, ktorých zverejnenie by bolo v rozpore so záujmami verejného poriadku.</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Pri podávaní informácií príslušnému orgánu Slovenskej republiky je jedným z ďalších povinných údajov zakotvených v písmene d) uvedenie dňa, kedy sprostredkovateľ alebo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uskutočnil prvý krok</w:t>
      </w:r>
      <w:r>
        <w:rPr>
          <w:rFonts w:ascii="Times New Roman" w:eastAsia="MS Mincho" w:hAnsi="Times New Roman" w:cs="Times New Roman"/>
          <w:bCs/>
          <w:kern w:val="1"/>
          <w:sz w:val="24"/>
          <w:szCs w:val="24"/>
          <w:lang w:eastAsia="ar-SA"/>
        </w:rPr>
        <w:t>/úkon</w:t>
      </w:r>
      <w:r w:rsidRPr="00EA3F99">
        <w:rPr>
          <w:rFonts w:ascii="Times New Roman" w:eastAsia="MS Mincho" w:hAnsi="Times New Roman" w:cs="Times New Roman"/>
          <w:bCs/>
          <w:kern w:val="1"/>
          <w:sz w:val="24"/>
          <w:szCs w:val="24"/>
          <w:lang w:eastAsia="ar-SA"/>
        </w:rPr>
        <w:t xml:space="preserve"> pri zav</w:t>
      </w:r>
      <w:r>
        <w:rPr>
          <w:rFonts w:ascii="Times New Roman" w:eastAsia="MS Mincho" w:hAnsi="Times New Roman" w:cs="Times New Roman"/>
          <w:bCs/>
          <w:kern w:val="1"/>
          <w:sz w:val="24"/>
          <w:szCs w:val="24"/>
          <w:lang w:eastAsia="ar-SA"/>
        </w:rPr>
        <w:t>edení</w:t>
      </w:r>
      <w:r w:rsidRPr="00EA3F99">
        <w:rPr>
          <w:rFonts w:ascii="Times New Roman" w:eastAsia="MS Mincho" w:hAnsi="Times New Roman" w:cs="Times New Roman"/>
          <w:bCs/>
          <w:kern w:val="1"/>
          <w:sz w:val="24"/>
          <w:szCs w:val="24"/>
          <w:lang w:eastAsia="ar-SA"/>
        </w:rPr>
        <w:t xml:space="preserve"> cezhraničného </w:t>
      </w:r>
      <w:r>
        <w:rPr>
          <w:rFonts w:ascii="Times New Roman" w:eastAsia="MS Mincho" w:hAnsi="Times New Roman" w:cs="Times New Roman"/>
          <w:bCs/>
          <w:kern w:val="1"/>
          <w:sz w:val="24"/>
          <w:szCs w:val="24"/>
          <w:lang w:eastAsia="ar-SA"/>
        </w:rPr>
        <w:t xml:space="preserve">oznamovaného </w:t>
      </w:r>
      <w:r w:rsidRPr="00EA3F99">
        <w:rPr>
          <w:rFonts w:ascii="Times New Roman" w:eastAsia="MS Mincho" w:hAnsi="Times New Roman" w:cs="Times New Roman"/>
          <w:bCs/>
          <w:kern w:val="1"/>
          <w:sz w:val="24"/>
          <w:szCs w:val="24"/>
          <w:lang w:eastAsia="ar-SA"/>
        </w:rPr>
        <w:t>opatrenia</w:t>
      </w:r>
      <w:r>
        <w:rPr>
          <w:rFonts w:ascii="Times New Roman" w:eastAsia="MS Mincho" w:hAnsi="Times New Roman" w:cs="Times New Roman"/>
          <w:bCs/>
          <w:kern w:val="1"/>
          <w:sz w:val="24"/>
          <w:szCs w:val="24"/>
          <w:lang w:eastAsia="ar-SA"/>
        </w:rPr>
        <w:t>.</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Pri </w:t>
      </w:r>
      <w:r>
        <w:rPr>
          <w:rFonts w:ascii="Times New Roman" w:eastAsia="MS Mincho" w:hAnsi="Times New Roman" w:cs="Times New Roman"/>
          <w:bCs/>
          <w:kern w:val="1"/>
          <w:sz w:val="24"/>
          <w:szCs w:val="24"/>
          <w:lang w:eastAsia="ar-SA"/>
        </w:rPr>
        <w:t>oznamovanom opatrení je potrebné uviesť príslušné ustanovenia vnútroštátnych predpisov konkrétnych štátov, na ktorých je predmetné oznamované opatrenie založené.</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V písmene f) sa zákonom vyžadujú informácie o hodnote </w:t>
      </w:r>
      <w:r>
        <w:rPr>
          <w:rFonts w:ascii="Times New Roman" w:eastAsia="MS Mincho" w:hAnsi="Times New Roman" w:cs="Times New Roman"/>
          <w:bCs/>
          <w:kern w:val="1"/>
          <w:sz w:val="24"/>
          <w:szCs w:val="24"/>
          <w:lang w:eastAsia="ar-SA"/>
        </w:rPr>
        <w:t>oznamovaného opatrenia</w:t>
      </w:r>
      <w:r w:rsidRPr="00EA3F99">
        <w:rPr>
          <w:rFonts w:ascii="Times New Roman" w:eastAsia="MS Mincho" w:hAnsi="Times New Roman" w:cs="Times New Roman"/>
          <w:bCs/>
          <w:kern w:val="1"/>
          <w:sz w:val="24"/>
          <w:szCs w:val="24"/>
          <w:lang w:eastAsia="ar-SA"/>
        </w:rPr>
        <w:t xml:space="preserve">. Pojem ,,hodnota“ sa vzťahuje na hodnotu transakcie a presný význam hodnoty závisí od konkrétneho typu cezhraničného opatrenia. Hodnota môže predstavovať </w:t>
      </w:r>
      <w:r>
        <w:rPr>
          <w:rFonts w:ascii="Times New Roman" w:eastAsia="MS Mincho" w:hAnsi="Times New Roman" w:cs="Times New Roman"/>
          <w:bCs/>
          <w:kern w:val="1"/>
          <w:sz w:val="24"/>
          <w:szCs w:val="24"/>
          <w:lang w:eastAsia="ar-SA"/>
        </w:rPr>
        <w:t xml:space="preserve">napr. </w:t>
      </w:r>
      <w:r w:rsidRPr="00EA3F99">
        <w:rPr>
          <w:rFonts w:ascii="Times New Roman" w:eastAsia="MS Mincho" w:hAnsi="Times New Roman" w:cs="Times New Roman"/>
          <w:bCs/>
          <w:kern w:val="1"/>
          <w:sz w:val="24"/>
          <w:szCs w:val="24"/>
          <w:lang w:eastAsia="ar-SA"/>
        </w:rPr>
        <w:t>výšku protiplnenia</w:t>
      </w:r>
      <w:r>
        <w:rPr>
          <w:rFonts w:ascii="Times New Roman" w:eastAsia="MS Mincho" w:hAnsi="Times New Roman" w:cs="Times New Roman"/>
          <w:bCs/>
          <w:kern w:val="1"/>
          <w:sz w:val="24"/>
          <w:szCs w:val="24"/>
          <w:lang w:eastAsia="ar-SA"/>
        </w:rPr>
        <w:t xml:space="preserve"> alebo</w:t>
      </w:r>
      <w:r w:rsidRPr="00EA3F99">
        <w:rPr>
          <w:rFonts w:ascii="Times New Roman" w:eastAsia="MS Mincho" w:hAnsi="Times New Roman" w:cs="Times New Roman"/>
          <w:bCs/>
          <w:kern w:val="1"/>
          <w:sz w:val="24"/>
          <w:szCs w:val="24"/>
          <w:lang w:eastAsia="ar-SA"/>
        </w:rPr>
        <w:t xml:space="preserve"> registrovaného kapitálu. </w:t>
      </w:r>
      <w:r>
        <w:rPr>
          <w:rFonts w:ascii="Times New Roman" w:eastAsia="MS Mincho" w:hAnsi="Times New Roman" w:cs="Times New Roman"/>
          <w:bCs/>
          <w:kern w:val="1"/>
          <w:sz w:val="24"/>
          <w:szCs w:val="24"/>
          <w:lang w:eastAsia="ar-SA"/>
        </w:rPr>
        <w:t xml:space="preserve">Nejde o hodnotu daňovej úspory (nie je prepočítané daňovou </w:t>
      </w:r>
      <w:r>
        <w:rPr>
          <w:rFonts w:ascii="Times New Roman" w:eastAsia="MS Mincho" w:hAnsi="Times New Roman" w:cs="Times New Roman"/>
          <w:bCs/>
          <w:kern w:val="1"/>
          <w:sz w:val="24"/>
          <w:szCs w:val="24"/>
          <w:lang w:eastAsia="ar-SA"/>
        </w:rPr>
        <w:lastRenderedPageBreak/>
        <w:t>sadzbou). Keďže sa môže stať, že hodnotu oznamovaného opatrenia nebude možné presne kvantifikovať, aj v tomto prípade je potrebné uviesť aspoň predpokladanú hodnotu oznamovaného opatrenia.</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Keďže opatrenie, ktoré sa oznamuje príslušným orgánom členským štátom musí byť cezhraničné, je </w:t>
      </w:r>
      <w:r>
        <w:rPr>
          <w:rFonts w:ascii="Times New Roman" w:eastAsia="MS Mincho" w:hAnsi="Times New Roman" w:cs="Times New Roman"/>
          <w:bCs/>
          <w:kern w:val="1"/>
          <w:sz w:val="24"/>
          <w:szCs w:val="24"/>
          <w:lang w:eastAsia="ar-SA"/>
        </w:rPr>
        <w:t>zrejmé</w:t>
      </w:r>
      <w:r w:rsidRPr="00EA3F99">
        <w:rPr>
          <w:rFonts w:ascii="Times New Roman" w:eastAsia="MS Mincho" w:hAnsi="Times New Roman" w:cs="Times New Roman"/>
          <w:bCs/>
          <w:kern w:val="1"/>
          <w:sz w:val="24"/>
          <w:szCs w:val="24"/>
          <w:lang w:eastAsia="ar-SA"/>
        </w:rPr>
        <w:t>, že v rámci toho cezhraničného opatrenie bude figurovať viacero  členských štátov. Preto je pri podávaní informácií potrebné podať príslušné</w:t>
      </w:r>
      <w:r>
        <w:rPr>
          <w:rFonts w:ascii="Times New Roman" w:eastAsia="MS Mincho" w:hAnsi="Times New Roman" w:cs="Times New Roman"/>
          <w:bCs/>
          <w:kern w:val="1"/>
          <w:sz w:val="24"/>
          <w:szCs w:val="24"/>
          <w:lang w:eastAsia="ar-SA"/>
        </w:rPr>
        <w:t>mu</w:t>
      </w:r>
      <w:r w:rsidRPr="00EA3F99">
        <w:rPr>
          <w:rFonts w:ascii="Times New Roman" w:eastAsia="MS Mincho" w:hAnsi="Times New Roman" w:cs="Times New Roman"/>
          <w:bCs/>
          <w:kern w:val="1"/>
          <w:sz w:val="24"/>
          <w:szCs w:val="24"/>
          <w:lang w:eastAsia="ar-SA"/>
        </w:rPr>
        <w:t xml:space="preserve"> orgánu</w:t>
      </w:r>
      <w:r>
        <w:rPr>
          <w:rFonts w:ascii="Times New Roman" w:eastAsia="MS Mincho" w:hAnsi="Times New Roman" w:cs="Times New Roman"/>
          <w:bCs/>
          <w:kern w:val="1"/>
          <w:sz w:val="24"/>
          <w:szCs w:val="24"/>
          <w:lang w:eastAsia="ar-SA"/>
        </w:rPr>
        <w:t xml:space="preserve"> Slovenskej republiky</w:t>
      </w:r>
      <w:r w:rsidRPr="00EA3F99">
        <w:rPr>
          <w:rFonts w:ascii="Times New Roman" w:eastAsia="MS Mincho" w:hAnsi="Times New Roman" w:cs="Times New Roman"/>
          <w:bCs/>
          <w:kern w:val="1"/>
          <w:sz w:val="24"/>
          <w:szCs w:val="24"/>
          <w:lang w:eastAsia="ar-SA"/>
        </w:rPr>
        <w:t xml:space="preserve"> informáciu </w:t>
      </w:r>
      <w:r>
        <w:rPr>
          <w:rFonts w:ascii="Times New Roman" w:eastAsia="MS Mincho" w:hAnsi="Times New Roman" w:cs="Times New Roman"/>
          <w:bCs/>
          <w:kern w:val="1"/>
          <w:sz w:val="24"/>
          <w:szCs w:val="24"/>
          <w:lang w:eastAsia="ar-SA"/>
        </w:rPr>
        <w:t>o</w:t>
      </w:r>
      <w:r w:rsidRPr="00EA3F99">
        <w:rPr>
          <w:rFonts w:ascii="Times New Roman" w:eastAsia="MS Mincho" w:hAnsi="Times New Roman" w:cs="Times New Roman"/>
          <w:bCs/>
          <w:kern w:val="1"/>
          <w:sz w:val="24"/>
          <w:szCs w:val="24"/>
          <w:lang w:eastAsia="ar-SA"/>
        </w:rPr>
        <w:t xml:space="preserve"> všetkých členských štáto</w:t>
      </w:r>
      <w:r>
        <w:rPr>
          <w:rFonts w:ascii="Times New Roman" w:eastAsia="MS Mincho" w:hAnsi="Times New Roman" w:cs="Times New Roman"/>
          <w:bCs/>
          <w:kern w:val="1"/>
          <w:sz w:val="24"/>
          <w:szCs w:val="24"/>
          <w:lang w:eastAsia="ar-SA"/>
        </w:rPr>
        <w:t>ch</w:t>
      </w:r>
      <w:r w:rsidRPr="00EA3F99">
        <w:rPr>
          <w:rFonts w:ascii="Times New Roman" w:eastAsia="MS Mincho" w:hAnsi="Times New Roman" w:cs="Times New Roman"/>
          <w:bCs/>
          <w:kern w:val="1"/>
          <w:sz w:val="24"/>
          <w:szCs w:val="24"/>
          <w:lang w:eastAsia="ar-SA"/>
        </w:rPr>
        <w:t xml:space="preserve">, na ktoré sa </w:t>
      </w:r>
      <w:r>
        <w:rPr>
          <w:rFonts w:ascii="Times New Roman" w:eastAsia="MS Mincho" w:hAnsi="Times New Roman" w:cs="Times New Roman"/>
          <w:bCs/>
          <w:kern w:val="1"/>
          <w:sz w:val="24"/>
          <w:szCs w:val="24"/>
          <w:lang w:eastAsia="ar-SA"/>
        </w:rPr>
        <w:t xml:space="preserve">oznamované </w:t>
      </w:r>
      <w:r w:rsidRPr="00EA3F99">
        <w:rPr>
          <w:rFonts w:ascii="Times New Roman" w:eastAsia="MS Mincho" w:hAnsi="Times New Roman" w:cs="Times New Roman"/>
          <w:bCs/>
          <w:kern w:val="1"/>
          <w:sz w:val="24"/>
          <w:szCs w:val="24"/>
          <w:lang w:eastAsia="ar-SA"/>
        </w:rPr>
        <w:t xml:space="preserve">opatrenie </w:t>
      </w:r>
      <w:r>
        <w:rPr>
          <w:rFonts w:ascii="Times New Roman" w:eastAsia="MS Mincho" w:hAnsi="Times New Roman" w:cs="Times New Roman"/>
          <w:bCs/>
          <w:kern w:val="1"/>
          <w:sz w:val="24"/>
          <w:szCs w:val="24"/>
          <w:lang w:eastAsia="ar-SA"/>
        </w:rPr>
        <w:t xml:space="preserve">môže </w:t>
      </w:r>
      <w:r w:rsidRPr="00EA3F99">
        <w:rPr>
          <w:rFonts w:ascii="Times New Roman" w:eastAsia="MS Mincho" w:hAnsi="Times New Roman" w:cs="Times New Roman"/>
          <w:bCs/>
          <w:kern w:val="1"/>
          <w:sz w:val="24"/>
          <w:szCs w:val="24"/>
          <w:lang w:eastAsia="ar-SA"/>
        </w:rPr>
        <w:t>vzťah</w:t>
      </w:r>
      <w:r>
        <w:rPr>
          <w:rFonts w:ascii="Times New Roman" w:eastAsia="MS Mincho" w:hAnsi="Times New Roman" w:cs="Times New Roman"/>
          <w:bCs/>
          <w:kern w:val="1"/>
          <w:sz w:val="24"/>
          <w:szCs w:val="24"/>
          <w:lang w:eastAsia="ar-SA"/>
        </w:rPr>
        <w:t>ovať.</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Oznamované opatrenie</w:t>
      </w:r>
      <w:r w:rsidRPr="00EA3F99">
        <w:rPr>
          <w:rFonts w:ascii="Times New Roman" w:eastAsia="MS Mincho" w:hAnsi="Times New Roman" w:cs="Times New Roman"/>
          <w:bCs/>
          <w:kern w:val="1"/>
          <w:sz w:val="24"/>
          <w:szCs w:val="24"/>
          <w:lang w:eastAsia="ar-SA"/>
        </w:rPr>
        <w:t xml:space="preserve"> môžu využívať aj viaceré osoby </w:t>
      </w:r>
      <w:r>
        <w:rPr>
          <w:rFonts w:ascii="Times New Roman" w:eastAsia="MS Mincho" w:hAnsi="Times New Roman" w:cs="Times New Roman"/>
          <w:bCs/>
          <w:kern w:val="1"/>
          <w:sz w:val="24"/>
          <w:szCs w:val="24"/>
          <w:lang w:eastAsia="ar-SA"/>
        </w:rPr>
        <w:t xml:space="preserve">a aj v iných členských štátoch </w:t>
      </w:r>
      <w:r w:rsidRPr="00EA3F99">
        <w:rPr>
          <w:rFonts w:ascii="Times New Roman" w:eastAsia="MS Mincho" w:hAnsi="Times New Roman" w:cs="Times New Roman"/>
          <w:bCs/>
          <w:kern w:val="1"/>
          <w:sz w:val="24"/>
          <w:szCs w:val="24"/>
          <w:lang w:eastAsia="ar-SA"/>
        </w:rPr>
        <w:t>a preto sa v rámci ustanovenia v písmene h) vyžaduje podanie informácií o identifikácii tejto ďalšej osoby, ako aj uvedenie členských štátov, s ktorými je táto osoba spojená.</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BD2A4A">
        <w:rPr>
          <w:rFonts w:ascii="Times New Roman" w:eastAsia="MS Mincho" w:hAnsi="Times New Roman" w:cs="Times New Roman"/>
          <w:bCs/>
          <w:kern w:val="1"/>
          <w:sz w:val="24"/>
          <w:szCs w:val="24"/>
          <w:lang w:eastAsia="ar-SA"/>
        </w:rPr>
        <w:t>Zákon vyžaduje aj iné údaje o</w:t>
      </w:r>
      <w:r w:rsidRPr="00080521">
        <w:rPr>
          <w:rFonts w:ascii="Times New Roman" w:eastAsia="MS Mincho" w:hAnsi="Times New Roman" w:cs="Times New Roman"/>
          <w:bCs/>
          <w:kern w:val="1"/>
          <w:sz w:val="24"/>
          <w:szCs w:val="24"/>
          <w:lang w:eastAsia="ar-SA"/>
        </w:rPr>
        <w:t> sprostredkovateľoch, používateľoch a oznamovanom opatrení, ktoré bude bližšie definovať vykonávacie nariadenie k smernici Rady (EÚ) 2018/822.</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8g</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Ustanovenie upravuje výšku sankcie za nesplnenie povinnosti podať informácie, vyhlásenie alebo spoločné vyhlásenie v zákonom požadovanom rozsahu a lehote.</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Daňový úrad</w:t>
      </w:r>
      <w:r w:rsidRPr="00EA3F99">
        <w:rPr>
          <w:rFonts w:ascii="Times New Roman" w:eastAsia="MS Mincho" w:hAnsi="Times New Roman" w:cs="Times New Roman"/>
          <w:bCs/>
          <w:kern w:val="1"/>
          <w:sz w:val="24"/>
          <w:szCs w:val="24"/>
          <w:lang w:eastAsia="ar-SA"/>
        </w:rPr>
        <w:t xml:space="preserve"> je</w:t>
      </w:r>
      <w:r>
        <w:rPr>
          <w:rFonts w:ascii="Times New Roman" w:eastAsia="MS Mincho" w:hAnsi="Times New Roman" w:cs="Times New Roman"/>
          <w:bCs/>
          <w:kern w:val="1"/>
          <w:sz w:val="24"/>
          <w:szCs w:val="24"/>
          <w:lang w:eastAsia="ar-SA"/>
        </w:rPr>
        <w:t xml:space="preserve"> pri nesplnení vyššie uvedenej povinnosti</w:t>
      </w:r>
      <w:r w:rsidRPr="00EA3F99">
        <w:rPr>
          <w:rFonts w:ascii="Times New Roman" w:eastAsia="MS Mincho" w:hAnsi="Times New Roman" w:cs="Times New Roman"/>
          <w:bCs/>
          <w:kern w:val="1"/>
          <w:sz w:val="24"/>
          <w:szCs w:val="24"/>
          <w:lang w:eastAsia="ar-SA"/>
        </w:rPr>
        <w:t xml:space="preserve"> oprávnený uložiť pokutu do 30 000 eur</w:t>
      </w:r>
      <w:r>
        <w:rPr>
          <w:rFonts w:ascii="Times New Roman" w:eastAsia="MS Mincho" w:hAnsi="Times New Roman" w:cs="Times New Roman"/>
          <w:bCs/>
          <w:kern w:val="1"/>
          <w:sz w:val="24"/>
          <w:szCs w:val="24"/>
          <w:lang w:eastAsia="ar-SA"/>
        </w:rPr>
        <w:t>, a to aj opakovane</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Daňový úrad</w:t>
      </w:r>
      <w:r w:rsidRPr="00EA3F99">
        <w:rPr>
          <w:rFonts w:ascii="Times New Roman" w:eastAsia="MS Mincho" w:hAnsi="Times New Roman" w:cs="Times New Roman"/>
          <w:bCs/>
          <w:kern w:val="1"/>
          <w:sz w:val="24"/>
          <w:szCs w:val="24"/>
          <w:lang w:eastAsia="ar-SA"/>
        </w:rPr>
        <w:t xml:space="preserve"> pri určovaní výšky pokuty prihliada na rôzne skutočnosti, napr. na hodnotu </w:t>
      </w:r>
      <w:r>
        <w:rPr>
          <w:rFonts w:ascii="Times New Roman" w:eastAsia="MS Mincho" w:hAnsi="Times New Roman" w:cs="Times New Roman"/>
          <w:bCs/>
          <w:kern w:val="1"/>
          <w:sz w:val="24"/>
          <w:szCs w:val="24"/>
          <w:lang w:eastAsia="ar-SA"/>
        </w:rPr>
        <w:t>oznamovaného opatrenia</w:t>
      </w:r>
      <w:r w:rsidRPr="00EA3F99">
        <w:rPr>
          <w:rFonts w:ascii="Times New Roman" w:eastAsia="MS Mincho" w:hAnsi="Times New Roman" w:cs="Times New Roman"/>
          <w:bCs/>
          <w:kern w:val="1"/>
          <w:sz w:val="24"/>
          <w:szCs w:val="24"/>
          <w:lang w:eastAsia="ar-SA"/>
        </w:rPr>
        <w:t>, na závažnosť, na trvanie protiprávneho stavu</w:t>
      </w:r>
      <w:r>
        <w:rPr>
          <w:rFonts w:ascii="Times New Roman" w:eastAsia="MS Mincho" w:hAnsi="Times New Roman" w:cs="Times New Roman"/>
          <w:bCs/>
          <w:kern w:val="1"/>
          <w:sz w:val="24"/>
          <w:szCs w:val="24"/>
          <w:lang w:eastAsia="ar-SA"/>
        </w:rPr>
        <w:t>, následky protiprávneho stavu</w:t>
      </w:r>
      <w:r w:rsidRPr="00EA3F99">
        <w:rPr>
          <w:rFonts w:ascii="Times New Roman" w:eastAsia="MS Mincho" w:hAnsi="Times New Roman" w:cs="Times New Roman"/>
          <w:bCs/>
          <w:kern w:val="1"/>
          <w:sz w:val="24"/>
          <w:szCs w:val="24"/>
          <w:lang w:eastAsia="ar-SA"/>
        </w:rPr>
        <w:t xml:space="preserve"> a pod.</w:t>
      </w:r>
      <w:r>
        <w:rPr>
          <w:rFonts w:ascii="Times New Roman" w:eastAsia="MS Mincho" w:hAnsi="Times New Roman" w:cs="Times New Roman"/>
          <w:bCs/>
          <w:kern w:val="1"/>
          <w:sz w:val="24"/>
          <w:szCs w:val="24"/>
          <w:lang w:eastAsia="ar-SA"/>
        </w:rPr>
        <w:t xml:space="preserve"> Keďže zákon č. 442/2012 Z. z. pri kontrole dodržiavania povinností odkazuje na zákon č. 563/2009 Z. z. o správe daní, daňový úrad v zmysle § 155 ods. 4 predmetného zákona pri určovaní výšky pokuty prihliada na závažnosť, trvanie a následky protiprávneho stavu.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8h</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Ustanovenie § 8h zakotvuje formát, </w:t>
      </w:r>
      <w:r>
        <w:rPr>
          <w:rFonts w:ascii="Times New Roman" w:eastAsia="MS Mincho" w:hAnsi="Times New Roman" w:cs="Times New Roman"/>
          <w:bCs/>
          <w:kern w:val="1"/>
          <w:sz w:val="24"/>
          <w:szCs w:val="24"/>
          <w:lang w:eastAsia="ar-SA"/>
        </w:rPr>
        <w:t xml:space="preserve">v </w:t>
      </w:r>
      <w:r w:rsidRPr="00EA3F99">
        <w:rPr>
          <w:rFonts w:ascii="Times New Roman" w:eastAsia="MS Mincho" w:hAnsi="Times New Roman" w:cs="Times New Roman"/>
          <w:bCs/>
          <w:kern w:val="1"/>
          <w:sz w:val="24"/>
          <w:szCs w:val="24"/>
          <w:lang w:eastAsia="ar-SA"/>
        </w:rPr>
        <w:t>akom je povinná osoba povinná podať zákonom požadované informácie príslušnému orgánu Slovenskej republiky. Predmetný formát na podávanie informácií bude uverejnený na webovom sídle Finančného riaditeľstva Slovenskej republiky.</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Príslušný orgán, ktorému povinné osoby zasielajú zákonom požadované informácie, oznámi tieto pozbierané informácie príslušným orgánom všetkých ostatných členských štátov prostriedkami automatickej výmeny informácií a to do 30 dní od</w:t>
      </w:r>
      <w:r>
        <w:rPr>
          <w:rFonts w:ascii="Times New Roman" w:eastAsia="MS Mincho" w:hAnsi="Times New Roman" w:cs="Times New Roman"/>
          <w:bCs/>
          <w:kern w:val="1"/>
          <w:sz w:val="24"/>
          <w:szCs w:val="24"/>
          <w:lang w:eastAsia="ar-SA"/>
        </w:rPr>
        <w:t xml:space="preserve"> posledného dňa</w:t>
      </w:r>
      <w:r w:rsidRPr="00EA3F99">
        <w:rPr>
          <w:rFonts w:ascii="Times New Roman" w:eastAsia="MS Mincho" w:hAnsi="Times New Roman" w:cs="Times New Roman"/>
          <w:bCs/>
          <w:kern w:val="1"/>
          <w:sz w:val="24"/>
          <w:szCs w:val="24"/>
          <w:lang w:eastAsia="ar-SA"/>
        </w:rPr>
        <w:t xml:space="preserve"> k</w:t>
      </w:r>
      <w:r>
        <w:rPr>
          <w:rFonts w:ascii="Times New Roman" w:eastAsia="MS Mincho" w:hAnsi="Times New Roman" w:cs="Times New Roman"/>
          <w:bCs/>
          <w:kern w:val="1"/>
          <w:sz w:val="24"/>
          <w:szCs w:val="24"/>
          <w:lang w:eastAsia="ar-SA"/>
        </w:rPr>
        <w:t>alendárneho</w:t>
      </w:r>
      <w:r w:rsidRPr="00EA3F99">
        <w:rPr>
          <w:rFonts w:ascii="Times New Roman" w:eastAsia="MS Mincho" w:hAnsi="Times New Roman" w:cs="Times New Roman"/>
          <w:bCs/>
          <w:kern w:val="1"/>
          <w:sz w:val="24"/>
          <w:szCs w:val="24"/>
          <w:lang w:eastAsia="ar-SA"/>
        </w:rPr>
        <w:t xml:space="preserve"> štvrťroka, v ktorom boli informácie podľa § 8f podané povinnou osobou príslušnému orgánu.</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Príslušným orgánom Slovenskej republiky, ktorý kontroluje dodržiavanie povinností v súvislosti s</w:t>
      </w:r>
      <w:r>
        <w:rPr>
          <w:rFonts w:ascii="Times New Roman" w:eastAsia="MS Mincho" w:hAnsi="Times New Roman" w:cs="Times New Roman"/>
          <w:bCs/>
          <w:kern w:val="1"/>
          <w:sz w:val="24"/>
          <w:szCs w:val="24"/>
          <w:lang w:eastAsia="ar-SA"/>
        </w:rPr>
        <w:t> oznamovaným opatrením</w:t>
      </w:r>
      <w:r w:rsidRPr="00EA3F99">
        <w:rPr>
          <w:rFonts w:ascii="Times New Roman" w:eastAsia="MS Mincho" w:hAnsi="Times New Roman" w:cs="Times New Roman"/>
          <w:bCs/>
          <w:kern w:val="1"/>
          <w:sz w:val="24"/>
          <w:szCs w:val="24"/>
          <w:lang w:eastAsia="ar-SA"/>
        </w:rPr>
        <w:t>, je Finančné riaditeľstvo Slovenskej republiky</w:t>
      </w:r>
      <w:r>
        <w:rPr>
          <w:rFonts w:ascii="Times New Roman" w:eastAsia="MS Mincho" w:hAnsi="Times New Roman" w:cs="Times New Roman"/>
          <w:bCs/>
          <w:kern w:val="1"/>
          <w:sz w:val="24"/>
          <w:szCs w:val="24"/>
          <w:lang w:eastAsia="ar-SA"/>
        </w:rPr>
        <w:t xml:space="preserve"> alebo daňový úrad</w:t>
      </w:r>
      <w:r w:rsidRPr="00EA3F99">
        <w:rPr>
          <w:rFonts w:ascii="Times New Roman" w:eastAsia="MS Mincho" w:hAnsi="Times New Roman" w:cs="Times New Roman"/>
          <w:bCs/>
          <w:kern w:val="1"/>
          <w:sz w:val="24"/>
          <w:szCs w:val="24"/>
          <w:lang w:eastAsia="ar-SA"/>
        </w:rPr>
        <w:t xml:space="preserve">. Pri kontrole dodržiavania povinností podľa § 8a – 8h </w:t>
      </w:r>
      <w:r>
        <w:rPr>
          <w:rFonts w:ascii="Times New Roman" w:eastAsia="MS Mincho" w:hAnsi="Times New Roman" w:cs="Times New Roman"/>
          <w:bCs/>
          <w:kern w:val="1"/>
          <w:sz w:val="24"/>
          <w:szCs w:val="24"/>
          <w:lang w:eastAsia="ar-SA"/>
        </w:rPr>
        <w:t xml:space="preserve">sa </w:t>
      </w:r>
      <w:r w:rsidRPr="00EA3F99">
        <w:rPr>
          <w:rFonts w:ascii="Times New Roman" w:eastAsia="MS Mincho" w:hAnsi="Times New Roman" w:cs="Times New Roman"/>
          <w:bCs/>
          <w:kern w:val="1"/>
          <w:sz w:val="24"/>
          <w:szCs w:val="24"/>
          <w:lang w:eastAsia="ar-SA"/>
        </w:rPr>
        <w:t>postupuje podľa zákona č. 563/2009 Z.</w:t>
      </w:r>
      <w:r>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z. o správe daní (daňový poriadok).</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sidRPr="00EA3F99">
        <w:rPr>
          <w:rFonts w:ascii="Times New Roman" w:eastAsia="MS Mincho" w:hAnsi="Times New Roman" w:cs="Times New Roman"/>
          <w:b/>
          <w:bCs/>
          <w:kern w:val="1"/>
          <w:sz w:val="24"/>
          <w:szCs w:val="24"/>
          <w:u w:val="single"/>
          <w:lang w:eastAsia="ar-SA"/>
        </w:rPr>
        <w:t>K bodu 2 – § 20 ods. 3</w:t>
      </w: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Príslušný orgán Slovenskej republiky podľa § 20 ods. 3 oznamuje Európskej komisii každý rok ročné hodnotenie efektívnosti a dosiahnuté výsledky automatickej výmeny informácií o určitých kategóriách príjmov a aj informácií o záväzných stanoviskách. Smernica</w:t>
      </w:r>
      <w:r w:rsidRPr="00654C05">
        <w:t xml:space="preserve"> </w:t>
      </w:r>
      <w:r w:rsidRPr="00654C05">
        <w:rPr>
          <w:rFonts w:ascii="Times New Roman" w:eastAsia="MS Mincho" w:hAnsi="Times New Roman" w:cs="Times New Roman"/>
          <w:bCs/>
          <w:kern w:val="1"/>
          <w:sz w:val="24"/>
          <w:szCs w:val="24"/>
          <w:lang w:eastAsia="ar-SA"/>
        </w:rPr>
        <w:t>Rady (EÚ) 2018/822</w:t>
      </w:r>
      <w:r w:rsidRPr="00EA3F99">
        <w:rPr>
          <w:rFonts w:ascii="Times New Roman" w:eastAsia="MS Mincho" w:hAnsi="Times New Roman" w:cs="Times New Roman"/>
          <w:bCs/>
          <w:kern w:val="1"/>
          <w:sz w:val="24"/>
          <w:szCs w:val="24"/>
          <w:lang w:eastAsia="ar-SA"/>
        </w:rPr>
        <w:t>, tzv. DAC 6, ktorá sa transponuje týmto zákonom, tiež vyžaduje každoročné oznamovanie hodnotenia efektívnosti a dosiahnuté výsledky automatickej výmeny informácií o</w:t>
      </w:r>
      <w:r>
        <w:rPr>
          <w:rFonts w:ascii="Times New Roman" w:eastAsia="MS Mincho" w:hAnsi="Times New Roman" w:cs="Times New Roman"/>
          <w:bCs/>
          <w:kern w:val="1"/>
          <w:sz w:val="24"/>
          <w:szCs w:val="24"/>
          <w:lang w:eastAsia="ar-SA"/>
        </w:rPr>
        <w:t> oznamovaných opatreniach</w:t>
      </w:r>
      <w:r w:rsidRPr="00EA3F99">
        <w:rPr>
          <w:rFonts w:ascii="Times New Roman" w:eastAsia="MS Mincho" w:hAnsi="Times New Roman" w:cs="Times New Roman"/>
          <w:bCs/>
          <w:kern w:val="1"/>
          <w:sz w:val="24"/>
          <w:szCs w:val="24"/>
          <w:lang w:eastAsia="ar-SA"/>
        </w:rPr>
        <w:t xml:space="preserve">. Z uvedeného dôvodu bolo potrebné už k uvedeným §7 a 8 doplniť aj paragrafy, ktorými sa preberá smernica tzv. DAC 6,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 8a až 8h.</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
          <w:bCs/>
          <w:kern w:val="1"/>
          <w:sz w:val="24"/>
          <w:szCs w:val="24"/>
          <w:u w:val="single"/>
          <w:lang w:eastAsia="ar-SA"/>
        </w:rPr>
        <w:t>K bodu 3 - § 22e ods. 1</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Do zákona sa vkladá povinnosť základného subjektu, ktorý je rezidentom na daňové účely v Slovenskej republike, </w:t>
      </w:r>
      <w:r w:rsidRPr="00A935E8">
        <w:rPr>
          <w:rFonts w:ascii="Times New Roman" w:eastAsia="MS Mincho" w:hAnsi="Times New Roman" w:cs="Times New Roman"/>
          <w:bCs/>
          <w:kern w:val="1"/>
          <w:sz w:val="24"/>
          <w:szCs w:val="24"/>
          <w:lang w:eastAsia="ar-SA"/>
        </w:rPr>
        <w:t>oznámiť príslušnému orgánu Slovenskej republiky názov nadnárodnej skupiny podnikov a názov hlavného materského subjektu z dôvodu jednoznačnej identifikácie nadnárodnej skupiny podnikov a materského subjektu. Návrh vychádza z aplikačnej praxe.</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24381D"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sidRPr="0024381D">
        <w:rPr>
          <w:rFonts w:ascii="Times New Roman" w:eastAsia="MS Mincho" w:hAnsi="Times New Roman" w:cs="Times New Roman"/>
          <w:b/>
          <w:bCs/>
          <w:kern w:val="1"/>
          <w:sz w:val="24"/>
          <w:szCs w:val="24"/>
          <w:u w:val="single"/>
          <w:lang w:eastAsia="ar-SA"/>
        </w:rPr>
        <w:t>K bodu 4 - § 22e ods. 2</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Z dôvodu zosúladenia odsekov 1 a 2 v § 22e z pohľadu základných subjektov, ktoré nie sú rezidentmi v Slovenskej republike sa v odseku 2 objasnilo, že ide o základný subjekt, ktorý je rezidentom na daňové účely v Slovenskej republike. V dôsledku doplnenia ods. 1 v § 22e o názov nadnárodnej skupiny podnikov a názov hlavného materského subjektu, bolo potrebné doplniť uvedené z dôvodu zosúladenia aj do predmetného ods. 2.</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24381D"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sidRPr="0024381D">
        <w:rPr>
          <w:rFonts w:ascii="Times New Roman" w:eastAsia="MS Mincho" w:hAnsi="Times New Roman" w:cs="Times New Roman"/>
          <w:b/>
          <w:bCs/>
          <w:kern w:val="1"/>
          <w:sz w:val="24"/>
          <w:szCs w:val="24"/>
          <w:u w:val="single"/>
          <w:lang w:eastAsia="ar-SA"/>
        </w:rPr>
        <w:t>K bodu 5 - § 22e ods. 3</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24381D">
        <w:rPr>
          <w:rFonts w:ascii="Times New Roman" w:eastAsia="MS Mincho" w:hAnsi="Times New Roman" w:cs="Times New Roman"/>
          <w:bCs/>
          <w:kern w:val="1"/>
          <w:sz w:val="24"/>
          <w:szCs w:val="24"/>
          <w:lang w:eastAsia="ar-SA"/>
        </w:rPr>
        <w:t xml:space="preserve">Predmetné ustanovenie </w:t>
      </w:r>
      <w:r>
        <w:rPr>
          <w:rFonts w:ascii="Times New Roman" w:eastAsia="MS Mincho" w:hAnsi="Times New Roman" w:cs="Times New Roman"/>
          <w:bCs/>
          <w:kern w:val="1"/>
          <w:sz w:val="24"/>
          <w:szCs w:val="24"/>
          <w:lang w:eastAsia="ar-SA"/>
        </w:rPr>
        <w:t>vychádza</w:t>
      </w:r>
      <w:r w:rsidRPr="0024381D">
        <w:rPr>
          <w:rFonts w:ascii="Times New Roman" w:eastAsia="MS Mincho" w:hAnsi="Times New Roman" w:cs="Times New Roman"/>
          <w:bCs/>
          <w:kern w:val="1"/>
          <w:sz w:val="24"/>
          <w:szCs w:val="24"/>
          <w:lang w:eastAsia="ar-SA"/>
        </w:rPr>
        <w:t xml:space="preserve"> z</w:t>
      </w:r>
      <w:r w:rsidRPr="00A77A28">
        <w:rPr>
          <w:rFonts w:ascii="Times New Roman" w:eastAsia="MS Mincho" w:hAnsi="Times New Roman" w:cs="Times New Roman"/>
          <w:bCs/>
          <w:kern w:val="1"/>
          <w:sz w:val="24"/>
          <w:szCs w:val="24"/>
          <w:lang w:eastAsia="ar-SA"/>
        </w:rPr>
        <w:t>o</w:t>
      </w:r>
      <w:r w:rsidRPr="0024381D">
        <w:rPr>
          <w:rFonts w:ascii="Times New Roman" w:eastAsia="MS Mincho" w:hAnsi="Times New Roman" w:cs="Times New Roman"/>
          <w:bCs/>
          <w:kern w:val="1"/>
          <w:sz w:val="24"/>
          <w:szCs w:val="24"/>
          <w:lang w:eastAsia="ar-SA"/>
        </w:rPr>
        <w:t xml:space="preserve"> skúseností </w:t>
      </w:r>
      <w:r w:rsidRPr="00A77A28">
        <w:rPr>
          <w:rFonts w:ascii="Times New Roman" w:eastAsia="MS Mincho" w:hAnsi="Times New Roman" w:cs="Times New Roman"/>
          <w:bCs/>
          <w:kern w:val="1"/>
          <w:sz w:val="24"/>
          <w:szCs w:val="24"/>
          <w:lang w:eastAsia="ar-SA"/>
        </w:rPr>
        <w:t>vyplývajúcich</w:t>
      </w:r>
      <w:r w:rsidRPr="0024381D">
        <w:rPr>
          <w:rFonts w:ascii="Times New Roman" w:eastAsia="MS Mincho" w:hAnsi="Times New Roman" w:cs="Times New Roman"/>
          <w:bCs/>
          <w:kern w:val="1"/>
          <w:sz w:val="24"/>
          <w:szCs w:val="24"/>
          <w:lang w:eastAsia="ar-SA"/>
        </w:rPr>
        <w:t xml:space="preserve"> z aplikačnej praxe. </w:t>
      </w:r>
      <w:r>
        <w:rPr>
          <w:rFonts w:ascii="Times New Roman" w:eastAsia="MS Mincho" w:hAnsi="Times New Roman" w:cs="Times New Roman"/>
          <w:bCs/>
          <w:kern w:val="1"/>
          <w:sz w:val="24"/>
          <w:szCs w:val="24"/>
          <w:lang w:eastAsia="ar-SA"/>
        </w:rPr>
        <w:t xml:space="preserve">Za </w:t>
      </w:r>
      <w:r w:rsidRPr="00A77A28">
        <w:rPr>
          <w:rFonts w:ascii="Times New Roman" w:eastAsia="MS Mincho" w:hAnsi="Times New Roman" w:cs="Times New Roman"/>
          <w:bCs/>
          <w:kern w:val="1"/>
          <w:sz w:val="24"/>
          <w:szCs w:val="24"/>
          <w:lang w:eastAsia="ar-SA"/>
        </w:rPr>
        <w:t>z</w:t>
      </w:r>
      <w:r w:rsidRPr="0024381D">
        <w:rPr>
          <w:rFonts w:ascii="Times New Roman" w:eastAsia="MS Mincho" w:hAnsi="Times New Roman" w:cs="Times New Roman"/>
          <w:bCs/>
          <w:kern w:val="1"/>
          <w:sz w:val="24"/>
          <w:szCs w:val="24"/>
          <w:lang w:eastAsia="ar-SA"/>
        </w:rPr>
        <w:t>men</w:t>
      </w:r>
      <w:r w:rsidRPr="00A77A28">
        <w:rPr>
          <w:rFonts w:ascii="Times New Roman" w:eastAsia="MS Mincho" w:hAnsi="Times New Roman" w:cs="Times New Roman"/>
          <w:bCs/>
          <w:kern w:val="1"/>
          <w:sz w:val="24"/>
          <w:szCs w:val="24"/>
          <w:lang w:eastAsia="ar-SA"/>
        </w:rPr>
        <w:t>u s</w:t>
      </w:r>
      <w:r w:rsidRPr="0024381D">
        <w:rPr>
          <w:rFonts w:ascii="Times New Roman" w:eastAsia="MS Mincho" w:hAnsi="Times New Roman" w:cs="Times New Roman"/>
          <w:bCs/>
          <w:kern w:val="1"/>
          <w:sz w:val="24"/>
          <w:szCs w:val="24"/>
          <w:lang w:eastAsia="ar-SA"/>
        </w:rPr>
        <w:t>kut</w:t>
      </w:r>
      <w:r>
        <w:rPr>
          <w:rFonts w:ascii="Times New Roman" w:eastAsia="MS Mincho" w:hAnsi="Times New Roman" w:cs="Times New Roman"/>
          <w:bCs/>
          <w:kern w:val="1"/>
          <w:sz w:val="24"/>
          <w:szCs w:val="24"/>
          <w:lang w:eastAsia="ar-SA"/>
        </w:rPr>
        <w:t>o</w:t>
      </w:r>
      <w:r w:rsidRPr="00A77A28">
        <w:rPr>
          <w:rFonts w:ascii="Times New Roman" w:eastAsia="MS Mincho" w:hAnsi="Times New Roman" w:cs="Times New Roman"/>
          <w:bCs/>
          <w:kern w:val="1"/>
          <w:sz w:val="24"/>
          <w:szCs w:val="24"/>
          <w:lang w:eastAsia="ar-SA"/>
        </w:rPr>
        <w:t>čnosti je potrebné po</w:t>
      </w:r>
      <w:r w:rsidRPr="0024381D">
        <w:rPr>
          <w:rFonts w:ascii="Times New Roman" w:eastAsia="MS Mincho" w:hAnsi="Times New Roman" w:cs="Times New Roman"/>
          <w:bCs/>
          <w:kern w:val="1"/>
          <w:sz w:val="24"/>
          <w:szCs w:val="24"/>
          <w:lang w:eastAsia="ar-SA"/>
        </w:rPr>
        <w:t>važovať aj</w:t>
      </w:r>
      <w:r>
        <w:rPr>
          <w:rFonts w:ascii="Times New Roman" w:eastAsia="MS Mincho" w:hAnsi="Times New Roman" w:cs="Times New Roman"/>
          <w:bCs/>
          <w:kern w:val="1"/>
          <w:sz w:val="24"/>
          <w:szCs w:val="24"/>
          <w:lang w:eastAsia="ar-SA"/>
        </w:rPr>
        <w:t xml:space="preserve"> zánik povinnosti podať oznámenie podľa § 22e ods. 1 a ods. 2</w:t>
      </w:r>
      <w:r w:rsidRPr="0024381D">
        <w:rPr>
          <w:rFonts w:ascii="Times New Roman" w:eastAsia="MS Mincho" w:hAnsi="Times New Roman" w:cs="Times New Roman"/>
          <w:bCs/>
          <w:kern w:val="1"/>
          <w:sz w:val="24"/>
          <w:szCs w:val="24"/>
          <w:lang w:eastAsia="ar-SA"/>
        </w:rPr>
        <w:t>. Je potrebné zabezpečiť informo</w:t>
      </w:r>
      <w:r w:rsidRPr="00CA7A88">
        <w:rPr>
          <w:rFonts w:ascii="Times New Roman" w:eastAsia="MS Mincho" w:hAnsi="Times New Roman" w:cs="Times New Roman"/>
          <w:bCs/>
          <w:kern w:val="1"/>
          <w:sz w:val="24"/>
          <w:szCs w:val="24"/>
          <w:lang w:eastAsia="ar-SA"/>
        </w:rPr>
        <w:t>va</w:t>
      </w:r>
      <w:r w:rsidRPr="0024381D">
        <w:rPr>
          <w:rFonts w:ascii="Times New Roman" w:eastAsia="MS Mincho" w:hAnsi="Times New Roman" w:cs="Times New Roman"/>
          <w:bCs/>
          <w:kern w:val="1"/>
          <w:sz w:val="24"/>
          <w:szCs w:val="24"/>
          <w:lang w:eastAsia="ar-SA"/>
        </w:rPr>
        <w:t xml:space="preserve">nosť </w:t>
      </w:r>
      <w:r>
        <w:rPr>
          <w:rFonts w:ascii="Times New Roman" w:eastAsia="MS Mincho" w:hAnsi="Times New Roman" w:cs="Times New Roman"/>
          <w:bCs/>
          <w:kern w:val="1"/>
          <w:sz w:val="24"/>
          <w:szCs w:val="24"/>
          <w:lang w:eastAsia="ar-SA"/>
        </w:rPr>
        <w:t>finančnej správy</w:t>
      </w:r>
      <w:r w:rsidRPr="0024381D">
        <w:rPr>
          <w:rFonts w:ascii="Times New Roman" w:eastAsia="MS Mincho" w:hAnsi="Times New Roman" w:cs="Times New Roman"/>
          <w:bCs/>
          <w:kern w:val="1"/>
          <w:sz w:val="24"/>
          <w:szCs w:val="24"/>
          <w:lang w:eastAsia="ar-SA"/>
        </w:rPr>
        <w:t xml:space="preserve"> nie len v prípade </w:t>
      </w:r>
      <w:r w:rsidRPr="00CA7A88">
        <w:rPr>
          <w:rFonts w:ascii="Times New Roman" w:eastAsia="MS Mincho" w:hAnsi="Times New Roman" w:cs="Times New Roman"/>
          <w:bCs/>
          <w:kern w:val="1"/>
          <w:sz w:val="24"/>
          <w:szCs w:val="24"/>
          <w:lang w:eastAsia="ar-SA"/>
        </w:rPr>
        <w:t>skutočností vedúcich k</w:t>
      </w:r>
      <w:r>
        <w:rPr>
          <w:rFonts w:ascii="Times New Roman" w:eastAsia="MS Mincho" w:hAnsi="Times New Roman" w:cs="Times New Roman"/>
          <w:bCs/>
          <w:kern w:val="1"/>
          <w:sz w:val="24"/>
          <w:szCs w:val="24"/>
          <w:lang w:eastAsia="ar-SA"/>
        </w:rPr>
        <w:t> </w:t>
      </w:r>
      <w:r w:rsidRPr="0024381D">
        <w:rPr>
          <w:rFonts w:ascii="Times New Roman" w:eastAsia="MS Mincho" w:hAnsi="Times New Roman" w:cs="Times New Roman"/>
          <w:bCs/>
          <w:kern w:val="1"/>
          <w:sz w:val="24"/>
          <w:szCs w:val="24"/>
          <w:lang w:eastAsia="ar-SA"/>
        </w:rPr>
        <w:t>vznik</w:t>
      </w:r>
      <w:r>
        <w:rPr>
          <w:rFonts w:ascii="Times New Roman" w:eastAsia="MS Mincho" w:hAnsi="Times New Roman" w:cs="Times New Roman"/>
          <w:bCs/>
          <w:kern w:val="1"/>
          <w:sz w:val="24"/>
          <w:szCs w:val="24"/>
          <w:lang w:eastAsia="ar-SA"/>
        </w:rPr>
        <w:t>u,</w:t>
      </w:r>
      <w:r w:rsidRPr="00CA7A88">
        <w:rPr>
          <w:rFonts w:ascii="Times New Roman" w:eastAsia="MS Mincho" w:hAnsi="Times New Roman" w:cs="Times New Roman"/>
          <w:bCs/>
          <w:kern w:val="1"/>
          <w:sz w:val="24"/>
          <w:szCs w:val="24"/>
          <w:lang w:eastAsia="ar-SA"/>
        </w:rPr>
        <w:t xml:space="preserve"> ale aj vedúcich</w:t>
      </w:r>
      <w:r w:rsidRPr="0024381D">
        <w:rPr>
          <w:rFonts w:ascii="Times New Roman" w:eastAsia="MS Mincho" w:hAnsi="Times New Roman" w:cs="Times New Roman"/>
          <w:bCs/>
          <w:kern w:val="1"/>
          <w:sz w:val="24"/>
          <w:szCs w:val="24"/>
          <w:lang w:eastAsia="ar-SA"/>
        </w:rPr>
        <w:t xml:space="preserve"> k</w:t>
      </w:r>
      <w:r>
        <w:rPr>
          <w:rFonts w:ascii="Times New Roman" w:eastAsia="MS Mincho" w:hAnsi="Times New Roman" w:cs="Times New Roman"/>
          <w:bCs/>
          <w:kern w:val="1"/>
          <w:sz w:val="24"/>
          <w:szCs w:val="24"/>
          <w:lang w:eastAsia="ar-SA"/>
        </w:rPr>
        <w:t> </w:t>
      </w:r>
      <w:r w:rsidRPr="0024381D">
        <w:rPr>
          <w:rFonts w:ascii="Times New Roman" w:eastAsia="MS Mincho" w:hAnsi="Times New Roman" w:cs="Times New Roman"/>
          <w:bCs/>
          <w:kern w:val="1"/>
          <w:sz w:val="24"/>
          <w:szCs w:val="24"/>
          <w:lang w:eastAsia="ar-SA"/>
        </w:rPr>
        <w:t>zániku</w:t>
      </w:r>
      <w:r>
        <w:rPr>
          <w:rFonts w:ascii="Times New Roman" w:eastAsia="MS Mincho" w:hAnsi="Times New Roman" w:cs="Times New Roman"/>
          <w:bCs/>
          <w:kern w:val="1"/>
          <w:sz w:val="24"/>
          <w:szCs w:val="24"/>
          <w:lang w:eastAsia="ar-SA"/>
        </w:rPr>
        <w:t xml:space="preserve"> povinnosti podať oznámenie podľa § 22e ods. 1 a ods. 2.</w:t>
      </w:r>
      <w:r w:rsidRPr="0024381D">
        <w:rPr>
          <w:rFonts w:ascii="Times New Roman" w:eastAsia="MS Mincho" w:hAnsi="Times New Roman" w:cs="Times New Roman"/>
          <w:bCs/>
          <w:kern w:val="1"/>
          <w:sz w:val="24"/>
          <w:szCs w:val="24"/>
          <w:lang w:eastAsia="ar-SA"/>
        </w:rPr>
        <w:t xml:space="preserve">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sidRPr="0024381D">
        <w:rPr>
          <w:rFonts w:ascii="Times New Roman" w:eastAsia="MS Mincho" w:hAnsi="Times New Roman" w:cs="Times New Roman"/>
          <w:b/>
          <w:bCs/>
          <w:kern w:val="1"/>
          <w:sz w:val="24"/>
          <w:szCs w:val="24"/>
          <w:u w:val="single"/>
          <w:lang w:eastAsia="ar-SA"/>
        </w:rPr>
        <w:t>K bodu 6 - § 22f ods. 1</w:t>
      </w: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Pr="0024381D"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Vzhľadom k tomu, že bola v § 8c zakotvená skratka ,,finančné riaditeľstvo“, bolo potrebné aj v tomto ustanovení zaviesť predmetnú skratku. Predmetné ustanovenie zároveň vychádza </w:t>
      </w:r>
      <w:r w:rsidRPr="000E09A8">
        <w:rPr>
          <w:rFonts w:ascii="Times New Roman" w:eastAsia="MS Mincho" w:hAnsi="Times New Roman" w:cs="Times New Roman"/>
          <w:bCs/>
          <w:kern w:val="1"/>
          <w:sz w:val="24"/>
          <w:szCs w:val="24"/>
          <w:lang w:eastAsia="ar-SA"/>
        </w:rPr>
        <w:t>zo skúseností vyplývajúcich z aplikačnej praxe</w:t>
      </w:r>
      <w:r>
        <w:rPr>
          <w:rFonts w:ascii="Times New Roman" w:eastAsia="MS Mincho" w:hAnsi="Times New Roman" w:cs="Times New Roman"/>
          <w:bCs/>
          <w:kern w:val="1"/>
          <w:sz w:val="24"/>
          <w:szCs w:val="24"/>
          <w:lang w:eastAsia="ar-SA"/>
        </w:rPr>
        <w:t>. Účelom vloženia predmetného ustanovenia je zabezpečenie toho, aby p</w:t>
      </w:r>
      <w:r w:rsidRPr="000E09A8">
        <w:rPr>
          <w:rFonts w:ascii="Times New Roman" w:eastAsia="MS Mincho" w:hAnsi="Times New Roman" w:cs="Times New Roman"/>
          <w:bCs/>
          <w:kern w:val="1"/>
          <w:sz w:val="24"/>
          <w:szCs w:val="24"/>
          <w:lang w:eastAsia="ar-SA"/>
        </w:rPr>
        <w:t>ostup doručovania elektronickými pros</w:t>
      </w:r>
      <w:r>
        <w:rPr>
          <w:rFonts w:ascii="Times New Roman" w:eastAsia="MS Mincho" w:hAnsi="Times New Roman" w:cs="Times New Roman"/>
          <w:bCs/>
          <w:kern w:val="1"/>
          <w:sz w:val="24"/>
          <w:szCs w:val="24"/>
          <w:lang w:eastAsia="ar-SA"/>
        </w:rPr>
        <w:t>triedkami vo formáte uverejnenom na webovom sídle FR SR podľa prvej vety predmetného ustanovenia uplatňoval rovnako</w:t>
      </w:r>
      <w:r w:rsidRPr="000E09A8">
        <w:rPr>
          <w:rFonts w:ascii="Times New Roman" w:eastAsia="MS Mincho" w:hAnsi="Times New Roman" w:cs="Times New Roman"/>
          <w:bCs/>
          <w:kern w:val="1"/>
          <w:sz w:val="24"/>
          <w:szCs w:val="24"/>
          <w:lang w:eastAsia="ar-SA"/>
        </w:rPr>
        <w:t xml:space="preserve"> aj pre podávanie oznámení základným subjektom podľa § 22e ods. 1 a 2.</w:t>
      </w: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sidRPr="00401777">
        <w:rPr>
          <w:rFonts w:ascii="Times New Roman" w:eastAsia="MS Mincho" w:hAnsi="Times New Roman" w:cs="Times New Roman"/>
          <w:b/>
          <w:bCs/>
          <w:kern w:val="1"/>
          <w:sz w:val="24"/>
          <w:szCs w:val="24"/>
          <w:u w:val="single"/>
          <w:lang w:eastAsia="ar-SA"/>
        </w:rPr>
        <w:t xml:space="preserve">K bodu </w:t>
      </w:r>
      <w:r>
        <w:rPr>
          <w:rFonts w:ascii="Times New Roman" w:eastAsia="MS Mincho" w:hAnsi="Times New Roman" w:cs="Times New Roman"/>
          <w:b/>
          <w:bCs/>
          <w:kern w:val="1"/>
          <w:sz w:val="24"/>
          <w:szCs w:val="24"/>
          <w:u w:val="single"/>
          <w:lang w:eastAsia="ar-SA"/>
        </w:rPr>
        <w:t>7</w:t>
      </w:r>
      <w:r w:rsidRPr="00401777">
        <w:rPr>
          <w:rFonts w:ascii="Times New Roman" w:eastAsia="MS Mincho" w:hAnsi="Times New Roman" w:cs="Times New Roman"/>
          <w:b/>
          <w:bCs/>
          <w:kern w:val="1"/>
          <w:sz w:val="24"/>
          <w:szCs w:val="24"/>
          <w:u w:val="single"/>
          <w:lang w:eastAsia="ar-SA"/>
        </w:rPr>
        <w:t xml:space="preserve"> - § 2</w:t>
      </w:r>
      <w:r>
        <w:rPr>
          <w:rFonts w:ascii="Times New Roman" w:eastAsia="MS Mincho" w:hAnsi="Times New Roman" w:cs="Times New Roman"/>
          <w:b/>
          <w:bCs/>
          <w:kern w:val="1"/>
          <w:sz w:val="24"/>
          <w:szCs w:val="24"/>
          <w:u w:val="single"/>
          <w:lang w:eastAsia="ar-SA"/>
        </w:rPr>
        <w:t>2f ods. 4</w:t>
      </w:r>
    </w:p>
    <w:p w:rsidR="0033092E" w:rsidRPr="00401777"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Vzhľadom k tomu, že bola v § 8c zakotvená skratka ,,finančné riaditeľstvo“, bolo potrebné aj v tomto ustanovení zaviesť predmetnú skratku.</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214EB"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sidRPr="00E214EB">
        <w:rPr>
          <w:rFonts w:ascii="Times New Roman" w:eastAsia="MS Mincho" w:hAnsi="Times New Roman" w:cs="Times New Roman"/>
          <w:b/>
          <w:bCs/>
          <w:kern w:val="1"/>
          <w:sz w:val="24"/>
          <w:szCs w:val="24"/>
          <w:u w:val="single"/>
          <w:lang w:eastAsia="ar-SA"/>
        </w:rPr>
        <w:t>K bodu 8 - § 23</w:t>
      </w:r>
    </w:p>
    <w:p w:rsidR="0033092E" w:rsidRPr="00BC6EFF" w:rsidRDefault="0033092E" w:rsidP="0033092E">
      <w:pPr>
        <w:suppressAutoHyphens/>
        <w:spacing w:after="0" w:line="100" w:lineRule="atLeast"/>
        <w:jc w:val="both"/>
        <w:rPr>
          <w:rFonts w:ascii="Times New Roman" w:eastAsia="MS Mincho" w:hAnsi="Times New Roman" w:cs="Times New Roman"/>
          <w:b/>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Cs/>
          <w:kern w:val="1"/>
          <w:sz w:val="24"/>
          <w:szCs w:val="24"/>
          <w:lang w:eastAsia="ar-SA"/>
        </w:rPr>
        <w:lastRenderedPageBreak/>
        <w:t xml:space="preserve">Zakotvením nového odseku 2 do § 23 sa spresňuje, že sa zákon č. 563/2009 </w:t>
      </w:r>
      <w:proofErr w:type="spellStart"/>
      <w:r>
        <w:rPr>
          <w:rFonts w:ascii="Times New Roman" w:eastAsia="MS Mincho" w:hAnsi="Times New Roman" w:cs="Times New Roman"/>
          <w:bCs/>
          <w:kern w:val="1"/>
          <w:sz w:val="24"/>
          <w:szCs w:val="24"/>
          <w:lang w:eastAsia="ar-SA"/>
        </w:rPr>
        <w:t>Z.z</w:t>
      </w:r>
      <w:proofErr w:type="spellEnd"/>
      <w:r>
        <w:rPr>
          <w:rFonts w:ascii="Times New Roman" w:eastAsia="MS Mincho" w:hAnsi="Times New Roman" w:cs="Times New Roman"/>
          <w:bCs/>
          <w:kern w:val="1"/>
          <w:sz w:val="24"/>
          <w:szCs w:val="24"/>
          <w:lang w:eastAsia="ar-SA"/>
        </w:rPr>
        <w:t xml:space="preserve">. o správe daní (daňový poriadok) v znení neskorších právnych predpisov primerane použije a uplatní pri automatickej výmene informácií zakotvenej v tomto zákone. Uvedené sa týka predovšetkým procesných oblastí upravených v daňovom poriadku. </w:t>
      </w: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
          <w:bCs/>
          <w:kern w:val="1"/>
          <w:sz w:val="24"/>
          <w:szCs w:val="24"/>
          <w:u w:val="single"/>
          <w:lang w:eastAsia="ar-SA"/>
        </w:rPr>
        <w:t>K bodu 9</w:t>
      </w:r>
      <w:r w:rsidRPr="00EA3F99">
        <w:rPr>
          <w:rFonts w:ascii="Times New Roman" w:eastAsia="MS Mincho" w:hAnsi="Times New Roman" w:cs="Times New Roman"/>
          <w:b/>
          <w:bCs/>
          <w:kern w:val="1"/>
          <w:sz w:val="24"/>
          <w:szCs w:val="24"/>
          <w:u w:val="single"/>
          <w:lang w:eastAsia="ar-SA"/>
        </w:rPr>
        <w:t xml:space="preserve"> – § 24c</w:t>
      </w: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Odsek 1 zakotvuje informáciu o prvom oznámení informácií príslušného orgánu Slovenskej republiky príslušným orgánom ostatných členských štátov. Prvé informácie ostatný</w:t>
      </w:r>
      <w:r>
        <w:rPr>
          <w:rFonts w:ascii="Times New Roman" w:eastAsia="MS Mincho" w:hAnsi="Times New Roman" w:cs="Times New Roman"/>
          <w:bCs/>
          <w:kern w:val="1"/>
          <w:sz w:val="24"/>
          <w:szCs w:val="24"/>
          <w:lang w:eastAsia="ar-SA"/>
        </w:rPr>
        <w:t>m</w:t>
      </w:r>
      <w:r w:rsidRPr="00EA3F99">
        <w:rPr>
          <w:rFonts w:ascii="Times New Roman" w:eastAsia="MS Mincho" w:hAnsi="Times New Roman" w:cs="Times New Roman"/>
          <w:bCs/>
          <w:kern w:val="1"/>
          <w:sz w:val="24"/>
          <w:szCs w:val="24"/>
          <w:lang w:eastAsia="ar-SA"/>
        </w:rPr>
        <w:t xml:space="preserve"> príslušným orgánom členských štátov oznámi príslušný orgán Slovenskej republiky do 31.októbra 2020. 31.október 2020 predstavuje jeden mesiac od konca štvrťroka, v ktorom boli prvý krát podané informácie povinnými osobami príslušnému orgánu Slovenskej republiky. </w:t>
      </w:r>
      <w:r>
        <w:rPr>
          <w:rFonts w:ascii="Times New Roman" w:eastAsia="MS Mincho" w:hAnsi="Times New Roman" w:cs="Times New Roman"/>
          <w:bCs/>
          <w:kern w:val="1"/>
          <w:sz w:val="24"/>
          <w:szCs w:val="24"/>
          <w:lang w:eastAsia="ar-SA"/>
        </w:rPr>
        <w:t>Zákon je účinný</w:t>
      </w:r>
      <w:r w:rsidRPr="00EA3F99">
        <w:rPr>
          <w:rFonts w:ascii="Times New Roman" w:eastAsia="MS Mincho" w:hAnsi="Times New Roman" w:cs="Times New Roman"/>
          <w:bCs/>
          <w:kern w:val="1"/>
          <w:sz w:val="24"/>
          <w:szCs w:val="24"/>
          <w:lang w:eastAsia="ar-SA"/>
        </w:rPr>
        <w:t xml:space="preserve"> od 1. júla 2020. Júl, august, september predstavujú štvrťrok, po ktorom do jedného mesiaca príslušný orgán Slovenskej republiky oznámi </w:t>
      </w:r>
      <w:r>
        <w:rPr>
          <w:rFonts w:ascii="Times New Roman" w:eastAsia="MS Mincho" w:hAnsi="Times New Roman" w:cs="Times New Roman"/>
          <w:bCs/>
          <w:kern w:val="1"/>
          <w:sz w:val="24"/>
          <w:szCs w:val="24"/>
          <w:lang w:eastAsia="ar-SA"/>
        </w:rPr>
        <w:t xml:space="preserve">prvý krát </w:t>
      </w:r>
      <w:r w:rsidRPr="00EA3F99">
        <w:rPr>
          <w:rFonts w:ascii="Times New Roman" w:eastAsia="MS Mincho" w:hAnsi="Times New Roman" w:cs="Times New Roman"/>
          <w:bCs/>
          <w:kern w:val="1"/>
          <w:sz w:val="24"/>
          <w:szCs w:val="24"/>
          <w:lang w:eastAsia="ar-SA"/>
        </w:rPr>
        <w:t xml:space="preserve">tieto informácie príslušným orgánom ostatných členských štátov. Následne sa automatická výmena informácií stále medzi príslušnými orgánmi členských štátov stále uskutočňuje v daných intervaloch,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do jedného mesiaca od </w:t>
      </w:r>
      <w:r>
        <w:rPr>
          <w:rFonts w:ascii="Times New Roman" w:eastAsia="MS Mincho" w:hAnsi="Times New Roman" w:cs="Times New Roman"/>
          <w:bCs/>
          <w:kern w:val="1"/>
          <w:sz w:val="24"/>
          <w:szCs w:val="24"/>
          <w:lang w:eastAsia="ar-SA"/>
        </w:rPr>
        <w:t>posledného dňa</w:t>
      </w:r>
      <w:r w:rsidRPr="00EA3F99">
        <w:rPr>
          <w:rFonts w:ascii="Times New Roman" w:eastAsia="MS Mincho" w:hAnsi="Times New Roman" w:cs="Times New Roman"/>
          <w:bCs/>
          <w:kern w:val="1"/>
          <w:sz w:val="24"/>
          <w:szCs w:val="24"/>
          <w:lang w:eastAsia="ar-SA"/>
        </w:rPr>
        <w:t xml:space="preserve"> štvrťroka.</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Povinné osoby, ktoré vykonali prvý krok v implementácii cezhraničného opatrenia odo dňa nadobudnutia účinnosti smernice DAC 6,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od 25. júna 2018 do </w:t>
      </w:r>
      <w:r>
        <w:rPr>
          <w:rFonts w:ascii="Times New Roman" w:eastAsia="MS Mincho" w:hAnsi="Times New Roman" w:cs="Times New Roman"/>
          <w:bCs/>
          <w:kern w:val="1"/>
          <w:sz w:val="24"/>
          <w:szCs w:val="24"/>
          <w:lang w:eastAsia="ar-SA"/>
        </w:rPr>
        <w:t>30. júna 2019,</w:t>
      </w:r>
      <w:r w:rsidRPr="00EA3F99">
        <w:rPr>
          <w:rFonts w:ascii="Times New Roman" w:eastAsia="MS Mincho" w:hAnsi="Times New Roman" w:cs="Times New Roman"/>
          <w:bCs/>
          <w:kern w:val="1"/>
          <w:sz w:val="24"/>
          <w:szCs w:val="24"/>
          <w:lang w:eastAsia="ar-SA"/>
        </w:rPr>
        <w:t xml:space="preserve"> tak sú povinné informácie o týchto </w:t>
      </w:r>
      <w:r>
        <w:rPr>
          <w:rFonts w:ascii="Times New Roman" w:eastAsia="MS Mincho" w:hAnsi="Times New Roman" w:cs="Times New Roman"/>
          <w:bCs/>
          <w:kern w:val="1"/>
          <w:sz w:val="24"/>
          <w:szCs w:val="24"/>
          <w:lang w:eastAsia="ar-SA"/>
        </w:rPr>
        <w:t xml:space="preserve">oznamovaných opatreniach </w:t>
      </w:r>
      <w:r w:rsidRPr="00EA3F99">
        <w:rPr>
          <w:rFonts w:ascii="Times New Roman" w:eastAsia="MS Mincho" w:hAnsi="Times New Roman" w:cs="Times New Roman"/>
          <w:bCs/>
          <w:kern w:val="1"/>
          <w:sz w:val="24"/>
          <w:szCs w:val="24"/>
          <w:lang w:eastAsia="ar-SA"/>
        </w:rPr>
        <w:t xml:space="preserve">podať príslušnému orgánu Slovenskej republiky do 31. augusta 2020. </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
          <w:bCs/>
          <w:kern w:val="1"/>
          <w:sz w:val="24"/>
          <w:szCs w:val="24"/>
          <w:u w:val="single"/>
          <w:lang w:eastAsia="ar-SA"/>
        </w:rPr>
        <w:t>K bodu 10</w:t>
      </w:r>
      <w:r w:rsidRPr="00EA3F99">
        <w:rPr>
          <w:rFonts w:ascii="Times New Roman" w:eastAsia="MS Mincho" w:hAnsi="Times New Roman" w:cs="Times New Roman"/>
          <w:b/>
          <w:bCs/>
          <w:kern w:val="1"/>
          <w:sz w:val="24"/>
          <w:szCs w:val="24"/>
          <w:u w:val="single"/>
          <w:lang w:eastAsia="ar-SA"/>
        </w:rPr>
        <w:t xml:space="preserve"> – príloha č. </w:t>
      </w:r>
      <w:r>
        <w:rPr>
          <w:rFonts w:ascii="Times New Roman" w:eastAsia="MS Mincho" w:hAnsi="Times New Roman" w:cs="Times New Roman"/>
          <w:b/>
          <w:bCs/>
          <w:kern w:val="1"/>
          <w:sz w:val="24"/>
          <w:szCs w:val="24"/>
          <w:u w:val="single"/>
          <w:lang w:eastAsia="ar-SA"/>
        </w:rPr>
        <w:t>1a</w:t>
      </w:r>
      <w:r w:rsidRPr="00EA3F99">
        <w:rPr>
          <w:rFonts w:ascii="Times New Roman" w:eastAsia="MS Mincho" w:hAnsi="Times New Roman" w:cs="Times New Roman"/>
          <w:b/>
          <w:bCs/>
          <w:kern w:val="1"/>
          <w:sz w:val="24"/>
          <w:szCs w:val="24"/>
          <w:u w:val="single"/>
          <w:lang w:eastAsia="ar-SA"/>
        </w:rPr>
        <w:t xml:space="preserve"> k zákonu č. 442/2012 </w:t>
      </w:r>
      <w:proofErr w:type="spellStart"/>
      <w:r w:rsidRPr="00EA3F99">
        <w:rPr>
          <w:rFonts w:ascii="Times New Roman" w:eastAsia="MS Mincho" w:hAnsi="Times New Roman" w:cs="Times New Roman"/>
          <w:b/>
          <w:bCs/>
          <w:kern w:val="1"/>
          <w:sz w:val="24"/>
          <w:szCs w:val="24"/>
          <w:u w:val="single"/>
          <w:lang w:eastAsia="ar-SA"/>
        </w:rPr>
        <w:t>Z.z</w:t>
      </w:r>
      <w:proofErr w:type="spellEnd"/>
      <w:r w:rsidRPr="00EA3F99">
        <w:rPr>
          <w:rFonts w:ascii="Times New Roman" w:eastAsia="MS Mincho" w:hAnsi="Times New Roman" w:cs="Times New Roman"/>
          <w:b/>
          <w:bCs/>
          <w:kern w:val="1"/>
          <w:sz w:val="24"/>
          <w:szCs w:val="24"/>
          <w:u w:val="single"/>
          <w:lang w:eastAsia="ar-SA"/>
        </w:rPr>
        <w:t>.</w:t>
      </w: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Predmetná príloha upravuje charakteristické znaky, ktorými je vlastnosť, prvok, aspekt cezhraničného opatrenia, ktorý môže predstavovať riziko vyhýbania sa daňovým povinnostiam, resp. riziko vyhýbania sa plateniu daní</w:t>
      </w:r>
      <w:r>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Cezhraničné opatrenie podlieha oznamovaniu, ak je splnený aspoň jeden tento znak.</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Bod I.</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Všeobecné a aj niektoré osobitné charakteristické znaky sa môžu zohľadniť, až keď vyhovejú testu hlavného účelu.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test hlavného účelu je podmieňujúcim faktorom na použitie všeobecných a niektorých osobitných charakteristických znakov. Test hlavného účelu je naplnený, ak je možné určiť, že hlavným alebo jedným z hlavných účelov cezhraničného opatrenie, je získanie daňovej výhody, pričom túto daňovú výhodu môže osoba využívajúca predmetné cezhraničné opatrenia odôvodnene očakávať, vzhľadom na všetky relevantné skutočnosti a okolnosti.</w:t>
      </w: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Bod II. časť A</w:t>
      </w:r>
      <w:r w:rsidRPr="00EA3F99">
        <w:rPr>
          <w:rFonts w:ascii="Times New Roman" w:eastAsia="MS Mincho" w:hAnsi="Times New Roman" w:cs="Times New Roman"/>
          <w:bCs/>
          <w:kern w:val="1"/>
          <w:sz w:val="24"/>
          <w:szCs w:val="24"/>
          <w:lang w:eastAsia="ar-SA"/>
        </w:rPr>
        <w:t>.</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Všeobecné charakt</w:t>
      </w:r>
      <w:r>
        <w:rPr>
          <w:rFonts w:ascii="Times New Roman" w:eastAsia="MS Mincho" w:hAnsi="Times New Roman" w:cs="Times New Roman"/>
          <w:bCs/>
          <w:kern w:val="1"/>
          <w:sz w:val="24"/>
          <w:szCs w:val="24"/>
          <w:lang w:eastAsia="ar-SA"/>
        </w:rPr>
        <w:t>eristické znaky upravené v časti A</w:t>
      </w:r>
      <w:r w:rsidRPr="00EA3F99">
        <w:rPr>
          <w:rFonts w:ascii="Times New Roman" w:eastAsia="MS Mincho" w:hAnsi="Times New Roman" w:cs="Times New Roman"/>
          <w:bCs/>
          <w:kern w:val="1"/>
          <w:sz w:val="24"/>
          <w:szCs w:val="24"/>
          <w:lang w:eastAsia="ar-SA"/>
        </w:rPr>
        <w:t xml:space="preserve"> sa zohľadni</w:t>
      </w:r>
      <w:r>
        <w:rPr>
          <w:rFonts w:ascii="Times New Roman" w:eastAsia="MS Mincho" w:hAnsi="Times New Roman" w:cs="Times New Roman"/>
          <w:bCs/>
          <w:kern w:val="1"/>
          <w:sz w:val="24"/>
          <w:szCs w:val="24"/>
          <w:lang w:eastAsia="ar-SA"/>
        </w:rPr>
        <w:t>a</w:t>
      </w:r>
      <w:r w:rsidRPr="00EA3F99">
        <w:rPr>
          <w:rFonts w:ascii="Times New Roman" w:eastAsia="MS Mincho" w:hAnsi="Times New Roman" w:cs="Times New Roman"/>
          <w:bCs/>
          <w:kern w:val="1"/>
          <w:sz w:val="24"/>
          <w:szCs w:val="24"/>
          <w:lang w:eastAsia="ar-SA"/>
        </w:rPr>
        <w:t xml:space="preserve">, len ak vyhovejú testu hlavného účelu, ktorého podstatou je získanie daňového zvýhodnenia, ako </w:t>
      </w:r>
      <w:r>
        <w:rPr>
          <w:rFonts w:ascii="Times New Roman" w:eastAsia="MS Mincho" w:hAnsi="Times New Roman" w:cs="Times New Roman"/>
          <w:bCs/>
          <w:kern w:val="1"/>
          <w:sz w:val="24"/>
          <w:szCs w:val="24"/>
          <w:lang w:eastAsia="ar-SA"/>
        </w:rPr>
        <w:t xml:space="preserve">hlavného alebo </w:t>
      </w:r>
      <w:r w:rsidRPr="00EA3F99">
        <w:rPr>
          <w:rFonts w:ascii="Times New Roman" w:eastAsia="MS Mincho" w:hAnsi="Times New Roman" w:cs="Times New Roman"/>
          <w:bCs/>
          <w:kern w:val="1"/>
          <w:sz w:val="24"/>
          <w:szCs w:val="24"/>
          <w:lang w:eastAsia="ar-SA"/>
        </w:rPr>
        <w:t>jedného z hlavných účelov cezhraničného opatrenia. Všeobecné charakteristické znaky prepojené na test hlavného účelu podľa čas</w:t>
      </w:r>
      <w:r>
        <w:rPr>
          <w:rFonts w:ascii="Times New Roman" w:eastAsia="MS Mincho" w:hAnsi="Times New Roman" w:cs="Times New Roman"/>
          <w:bCs/>
          <w:kern w:val="1"/>
          <w:sz w:val="24"/>
          <w:szCs w:val="24"/>
          <w:lang w:eastAsia="ar-SA"/>
        </w:rPr>
        <w:t>ti A</w:t>
      </w:r>
      <w:r w:rsidRPr="00EA3F99">
        <w:rPr>
          <w:rFonts w:ascii="Times New Roman" w:eastAsia="MS Mincho" w:hAnsi="Times New Roman" w:cs="Times New Roman"/>
          <w:bCs/>
          <w:kern w:val="1"/>
          <w:sz w:val="24"/>
          <w:szCs w:val="24"/>
          <w:lang w:eastAsia="ar-SA"/>
        </w:rPr>
        <w:t xml:space="preserve"> zahŕňajú 3 charakteristické znaky, a to charakteristický znak </w:t>
      </w:r>
      <w:r>
        <w:rPr>
          <w:rFonts w:ascii="Times New Roman" w:eastAsia="MS Mincho" w:hAnsi="Times New Roman" w:cs="Times New Roman"/>
          <w:bCs/>
          <w:kern w:val="1"/>
          <w:sz w:val="24"/>
          <w:szCs w:val="24"/>
          <w:lang w:eastAsia="ar-SA"/>
        </w:rPr>
        <w:t>dôvernosti</w:t>
      </w:r>
      <w:r w:rsidRPr="00EA3F99">
        <w:rPr>
          <w:rFonts w:ascii="Times New Roman" w:eastAsia="MS Mincho" w:hAnsi="Times New Roman" w:cs="Times New Roman"/>
          <w:bCs/>
          <w:kern w:val="1"/>
          <w:sz w:val="24"/>
          <w:szCs w:val="24"/>
          <w:lang w:eastAsia="ar-SA"/>
        </w:rPr>
        <w:t xml:space="preserve">, odmeny a </w:t>
      </w:r>
      <w:proofErr w:type="spellStart"/>
      <w:r w:rsidRPr="00EA3F99">
        <w:rPr>
          <w:rFonts w:ascii="Times New Roman" w:eastAsia="MS Mincho" w:hAnsi="Times New Roman" w:cs="Times New Roman"/>
          <w:bCs/>
          <w:kern w:val="1"/>
          <w:sz w:val="24"/>
          <w:szCs w:val="24"/>
          <w:lang w:eastAsia="ar-SA"/>
        </w:rPr>
        <w:t>štandardizovanosti</w:t>
      </w:r>
      <w:proofErr w:type="spellEnd"/>
      <w:r w:rsidRPr="00EA3F99">
        <w:rPr>
          <w:rFonts w:ascii="Times New Roman" w:eastAsia="MS Mincho" w:hAnsi="Times New Roman" w:cs="Times New Roman"/>
          <w:bCs/>
          <w:kern w:val="1"/>
          <w:sz w:val="24"/>
          <w:szCs w:val="24"/>
          <w:lang w:eastAsia="ar-SA"/>
        </w:rPr>
        <w:t xml:space="preserve">. </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Charakteristický znak </w:t>
      </w:r>
      <w:r>
        <w:rPr>
          <w:rFonts w:ascii="Times New Roman" w:eastAsia="MS Mincho" w:hAnsi="Times New Roman" w:cs="Times New Roman"/>
          <w:bCs/>
          <w:kern w:val="1"/>
          <w:sz w:val="24"/>
          <w:szCs w:val="24"/>
          <w:lang w:eastAsia="ar-SA"/>
        </w:rPr>
        <w:t>dôvernosti</w:t>
      </w:r>
      <w:r w:rsidRPr="00EA3F99">
        <w:rPr>
          <w:rFonts w:ascii="Times New Roman" w:eastAsia="MS Mincho" w:hAnsi="Times New Roman" w:cs="Times New Roman"/>
          <w:bCs/>
          <w:kern w:val="1"/>
          <w:sz w:val="24"/>
          <w:szCs w:val="24"/>
          <w:lang w:eastAsia="ar-SA"/>
        </w:rPr>
        <w:t xml:space="preserve"> je naplnený, ak sa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cezhraničného opatrenia</w:t>
      </w:r>
      <w:r>
        <w:rPr>
          <w:rFonts w:ascii="Times New Roman" w:eastAsia="MS Mincho" w:hAnsi="Times New Roman" w:cs="Times New Roman"/>
          <w:bCs/>
          <w:kern w:val="1"/>
          <w:sz w:val="24"/>
          <w:szCs w:val="24"/>
          <w:lang w:eastAsia="ar-SA"/>
        </w:rPr>
        <w:t xml:space="preserve"> zmluvne</w:t>
      </w:r>
      <w:r w:rsidRPr="00EA3F99">
        <w:rPr>
          <w:rFonts w:ascii="Times New Roman" w:eastAsia="MS Mincho" w:hAnsi="Times New Roman" w:cs="Times New Roman"/>
          <w:bCs/>
          <w:kern w:val="1"/>
          <w:sz w:val="24"/>
          <w:szCs w:val="24"/>
          <w:lang w:eastAsia="ar-SA"/>
        </w:rPr>
        <w:t xml:space="preserve"> zaviazal </w:t>
      </w:r>
      <w:r>
        <w:rPr>
          <w:rFonts w:ascii="Times New Roman" w:eastAsia="MS Mincho" w:hAnsi="Times New Roman" w:cs="Times New Roman"/>
          <w:bCs/>
          <w:kern w:val="1"/>
          <w:sz w:val="24"/>
          <w:szCs w:val="24"/>
          <w:lang w:eastAsia="ar-SA"/>
        </w:rPr>
        <w:t>zachovať</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dôvernosť</w:t>
      </w:r>
      <w:r w:rsidRPr="00EA3F99">
        <w:rPr>
          <w:rFonts w:ascii="Times New Roman" w:eastAsia="MS Mincho" w:hAnsi="Times New Roman" w:cs="Times New Roman"/>
          <w:bCs/>
          <w:kern w:val="1"/>
          <w:sz w:val="24"/>
          <w:szCs w:val="24"/>
          <w:lang w:eastAsia="ar-SA"/>
        </w:rPr>
        <w:t xml:space="preserve"> o možnosti získania daňového zvýhodnenia prostredníctvom cezhraničného opatrenia,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neprezradiť spôsob získania daňovej výhody </w:t>
      </w:r>
      <w:r w:rsidRPr="00EA3F99">
        <w:rPr>
          <w:rFonts w:ascii="Times New Roman" w:eastAsia="MS Mincho" w:hAnsi="Times New Roman" w:cs="Times New Roman"/>
          <w:bCs/>
          <w:kern w:val="1"/>
          <w:sz w:val="24"/>
          <w:szCs w:val="24"/>
          <w:lang w:eastAsia="ar-SA"/>
        </w:rPr>
        <w:lastRenderedPageBreak/>
        <w:t xml:space="preserve">prostredníctvom predmetného opatrenie inému sprostredkovateľovi alebo </w:t>
      </w:r>
      <w:r>
        <w:rPr>
          <w:rFonts w:ascii="Times New Roman" w:eastAsia="MS Mincho" w:hAnsi="Times New Roman" w:cs="Times New Roman"/>
          <w:bCs/>
          <w:kern w:val="1"/>
          <w:sz w:val="24"/>
          <w:szCs w:val="24"/>
          <w:lang w:eastAsia="ar-SA"/>
        </w:rPr>
        <w:t xml:space="preserve">správcovi dane, </w:t>
      </w:r>
      <w:proofErr w:type="spellStart"/>
      <w:r>
        <w:rPr>
          <w:rFonts w:ascii="Times New Roman" w:eastAsia="MS Mincho" w:hAnsi="Times New Roman" w:cs="Times New Roman"/>
          <w:bCs/>
          <w:kern w:val="1"/>
          <w:sz w:val="24"/>
          <w:szCs w:val="24"/>
          <w:lang w:eastAsia="ar-SA"/>
        </w:rPr>
        <w:t>t.j</w:t>
      </w:r>
      <w:proofErr w:type="spellEnd"/>
      <w:r>
        <w:rPr>
          <w:rFonts w:ascii="Times New Roman" w:eastAsia="MS Mincho" w:hAnsi="Times New Roman" w:cs="Times New Roman"/>
          <w:bCs/>
          <w:kern w:val="1"/>
          <w:sz w:val="24"/>
          <w:szCs w:val="24"/>
          <w:lang w:eastAsia="ar-SA"/>
        </w:rPr>
        <w:t>. príslušnému orgánu Slovenskej republiky alebo príslušným orgánov iných členských štátov.</w:t>
      </w:r>
      <w:r w:rsidRPr="00EA3F99">
        <w:rPr>
          <w:rFonts w:ascii="Times New Roman" w:eastAsia="MS Mincho" w:hAnsi="Times New Roman" w:cs="Times New Roman"/>
          <w:bCs/>
          <w:kern w:val="1"/>
          <w:sz w:val="24"/>
          <w:szCs w:val="24"/>
          <w:lang w:eastAsia="ar-SA"/>
        </w:rPr>
        <w:t xml:space="preserve"> </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Charakteristický znak odmeny je cezhraničným opatrením naplnený v prípade splnenia jednej z podmienok, a to že sprostredkovateľ má nárok na odmenu za navrhnutie, organizovanie, implementáciu a pod. cezhraničného opatrenia </w:t>
      </w:r>
      <w:r>
        <w:rPr>
          <w:rFonts w:ascii="Times New Roman" w:eastAsia="MS Mincho" w:hAnsi="Times New Roman" w:cs="Times New Roman"/>
          <w:bCs/>
          <w:kern w:val="1"/>
          <w:sz w:val="24"/>
          <w:szCs w:val="24"/>
          <w:lang w:eastAsia="ar-SA"/>
        </w:rPr>
        <w:t>a táto odmena sa odvíja od výšky</w:t>
      </w:r>
      <w:r w:rsidRPr="00EA3F99">
        <w:rPr>
          <w:rFonts w:ascii="Times New Roman" w:eastAsia="MS Mincho" w:hAnsi="Times New Roman" w:cs="Times New Roman"/>
          <w:bCs/>
          <w:kern w:val="1"/>
          <w:sz w:val="24"/>
          <w:szCs w:val="24"/>
          <w:lang w:eastAsia="ar-SA"/>
        </w:rPr>
        <w:t xml:space="preserve"> daňovej výhody, ktorá vyplynula a je priamo spojená s cezhraničným opatrením</w:t>
      </w:r>
      <w:r>
        <w:rPr>
          <w:rFonts w:ascii="Times New Roman" w:eastAsia="MS Mincho" w:hAnsi="Times New Roman" w:cs="Times New Roman"/>
          <w:bCs/>
          <w:kern w:val="1"/>
          <w:sz w:val="24"/>
          <w:szCs w:val="24"/>
          <w:lang w:eastAsia="ar-SA"/>
        </w:rPr>
        <w:t>. Táto odmena môže byť</w:t>
      </w:r>
      <w:r w:rsidRPr="00EA3F99">
        <w:rPr>
          <w:rFonts w:ascii="Times New Roman" w:eastAsia="MS Mincho" w:hAnsi="Times New Roman" w:cs="Times New Roman"/>
          <w:bCs/>
          <w:kern w:val="1"/>
          <w:sz w:val="24"/>
          <w:szCs w:val="24"/>
          <w:lang w:eastAsia="ar-SA"/>
        </w:rPr>
        <w:t xml:space="preserve"> určená</w:t>
      </w:r>
      <w:r>
        <w:rPr>
          <w:rFonts w:ascii="Times New Roman" w:eastAsia="MS Mincho" w:hAnsi="Times New Roman" w:cs="Times New Roman"/>
          <w:bCs/>
          <w:kern w:val="1"/>
          <w:sz w:val="24"/>
          <w:szCs w:val="24"/>
          <w:lang w:eastAsia="ar-SA"/>
        </w:rPr>
        <w:t xml:space="preserve"> aj</w:t>
      </w:r>
      <w:r w:rsidRPr="00EA3F99">
        <w:rPr>
          <w:rFonts w:ascii="Times New Roman" w:eastAsia="MS Mincho" w:hAnsi="Times New Roman" w:cs="Times New Roman"/>
          <w:bCs/>
          <w:kern w:val="1"/>
          <w:sz w:val="24"/>
          <w:szCs w:val="24"/>
          <w:lang w:eastAsia="ar-SA"/>
        </w:rPr>
        <w:t xml:space="preserve"> podľa toho, či sa skutočne dosiahla daňová výhoda prostredníctvom cezhraničného opatrenia</w:t>
      </w:r>
      <w:r>
        <w:rPr>
          <w:rFonts w:ascii="Times New Roman" w:eastAsia="MS Mincho" w:hAnsi="Times New Roman" w:cs="Times New Roman"/>
          <w:bCs/>
          <w:kern w:val="1"/>
          <w:sz w:val="24"/>
          <w:szCs w:val="24"/>
          <w:lang w:eastAsia="ar-SA"/>
        </w:rPr>
        <w:t xml:space="preserve">. Ak </w:t>
      </w:r>
      <w:r w:rsidRPr="00EA3F99">
        <w:rPr>
          <w:rFonts w:ascii="Times New Roman" w:eastAsia="MS Mincho" w:hAnsi="Times New Roman" w:cs="Times New Roman"/>
          <w:bCs/>
          <w:kern w:val="1"/>
          <w:sz w:val="24"/>
          <w:szCs w:val="24"/>
          <w:lang w:eastAsia="ar-SA"/>
        </w:rPr>
        <w:t xml:space="preserve">by sa daňová výhoda nedosiahla, tak by bol sprostredkovateľ povinný vrátiť celú odmenu alebo jej časť, podľa toho aká časť daňovej výhody sa </w:t>
      </w:r>
      <w:proofErr w:type="spellStart"/>
      <w:r w:rsidRPr="00EA3F99">
        <w:rPr>
          <w:rFonts w:ascii="Times New Roman" w:eastAsia="MS Mincho" w:hAnsi="Times New Roman" w:cs="Times New Roman"/>
          <w:bCs/>
          <w:kern w:val="1"/>
          <w:sz w:val="24"/>
          <w:szCs w:val="24"/>
          <w:lang w:eastAsia="ar-SA"/>
        </w:rPr>
        <w:t>ne</w:t>
      </w:r>
      <w:proofErr w:type="spellEnd"/>
      <w:r w:rsidRPr="00EA3F99">
        <w:rPr>
          <w:rFonts w:ascii="Times New Roman" w:eastAsia="MS Mincho" w:hAnsi="Times New Roman" w:cs="Times New Roman"/>
          <w:bCs/>
          <w:kern w:val="1"/>
          <w:sz w:val="24"/>
          <w:szCs w:val="24"/>
          <w:lang w:eastAsia="ar-SA"/>
        </w:rPr>
        <w:t xml:space="preserve">/dosiahla. Ak by sa dosiahla len časť daňovej výhody, tak by sprostredkovateľ vrátil časť dohodnutej odmeny a ak by sa daňový výhoda vôbec nedosiahla, tak by sprostredkovateľ nemal nárok na odmenu, resp. by ju celú musel vrátiť.  </w:t>
      </w:r>
    </w:p>
    <w:p w:rsidR="0033092E" w:rsidRPr="00EA3F99"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 tretím charakteristickým znakom, ktorý možno zohľadniť pri cezhraničnom opatrení, len ak spĺňa aj test hlavného účelu, je charakteristický znak </w:t>
      </w:r>
      <w:proofErr w:type="spellStart"/>
      <w:r w:rsidRPr="00EA3F99">
        <w:rPr>
          <w:rFonts w:ascii="Times New Roman" w:eastAsia="MS Mincho" w:hAnsi="Times New Roman" w:cs="Times New Roman"/>
          <w:bCs/>
          <w:kern w:val="1"/>
          <w:sz w:val="24"/>
          <w:szCs w:val="24"/>
          <w:lang w:eastAsia="ar-SA"/>
        </w:rPr>
        <w:t>štandardizovanosti</w:t>
      </w:r>
      <w:proofErr w:type="spellEnd"/>
      <w:r w:rsidRPr="00EA3F99">
        <w:rPr>
          <w:rFonts w:ascii="Times New Roman" w:eastAsia="MS Mincho" w:hAnsi="Times New Roman" w:cs="Times New Roman"/>
          <w:bCs/>
          <w:kern w:val="1"/>
          <w:sz w:val="24"/>
          <w:szCs w:val="24"/>
          <w:lang w:eastAsia="ar-SA"/>
        </w:rPr>
        <w:t>, čo znamená, že cezhraničné opatrenie obsahuje štandardizovan</w:t>
      </w:r>
      <w:r>
        <w:rPr>
          <w:rFonts w:ascii="Times New Roman" w:eastAsia="MS Mincho" w:hAnsi="Times New Roman" w:cs="Times New Roman"/>
          <w:bCs/>
          <w:kern w:val="1"/>
          <w:sz w:val="24"/>
          <w:szCs w:val="24"/>
          <w:lang w:eastAsia="ar-SA"/>
        </w:rPr>
        <w:t>é kroky/dokumentáciu,</w:t>
      </w:r>
      <w:r w:rsidRPr="00EA3F99">
        <w:rPr>
          <w:rFonts w:ascii="Times New Roman" w:eastAsia="MS Mincho" w:hAnsi="Times New Roman" w:cs="Times New Roman"/>
          <w:bCs/>
          <w:kern w:val="1"/>
          <w:sz w:val="24"/>
          <w:szCs w:val="24"/>
          <w:lang w:eastAsia="ar-SA"/>
        </w:rPr>
        <w:t xml:space="preserve"> ktor</w:t>
      </w:r>
      <w:r>
        <w:rPr>
          <w:rFonts w:ascii="Times New Roman" w:eastAsia="MS Mincho" w:hAnsi="Times New Roman" w:cs="Times New Roman"/>
          <w:bCs/>
          <w:kern w:val="1"/>
          <w:sz w:val="24"/>
          <w:szCs w:val="24"/>
          <w:lang w:eastAsia="ar-SA"/>
        </w:rPr>
        <w:t>á</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je </w:t>
      </w:r>
      <w:r w:rsidRPr="00EA3F99">
        <w:rPr>
          <w:rFonts w:ascii="Times New Roman" w:eastAsia="MS Mincho" w:hAnsi="Times New Roman" w:cs="Times New Roman"/>
          <w:bCs/>
          <w:kern w:val="1"/>
          <w:sz w:val="24"/>
          <w:szCs w:val="24"/>
          <w:lang w:eastAsia="ar-SA"/>
        </w:rPr>
        <w:t xml:space="preserve">určená viac ako jednému </w:t>
      </w:r>
      <w:r>
        <w:rPr>
          <w:rFonts w:ascii="Times New Roman" w:eastAsia="MS Mincho" w:hAnsi="Times New Roman" w:cs="Times New Roman"/>
          <w:bCs/>
          <w:kern w:val="1"/>
          <w:sz w:val="24"/>
          <w:szCs w:val="24"/>
          <w:lang w:eastAsia="ar-SA"/>
        </w:rPr>
        <w:t>používateľovi</w:t>
      </w:r>
      <w:r w:rsidRPr="00EA3F99">
        <w:rPr>
          <w:rFonts w:ascii="Times New Roman" w:eastAsia="MS Mincho" w:hAnsi="Times New Roman" w:cs="Times New Roman"/>
          <w:bCs/>
          <w:kern w:val="1"/>
          <w:sz w:val="24"/>
          <w:szCs w:val="24"/>
          <w:lang w:eastAsia="ar-SA"/>
        </w:rPr>
        <w:t>.</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Bod II. časť B</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Osobitné charakte</w:t>
      </w:r>
      <w:r>
        <w:rPr>
          <w:rFonts w:ascii="Times New Roman" w:eastAsia="MS Mincho" w:hAnsi="Times New Roman" w:cs="Times New Roman"/>
          <w:bCs/>
          <w:kern w:val="1"/>
          <w:sz w:val="24"/>
          <w:szCs w:val="24"/>
          <w:lang w:eastAsia="ar-SA"/>
        </w:rPr>
        <w:t>ristické znaky uvedené v časti B</w:t>
      </w:r>
      <w:r w:rsidRPr="00EA3F99">
        <w:rPr>
          <w:rFonts w:ascii="Times New Roman" w:eastAsia="MS Mincho" w:hAnsi="Times New Roman" w:cs="Times New Roman"/>
          <w:bCs/>
          <w:kern w:val="1"/>
          <w:sz w:val="24"/>
          <w:szCs w:val="24"/>
          <w:lang w:eastAsia="ar-SA"/>
        </w:rPr>
        <w:t xml:space="preserve"> , ktorými sú znak využitia strát,  znak zmeny charakteru príjmu</w:t>
      </w:r>
      <w:r>
        <w:rPr>
          <w:rFonts w:ascii="Times New Roman" w:eastAsia="MS Mincho" w:hAnsi="Times New Roman" w:cs="Times New Roman"/>
          <w:bCs/>
          <w:kern w:val="1"/>
          <w:sz w:val="24"/>
          <w:szCs w:val="24"/>
          <w:lang w:eastAsia="ar-SA"/>
        </w:rPr>
        <w:t xml:space="preserve"> a</w:t>
      </w:r>
      <w:r w:rsidRPr="00EA3F99">
        <w:rPr>
          <w:rFonts w:ascii="Times New Roman" w:eastAsia="MS Mincho" w:hAnsi="Times New Roman" w:cs="Times New Roman"/>
          <w:bCs/>
          <w:kern w:val="1"/>
          <w:sz w:val="24"/>
          <w:szCs w:val="24"/>
          <w:lang w:eastAsia="ar-SA"/>
        </w:rPr>
        <w:t xml:space="preserve"> znak kruhových transakcií, možno zohľadniť pri určovaní toho, či cezhraničné opatrenie podlieha oznamovaniu alebo nie, len ak spĺňa aj test hlavného účelu</w:t>
      </w:r>
      <w:r>
        <w:rPr>
          <w:rFonts w:ascii="Times New Roman" w:eastAsia="MS Mincho" w:hAnsi="Times New Roman" w:cs="Times New Roman"/>
          <w:bCs/>
          <w:kern w:val="1"/>
          <w:sz w:val="24"/>
          <w:szCs w:val="24"/>
          <w:lang w:eastAsia="ar-SA"/>
        </w:rPr>
        <w:t>, ktorý je upravený v bode I</w:t>
      </w:r>
      <w:r w:rsidRPr="00EA3F99">
        <w:rPr>
          <w:rFonts w:ascii="Times New Roman" w:eastAsia="MS Mincho" w:hAnsi="Times New Roman" w:cs="Times New Roman"/>
          <w:bCs/>
          <w:kern w:val="1"/>
          <w:sz w:val="24"/>
          <w:szCs w:val="24"/>
          <w:lang w:eastAsia="ar-SA"/>
        </w:rPr>
        <w:t xml:space="preserve">. </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Ak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ktorý je účastníkom cezhraničného opatrenia uskutoční </w:t>
      </w:r>
      <w:r>
        <w:rPr>
          <w:rFonts w:ascii="Times New Roman" w:eastAsia="MS Mincho" w:hAnsi="Times New Roman" w:cs="Times New Roman"/>
          <w:bCs/>
          <w:kern w:val="1"/>
          <w:sz w:val="24"/>
          <w:szCs w:val="24"/>
          <w:lang w:eastAsia="ar-SA"/>
        </w:rPr>
        <w:t>kroky pozostávajúce z nadobudnutia</w:t>
      </w:r>
      <w:r w:rsidRPr="00EA3F99">
        <w:rPr>
          <w:rFonts w:ascii="Times New Roman" w:eastAsia="MS Mincho" w:hAnsi="Times New Roman" w:cs="Times New Roman"/>
          <w:bCs/>
          <w:kern w:val="1"/>
          <w:sz w:val="24"/>
          <w:szCs w:val="24"/>
          <w:lang w:eastAsia="ar-SA"/>
        </w:rPr>
        <w:t xml:space="preserve"> spoločnos</w:t>
      </w:r>
      <w:r>
        <w:rPr>
          <w:rFonts w:ascii="Times New Roman" w:eastAsia="MS Mincho" w:hAnsi="Times New Roman" w:cs="Times New Roman"/>
          <w:bCs/>
          <w:kern w:val="1"/>
          <w:sz w:val="24"/>
          <w:szCs w:val="24"/>
          <w:lang w:eastAsia="ar-SA"/>
        </w:rPr>
        <w:t>ti</w:t>
      </w:r>
      <w:r w:rsidRPr="00EA3F99">
        <w:rPr>
          <w:rFonts w:ascii="Times New Roman" w:eastAsia="MS Mincho" w:hAnsi="Times New Roman" w:cs="Times New Roman"/>
          <w:bCs/>
          <w:kern w:val="1"/>
          <w:sz w:val="24"/>
          <w:szCs w:val="24"/>
          <w:lang w:eastAsia="ar-SA"/>
        </w:rPr>
        <w:t>, ktorá je v</w:t>
      </w:r>
      <w:r>
        <w:rPr>
          <w:rFonts w:ascii="Times New Roman" w:eastAsia="MS Mincho" w:hAnsi="Times New Roman" w:cs="Times New Roman"/>
          <w:bCs/>
          <w:kern w:val="1"/>
          <w:sz w:val="24"/>
          <w:szCs w:val="24"/>
          <w:lang w:eastAsia="ar-SA"/>
        </w:rPr>
        <w:t>ykazuje stratu</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ukončenia</w:t>
      </w:r>
      <w:r w:rsidRPr="00EA3F99">
        <w:rPr>
          <w:rFonts w:ascii="Times New Roman" w:eastAsia="MS Mincho" w:hAnsi="Times New Roman" w:cs="Times New Roman"/>
          <w:bCs/>
          <w:kern w:val="1"/>
          <w:sz w:val="24"/>
          <w:szCs w:val="24"/>
          <w:lang w:eastAsia="ar-SA"/>
        </w:rPr>
        <w:t xml:space="preserve"> jej hlavn</w:t>
      </w:r>
      <w:r>
        <w:rPr>
          <w:rFonts w:ascii="Times New Roman" w:eastAsia="MS Mincho" w:hAnsi="Times New Roman" w:cs="Times New Roman"/>
          <w:bCs/>
          <w:kern w:val="1"/>
          <w:sz w:val="24"/>
          <w:szCs w:val="24"/>
          <w:lang w:eastAsia="ar-SA"/>
        </w:rPr>
        <w:t>ej</w:t>
      </w:r>
      <w:r w:rsidRPr="00EA3F99">
        <w:rPr>
          <w:rFonts w:ascii="Times New Roman" w:eastAsia="MS Mincho" w:hAnsi="Times New Roman" w:cs="Times New Roman"/>
          <w:bCs/>
          <w:kern w:val="1"/>
          <w:sz w:val="24"/>
          <w:szCs w:val="24"/>
          <w:lang w:eastAsia="ar-SA"/>
        </w:rPr>
        <w:t xml:space="preserve"> činnos</w:t>
      </w:r>
      <w:r>
        <w:rPr>
          <w:rFonts w:ascii="Times New Roman" w:eastAsia="MS Mincho" w:hAnsi="Times New Roman" w:cs="Times New Roman"/>
          <w:bCs/>
          <w:kern w:val="1"/>
          <w:sz w:val="24"/>
          <w:szCs w:val="24"/>
          <w:lang w:eastAsia="ar-SA"/>
        </w:rPr>
        <w:t>ti</w:t>
      </w:r>
      <w:r w:rsidRPr="00EA3F99">
        <w:rPr>
          <w:rFonts w:ascii="Times New Roman" w:eastAsia="MS Mincho" w:hAnsi="Times New Roman" w:cs="Times New Roman"/>
          <w:bCs/>
          <w:kern w:val="1"/>
          <w:sz w:val="24"/>
          <w:szCs w:val="24"/>
          <w:lang w:eastAsia="ar-SA"/>
        </w:rPr>
        <w:t xml:space="preserve"> a využi</w:t>
      </w:r>
      <w:r>
        <w:rPr>
          <w:rFonts w:ascii="Times New Roman" w:eastAsia="MS Mincho" w:hAnsi="Times New Roman" w:cs="Times New Roman"/>
          <w:bCs/>
          <w:kern w:val="1"/>
          <w:sz w:val="24"/>
          <w:szCs w:val="24"/>
          <w:lang w:eastAsia="ar-SA"/>
        </w:rPr>
        <w:t>tia</w:t>
      </w:r>
      <w:r w:rsidRPr="00EA3F99">
        <w:rPr>
          <w:rFonts w:ascii="Times New Roman" w:eastAsia="MS Mincho" w:hAnsi="Times New Roman" w:cs="Times New Roman"/>
          <w:bCs/>
          <w:kern w:val="1"/>
          <w:sz w:val="24"/>
          <w:szCs w:val="24"/>
          <w:lang w:eastAsia="ar-SA"/>
        </w:rPr>
        <w:t xml:space="preserve"> jej straty na zníženie vlastnej daňovej povinnosti</w:t>
      </w:r>
      <w:r>
        <w:rPr>
          <w:rFonts w:ascii="Times New Roman" w:eastAsia="MS Mincho" w:hAnsi="Times New Roman" w:cs="Times New Roman"/>
          <w:bCs/>
          <w:kern w:val="1"/>
          <w:sz w:val="24"/>
          <w:szCs w:val="24"/>
          <w:lang w:eastAsia="ar-SA"/>
        </w:rPr>
        <w:t>, charakteristický znak využitia strát je týmto naplnený. Tento znak je naplnený</w:t>
      </w:r>
      <w:r w:rsidRPr="00EA3F99">
        <w:rPr>
          <w:rFonts w:ascii="Times New Roman" w:eastAsia="MS Mincho" w:hAnsi="Times New Roman" w:cs="Times New Roman"/>
          <w:bCs/>
          <w:kern w:val="1"/>
          <w:sz w:val="24"/>
          <w:szCs w:val="24"/>
          <w:lang w:eastAsia="ar-SA"/>
        </w:rPr>
        <w:t xml:space="preserve"> aj</w:t>
      </w:r>
      <w:r>
        <w:rPr>
          <w:rFonts w:ascii="Times New Roman" w:eastAsia="MS Mincho" w:hAnsi="Times New Roman" w:cs="Times New Roman"/>
          <w:bCs/>
          <w:kern w:val="1"/>
          <w:sz w:val="24"/>
          <w:szCs w:val="24"/>
          <w:lang w:eastAsia="ar-SA"/>
        </w:rPr>
        <w:t xml:space="preserve"> pri</w:t>
      </w:r>
      <w:r w:rsidRPr="00EA3F99">
        <w:rPr>
          <w:rFonts w:ascii="Times New Roman" w:eastAsia="MS Mincho" w:hAnsi="Times New Roman" w:cs="Times New Roman"/>
          <w:bCs/>
          <w:kern w:val="1"/>
          <w:sz w:val="24"/>
          <w:szCs w:val="24"/>
          <w:lang w:eastAsia="ar-SA"/>
        </w:rPr>
        <w:t xml:space="preserve"> presun</w:t>
      </w:r>
      <w:r>
        <w:rPr>
          <w:rFonts w:ascii="Times New Roman" w:eastAsia="MS Mincho" w:hAnsi="Times New Roman" w:cs="Times New Roman"/>
          <w:bCs/>
          <w:kern w:val="1"/>
          <w:sz w:val="24"/>
          <w:szCs w:val="24"/>
          <w:lang w:eastAsia="ar-SA"/>
        </w:rPr>
        <w:t>e strát</w:t>
      </w:r>
      <w:r w:rsidRPr="00EA3F99">
        <w:rPr>
          <w:rFonts w:ascii="Times New Roman" w:eastAsia="MS Mincho" w:hAnsi="Times New Roman" w:cs="Times New Roman"/>
          <w:bCs/>
          <w:kern w:val="1"/>
          <w:sz w:val="24"/>
          <w:szCs w:val="24"/>
          <w:lang w:eastAsia="ar-SA"/>
        </w:rPr>
        <w:t xml:space="preserve"> do iného štátu alebo zrýchleni</w:t>
      </w:r>
      <w:r>
        <w:rPr>
          <w:rFonts w:ascii="Times New Roman" w:eastAsia="MS Mincho" w:hAnsi="Times New Roman" w:cs="Times New Roman"/>
          <w:bCs/>
          <w:kern w:val="1"/>
          <w:sz w:val="24"/>
          <w:szCs w:val="24"/>
          <w:lang w:eastAsia="ar-SA"/>
        </w:rPr>
        <w:t>a</w:t>
      </w:r>
      <w:r w:rsidRPr="00EA3F99">
        <w:rPr>
          <w:rFonts w:ascii="Times New Roman" w:eastAsia="MS Mincho" w:hAnsi="Times New Roman" w:cs="Times New Roman"/>
          <w:bCs/>
          <w:kern w:val="1"/>
          <w:sz w:val="24"/>
          <w:szCs w:val="24"/>
          <w:lang w:eastAsia="ar-SA"/>
        </w:rPr>
        <w:t xml:space="preserve"> využívani</w:t>
      </w:r>
      <w:r>
        <w:rPr>
          <w:rFonts w:ascii="Times New Roman" w:eastAsia="MS Mincho" w:hAnsi="Times New Roman" w:cs="Times New Roman"/>
          <w:bCs/>
          <w:kern w:val="1"/>
          <w:sz w:val="24"/>
          <w:szCs w:val="24"/>
          <w:lang w:eastAsia="ar-SA"/>
        </w:rPr>
        <w:t>a</w:t>
      </w:r>
      <w:r w:rsidRPr="00EA3F99">
        <w:rPr>
          <w:rFonts w:ascii="Times New Roman" w:eastAsia="MS Mincho" w:hAnsi="Times New Roman" w:cs="Times New Roman"/>
          <w:bCs/>
          <w:kern w:val="1"/>
          <w:sz w:val="24"/>
          <w:szCs w:val="24"/>
          <w:lang w:eastAsia="ar-SA"/>
        </w:rPr>
        <w:t xml:space="preserve"> týchto strát. </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Ak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ktorý je účastníkom konania uskutoční prostredníctvom cezhraničného opatrenia zmenu charakteru príjmu na taký typ príjmu, ktorý bude zdanený nižšou sadzbou dane, nebude predmetom dane alebo bude oslobodeným od dane, tak takéto cezhraničné opatrenie napĺňa osobitný charakteristický znak zmeny charakteru príjmu. </w:t>
      </w:r>
    </w:p>
    <w:p w:rsidR="0033092E" w:rsidRPr="00EA3F99"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Ak opatrenie zahŕňa také transakcie, ktorých výsledkom je tzv. ,,</w:t>
      </w:r>
      <w:proofErr w:type="spellStart"/>
      <w:r w:rsidRPr="00EA3F99">
        <w:rPr>
          <w:rFonts w:ascii="Times New Roman" w:eastAsia="MS Mincho" w:hAnsi="Times New Roman" w:cs="Times New Roman"/>
          <w:bCs/>
          <w:kern w:val="1"/>
          <w:sz w:val="24"/>
          <w:szCs w:val="24"/>
          <w:lang w:eastAsia="ar-SA"/>
        </w:rPr>
        <w:t>round-tripping</w:t>
      </w:r>
      <w:proofErr w:type="spellEnd"/>
      <w:r w:rsidRPr="00EA3F99">
        <w:rPr>
          <w:rFonts w:ascii="Times New Roman" w:eastAsia="MS Mincho" w:hAnsi="Times New Roman" w:cs="Times New Roman"/>
          <w:bCs/>
          <w:kern w:val="1"/>
          <w:sz w:val="24"/>
          <w:szCs w:val="24"/>
          <w:lang w:eastAsia="ar-SA"/>
        </w:rPr>
        <w:t xml:space="preserve">“, </w:t>
      </w:r>
      <w:proofErr w:type="spellStart"/>
      <w:r w:rsidRPr="00EA3F99">
        <w:rPr>
          <w:rFonts w:ascii="Times New Roman" w:eastAsia="MS Mincho" w:hAnsi="Times New Roman" w:cs="Times New Roman"/>
          <w:bCs/>
          <w:kern w:val="1"/>
          <w:sz w:val="24"/>
          <w:szCs w:val="24"/>
          <w:lang w:eastAsia="ar-SA"/>
        </w:rPr>
        <w:t>t.j</w:t>
      </w:r>
      <w:proofErr w:type="spellEnd"/>
      <w:r w:rsidRPr="00EA3F99">
        <w:rPr>
          <w:rFonts w:ascii="Times New Roman" w:eastAsia="MS Mincho" w:hAnsi="Times New Roman" w:cs="Times New Roman"/>
          <w:bCs/>
          <w:kern w:val="1"/>
          <w:sz w:val="24"/>
          <w:szCs w:val="24"/>
          <w:lang w:eastAsia="ar-SA"/>
        </w:rPr>
        <w:t xml:space="preserve">. spätný obeh </w:t>
      </w:r>
      <w:r>
        <w:rPr>
          <w:rFonts w:ascii="Times New Roman" w:eastAsia="MS Mincho" w:hAnsi="Times New Roman" w:cs="Times New Roman"/>
          <w:bCs/>
          <w:kern w:val="1"/>
          <w:sz w:val="24"/>
          <w:szCs w:val="24"/>
          <w:lang w:eastAsia="ar-SA"/>
        </w:rPr>
        <w:t>majetku v kruhu</w:t>
      </w:r>
      <w:r w:rsidRPr="00EA3F99">
        <w:rPr>
          <w:rFonts w:ascii="Times New Roman" w:eastAsia="MS Mincho" w:hAnsi="Times New Roman" w:cs="Times New Roman"/>
          <w:bCs/>
          <w:kern w:val="1"/>
          <w:sz w:val="24"/>
          <w:szCs w:val="24"/>
          <w:lang w:eastAsia="ar-SA"/>
        </w:rPr>
        <w:t xml:space="preserve">, prostredníctvom zapojenia sprostredkovateľov bez inej hlavnej </w:t>
      </w:r>
      <w:r>
        <w:rPr>
          <w:rFonts w:ascii="Times New Roman" w:eastAsia="MS Mincho" w:hAnsi="Times New Roman" w:cs="Times New Roman"/>
          <w:bCs/>
          <w:kern w:val="1"/>
          <w:sz w:val="24"/>
          <w:szCs w:val="24"/>
          <w:lang w:eastAsia="ar-SA"/>
        </w:rPr>
        <w:t>ekonomickej funkcie</w:t>
      </w:r>
      <w:r w:rsidRPr="00EA3F99">
        <w:rPr>
          <w:rFonts w:ascii="Times New Roman" w:eastAsia="MS Mincho" w:hAnsi="Times New Roman" w:cs="Times New Roman"/>
          <w:bCs/>
          <w:kern w:val="1"/>
          <w:sz w:val="24"/>
          <w:szCs w:val="24"/>
          <w:lang w:eastAsia="ar-SA"/>
        </w:rPr>
        <w:t xml:space="preserve"> alebo prostredníctvo</w:t>
      </w:r>
      <w:r>
        <w:rPr>
          <w:rFonts w:ascii="Times New Roman" w:eastAsia="MS Mincho" w:hAnsi="Times New Roman" w:cs="Times New Roman"/>
          <w:bCs/>
          <w:kern w:val="1"/>
          <w:sz w:val="24"/>
          <w:szCs w:val="24"/>
          <w:lang w:eastAsia="ar-SA"/>
        </w:rPr>
        <w:t xml:space="preserve">m navzájom kompenzujúcich, </w:t>
      </w:r>
      <w:r w:rsidRPr="00EA3F99">
        <w:rPr>
          <w:rFonts w:ascii="Times New Roman" w:eastAsia="MS Mincho" w:hAnsi="Times New Roman" w:cs="Times New Roman"/>
          <w:bCs/>
          <w:kern w:val="1"/>
          <w:sz w:val="24"/>
          <w:szCs w:val="24"/>
          <w:lang w:eastAsia="ar-SA"/>
        </w:rPr>
        <w:t>rušiacich</w:t>
      </w:r>
      <w:r>
        <w:rPr>
          <w:rFonts w:ascii="Times New Roman" w:eastAsia="MS Mincho" w:hAnsi="Times New Roman" w:cs="Times New Roman"/>
          <w:bCs/>
          <w:kern w:val="1"/>
          <w:sz w:val="24"/>
          <w:szCs w:val="24"/>
          <w:lang w:eastAsia="ar-SA"/>
        </w:rPr>
        <w:t xml:space="preserve"> započítavajúcich</w:t>
      </w:r>
      <w:r w:rsidRPr="00EA3F99">
        <w:rPr>
          <w:rFonts w:ascii="Times New Roman" w:eastAsia="MS Mincho" w:hAnsi="Times New Roman" w:cs="Times New Roman"/>
          <w:bCs/>
          <w:kern w:val="1"/>
          <w:sz w:val="24"/>
          <w:szCs w:val="24"/>
          <w:lang w:eastAsia="ar-SA"/>
        </w:rPr>
        <w:t xml:space="preserve"> transakcií, resp. transakcií s podobnými vlastnosťami, tak uvedené cezhraničné opatrenie napĺňa charakteristický znak kruhových transakcií.</w:t>
      </w:r>
      <w:r>
        <w:rPr>
          <w:rFonts w:ascii="Times New Roman" w:eastAsia="MS Mincho" w:hAnsi="Times New Roman" w:cs="Times New Roman"/>
          <w:bCs/>
          <w:kern w:val="1"/>
          <w:sz w:val="24"/>
          <w:szCs w:val="24"/>
          <w:lang w:eastAsia="ar-SA"/>
        </w:rPr>
        <w:t xml:space="preserve"> Kruhové transakcie vedú k neprehľadnému toku majetku a nakladania s majetkom cez sieť fiktívnych subjektov.</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Bod II. časť </w:t>
      </w:r>
      <w:r w:rsidRPr="00EA3F99">
        <w:rPr>
          <w:rFonts w:ascii="Times New Roman" w:eastAsia="MS Mincho" w:hAnsi="Times New Roman" w:cs="Times New Roman"/>
          <w:bCs/>
          <w:kern w:val="1"/>
          <w:sz w:val="24"/>
          <w:szCs w:val="24"/>
          <w:lang w:eastAsia="ar-SA"/>
        </w:rPr>
        <w:t>C</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C</w:t>
      </w:r>
      <w:r w:rsidRPr="00EA3F99">
        <w:rPr>
          <w:rFonts w:ascii="Times New Roman" w:eastAsia="MS Mincho" w:hAnsi="Times New Roman" w:cs="Times New Roman"/>
          <w:bCs/>
          <w:kern w:val="1"/>
          <w:sz w:val="24"/>
          <w:szCs w:val="24"/>
          <w:lang w:eastAsia="ar-SA"/>
        </w:rPr>
        <w:t xml:space="preserve">ezhraničné opatrenie, ktorého podstata spočíva v zahrnutí odpočítateľných platieb medzi </w:t>
      </w:r>
      <w:r>
        <w:rPr>
          <w:rFonts w:ascii="Times New Roman" w:eastAsia="MS Mincho" w:hAnsi="Times New Roman" w:cs="Times New Roman"/>
          <w:bCs/>
          <w:kern w:val="1"/>
          <w:sz w:val="24"/>
          <w:szCs w:val="24"/>
          <w:lang w:eastAsia="ar-SA"/>
        </w:rPr>
        <w:t>závislými osobami</w:t>
      </w:r>
      <w:r w:rsidRPr="00EA3F99">
        <w:rPr>
          <w:rFonts w:ascii="Times New Roman" w:eastAsia="MS Mincho" w:hAnsi="Times New Roman" w:cs="Times New Roman"/>
          <w:bCs/>
          <w:kern w:val="1"/>
          <w:sz w:val="24"/>
          <w:szCs w:val="24"/>
          <w:lang w:eastAsia="ar-SA"/>
        </w:rPr>
        <w:t xml:space="preserve"> napĺňa charakteristický znak </w:t>
      </w:r>
      <w:r>
        <w:rPr>
          <w:rFonts w:ascii="Times New Roman" w:eastAsia="MS Mincho" w:hAnsi="Times New Roman" w:cs="Times New Roman"/>
          <w:bCs/>
          <w:kern w:val="1"/>
          <w:sz w:val="24"/>
          <w:szCs w:val="24"/>
          <w:lang w:eastAsia="ar-SA"/>
        </w:rPr>
        <w:t>odpočítania výdavku (nákladu) bez zahrnutia do príjmu (výnosu)</w:t>
      </w:r>
      <w:r w:rsidRPr="00EA3F99">
        <w:rPr>
          <w:rFonts w:ascii="Times New Roman" w:eastAsia="MS Mincho" w:hAnsi="Times New Roman" w:cs="Times New Roman"/>
          <w:bCs/>
          <w:kern w:val="1"/>
          <w:sz w:val="24"/>
          <w:szCs w:val="24"/>
          <w:lang w:eastAsia="ar-SA"/>
        </w:rPr>
        <w:t>, ak príjemca platby nie je rezidentom na daňov</w:t>
      </w:r>
      <w:r>
        <w:rPr>
          <w:rFonts w:ascii="Times New Roman" w:eastAsia="MS Mincho" w:hAnsi="Times New Roman" w:cs="Times New Roman"/>
          <w:bCs/>
          <w:kern w:val="1"/>
          <w:sz w:val="24"/>
          <w:szCs w:val="24"/>
          <w:lang w:eastAsia="ar-SA"/>
        </w:rPr>
        <w:t>é účely v žiadnom štáte  (v členskom, nečlenskom a ani v zmluvnom štáte). T</w:t>
      </w:r>
      <w:r w:rsidRPr="00EA3F99">
        <w:rPr>
          <w:rFonts w:ascii="Times New Roman" w:eastAsia="MS Mincho" w:hAnsi="Times New Roman" w:cs="Times New Roman"/>
          <w:bCs/>
          <w:kern w:val="1"/>
          <w:sz w:val="24"/>
          <w:szCs w:val="24"/>
          <w:lang w:eastAsia="ar-SA"/>
        </w:rPr>
        <w:t>ento znak je naplnený aj vtedy</w:t>
      </w:r>
      <w:r>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ak sú v cezhraničnom opatrení zahrnuté odpočítateľné platby medzi </w:t>
      </w:r>
      <w:r>
        <w:rPr>
          <w:rFonts w:ascii="Times New Roman" w:eastAsia="MS Mincho" w:hAnsi="Times New Roman" w:cs="Times New Roman"/>
          <w:bCs/>
          <w:kern w:val="1"/>
          <w:sz w:val="24"/>
          <w:szCs w:val="24"/>
          <w:lang w:eastAsia="ar-SA"/>
        </w:rPr>
        <w:t>závislými osobami</w:t>
      </w:r>
      <w:r w:rsidRPr="00EA3F99">
        <w:rPr>
          <w:rFonts w:ascii="Times New Roman" w:eastAsia="MS Mincho" w:hAnsi="Times New Roman" w:cs="Times New Roman"/>
          <w:bCs/>
          <w:kern w:val="1"/>
          <w:sz w:val="24"/>
          <w:szCs w:val="24"/>
          <w:lang w:eastAsia="ar-SA"/>
        </w:rPr>
        <w:t xml:space="preserve"> a príjemca platby je rezidentom na daňové účely v určitom štáte</w:t>
      </w:r>
      <w:r>
        <w:rPr>
          <w:rFonts w:ascii="Times New Roman" w:eastAsia="MS Mincho" w:hAnsi="Times New Roman" w:cs="Times New Roman"/>
          <w:bCs/>
          <w:kern w:val="1"/>
          <w:sz w:val="24"/>
          <w:szCs w:val="24"/>
          <w:lang w:eastAsia="ar-SA"/>
        </w:rPr>
        <w:t xml:space="preserve">. Tento </w:t>
      </w:r>
      <w:r w:rsidRPr="00EA3F99">
        <w:rPr>
          <w:rFonts w:ascii="Times New Roman" w:eastAsia="MS Mincho" w:hAnsi="Times New Roman" w:cs="Times New Roman"/>
          <w:bCs/>
          <w:kern w:val="1"/>
          <w:sz w:val="24"/>
          <w:szCs w:val="24"/>
          <w:lang w:eastAsia="ar-SA"/>
        </w:rPr>
        <w:t>štát</w:t>
      </w:r>
      <w:r>
        <w:rPr>
          <w:rFonts w:ascii="Times New Roman" w:eastAsia="MS Mincho" w:hAnsi="Times New Roman" w:cs="Times New Roman"/>
          <w:bCs/>
          <w:kern w:val="1"/>
          <w:sz w:val="24"/>
          <w:szCs w:val="24"/>
          <w:lang w:eastAsia="ar-SA"/>
        </w:rPr>
        <w:t>, ktorého je rezidentom, však</w:t>
      </w:r>
      <w:r w:rsidRPr="00EA3F99">
        <w:rPr>
          <w:rFonts w:ascii="Times New Roman" w:eastAsia="MS Mincho" w:hAnsi="Times New Roman" w:cs="Times New Roman"/>
          <w:bCs/>
          <w:kern w:val="1"/>
          <w:sz w:val="24"/>
          <w:szCs w:val="24"/>
          <w:lang w:eastAsia="ar-SA"/>
        </w:rPr>
        <w:t xml:space="preserve"> n</w:t>
      </w:r>
      <w:r>
        <w:rPr>
          <w:rFonts w:ascii="Times New Roman" w:eastAsia="MS Mincho" w:hAnsi="Times New Roman" w:cs="Times New Roman"/>
          <w:bCs/>
          <w:kern w:val="1"/>
          <w:sz w:val="24"/>
          <w:szCs w:val="24"/>
          <w:lang w:eastAsia="ar-SA"/>
        </w:rPr>
        <w:t>emá zavedenú</w:t>
      </w:r>
      <w:r w:rsidRPr="00EA3F99">
        <w:rPr>
          <w:rFonts w:ascii="Times New Roman" w:eastAsia="MS Mincho" w:hAnsi="Times New Roman" w:cs="Times New Roman"/>
          <w:bCs/>
          <w:kern w:val="1"/>
          <w:sz w:val="24"/>
          <w:szCs w:val="24"/>
          <w:lang w:eastAsia="ar-SA"/>
        </w:rPr>
        <w:t xml:space="preserve"> žiadnu daň z príjmov právnických osôb alebo </w:t>
      </w:r>
      <w:r>
        <w:rPr>
          <w:rFonts w:ascii="Times New Roman" w:eastAsia="MS Mincho" w:hAnsi="Times New Roman" w:cs="Times New Roman"/>
          <w:bCs/>
          <w:kern w:val="1"/>
          <w:sz w:val="24"/>
          <w:szCs w:val="24"/>
          <w:lang w:eastAsia="ar-SA"/>
        </w:rPr>
        <w:t>má zavedenú</w:t>
      </w:r>
      <w:r w:rsidRPr="00EA3F99">
        <w:rPr>
          <w:rFonts w:ascii="Times New Roman" w:eastAsia="MS Mincho" w:hAnsi="Times New Roman" w:cs="Times New Roman"/>
          <w:bCs/>
          <w:kern w:val="1"/>
          <w:sz w:val="24"/>
          <w:szCs w:val="24"/>
          <w:lang w:eastAsia="ar-SA"/>
        </w:rPr>
        <w:t xml:space="preserve"> takúto daň, avšak jej sadzba je nulová alebo takmer nulová</w:t>
      </w:r>
      <w:r>
        <w:rPr>
          <w:rFonts w:ascii="Times New Roman" w:eastAsia="MS Mincho" w:hAnsi="Times New Roman" w:cs="Times New Roman"/>
          <w:bCs/>
          <w:kern w:val="1"/>
          <w:sz w:val="24"/>
          <w:szCs w:val="24"/>
          <w:lang w:eastAsia="ar-SA"/>
        </w:rPr>
        <w:t xml:space="preserve"> . Môže ísť aj o štát,</w:t>
      </w:r>
      <w:r w:rsidRPr="00EA3F99">
        <w:rPr>
          <w:rFonts w:ascii="Times New Roman" w:eastAsia="MS Mincho" w:hAnsi="Times New Roman" w:cs="Times New Roman"/>
          <w:bCs/>
          <w:kern w:val="1"/>
          <w:sz w:val="24"/>
          <w:szCs w:val="24"/>
          <w:lang w:eastAsia="ar-SA"/>
        </w:rPr>
        <w:t xml:space="preserve"> v ktorom je príjemca platby rezidentom na daňové účely</w:t>
      </w:r>
      <w:r>
        <w:rPr>
          <w:rFonts w:ascii="Times New Roman" w:eastAsia="MS Mincho" w:hAnsi="Times New Roman" w:cs="Times New Roman"/>
          <w:bCs/>
          <w:kern w:val="1"/>
          <w:sz w:val="24"/>
          <w:szCs w:val="24"/>
          <w:lang w:eastAsia="ar-SA"/>
        </w:rPr>
        <w:t xml:space="preserve">, a na území ktorého </w:t>
      </w:r>
      <w:r w:rsidRPr="00EA3F99">
        <w:rPr>
          <w:rFonts w:ascii="Times New Roman" w:eastAsia="MS Mincho" w:hAnsi="Times New Roman" w:cs="Times New Roman"/>
          <w:bCs/>
          <w:kern w:val="1"/>
          <w:sz w:val="24"/>
          <w:szCs w:val="24"/>
          <w:lang w:eastAsia="ar-SA"/>
        </w:rPr>
        <w:t xml:space="preserve"> sa na platbu uplatňuje úplné oslobodenie od dane alebo preferenčný daňový režim</w:t>
      </w:r>
      <w:r>
        <w:rPr>
          <w:rFonts w:ascii="Times New Roman" w:eastAsia="MS Mincho" w:hAnsi="Times New Roman" w:cs="Times New Roman"/>
          <w:bCs/>
          <w:kern w:val="1"/>
          <w:sz w:val="24"/>
          <w:szCs w:val="24"/>
          <w:lang w:eastAsia="ar-SA"/>
        </w:rPr>
        <w:t>. Vo všetkých</w:t>
      </w:r>
      <w:r w:rsidRPr="00EA3F99">
        <w:rPr>
          <w:rFonts w:ascii="Times New Roman" w:eastAsia="MS Mincho" w:hAnsi="Times New Roman" w:cs="Times New Roman"/>
          <w:bCs/>
          <w:kern w:val="1"/>
          <w:sz w:val="24"/>
          <w:szCs w:val="24"/>
          <w:lang w:eastAsia="ar-SA"/>
        </w:rPr>
        <w:t xml:space="preserve"> týchto prípadoch musí byť súčasne naplnený aj test hlavného účelu a bez splnenia testu tieto prvky uvedeného znaku nie je možné </w:t>
      </w:r>
      <w:r w:rsidRPr="00EA3F99">
        <w:rPr>
          <w:rFonts w:ascii="Times New Roman" w:eastAsia="MS Mincho" w:hAnsi="Times New Roman" w:cs="Times New Roman"/>
          <w:bCs/>
          <w:kern w:val="1"/>
          <w:sz w:val="24"/>
          <w:szCs w:val="24"/>
          <w:lang w:eastAsia="ar-SA"/>
        </w:rPr>
        <w:lastRenderedPageBreak/>
        <w:t xml:space="preserve">zohľadniť a ich samotné splnenie nemôže znamenať, že opatrenie napĺňa test hlavného účelu. Test hlavného účelu nemusí byť súčasne naplnený, ak by bol príjemca platby rezidentom na daňové účely v určitom štáte a tento štát sa uvádza v zozname </w:t>
      </w:r>
      <w:r>
        <w:rPr>
          <w:rFonts w:ascii="Times New Roman" w:eastAsia="MS Mincho" w:hAnsi="Times New Roman" w:cs="Times New Roman"/>
          <w:bCs/>
          <w:kern w:val="1"/>
          <w:sz w:val="24"/>
          <w:szCs w:val="24"/>
          <w:lang w:eastAsia="ar-SA"/>
        </w:rPr>
        <w:t xml:space="preserve">nespolupracujúcich štátov na daňové účely vydaných EÚ </w:t>
      </w:r>
      <w:r w:rsidRPr="00EA3F99">
        <w:rPr>
          <w:rFonts w:ascii="Times New Roman" w:eastAsia="MS Mincho" w:hAnsi="Times New Roman" w:cs="Times New Roman"/>
          <w:bCs/>
          <w:kern w:val="1"/>
          <w:sz w:val="24"/>
          <w:szCs w:val="24"/>
          <w:lang w:eastAsia="ar-SA"/>
        </w:rPr>
        <w:t xml:space="preserve">alebo v rámci OECD. </w:t>
      </w:r>
      <w:r>
        <w:rPr>
          <w:rFonts w:ascii="Times New Roman" w:eastAsia="MS Mincho" w:hAnsi="Times New Roman" w:cs="Times New Roman"/>
          <w:bCs/>
          <w:kern w:val="1"/>
          <w:sz w:val="24"/>
          <w:szCs w:val="24"/>
          <w:lang w:eastAsia="ar-SA"/>
        </w:rPr>
        <w:t xml:space="preserve">Zoznamom EÚ nespolupracujúcich štátov sa myslí EÚ zoznam nespolupracujúcich jurisdikcií na daňové účely, ktorý schvaľuje Rada ministrov </w:t>
      </w:r>
      <w:proofErr w:type="spellStart"/>
      <w:r>
        <w:rPr>
          <w:rFonts w:ascii="Times New Roman" w:eastAsia="MS Mincho" w:hAnsi="Times New Roman" w:cs="Times New Roman"/>
          <w:bCs/>
          <w:kern w:val="1"/>
          <w:sz w:val="24"/>
          <w:szCs w:val="24"/>
          <w:lang w:eastAsia="ar-SA"/>
        </w:rPr>
        <w:t>Ecofin</w:t>
      </w:r>
      <w:proofErr w:type="spellEnd"/>
      <w:r>
        <w:rPr>
          <w:rFonts w:ascii="Times New Roman" w:eastAsia="MS Mincho" w:hAnsi="Times New Roman" w:cs="Times New Roman"/>
          <w:bCs/>
          <w:kern w:val="1"/>
          <w:sz w:val="24"/>
          <w:szCs w:val="24"/>
          <w:lang w:eastAsia="ar-SA"/>
        </w:rPr>
        <w:t xml:space="preserve"> a zverejňuje sa v Úradnom vestníku EÚ. </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Ak sa odpisy </w:t>
      </w:r>
      <w:r>
        <w:rPr>
          <w:rFonts w:ascii="Times New Roman" w:eastAsia="MS Mincho" w:hAnsi="Times New Roman" w:cs="Times New Roman"/>
          <w:bCs/>
          <w:kern w:val="1"/>
          <w:sz w:val="24"/>
          <w:szCs w:val="24"/>
          <w:lang w:eastAsia="ar-SA"/>
        </w:rPr>
        <w:t>toho istého majetku,</w:t>
      </w:r>
      <w:r w:rsidRPr="00EA3F99">
        <w:rPr>
          <w:rFonts w:ascii="Times New Roman" w:eastAsia="MS Mincho" w:hAnsi="Times New Roman" w:cs="Times New Roman"/>
          <w:bCs/>
          <w:kern w:val="1"/>
          <w:sz w:val="24"/>
          <w:szCs w:val="24"/>
          <w:lang w:eastAsia="ar-SA"/>
        </w:rPr>
        <w:t xml:space="preserve"> uplatňujú vo viac ako jednej jurisdikcii, cezhraničné opatrenie obsahujúce tieto aspekty viacnásobného odpisovania je predmetom oznamovania bez toho, aby musel</w:t>
      </w:r>
      <w:r>
        <w:rPr>
          <w:rFonts w:ascii="Times New Roman" w:eastAsia="MS Mincho" w:hAnsi="Times New Roman" w:cs="Times New Roman"/>
          <w:bCs/>
          <w:kern w:val="1"/>
          <w:sz w:val="24"/>
          <w:szCs w:val="24"/>
          <w:lang w:eastAsia="ar-SA"/>
        </w:rPr>
        <w:t>o</w:t>
      </w:r>
      <w:r w:rsidRPr="00EA3F99">
        <w:rPr>
          <w:rFonts w:ascii="Times New Roman" w:eastAsia="MS Mincho" w:hAnsi="Times New Roman" w:cs="Times New Roman"/>
          <w:bCs/>
          <w:kern w:val="1"/>
          <w:sz w:val="24"/>
          <w:szCs w:val="24"/>
          <w:lang w:eastAsia="ar-SA"/>
        </w:rPr>
        <w:t xml:space="preserve"> zároveň naplniť aj test hlavného účelu. </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Rovnako ako v predchádzajúcej vete cezhraničné opatrenie podlieha oznamovaniu, ak</w:t>
      </w:r>
      <w:r>
        <w:rPr>
          <w:rFonts w:ascii="Times New Roman" w:eastAsia="MS Mincho" w:hAnsi="Times New Roman" w:cs="Times New Roman"/>
          <w:bCs/>
          <w:kern w:val="1"/>
          <w:sz w:val="24"/>
          <w:szCs w:val="24"/>
          <w:lang w:eastAsia="ar-SA"/>
        </w:rPr>
        <w:t xml:space="preserve"> využíva nárok na zamedzenie dvojitého zdanenia toho istého príjmu alebo majetku.</w:t>
      </w:r>
      <w:r w:rsidRPr="00EA3F99">
        <w:rPr>
          <w:rFonts w:ascii="Times New Roman" w:eastAsia="MS Mincho" w:hAnsi="Times New Roman" w:cs="Times New Roman"/>
          <w:bCs/>
          <w:kern w:val="1"/>
          <w:sz w:val="24"/>
          <w:szCs w:val="24"/>
          <w:lang w:eastAsia="ar-SA"/>
        </w:rPr>
        <w:t xml:space="preserve"> </w:t>
      </w:r>
    </w:p>
    <w:p w:rsidR="0033092E" w:rsidRPr="00EA3F99"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 xml:space="preserve">Cezhraničné opatrenie zahŕňajúce prevody </w:t>
      </w:r>
      <w:r>
        <w:rPr>
          <w:rFonts w:ascii="Times New Roman" w:eastAsia="MS Mincho" w:hAnsi="Times New Roman" w:cs="Times New Roman"/>
          <w:bCs/>
          <w:kern w:val="1"/>
          <w:sz w:val="24"/>
          <w:szCs w:val="24"/>
          <w:lang w:eastAsia="ar-SA"/>
        </w:rPr>
        <w:t>majetku</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medzi štátmi a rozdiel v ocenení protiplnenia za tento majetok je v týchto štátoch významný, tak také cezhraničné opatrenie,</w:t>
      </w:r>
      <w:r w:rsidRPr="00EA3F99">
        <w:rPr>
          <w:rFonts w:ascii="Times New Roman" w:eastAsia="MS Mincho" w:hAnsi="Times New Roman" w:cs="Times New Roman"/>
          <w:bCs/>
          <w:kern w:val="1"/>
          <w:sz w:val="24"/>
          <w:szCs w:val="24"/>
          <w:lang w:eastAsia="ar-SA"/>
        </w:rPr>
        <w:t xml:space="preserve"> napĺňa osobitný charakteristický znak</w:t>
      </w:r>
      <w:r>
        <w:rPr>
          <w:rFonts w:ascii="Times New Roman" w:eastAsia="MS Mincho" w:hAnsi="Times New Roman" w:cs="Times New Roman"/>
          <w:bCs/>
          <w:kern w:val="1"/>
          <w:sz w:val="24"/>
          <w:szCs w:val="24"/>
          <w:lang w:eastAsia="ar-SA"/>
        </w:rPr>
        <w:t xml:space="preserve"> významného rozdielu pri ocenení protiplnenia</w:t>
      </w:r>
      <w:r w:rsidRPr="00EA3F99">
        <w:rPr>
          <w:rFonts w:ascii="Times New Roman" w:eastAsia="MS Mincho" w:hAnsi="Times New Roman" w:cs="Times New Roman"/>
          <w:bCs/>
          <w:kern w:val="1"/>
          <w:sz w:val="24"/>
          <w:szCs w:val="24"/>
          <w:lang w:eastAsia="ar-SA"/>
        </w:rPr>
        <w:t xml:space="preserve">, ktorý možno zohľadniť bez potreby naplnenia testu hlavného účelu. </w:t>
      </w:r>
      <w:r>
        <w:rPr>
          <w:rFonts w:ascii="Times New Roman" w:eastAsia="MS Mincho" w:hAnsi="Times New Roman" w:cs="Times New Roman"/>
          <w:bCs/>
          <w:kern w:val="1"/>
          <w:sz w:val="24"/>
          <w:szCs w:val="24"/>
          <w:lang w:eastAsia="ar-SA"/>
        </w:rPr>
        <w:t>Závislé osoby sú definované v § 2 písm. n) a písm. o) zákona č. 595/2003 Z .z. v znení neskorších právnych predpisov.</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Bod II. časť D</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Automatická</w:t>
      </w:r>
      <w:r w:rsidRPr="00EA3F99">
        <w:rPr>
          <w:rFonts w:ascii="Times New Roman" w:eastAsia="MS Mincho" w:hAnsi="Times New Roman" w:cs="Times New Roman"/>
          <w:bCs/>
          <w:kern w:val="1"/>
          <w:sz w:val="24"/>
          <w:szCs w:val="24"/>
          <w:lang w:eastAsia="ar-SA"/>
        </w:rPr>
        <w:t xml:space="preserve"> výmen</w:t>
      </w:r>
      <w:r>
        <w:rPr>
          <w:rFonts w:ascii="Times New Roman" w:eastAsia="MS Mincho" w:hAnsi="Times New Roman" w:cs="Times New Roman"/>
          <w:bCs/>
          <w:kern w:val="1"/>
          <w:sz w:val="24"/>
          <w:szCs w:val="24"/>
          <w:lang w:eastAsia="ar-SA"/>
        </w:rPr>
        <w:t>a</w:t>
      </w:r>
      <w:r w:rsidRPr="00EA3F99">
        <w:rPr>
          <w:rFonts w:ascii="Times New Roman" w:eastAsia="MS Mincho" w:hAnsi="Times New Roman" w:cs="Times New Roman"/>
          <w:bCs/>
          <w:kern w:val="1"/>
          <w:sz w:val="24"/>
          <w:szCs w:val="24"/>
          <w:lang w:eastAsia="ar-SA"/>
        </w:rPr>
        <w:t xml:space="preserve"> informácií o finančných účtoch podľa zákona č. 359/2015 Z.</w:t>
      </w:r>
      <w:r>
        <w:rPr>
          <w:rFonts w:ascii="Times New Roman" w:eastAsia="MS Mincho" w:hAnsi="Times New Roman" w:cs="Times New Roman"/>
          <w:bCs/>
          <w:kern w:val="1"/>
          <w:sz w:val="24"/>
          <w:szCs w:val="24"/>
          <w:lang w:eastAsia="ar-SA"/>
        </w:rPr>
        <w:t xml:space="preserve"> </w:t>
      </w:r>
      <w:r w:rsidRPr="00EA3F99">
        <w:rPr>
          <w:rFonts w:ascii="Times New Roman" w:eastAsia="MS Mincho" w:hAnsi="Times New Roman" w:cs="Times New Roman"/>
          <w:bCs/>
          <w:kern w:val="1"/>
          <w:sz w:val="24"/>
          <w:szCs w:val="24"/>
          <w:lang w:eastAsia="ar-SA"/>
        </w:rPr>
        <w:t>z. o automatickej výmene informácií o finančných účtoch na účely správy daní a o zmene a doplnení niektorých zákonov alebo podľa dohôd s tretími krajinami, ktoré rovnako ustanovujú povinnosť oznamovania a výmeny informácií o finančných účtoch môže byť narušená využ</w:t>
      </w:r>
      <w:r>
        <w:rPr>
          <w:rFonts w:ascii="Times New Roman" w:eastAsia="MS Mincho" w:hAnsi="Times New Roman" w:cs="Times New Roman"/>
          <w:bCs/>
          <w:kern w:val="1"/>
          <w:sz w:val="24"/>
          <w:szCs w:val="24"/>
          <w:lang w:eastAsia="ar-SA"/>
        </w:rPr>
        <w:t>itím</w:t>
      </w:r>
      <w:r w:rsidRPr="00EA3F99">
        <w:rPr>
          <w:rFonts w:ascii="Times New Roman" w:eastAsia="MS Mincho" w:hAnsi="Times New Roman" w:cs="Times New Roman"/>
          <w:bCs/>
          <w:kern w:val="1"/>
          <w:sz w:val="24"/>
          <w:szCs w:val="24"/>
          <w:lang w:eastAsia="ar-SA"/>
        </w:rPr>
        <w:t xml:space="preserve"> neexistenci</w:t>
      </w:r>
      <w:r>
        <w:rPr>
          <w:rFonts w:ascii="Times New Roman" w:eastAsia="MS Mincho" w:hAnsi="Times New Roman" w:cs="Times New Roman"/>
          <w:bCs/>
          <w:kern w:val="1"/>
          <w:sz w:val="24"/>
          <w:szCs w:val="24"/>
          <w:lang w:eastAsia="ar-SA"/>
        </w:rPr>
        <w:t>e</w:t>
      </w:r>
      <w:r w:rsidRPr="00EA3F99">
        <w:rPr>
          <w:rFonts w:ascii="Times New Roman" w:eastAsia="MS Mincho" w:hAnsi="Times New Roman" w:cs="Times New Roman"/>
          <w:bCs/>
          <w:kern w:val="1"/>
          <w:sz w:val="24"/>
          <w:szCs w:val="24"/>
          <w:lang w:eastAsia="ar-SA"/>
        </w:rPr>
        <w:t xml:space="preserve"> takých právnych predpisov alebo dohôd, ktoré by zakotvovali povinnos</w:t>
      </w:r>
      <w:r>
        <w:rPr>
          <w:rFonts w:ascii="Times New Roman" w:eastAsia="MS Mincho" w:hAnsi="Times New Roman" w:cs="Times New Roman"/>
          <w:bCs/>
          <w:kern w:val="1"/>
          <w:sz w:val="24"/>
          <w:szCs w:val="24"/>
          <w:lang w:eastAsia="ar-SA"/>
        </w:rPr>
        <w:t>ti oznamovania</w:t>
      </w:r>
      <w:r w:rsidRPr="00EA3F99">
        <w:rPr>
          <w:rFonts w:ascii="Times New Roman" w:eastAsia="MS Mincho" w:hAnsi="Times New Roman" w:cs="Times New Roman"/>
          <w:bCs/>
          <w:kern w:val="1"/>
          <w:sz w:val="24"/>
          <w:szCs w:val="24"/>
          <w:lang w:eastAsia="ar-SA"/>
        </w:rPr>
        <w:t>. Ak cezhraničné opatrenie</w:t>
      </w:r>
      <w:r>
        <w:rPr>
          <w:rFonts w:ascii="Times New Roman" w:eastAsia="MS Mincho" w:hAnsi="Times New Roman" w:cs="Times New Roman"/>
          <w:bCs/>
          <w:kern w:val="1"/>
          <w:sz w:val="24"/>
          <w:szCs w:val="24"/>
          <w:lang w:eastAsia="ar-SA"/>
        </w:rPr>
        <w:t xml:space="preserve"> narúša vyššie uvedené povinnosti</w:t>
      </w:r>
      <w:r w:rsidRPr="00EA3F99">
        <w:rPr>
          <w:rFonts w:ascii="Times New Roman" w:eastAsia="MS Mincho" w:hAnsi="Times New Roman" w:cs="Times New Roman"/>
          <w:bCs/>
          <w:kern w:val="1"/>
          <w:sz w:val="24"/>
          <w:szCs w:val="24"/>
          <w:lang w:eastAsia="ar-SA"/>
        </w:rPr>
        <w:t xml:space="preserve"> alebo využíva neexistenciu takýchto predpisov alebo dohôd, tak napĺňa charakteristický znak podľa </w:t>
      </w:r>
      <w:r>
        <w:rPr>
          <w:rFonts w:ascii="Times New Roman" w:eastAsia="MS Mincho" w:hAnsi="Times New Roman" w:cs="Times New Roman"/>
          <w:bCs/>
          <w:kern w:val="1"/>
          <w:sz w:val="24"/>
          <w:szCs w:val="24"/>
          <w:lang w:eastAsia="ar-SA"/>
        </w:rPr>
        <w:t>bodu II časti D</w:t>
      </w:r>
      <w:r w:rsidRPr="00EA3F99">
        <w:rPr>
          <w:rFonts w:ascii="Times New Roman" w:eastAsia="MS Mincho" w:hAnsi="Times New Roman" w:cs="Times New Roman"/>
          <w:bCs/>
          <w:kern w:val="1"/>
          <w:sz w:val="24"/>
          <w:szCs w:val="24"/>
          <w:lang w:eastAsia="ar-SA"/>
        </w:rPr>
        <w:t xml:space="preserve"> ods. 1 a podlieha oznamovaniu, pričom nemusí byť splnený test hlavného účelu. Cezhraničné opatrenie s takýmto efektom zahŕňa použitie </w:t>
      </w:r>
      <w:r>
        <w:rPr>
          <w:rFonts w:ascii="Times New Roman" w:eastAsia="MS Mincho" w:hAnsi="Times New Roman" w:cs="Times New Roman"/>
          <w:bCs/>
          <w:kern w:val="1"/>
          <w:sz w:val="24"/>
          <w:szCs w:val="24"/>
          <w:lang w:eastAsia="ar-SA"/>
        </w:rPr>
        <w:t xml:space="preserve">finančného </w:t>
      </w:r>
      <w:r w:rsidRPr="00EA3F99">
        <w:rPr>
          <w:rFonts w:ascii="Times New Roman" w:eastAsia="MS Mincho" w:hAnsi="Times New Roman" w:cs="Times New Roman"/>
          <w:bCs/>
          <w:kern w:val="1"/>
          <w:sz w:val="24"/>
          <w:szCs w:val="24"/>
          <w:lang w:eastAsia="ar-SA"/>
        </w:rPr>
        <w:t>účtu,</w:t>
      </w:r>
      <w:r>
        <w:rPr>
          <w:rFonts w:ascii="Times New Roman" w:eastAsia="MS Mincho" w:hAnsi="Times New Roman" w:cs="Times New Roman"/>
          <w:bCs/>
          <w:kern w:val="1"/>
          <w:sz w:val="24"/>
          <w:szCs w:val="24"/>
          <w:lang w:eastAsia="ar-SA"/>
        </w:rPr>
        <w:t xml:space="preserve"> finančného</w:t>
      </w:r>
      <w:r w:rsidRPr="00EA3F99">
        <w:rPr>
          <w:rFonts w:ascii="Times New Roman" w:eastAsia="MS Mincho" w:hAnsi="Times New Roman" w:cs="Times New Roman"/>
          <w:bCs/>
          <w:kern w:val="1"/>
          <w:sz w:val="24"/>
          <w:szCs w:val="24"/>
          <w:lang w:eastAsia="ar-SA"/>
        </w:rPr>
        <w:t xml:space="preserve"> produktu, investícií, ktoré nie sú alebo vytvárajú dojem, že nie sú finančným účtom, ale v skutočnosti majú všetky prvky cha</w:t>
      </w:r>
      <w:r>
        <w:rPr>
          <w:rFonts w:ascii="Times New Roman" w:eastAsia="MS Mincho" w:hAnsi="Times New Roman" w:cs="Times New Roman"/>
          <w:bCs/>
          <w:kern w:val="1"/>
          <w:sz w:val="24"/>
          <w:szCs w:val="24"/>
          <w:lang w:eastAsia="ar-SA"/>
        </w:rPr>
        <w:t>rakteristické pre finančný účet. Tento znak spĺňa aj opatrenie, v rámci ktorého dochádza pri prevode finančných účtov alebo majetku k využitiu</w:t>
      </w:r>
      <w:r w:rsidRPr="00EA3F99">
        <w:rPr>
          <w:rFonts w:ascii="Times New Roman" w:eastAsia="MS Mincho" w:hAnsi="Times New Roman" w:cs="Times New Roman"/>
          <w:bCs/>
          <w:kern w:val="1"/>
          <w:sz w:val="24"/>
          <w:szCs w:val="24"/>
          <w:lang w:eastAsia="ar-SA"/>
        </w:rPr>
        <w:t xml:space="preserve"> štátov, ktoré so štátom, v ktorom je </w:t>
      </w:r>
      <w:r>
        <w:rPr>
          <w:rFonts w:ascii="Times New Roman" w:eastAsia="MS Mincho" w:hAnsi="Times New Roman" w:cs="Times New Roman"/>
          <w:bCs/>
          <w:kern w:val="1"/>
          <w:sz w:val="24"/>
          <w:szCs w:val="24"/>
          <w:lang w:eastAsia="ar-SA"/>
        </w:rPr>
        <w:t>používateľ</w:t>
      </w:r>
      <w:r w:rsidRPr="00EA3F99">
        <w:rPr>
          <w:rFonts w:ascii="Times New Roman" w:eastAsia="MS Mincho" w:hAnsi="Times New Roman" w:cs="Times New Roman"/>
          <w:bCs/>
          <w:kern w:val="1"/>
          <w:sz w:val="24"/>
          <w:szCs w:val="24"/>
          <w:lang w:eastAsia="ar-SA"/>
        </w:rPr>
        <w:t xml:space="preserve"> rezidentom na daňové účely</w:t>
      </w:r>
      <w:r>
        <w:rPr>
          <w:rFonts w:ascii="Times New Roman" w:eastAsia="MS Mincho" w:hAnsi="Times New Roman" w:cs="Times New Roman"/>
          <w:bCs/>
          <w:kern w:val="1"/>
          <w:sz w:val="24"/>
          <w:szCs w:val="24"/>
          <w:lang w:eastAsia="ar-SA"/>
        </w:rPr>
        <w:t>,</w:t>
      </w:r>
      <w:r w:rsidRPr="00EA3F99">
        <w:rPr>
          <w:rFonts w:ascii="Times New Roman" w:eastAsia="MS Mincho" w:hAnsi="Times New Roman" w:cs="Times New Roman"/>
          <w:bCs/>
          <w:kern w:val="1"/>
          <w:sz w:val="24"/>
          <w:szCs w:val="24"/>
          <w:lang w:eastAsia="ar-SA"/>
        </w:rPr>
        <w:t xml:space="preserve"> nie sú vo vzťahu, v rámci ktorého by medzi nimi dochádzalo k automatickej výmene informácií o finančných účtoch. Cezhraničné opatrenie napĺňajúce charakteristický znak podľa </w:t>
      </w:r>
      <w:r>
        <w:rPr>
          <w:rFonts w:ascii="Times New Roman" w:eastAsia="MS Mincho" w:hAnsi="Times New Roman" w:cs="Times New Roman"/>
          <w:bCs/>
          <w:kern w:val="1"/>
          <w:sz w:val="24"/>
          <w:szCs w:val="24"/>
          <w:lang w:eastAsia="ar-SA"/>
        </w:rPr>
        <w:t>bodu II časti D</w:t>
      </w:r>
      <w:r w:rsidRPr="00EA3F99">
        <w:rPr>
          <w:rFonts w:ascii="Times New Roman" w:eastAsia="MS Mincho" w:hAnsi="Times New Roman" w:cs="Times New Roman"/>
          <w:bCs/>
          <w:kern w:val="1"/>
          <w:sz w:val="24"/>
          <w:szCs w:val="24"/>
          <w:lang w:eastAsia="ar-SA"/>
        </w:rPr>
        <w:t xml:space="preserve"> obsahuje aj zmenu klasifikácie príjmu alebo kapitálu</w:t>
      </w:r>
      <w:r>
        <w:rPr>
          <w:rFonts w:ascii="Times New Roman" w:eastAsia="MS Mincho" w:hAnsi="Times New Roman" w:cs="Times New Roman"/>
          <w:bCs/>
          <w:kern w:val="1"/>
          <w:sz w:val="24"/>
          <w:szCs w:val="24"/>
          <w:lang w:eastAsia="ar-SA"/>
        </w:rPr>
        <w:t>, majetku</w:t>
      </w:r>
      <w:r w:rsidRPr="00EA3F99">
        <w:rPr>
          <w:rFonts w:ascii="Times New Roman" w:eastAsia="MS Mincho" w:hAnsi="Times New Roman" w:cs="Times New Roman"/>
          <w:bCs/>
          <w:kern w:val="1"/>
          <w:sz w:val="24"/>
          <w:szCs w:val="24"/>
          <w:lang w:eastAsia="ar-SA"/>
        </w:rPr>
        <w:t>, alebo zmenu finančnej inštitúcie alebo finančného účtu s tým účelom, aby nepodliehali automatickej výmene informácií o finančných účtoch. Ak</w:t>
      </w:r>
      <w:r>
        <w:rPr>
          <w:rFonts w:ascii="Times New Roman" w:eastAsia="MS Mincho" w:hAnsi="Times New Roman" w:cs="Times New Roman"/>
          <w:bCs/>
          <w:kern w:val="1"/>
          <w:sz w:val="24"/>
          <w:szCs w:val="24"/>
          <w:lang w:eastAsia="ar-SA"/>
        </w:rPr>
        <w:t xml:space="preserve"> cezhraničné opatrenie zahŕňa vy</w:t>
      </w:r>
      <w:r w:rsidRPr="00EA3F99">
        <w:rPr>
          <w:rFonts w:ascii="Times New Roman" w:eastAsia="MS Mincho" w:hAnsi="Times New Roman" w:cs="Times New Roman"/>
          <w:bCs/>
          <w:kern w:val="1"/>
          <w:sz w:val="24"/>
          <w:szCs w:val="24"/>
          <w:lang w:eastAsia="ar-SA"/>
        </w:rPr>
        <w:t xml:space="preserve">užívanie takých právnických osôb alebo takých právnych usporiadaní alebo účtov, ktorými sa eliminuje, alebo sa vytvára dojem, že sa eliminuje oznamovanie jedného alebo viacerých majiteľov účtu alebo ovládajúcich osôb v rámci automatickej výmeny informácií tak je naplnený osobitný charakteristický znak a cezhraničné opatrenie podlieha oznamovaniu príslušnému orgánu Slovenskej republiky. </w:t>
      </w:r>
      <w:r w:rsidRPr="00CB1990">
        <w:rPr>
          <w:rFonts w:ascii="Times New Roman" w:eastAsia="MS Mincho" w:hAnsi="Times New Roman" w:cs="Times New Roman"/>
          <w:bCs/>
          <w:kern w:val="1"/>
          <w:sz w:val="24"/>
          <w:szCs w:val="24"/>
          <w:lang w:eastAsia="ar-SA"/>
        </w:rPr>
        <w:t>Cezhraničné opatrenie narúšajúce postupy hĺbkového preverovania alebo využívajúce slabé miesta v postupoch hĺbkového preverovania, ktoré používajú finančné inštitúcie pri plnení povinností oznamovania informácií o finančných účtoch</w:t>
      </w:r>
      <w:r w:rsidRPr="00080521">
        <w:rPr>
          <w:rFonts w:ascii="Times New Roman" w:eastAsia="MS Mincho" w:hAnsi="Times New Roman" w:cs="Times New Roman"/>
          <w:bCs/>
          <w:kern w:val="1"/>
          <w:sz w:val="24"/>
          <w:szCs w:val="24"/>
          <w:lang w:eastAsia="ar-SA"/>
        </w:rPr>
        <w:t xml:space="preserve"> spĺňa charakteristický znak v časti D bez potreby splnenia testu hlavného účelu. Tento charakteristický znak bez potreby splnenia testu hlavného účelu spĺňa aj také cezhraničné opatrenie, ktoré</w:t>
      </w:r>
      <w:r w:rsidRPr="00CB1990">
        <w:rPr>
          <w:rFonts w:ascii="Times New Roman" w:eastAsia="MS Mincho" w:hAnsi="Times New Roman" w:cs="Times New Roman"/>
          <w:bCs/>
          <w:kern w:val="1"/>
          <w:sz w:val="24"/>
          <w:szCs w:val="24"/>
          <w:lang w:eastAsia="ar-SA"/>
        </w:rPr>
        <w:t xml:space="preserve"> využíva štáty s nízkou úrovňou presadzovania a dodržiavania právnych predpisov v oblasti ochrany pred legalizáciou príjmov z trestnej činnosti alebo štáty s nedostatočnými požiadavkami na transparentnosť právnických osôb alebo právnych usporiadaní</w:t>
      </w:r>
      <w:r w:rsidRPr="00080521">
        <w:rPr>
          <w:rFonts w:ascii="Times New Roman" w:eastAsia="MS Mincho" w:hAnsi="Times New Roman" w:cs="Times New Roman"/>
          <w:bCs/>
          <w:kern w:val="1"/>
          <w:sz w:val="24"/>
          <w:szCs w:val="24"/>
          <w:lang w:eastAsia="ar-SA"/>
        </w:rPr>
        <w:t>.</w:t>
      </w: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Pri charakteristickom znaku v bode II časti D ods. 1 písm. b) je podstatnou črtou prevod účtov alebo majetku do štátov, </w:t>
      </w:r>
      <w:r w:rsidRPr="0031268C">
        <w:rPr>
          <w:rFonts w:ascii="Times New Roman" w:eastAsia="MS Mincho" w:hAnsi="Times New Roman" w:cs="Times New Roman"/>
          <w:bCs/>
          <w:kern w:val="1"/>
          <w:sz w:val="24"/>
          <w:szCs w:val="24"/>
          <w:lang w:eastAsia="ar-SA"/>
        </w:rPr>
        <w:t xml:space="preserve">ktoré nie sú viazané automatickou výmenou informácií o finančných </w:t>
      </w:r>
      <w:r w:rsidRPr="0031268C">
        <w:rPr>
          <w:rFonts w:ascii="Times New Roman" w:eastAsia="MS Mincho" w:hAnsi="Times New Roman" w:cs="Times New Roman"/>
          <w:bCs/>
          <w:kern w:val="1"/>
          <w:sz w:val="24"/>
          <w:szCs w:val="24"/>
          <w:lang w:eastAsia="ar-SA"/>
        </w:rPr>
        <w:lastRenderedPageBreak/>
        <w:t>účtoch</w:t>
      </w:r>
      <w:r>
        <w:rPr>
          <w:rFonts w:ascii="Times New Roman" w:eastAsia="MS Mincho" w:hAnsi="Times New Roman" w:cs="Times New Roman"/>
          <w:bCs/>
          <w:kern w:val="1"/>
          <w:sz w:val="24"/>
          <w:szCs w:val="24"/>
          <w:lang w:eastAsia="ar-SA"/>
        </w:rPr>
        <w:t xml:space="preserve">. Ministerstvo financií SR zverejní na svojom webovom sídle zoznam štátov, ktoré sú viazané </w:t>
      </w:r>
      <w:r w:rsidRPr="0031268C">
        <w:rPr>
          <w:rFonts w:ascii="Times New Roman" w:eastAsia="MS Mincho" w:hAnsi="Times New Roman" w:cs="Times New Roman"/>
          <w:bCs/>
          <w:kern w:val="1"/>
          <w:sz w:val="24"/>
          <w:szCs w:val="24"/>
          <w:lang w:eastAsia="ar-SA"/>
        </w:rPr>
        <w:t>automatickou výmenou informácií o finančných účtoch</w:t>
      </w:r>
      <w:r>
        <w:rPr>
          <w:rFonts w:ascii="Times New Roman" w:eastAsia="MS Mincho" w:hAnsi="Times New Roman" w:cs="Times New Roman"/>
          <w:bCs/>
          <w:kern w:val="1"/>
          <w:sz w:val="24"/>
          <w:szCs w:val="24"/>
          <w:lang w:eastAsia="ar-SA"/>
        </w:rPr>
        <w:t xml:space="preserve"> vždy ku koncu kalendárneho roka. Štáty, ktoré nebudú uvedené v tomto zozname, nie sú viazané </w:t>
      </w:r>
      <w:r w:rsidRPr="0031268C">
        <w:rPr>
          <w:rFonts w:ascii="Times New Roman" w:eastAsia="MS Mincho" w:hAnsi="Times New Roman" w:cs="Times New Roman"/>
          <w:bCs/>
          <w:kern w:val="1"/>
          <w:sz w:val="24"/>
          <w:szCs w:val="24"/>
          <w:lang w:eastAsia="ar-SA"/>
        </w:rPr>
        <w:t>automatickou výmenou informácií o finančných účtoch</w:t>
      </w:r>
      <w:r>
        <w:rPr>
          <w:rFonts w:ascii="Times New Roman" w:eastAsia="MS Mincho" w:hAnsi="Times New Roman" w:cs="Times New Roman"/>
          <w:bCs/>
          <w:kern w:val="1"/>
          <w:sz w:val="24"/>
          <w:szCs w:val="24"/>
          <w:lang w:eastAsia="ar-SA"/>
        </w:rPr>
        <w:t xml:space="preserve">, a prevodom finančného účtu alebo majetku do takéhoto štátu by reálne hrozila strata informácií o predmetnom finančnom účte alebo finančnom majetku z dôvodu ich neoznamovania príslušnému orgánu. Takýmto prevodom sa nerozumie každý pohyb, resp. prevod finančných prostriedkov (teda majetku) do štátu, s ktorým nie je zabezpečená automatická výmena informácií, teda nepatria sem rutinné bankové služby. Predmetný charakteristický znak je potrebné skúmať v úzkej súvislosti s pravidlami proti praniu špinavých peňazí a boja proti terorizmu v zmysle zákona č. 297/2008 Z. z. v znení neskorších predpisov. </w:t>
      </w:r>
    </w:p>
    <w:p w:rsidR="0033092E"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 xml:space="preserve">Charakteristické znaky podľa bodu II časti D majú za cieľ zachytiť také oznamované opatrenia (schémy), ktorých cieľom je vyhnúť sa oznamovaniu finančných účtov v rámci automatickej výmeny informácií o finančných účtoch a vyhnúť sa identifikácii skutočného vlastníctva. Automatickou výmenou informácií o finančných účtoch sa rozumie </w:t>
      </w:r>
      <w:r w:rsidRPr="006E6F5B">
        <w:rPr>
          <w:rFonts w:ascii="Times New Roman" w:eastAsia="MS Mincho" w:hAnsi="Times New Roman" w:cs="Times New Roman"/>
          <w:bCs/>
          <w:kern w:val="1"/>
          <w:sz w:val="24"/>
          <w:szCs w:val="24"/>
          <w:lang w:eastAsia="ar-SA"/>
        </w:rPr>
        <w:t>systematické oznamovanie vopred určených informácií o rezidentoch členských štátov alebo o rezidentoch zmluvných štátov</w:t>
      </w:r>
      <w:r>
        <w:rPr>
          <w:rFonts w:ascii="Times New Roman" w:eastAsia="MS Mincho" w:hAnsi="Times New Roman" w:cs="Times New Roman"/>
          <w:bCs/>
          <w:kern w:val="1"/>
          <w:sz w:val="24"/>
          <w:szCs w:val="24"/>
          <w:lang w:eastAsia="ar-SA"/>
        </w:rPr>
        <w:t xml:space="preserve"> </w:t>
      </w:r>
      <w:r w:rsidRPr="006E6F5B">
        <w:rPr>
          <w:rFonts w:ascii="Times New Roman" w:eastAsia="MS Mincho" w:hAnsi="Times New Roman" w:cs="Times New Roman"/>
          <w:bCs/>
          <w:kern w:val="1"/>
          <w:sz w:val="24"/>
          <w:szCs w:val="24"/>
          <w:lang w:eastAsia="ar-SA"/>
        </w:rPr>
        <w:t>príslušnému orgánu členského štátu alebo príslušnému orgánu zmluvného štátu, bez predchádzajúcej žiadosti a vo vopred určených časových intervaloch</w:t>
      </w:r>
      <w:r>
        <w:rPr>
          <w:rFonts w:ascii="Times New Roman" w:eastAsia="MS Mincho" w:hAnsi="Times New Roman" w:cs="Times New Roman"/>
          <w:bCs/>
          <w:kern w:val="1"/>
          <w:sz w:val="24"/>
          <w:szCs w:val="24"/>
          <w:lang w:eastAsia="ar-SA"/>
        </w:rPr>
        <w:t xml:space="preserve">. </w:t>
      </w:r>
    </w:p>
    <w:p w:rsidR="0033092E" w:rsidRPr="00EA3F99" w:rsidRDefault="0033092E" w:rsidP="0033092E">
      <w:pPr>
        <w:suppressAutoHyphens/>
        <w:spacing w:after="0" w:line="100" w:lineRule="atLeast"/>
        <w:ind w:firstLine="708"/>
        <w:jc w:val="both"/>
        <w:rPr>
          <w:rFonts w:ascii="Times New Roman" w:eastAsia="MS Mincho" w:hAnsi="Times New Roman" w:cs="Times New Roman"/>
          <w:bCs/>
          <w:kern w:val="1"/>
          <w:sz w:val="24"/>
          <w:szCs w:val="24"/>
          <w:lang w:eastAsia="ar-SA"/>
        </w:rPr>
      </w:pPr>
      <w:r w:rsidRPr="00EA3F99">
        <w:rPr>
          <w:rFonts w:ascii="Times New Roman" w:eastAsia="MS Mincho" w:hAnsi="Times New Roman" w:cs="Times New Roman"/>
          <w:bCs/>
          <w:kern w:val="1"/>
          <w:sz w:val="24"/>
          <w:szCs w:val="24"/>
          <w:lang w:eastAsia="ar-SA"/>
        </w:rPr>
        <w:t>Charakteristický znak skrytého</w:t>
      </w:r>
      <w:r>
        <w:rPr>
          <w:rFonts w:ascii="Times New Roman" w:eastAsia="MS Mincho" w:hAnsi="Times New Roman" w:cs="Times New Roman"/>
          <w:bCs/>
          <w:kern w:val="1"/>
          <w:sz w:val="24"/>
          <w:szCs w:val="24"/>
          <w:lang w:eastAsia="ar-SA"/>
        </w:rPr>
        <w:t>/ netransparentného</w:t>
      </w:r>
      <w:r w:rsidRPr="00EA3F99">
        <w:rPr>
          <w:rFonts w:ascii="Times New Roman" w:eastAsia="MS Mincho" w:hAnsi="Times New Roman" w:cs="Times New Roman"/>
          <w:bCs/>
          <w:kern w:val="1"/>
          <w:sz w:val="24"/>
          <w:szCs w:val="24"/>
          <w:lang w:eastAsia="ar-SA"/>
        </w:rPr>
        <w:t xml:space="preserve"> skutočného vlastníctva je naplnený, ak cezhraničné opatrenie zahŕňa netransparentný reťazec právneho alebo skutočného vlastníctva s </w:t>
      </w:r>
      <w:r>
        <w:rPr>
          <w:rFonts w:ascii="Times New Roman" w:eastAsia="MS Mincho" w:hAnsi="Times New Roman" w:cs="Times New Roman"/>
          <w:bCs/>
          <w:kern w:val="1"/>
          <w:sz w:val="24"/>
          <w:szCs w:val="24"/>
          <w:lang w:eastAsia="ar-SA"/>
        </w:rPr>
        <w:t>vy</w:t>
      </w:r>
      <w:r w:rsidRPr="00EA3F99">
        <w:rPr>
          <w:rFonts w:ascii="Times New Roman" w:eastAsia="MS Mincho" w:hAnsi="Times New Roman" w:cs="Times New Roman"/>
          <w:bCs/>
          <w:kern w:val="1"/>
          <w:sz w:val="24"/>
          <w:szCs w:val="24"/>
          <w:lang w:eastAsia="ar-SA"/>
        </w:rPr>
        <w:t xml:space="preserve">užitím </w:t>
      </w:r>
      <w:r>
        <w:rPr>
          <w:rFonts w:ascii="Times New Roman" w:eastAsia="MS Mincho" w:hAnsi="Times New Roman" w:cs="Times New Roman"/>
          <w:bCs/>
          <w:kern w:val="1"/>
          <w:sz w:val="24"/>
          <w:szCs w:val="24"/>
          <w:lang w:eastAsia="ar-SA"/>
        </w:rPr>
        <w:t>subjektov</w:t>
      </w:r>
      <w:r w:rsidRPr="00EA3F99">
        <w:rPr>
          <w:rFonts w:ascii="Times New Roman" w:eastAsia="MS Mincho" w:hAnsi="Times New Roman" w:cs="Times New Roman"/>
          <w:bCs/>
          <w:kern w:val="1"/>
          <w:sz w:val="24"/>
          <w:szCs w:val="24"/>
          <w:lang w:eastAsia="ar-SA"/>
        </w:rPr>
        <w:t xml:space="preserve">, </w:t>
      </w:r>
      <w:r>
        <w:rPr>
          <w:rFonts w:ascii="Times New Roman" w:eastAsia="MS Mincho" w:hAnsi="Times New Roman" w:cs="Times New Roman"/>
          <w:bCs/>
          <w:kern w:val="1"/>
          <w:sz w:val="24"/>
          <w:szCs w:val="24"/>
          <w:lang w:eastAsia="ar-SA"/>
        </w:rPr>
        <w:t xml:space="preserve">ktoré musia kumulatívne splniť podmienky stanovené v písmenách a) až c). </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Pr>
          <w:rFonts w:ascii="Times New Roman" w:eastAsia="MS Mincho" w:hAnsi="Times New Roman" w:cs="Times New Roman"/>
          <w:bCs/>
          <w:kern w:val="1"/>
          <w:sz w:val="24"/>
          <w:szCs w:val="24"/>
          <w:lang w:eastAsia="ar-SA"/>
        </w:rPr>
        <w:t>Bod II. časť E</w:t>
      </w:r>
    </w:p>
    <w:p w:rsidR="0033092E" w:rsidRPr="00AF7BB8" w:rsidRDefault="0033092E" w:rsidP="0033092E">
      <w:pPr>
        <w:spacing w:after="0" w:line="100" w:lineRule="atLeast"/>
        <w:jc w:val="both"/>
        <w:rPr>
          <w:rFonts w:ascii="Times New Roman" w:eastAsia="Calibri" w:hAnsi="Times New Roman" w:cs="Times New Roman"/>
          <w:sz w:val="24"/>
          <w:szCs w:val="24"/>
          <w:lang w:eastAsia="ar-SA"/>
        </w:rPr>
      </w:pPr>
      <w:r w:rsidRPr="00AF7BB8">
        <w:rPr>
          <w:rFonts w:ascii="Times New Roman" w:eastAsia="Calibri" w:hAnsi="Times New Roman" w:cs="Times New Roman"/>
          <w:sz w:val="24"/>
          <w:szCs w:val="24"/>
          <w:lang w:eastAsia="ar-SA"/>
        </w:rPr>
        <w:t xml:space="preserve">V </w:t>
      </w:r>
      <w:r>
        <w:rPr>
          <w:rFonts w:ascii="Times New Roman" w:eastAsia="Calibri" w:hAnsi="Times New Roman" w:cs="Times New Roman"/>
          <w:sz w:val="24"/>
          <w:szCs w:val="24"/>
          <w:lang w:eastAsia="ar-SA"/>
        </w:rPr>
        <w:t>bode</w:t>
      </w:r>
      <w:r w:rsidRPr="00AF7BB8">
        <w:rPr>
          <w:rFonts w:ascii="Times New Roman" w:eastAsia="Calibri" w:hAnsi="Times New Roman" w:cs="Times New Roman"/>
          <w:sz w:val="24"/>
          <w:szCs w:val="24"/>
          <w:lang w:eastAsia="ar-SA"/>
        </w:rPr>
        <w:t xml:space="preserve"> II </w:t>
      </w:r>
      <w:r>
        <w:rPr>
          <w:rFonts w:ascii="Times New Roman" w:eastAsia="Calibri" w:hAnsi="Times New Roman" w:cs="Times New Roman"/>
          <w:sz w:val="24"/>
          <w:szCs w:val="24"/>
          <w:lang w:eastAsia="ar-SA"/>
        </w:rPr>
        <w:t>časti</w:t>
      </w:r>
      <w:r w:rsidRPr="00AF7BB8">
        <w:rPr>
          <w:rFonts w:ascii="Times New Roman" w:eastAsia="Calibri" w:hAnsi="Times New Roman" w:cs="Times New Roman"/>
          <w:sz w:val="24"/>
          <w:szCs w:val="24"/>
          <w:lang w:eastAsia="ar-SA"/>
        </w:rPr>
        <w:t xml:space="preserve"> E sú upravované charakteristické znaky, ktoré</w:t>
      </w:r>
      <w:r w:rsidRPr="00AF7BB8">
        <w:rPr>
          <w:rFonts w:ascii="Calibri" w:eastAsia="Calibri" w:hAnsi="Calibri" w:cs="Times New Roman"/>
        </w:rPr>
        <w:t xml:space="preserve"> </w:t>
      </w:r>
      <w:r w:rsidRPr="00AF7BB8">
        <w:rPr>
          <w:rFonts w:ascii="Times New Roman" w:eastAsia="Calibri" w:hAnsi="Times New Roman" w:cs="Times New Roman"/>
          <w:sz w:val="24"/>
          <w:szCs w:val="24"/>
          <w:lang w:eastAsia="ar-SA"/>
        </w:rPr>
        <w:t xml:space="preserve">predstavujú všeobecné odklonenie od základných pravidiel a princípov transferového oceňovania.  Ak v rámci predmetného cezhraničného opatrenia dochádza k </w:t>
      </w:r>
      <w:r>
        <w:rPr>
          <w:rFonts w:ascii="Times New Roman" w:eastAsia="Calibri" w:hAnsi="Times New Roman" w:cs="Times New Roman"/>
          <w:sz w:val="24"/>
          <w:szCs w:val="24"/>
          <w:lang w:eastAsia="ar-SA"/>
        </w:rPr>
        <w:t>vy</w:t>
      </w:r>
      <w:r w:rsidRPr="00AF7BB8">
        <w:rPr>
          <w:rFonts w:ascii="Times New Roman" w:eastAsia="Calibri" w:hAnsi="Times New Roman" w:cs="Times New Roman"/>
          <w:sz w:val="24"/>
          <w:szCs w:val="24"/>
          <w:lang w:eastAsia="ar-SA"/>
        </w:rPr>
        <w:t xml:space="preserve">užívaniu </w:t>
      </w:r>
      <w:r>
        <w:rPr>
          <w:rFonts w:ascii="Times New Roman" w:eastAsia="Calibri" w:hAnsi="Times New Roman" w:cs="Times New Roman"/>
          <w:sz w:val="24"/>
          <w:szCs w:val="24"/>
          <w:lang w:eastAsia="ar-SA"/>
        </w:rPr>
        <w:t>unilaterálnych</w:t>
      </w:r>
      <w:r w:rsidRPr="00AF7BB8">
        <w:rPr>
          <w:rFonts w:ascii="Times New Roman" w:eastAsia="Calibri" w:hAnsi="Times New Roman" w:cs="Times New Roman"/>
          <w:sz w:val="24"/>
          <w:szCs w:val="24"/>
          <w:lang w:eastAsia="ar-SA"/>
        </w:rPr>
        <w:t xml:space="preserve"> pravidiel bezpečného prístavu, </w:t>
      </w:r>
      <w:proofErr w:type="spellStart"/>
      <w:r w:rsidRPr="00AF7BB8">
        <w:rPr>
          <w:rFonts w:ascii="Times New Roman" w:eastAsia="Calibri" w:hAnsi="Times New Roman" w:cs="Times New Roman"/>
          <w:sz w:val="24"/>
          <w:szCs w:val="24"/>
          <w:lang w:eastAsia="ar-SA"/>
        </w:rPr>
        <w:t>t.j</w:t>
      </w:r>
      <w:proofErr w:type="spellEnd"/>
      <w:r w:rsidRPr="00AF7BB8">
        <w:rPr>
          <w:rFonts w:ascii="Times New Roman" w:eastAsia="Calibri" w:hAnsi="Times New Roman" w:cs="Times New Roman"/>
          <w:sz w:val="24"/>
          <w:szCs w:val="24"/>
          <w:lang w:eastAsia="ar-SA"/>
        </w:rPr>
        <w:t xml:space="preserve">. cezhraničné opatrenie zahŕňa určenie transferových cien na základe osobitných pravidiel, tak je naplnený charakteristický znak, ktorý určuje že dané opatrenie podlieha oznamovaniu. Bezpečný prístav je definovaný v kapitole IV, časti E v Smernici OECD o transferovom oceňovaní pre nadnárodné spoločnosti a správu daní (edícia z roku 2017, str. 204 – 214). Bezpečný prístav v režime transferového oceňovania je inštitút, ktorý sa aplikuje na vymedzenú skupinu daňovníkov alebo transakcií a tak znižuje u konkrétnych daňovníkov požiadavky na rozsah plnenia určitých povinností, ktoré sú inak uložené štátom v rámci jeho všeobecných pravidiel transferového oceňovania. Vo všeobecnosti ide o zjednodušený prístup, ktorý má za cieľ znížiť administratívnu náročnosť a vyvolané náklady zdanenia pre vybrané subjekty, ktoré sú jednoznačne zadefinované štátom určenými pravidlami. Keďže ide o jednostranne uplatňované pravidlo, v praxi v cezhraničných situáciách môže dochádzať situáciám nežiaducej daňovej optimalizácie prostredníctvom dvojitého nezdanenia príjmu, prípadne deklarovania príjmu, ktorý nie je v súlade s princípom nezávislého vzťahu a pod. </w:t>
      </w:r>
    </w:p>
    <w:p w:rsidR="0033092E" w:rsidRPr="00AF7BB8" w:rsidRDefault="0033092E" w:rsidP="0033092E">
      <w:pPr>
        <w:spacing w:after="0" w:line="100" w:lineRule="atLeast"/>
        <w:ind w:firstLine="708"/>
        <w:jc w:val="both"/>
        <w:rPr>
          <w:rFonts w:ascii="Times New Roman" w:eastAsia="Calibri" w:hAnsi="Times New Roman" w:cs="Times New Roman"/>
          <w:sz w:val="24"/>
          <w:szCs w:val="24"/>
          <w:lang w:eastAsia="ar-SA"/>
        </w:rPr>
      </w:pPr>
      <w:r w:rsidRPr="00AF7BB8">
        <w:rPr>
          <w:rFonts w:ascii="Times New Roman" w:eastAsia="Calibri" w:hAnsi="Times New Roman" w:cs="Times New Roman"/>
          <w:sz w:val="24"/>
          <w:szCs w:val="24"/>
          <w:lang w:eastAsia="ar-SA"/>
        </w:rPr>
        <w:t>Ťažko oceniteľným nehmotným majetkom sa rozumie nehmotný majetok alebo právo na nehmotný majetok, v súvislosti s ktorým v čase ich prevodu medzi závislými osobami neexistujú žiadne spoľahlivé porovnateľné údaje a v čase, keď sa transakcia uzavrela, sú odhady budúcich peňažných tokov alebo očakávané príjmy, ktoré sa majú získať z prevádzaného nehmotného majetku, alebo predpoklady použité pri ohodnocovaní nehmotného majetku veľmi neisté</w:t>
      </w:r>
      <w:r>
        <w:rPr>
          <w:rFonts w:ascii="Times New Roman" w:eastAsia="Calibri" w:hAnsi="Times New Roman" w:cs="Times New Roman"/>
          <w:sz w:val="24"/>
          <w:szCs w:val="24"/>
          <w:lang w:eastAsia="ar-SA"/>
        </w:rPr>
        <w:t>.</w:t>
      </w:r>
      <w:r w:rsidRPr="00AF7BB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P</w:t>
      </w:r>
      <w:r w:rsidRPr="00AF7BB8">
        <w:rPr>
          <w:rFonts w:ascii="Times New Roman" w:eastAsia="Calibri" w:hAnsi="Times New Roman" w:cs="Times New Roman"/>
          <w:sz w:val="24"/>
          <w:szCs w:val="24"/>
          <w:lang w:eastAsia="ar-SA"/>
        </w:rPr>
        <w:t xml:space="preserve">reto je v čase prevodu ťažké predpovedať úroveň konečného prospechu, ktorý má vyplynúť z nehmotného majetku. </w:t>
      </w:r>
    </w:p>
    <w:p w:rsidR="0033092E" w:rsidRPr="00AF7BB8" w:rsidRDefault="0033092E" w:rsidP="0033092E">
      <w:pPr>
        <w:spacing w:after="0" w:line="100" w:lineRule="atLeast"/>
        <w:ind w:firstLine="708"/>
        <w:jc w:val="both"/>
        <w:rPr>
          <w:rFonts w:ascii="Times New Roman" w:eastAsia="Calibri" w:hAnsi="Times New Roman" w:cs="Times New Roman"/>
          <w:sz w:val="24"/>
          <w:szCs w:val="24"/>
          <w:lang w:eastAsia="ar-SA"/>
        </w:rPr>
      </w:pPr>
      <w:r w:rsidRPr="00AF7BB8">
        <w:rPr>
          <w:rFonts w:ascii="Times New Roman" w:eastAsia="Calibri" w:hAnsi="Times New Roman" w:cs="Times New Roman"/>
          <w:sz w:val="24"/>
          <w:szCs w:val="24"/>
          <w:lang w:eastAsia="ar-SA"/>
        </w:rPr>
        <w:t xml:space="preserve">Charakteristický znak </w:t>
      </w:r>
      <w:proofErr w:type="spellStart"/>
      <w:r w:rsidRPr="00AF7BB8">
        <w:rPr>
          <w:rFonts w:ascii="Times New Roman" w:eastAsia="Calibri" w:hAnsi="Times New Roman" w:cs="Times New Roman"/>
          <w:sz w:val="24"/>
          <w:szCs w:val="24"/>
          <w:lang w:eastAsia="ar-SA"/>
        </w:rPr>
        <w:t>vnútroskupinových</w:t>
      </w:r>
      <w:proofErr w:type="spellEnd"/>
      <w:r w:rsidRPr="00AF7BB8">
        <w:rPr>
          <w:rFonts w:ascii="Times New Roman" w:eastAsia="Calibri" w:hAnsi="Times New Roman" w:cs="Times New Roman"/>
          <w:sz w:val="24"/>
          <w:szCs w:val="24"/>
          <w:lang w:eastAsia="ar-SA"/>
        </w:rPr>
        <w:t xml:space="preserve"> cezhraničných presunov v rámci cezhraničného opatrenia je naplnený ak zahŕňajú cezhraničný presun funkcií, rizík alebo prevod </w:t>
      </w:r>
      <w:r w:rsidRPr="00AF7BB8">
        <w:rPr>
          <w:rFonts w:ascii="Times New Roman" w:eastAsia="Calibri" w:hAnsi="Times New Roman" w:cs="Times New Roman"/>
          <w:sz w:val="24"/>
          <w:szCs w:val="24"/>
          <w:lang w:eastAsia="ar-SA"/>
        </w:rPr>
        <w:lastRenderedPageBreak/>
        <w:t xml:space="preserve">majetku v rámci skupiny a ak odhadované ročné zisky prevodcu alebo prevodcov pred zdanením a úrokmi (EBIT) počas trojročného obdobia po presune alebo prevode predstavujú menej ako 50 % odhadovaných ročných ziskov pred </w:t>
      </w:r>
      <w:r>
        <w:rPr>
          <w:rFonts w:ascii="Times New Roman" w:eastAsia="Calibri" w:hAnsi="Times New Roman" w:cs="Times New Roman"/>
          <w:sz w:val="24"/>
          <w:szCs w:val="24"/>
          <w:lang w:eastAsia="ar-SA"/>
        </w:rPr>
        <w:t>zdanením a úrokmi</w:t>
      </w:r>
      <w:r w:rsidRPr="00AF7BB8">
        <w:rPr>
          <w:rFonts w:ascii="Times New Roman" w:eastAsia="Calibri" w:hAnsi="Times New Roman" w:cs="Times New Roman"/>
          <w:sz w:val="24"/>
          <w:szCs w:val="24"/>
          <w:lang w:eastAsia="ar-SA"/>
        </w:rPr>
        <w:t xml:space="preserve"> (EBIT) takého prevodcu alebo prevodcov v prípade, že by sa presun alebo prevod neuskutočnil. </w:t>
      </w:r>
      <w:r>
        <w:rPr>
          <w:rFonts w:ascii="Times New Roman" w:eastAsia="Calibri" w:hAnsi="Times New Roman" w:cs="Times New Roman"/>
          <w:sz w:val="24"/>
          <w:szCs w:val="24"/>
          <w:lang w:eastAsia="ar-SA"/>
        </w:rPr>
        <w:t>Napr</w:t>
      </w:r>
      <w:r w:rsidRPr="00AF7BB8">
        <w:rPr>
          <w:rFonts w:ascii="Times New Roman" w:eastAsia="Calibri" w:hAnsi="Times New Roman" w:cs="Times New Roman"/>
          <w:sz w:val="24"/>
          <w:szCs w:val="24"/>
          <w:lang w:eastAsia="ar-SA"/>
        </w:rPr>
        <w:t xml:space="preserve">. spoločnosť </w:t>
      </w:r>
      <w:r>
        <w:rPr>
          <w:rFonts w:ascii="Times New Roman" w:eastAsia="Calibri" w:hAnsi="Times New Roman" w:cs="Times New Roman"/>
          <w:sz w:val="24"/>
          <w:szCs w:val="24"/>
          <w:lang w:eastAsia="ar-SA"/>
        </w:rPr>
        <w:t>presunie funkcie, riziká alebo</w:t>
      </w:r>
      <w:r w:rsidRPr="00AF7BB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prevedie</w:t>
      </w:r>
      <w:r w:rsidRPr="00AF7BB8">
        <w:rPr>
          <w:rFonts w:ascii="Times New Roman" w:eastAsia="Calibri" w:hAnsi="Times New Roman" w:cs="Times New Roman"/>
          <w:sz w:val="24"/>
          <w:szCs w:val="24"/>
          <w:lang w:eastAsia="ar-SA"/>
        </w:rPr>
        <w:t xml:space="preserve"> majet</w:t>
      </w:r>
      <w:r>
        <w:rPr>
          <w:rFonts w:ascii="Times New Roman" w:eastAsia="Calibri" w:hAnsi="Times New Roman" w:cs="Times New Roman"/>
          <w:sz w:val="24"/>
          <w:szCs w:val="24"/>
          <w:lang w:eastAsia="ar-SA"/>
        </w:rPr>
        <w:t>ok a</w:t>
      </w:r>
      <w:r w:rsidRPr="00AF7BB8">
        <w:rPr>
          <w:rFonts w:ascii="Times New Roman" w:eastAsia="Calibri" w:hAnsi="Times New Roman" w:cs="Times New Roman"/>
          <w:sz w:val="24"/>
          <w:szCs w:val="24"/>
          <w:lang w:eastAsia="ar-SA"/>
        </w:rPr>
        <w:t xml:space="preserve"> už nebude realizovať všetky činnosti, ktoré uskutočňovala pred presunom funkcií, rizík alebo prevodom majetku</w:t>
      </w:r>
      <w:r>
        <w:rPr>
          <w:rFonts w:ascii="Times New Roman" w:eastAsia="Calibri" w:hAnsi="Times New Roman" w:cs="Times New Roman"/>
          <w:sz w:val="24"/>
          <w:szCs w:val="24"/>
          <w:lang w:eastAsia="ar-SA"/>
        </w:rPr>
        <w:t>.</w:t>
      </w:r>
      <w:r w:rsidRPr="00AF7BB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N</w:t>
      </w:r>
      <w:r w:rsidRPr="00AF7BB8">
        <w:rPr>
          <w:rFonts w:ascii="Times New Roman" w:eastAsia="Calibri" w:hAnsi="Times New Roman" w:cs="Times New Roman"/>
          <w:sz w:val="24"/>
          <w:szCs w:val="24"/>
          <w:lang w:eastAsia="ar-SA"/>
        </w:rPr>
        <w:t xml:space="preserve">edosiahne taký zisk, aký by dosahovala pred presunom funkcií, rizík alebo prevodom majetku. Jej zisk za niektoré služby, ktoré vykonáva ako dcérska spoločnosť, </w:t>
      </w:r>
      <w:proofErr w:type="spellStart"/>
      <w:r w:rsidRPr="00AF7BB8">
        <w:rPr>
          <w:rFonts w:ascii="Times New Roman" w:eastAsia="Calibri" w:hAnsi="Times New Roman" w:cs="Times New Roman"/>
          <w:sz w:val="24"/>
          <w:szCs w:val="24"/>
          <w:lang w:eastAsia="ar-SA"/>
        </w:rPr>
        <w:t>t.j</w:t>
      </w:r>
      <w:proofErr w:type="spellEnd"/>
      <w:r w:rsidRPr="00AF7BB8">
        <w:rPr>
          <w:rFonts w:ascii="Times New Roman" w:eastAsia="Calibri" w:hAnsi="Times New Roman" w:cs="Times New Roman"/>
          <w:sz w:val="24"/>
          <w:szCs w:val="24"/>
          <w:lang w:eastAsia="ar-SA"/>
        </w:rPr>
        <w:t xml:space="preserve">. po presune funkcií, rizík alebo po prevode majetku, môže byť nižší ako 50 % odhadovaného zisku pred zdanením a úrokmi (EBIT). </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sidRPr="00FC0A00">
        <w:rPr>
          <w:rFonts w:ascii="Times New Roman" w:eastAsia="MS Mincho" w:hAnsi="Times New Roman" w:cs="Times New Roman"/>
          <w:b/>
          <w:bCs/>
          <w:kern w:val="1"/>
          <w:sz w:val="24"/>
          <w:szCs w:val="24"/>
          <w:u w:val="single"/>
          <w:lang w:eastAsia="ar-SA"/>
        </w:rPr>
        <w:t>K bodu 11 – príloha č. 2 k zákonu č. 442/2012 Z.</w:t>
      </w:r>
      <w:r>
        <w:rPr>
          <w:rFonts w:ascii="Times New Roman" w:eastAsia="MS Mincho" w:hAnsi="Times New Roman" w:cs="Times New Roman"/>
          <w:b/>
          <w:bCs/>
          <w:kern w:val="1"/>
          <w:sz w:val="24"/>
          <w:szCs w:val="24"/>
          <w:u w:val="single"/>
          <w:lang w:eastAsia="ar-SA"/>
        </w:rPr>
        <w:t xml:space="preserve"> </w:t>
      </w:r>
      <w:r w:rsidRPr="00FC0A00">
        <w:rPr>
          <w:rFonts w:ascii="Times New Roman" w:eastAsia="MS Mincho" w:hAnsi="Times New Roman" w:cs="Times New Roman"/>
          <w:b/>
          <w:bCs/>
          <w:kern w:val="1"/>
          <w:sz w:val="24"/>
          <w:szCs w:val="24"/>
          <w:u w:val="single"/>
          <w:lang w:eastAsia="ar-SA"/>
        </w:rPr>
        <w:t>z.</w:t>
      </w: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Pr="00080521"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080521">
        <w:rPr>
          <w:rFonts w:ascii="Times New Roman" w:eastAsia="MS Mincho" w:hAnsi="Times New Roman" w:cs="Times New Roman"/>
          <w:bCs/>
          <w:kern w:val="1"/>
          <w:sz w:val="24"/>
          <w:szCs w:val="24"/>
          <w:lang w:eastAsia="ar-SA"/>
        </w:rPr>
        <w:t>Uvedeným bodom sa vypúšťa zo zoznamu preberaných právne záväzných aktov Európskej únie smernica, ktorá už nie je účinná. Ide o smernicu Rady 2003/48/ES z 3. júna 2003 o zdaňovaní príjmu z úspor v podobe výplaty úrokov (Mimoriadne vydanie Ú. v. EÚ, kap. 9/zv. 1, Ú. v. EÚ L 157, 26. 6. 2003) v znení smernice Rady 2004/66/ES z 26. apríla 2004 (Ú. v. EÚ L 168, 1. 5. 2004), rozhodnutia Rady 2004/587/ES z 19. júla 2004 (Ú. v. EÚ L 257, 4. 8. 2004) a smernice Rady 2006/98/ES z 20. novembra 2006 (Ú. v. EÚ L 363, 20. 12. 2006)</w:t>
      </w: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u w:val="single"/>
          <w:lang w:eastAsia="ar-SA"/>
        </w:rPr>
      </w:pPr>
      <w:r>
        <w:rPr>
          <w:rFonts w:ascii="Times New Roman" w:eastAsia="MS Mincho" w:hAnsi="Times New Roman" w:cs="Times New Roman"/>
          <w:b/>
          <w:bCs/>
          <w:kern w:val="1"/>
          <w:sz w:val="24"/>
          <w:szCs w:val="24"/>
          <w:u w:val="single"/>
          <w:lang w:eastAsia="ar-SA"/>
        </w:rPr>
        <w:t>K bodu 12</w:t>
      </w:r>
      <w:r w:rsidRPr="00EA3F99">
        <w:rPr>
          <w:rFonts w:ascii="Times New Roman" w:eastAsia="MS Mincho" w:hAnsi="Times New Roman" w:cs="Times New Roman"/>
          <w:b/>
          <w:bCs/>
          <w:kern w:val="1"/>
          <w:sz w:val="24"/>
          <w:szCs w:val="24"/>
          <w:u w:val="single"/>
          <w:lang w:eastAsia="ar-SA"/>
        </w:rPr>
        <w:t xml:space="preserve"> – príloha č. </w:t>
      </w:r>
      <w:r>
        <w:rPr>
          <w:rFonts w:ascii="Times New Roman" w:eastAsia="MS Mincho" w:hAnsi="Times New Roman" w:cs="Times New Roman"/>
          <w:b/>
          <w:bCs/>
          <w:kern w:val="1"/>
          <w:sz w:val="24"/>
          <w:szCs w:val="24"/>
          <w:u w:val="single"/>
          <w:lang w:eastAsia="ar-SA"/>
        </w:rPr>
        <w:t>2</w:t>
      </w:r>
      <w:r w:rsidRPr="00EA3F99">
        <w:rPr>
          <w:rFonts w:ascii="Times New Roman" w:eastAsia="MS Mincho" w:hAnsi="Times New Roman" w:cs="Times New Roman"/>
          <w:b/>
          <w:bCs/>
          <w:kern w:val="1"/>
          <w:sz w:val="24"/>
          <w:szCs w:val="24"/>
          <w:u w:val="single"/>
          <w:lang w:eastAsia="ar-SA"/>
        </w:rPr>
        <w:t xml:space="preserve"> k zákonu č. 442/2012 Z.</w:t>
      </w:r>
      <w:r>
        <w:rPr>
          <w:rFonts w:ascii="Times New Roman" w:eastAsia="MS Mincho" w:hAnsi="Times New Roman" w:cs="Times New Roman"/>
          <w:b/>
          <w:bCs/>
          <w:kern w:val="1"/>
          <w:sz w:val="24"/>
          <w:szCs w:val="24"/>
          <w:u w:val="single"/>
          <w:lang w:eastAsia="ar-SA"/>
        </w:rPr>
        <w:t xml:space="preserve"> </w:t>
      </w:r>
      <w:r w:rsidRPr="00EA3F99">
        <w:rPr>
          <w:rFonts w:ascii="Times New Roman" w:eastAsia="MS Mincho" w:hAnsi="Times New Roman" w:cs="Times New Roman"/>
          <w:b/>
          <w:bCs/>
          <w:kern w:val="1"/>
          <w:sz w:val="24"/>
          <w:szCs w:val="24"/>
          <w:u w:val="single"/>
          <w:lang w:eastAsia="ar-SA"/>
        </w:rPr>
        <w:t>z.</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Pr="0099791E" w:rsidRDefault="0033092E" w:rsidP="0033092E">
      <w:pPr>
        <w:suppressAutoHyphens/>
        <w:spacing w:after="0" w:line="100" w:lineRule="atLeast"/>
        <w:jc w:val="both"/>
        <w:rPr>
          <w:rFonts w:ascii="Times New Roman" w:eastAsia="MS Mincho" w:hAnsi="Times New Roman" w:cs="Times New Roman"/>
          <w:bCs/>
          <w:kern w:val="1"/>
          <w:sz w:val="24"/>
          <w:szCs w:val="24"/>
          <w:lang w:eastAsia="ar-SA"/>
        </w:rPr>
      </w:pPr>
      <w:r w:rsidRPr="00F16B3C">
        <w:rPr>
          <w:rFonts w:ascii="Times New Roman" w:eastAsia="MS Mincho" w:hAnsi="Times New Roman" w:cs="Times New Roman"/>
          <w:bCs/>
          <w:kern w:val="1"/>
          <w:sz w:val="24"/>
          <w:szCs w:val="24"/>
          <w:lang w:eastAsia="ar-SA"/>
        </w:rPr>
        <w:t>Uvedeným bodom sa dopĺňa zoznam preberaných právne záväzných aktov Európskej únie o smernicu, ktorá je transponovaná týmto zákonom. Ide o Smernicu Rady (EÚ) 2018/822 z 25. mája 2018, ktorou sa mení smernica 2011/16/EÚ, pokiaľ ide o povinnú automatickú výmenu informácií v oblasti daní v súvislosti s cezhraničnými opatreniami podliehajúcimi oznamovani</w:t>
      </w:r>
      <w:r w:rsidRPr="0099791E">
        <w:rPr>
          <w:rFonts w:ascii="Times New Roman" w:eastAsia="MS Mincho" w:hAnsi="Times New Roman" w:cs="Times New Roman"/>
          <w:bCs/>
          <w:kern w:val="1"/>
          <w:sz w:val="24"/>
          <w:szCs w:val="24"/>
          <w:lang w:eastAsia="ar-SA"/>
        </w:rPr>
        <w:t>u a je v poradí siedmym preberaným právne záväzným aktom Európskej únie.</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Default="0033092E" w:rsidP="0033092E">
      <w:pPr>
        <w:suppressAutoHyphens/>
        <w:spacing w:after="0" w:line="100" w:lineRule="atLeast"/>
        <w:jc w:val="both"/>
        <w:rPr>
          <w:rFonts w:ascii="Calibri" w:eastAsia="Arial Unicode MS" w:hAnsi="Calibri" w:cs="font298"/>
          <w:kern w:val="1"/>
          <w:lang w:eastAsia="ar-SA"/>
        </w:rPr>
      </w:pPr>
    </w:p>
    <w:p w:rsidR="0033092E" w:rsidRDefault="0033092E" w:rsidP="0033092E">
      <w:pPr>
        <w:suppressAutoHyphens/>
        <w:spacing w:after="0" w:line="100" w:lineRule="atLeast"/>
        <w:jc w:val="both"/>
        <w:rPr>
          <w:rFonts w:ascii="Calibri" w:eastAsia="Arial Unicode MS" w:hAnsi="Calibri" w:cs="font298"/>
          <w:kern w:val="1"/>
          <w:lang w:eastAsia="ar-SA"/>
        </w:rPr>
      </w:pPr>
    </w:p>
    <w:p w:rsidR="0033092E" w:rsidRDefault="0033092E" w:rsidP="0033092E">
      <w:pPr>
        <w:suppressAutoHyphens/>
        <w:spacing w:after="0" w:line="100" w:lineRule="atLeast"/>
        <w:jc w:val="both"/>
        <w:rPr>
          <w:rFonts w:ascii="Calibri" w:eastAsia="Arial Unicode MS" w:hAnsi="Calibri" w:cs="font298"/>
          <w:kern w:val="1"/>
          <w:lang w:eastAsia="ar-SA"/>
        </w:rPr>
      </w:pP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lang w:eastAsia="ar-SA"/>
        </w:rPr>
      </w:pPr>
      <w:r w:rsidRPr="00EA3F99">
        <w:rPr>
          <w:rFonts w:ascii="Times New Roman" w:eastAsia="MS Mincho" w:hAnsi="Times New Roman" w:cs="Times New Roman"/>
          <w:b/>
          <w:bCs/>
          <w:kern w:val="1"/>
          <w:sz w:val="24"/>
          <w:szCs w:val="24"/>
          <w:lang w:eastAsia="ar-SA"/>
        </w:rPr>
        <w:t>K Čl. II</w:t>
      </w:r>
    </w:p>
    <w:p w:rsidR="0033092E" w:rsidRDefault="0033092E" w:rsidP="0033092E">
      <w:pPr>
        <w:suppressAutoHyphens/>
        <w:spacing w:after="0" w:line="100" w:lineRule="atLeast"/>
        <w:jc w:val="both"/>
        <w:rPr>
          <w:rFonts w:ascii="Calibri" w:eastAsia="Arial Unicode MS" w:hAnsi="Calibri" w:cs="font298"/>
          <w:kern w:val="1"/>
          <w:lang w:eastAsia="ar-SA"/>
        </w:rPr>
      </w:pPr>
    </w:p>
    <w:p w:rsidR="0033092E" w:rsidRPr="00080521" w:rsidRDefault="0033092E" w:rsidP="0033092E">
      <w:pPr>
        <w:suppressAutoHyphens/>
        <w:autoSpaceDE w:val="0"/>
        <w:jc w:val="both"/>
        <w:rPr>
          <w:rFonts w:ascii="Times New Roman" w:eastAsia="MS Mincho" w:hAnsi="Times New Roman" w:cs="Times New Roman"/>
          <w:bCs/>
          <w:kern w:val="1"/>
          <w:sz w:val="24"/>
          <w:szCs w:val="24"/>
          <w:lang w:eastAsia="ar-SA"/>
        </w:rPr>
      </w:pPr>
      <w:r w:rsidRPr="00080521">
        <w:rPr>
          <w:rFonts w:ascii="Times New Roman" w:eastAsia="MS Mincho" w:hAnsi="Times New Roman" w:cs="Times New Roman"/>
          <w:bCs/>
          <w:kern w:val="1"/>
          <w:sz w:val="24"/>
          <w:szCs w:val="24"/>
          <w:lang w:eastAsia="ar-SA"/>
        </w:rPr>
        <w:t>Ustanovenie novelizuje zákon č. 483/2001 Z. z. o bankách a o zmene a doplnení niektorých zákonov v znení neskorších predpisov, ktorým sa zakotvuje, že za porušenie bankového tajomstva sa nebude považovať poskytnutie informácií finančnou inštitúciou príslušnému orgánu Slovenskej republiky za účelom automatickej výmeny informácií o cezhraničných opatreniach podliehajúcich oznamovaniu podľa tohto zákona.</w:t>
      </w:r>
    </w:p>
    <w:p w:rsidR="0033092E" w:rsidRDefault="0033092E" w:rsidP="0033092E">
      <w:pPr>
        <w:suppressAutoHyphens/>
        <w:spacing w:after="0" w:line="100" w:lineRule="atLeast"/>
        <w:jc w:val="both"/>
        <w:rPr>
          <w:rFonts w:ascii="Times New Roman" w:eastAsia="MS Mincho" w:hAnsi="Times New Roman" w:cs="Times New Roman"/>
          <w:b/>
          <w:bCs/>
          <w:kern w:val="1"/>
          <w:sz w:val="24"/>
          <w:szCs w:val="24"/>
          <w:lang w:eastAsia="ar-SA"/>
        </w:rPr>
      </w:pPr>
    </w:p>
    <w:p w:rsidR="0033092E" w:rsidRPr="00EA3F99" w:rsidRDefault="0033092E" w:rsidP="0033092E">
      <w:pPr>
        <w:suppressAutoHyphens/>
        <w:spacing w:after="0" w:line="100" w:lineRule="atLeast"/>
        <w:jc w:val="both"/>
        <w:rPr>
          <w:rFonts w:ascii="Times New Roman" w:eastAsia="MS Mincho" w:hAnsi="Times New Roman" w:cs="Times New Roman"/>
          <w:b/>
          <w:bCs/>
          <w:kern w:val="1"/>
          <w:sz w:val="24"/>
          <w:szCs w:val="24"/>
          <w:lang w:eastAsia="ar-SA"/>
        </w:rPr>
      </w:pPr>
      <w:r w:rsidRPr="00EA3F99">
        <w:rPr>
          <w:rFonts w:ascii="Times New Roman" w:eastAsia="MS Mincho" w:hAnsi="Times New Roman" w:cs="Times New Roman"/>
          <w:b/>
          <w:bCs/>
          <w:kern w:val="1"/>
          <w:sz w:val="24"/>
          <w:szCs w:val="24"/>
          <w:lang w:eastAsia="ar-SA"/>
        </w:rPr>
        <w:t>K Čl. II</w:t>
      </w:r>
      <w:r>
        <w:rPr>
          <w:rFonts w:ascii="Times New Roman" w:eastAsia="MS Mincho" w:hAnsi="Times New Roman" w:cs="Times New Roman"/>
          <w:b/>
          <w:bCs/>
          <w:kern w:val="1"/>
          <w:sz w:val="24"/>
          <w:szCs w:val="24"/>
          <w:lang w:eastAsia="ar-SA"/>
        </w:rPr>
        <w:t>I</w:t>
      </w:r>
    </w:p>
    <w:p w:rsidR="0033092E" w:rsidRPr="00EA3F99" w:rsidRDefault="0033092E" w:rsidP="0033092E">
      <w:pPr>
        <w:suppressAutoHyphens/>
        <w:spacing w:after="0" w:line="100" w:lineRule="atLeast"/>
        <w:jc w:val="both"/>
        <w:rPr>
          <w:rFonts w:ascii="Calibri" w:eastAsia="Arial Unicode MS" w:hAnsi="Calibri" w:cs="font298"/>
          <w:kern w:val="1"/>
          <w:lang w:eastAsia="ar-SA"/>
        </w:rPr>
      </w:pPr>
    </w:p>
    <w:p w:rsidR="0033092E" w:rsidRPr="00EA3F99" w:rsidRDefault="0033092E" w:rsidP="0033092E">
      <w:pPr>
        <w:suppressAutoHyphens/>
        <w:spacing w:after="120" w:line="100" w:lineRule="atLeast"/>
        <w:jc w:val="both"/>
        <w:rPr>
          <w:rFonts w:ascii="Times New Roman" w:eastAsia="ArialNarrow" w:hAnsi="Times New Roman" w:cs="ArialNarrow"/>
          <w:b/>
          <w:bCs/>
          <w:kern w:val="1"/>
          <w:sz w:val="24"/>
          <w:szCs w:val="24"/>
          <w:u w:val="single"/>
          <w:lang w:eastAsia="ar-SA"/>
        </w:rPr>
      </w:pPr>
      <w:r w:rsidRPr="00EA3F99">
        <w:rPr>
          <w:rFonts w:ascii="Times New Roman" w:eastAsia="ArialNarrow" w:hAnsi="Times New Roman" w:cs="ArialNarrow"/>
          <w:b/>
          <w:bCs/>
          <w:kern w:val="1"/>
          <w:sz w:val="24"/>
          <w:szCs w:val="24"/>
          <w:u w:val="single"/>
          <w:lang w:eastAsia="ar-SA"/>
        </w:rPr>
        <w:t>K bodu 1</w:t>
      </w:r>
      <w:r>
        <w:rPr>
          <w:rFonts w:ascii="Times New Roman" w:eastAsia="ArialNarrow" w:hAnsi="Times New Roman" w:cs="ArialNarrow"/>
          <w:b/>
          <w:bCs/>
          <w:kern w:val="1"/>
          <w:sz w:val="24"/>
          <w:szCs w:val="24"/>
          <w:u w:val="single"/>
          <w:lang w:eastAsia="ar-SA"/>
        </w:rPr>
        <w:t xml:space="preserve"> - § 3 ods. 2 písm. c)</w:t>
      </w:r>
    </w:p>
    <w:p w:rsidR="0033092E" w:rsidRPr="00EA3F99" w:rsidRDefault="0033092E" w:rsidP="0033092E">
      <w:pPr>
        <w:suppressAutoHyphens/>
        <w:autoSpaceDE w:val="0"/>
        <w:spacing w:after="120"/>
        <w:jc w:val="both"/>
        <w:rPr>
          <w:rFonts w:ascii="Times New Roman" w:eastAsia="ArialNarrow" w:hAnsi="Times New Roman" w:cs="ArialNarrow"/>
          <w:kern w:val="1"/>
          <w:sz w:val="24"/>
          <w:szCs w:val="24"/>
          <w:lang w:eastAsia="ar-SA"/>
        </w:rPr>
      </w:pPr>
      <w:r w:rsidRPr="00EA3F99">
        <w:rPr>
          <w:rFonts w:ascii="Times New Roman" w:eastAsia="ArialNarrow" w:hAnsi="Times New Roman" w:cs="ArialNarrow"/>
          <w:kern w:val="1"/>
          <w:sz w:val="24"/>
          <w:szCs w:val="24"/>
          <w:lang w:eastAsia="ar-SA"/>
        </w:rPr>
        <w:t>Doplnenie definície investičného subjektu sa navrhuje z dôvodu z</w:t>
      </w:r>
      <w:r>
        <w:rPr>
          <w:rFonts w:ascii="Times New Roman" w:eastAsia="ArialNarrow" w:hAnsi="Times New Roman" w:cs="ArialNarrow"/>
          <w:kern w:val="1"/>
          <w:sz w:val="24"/>
          <w:szCs w:val="24"/>
          <w:lang w:eastAsia="ar-SA"/>
        </w:rPr>
        <w:t>osúladenia</w:t>
      </w:r>
      <w:r w:rsidRPr="00EA3F99">
        <w:rPr>
          <w:rFonts w:ascii="Times New Roman" w:eastAsia="ArialNarrow" w:hAnsi="Times New Roman" w:cs="ArialNarrow"/>
          <w:kern w:val="1"/>
          <w:sz w:val="24"/>
          <w:szCs w:val="24"/>
          <w:lang w:eastAsia="ar-SA"/>
        </w:rPr>
        <w:t xml:space="preserve"> </w:t>
      </w:r>
      <w:r>
        <w:rPr>
          <w:rFonts w:ascii="Times New Roman" w:eastAsia="ArialNarrow" w:hAnsi="Times New Roman" w:cs="ArialNarrow"/>
          <w:kern w:val="1"/>
          <w:sz w:val="24"/>
          <w:szCs w:val="24"/>
          <w:lang w:eastAsia="ar-SA"/>
        </w:rPr>
        <w:t>interpretácie investičného subjektu s interpretáciu finančnej inštitúcie</w:t>
      </w:r>
      <w:r w:rsidRPr="00EA3F99">
        <w:rPr>
          <w:rFonts w:ascii="Times New Roman" w:eastAsia="ArialNarrow" w:hAnsi="Times New Roman" w:cs="ArialNarrow"/>
          <w:kern w:val="1"/>
          <w:sz w:val="24"/>
          <w:szCs w:val="24"/>
          <w:lang w:eastAsia="ar-SA"/>
        </w:rPr>
        <w:t xml:space="preserve"> </w:t>
      </w:r>
      <w:r>
        <w:rPr>
          <w:rFonts w:ascii="Times New Roman" w:eastAsia="ArialNarrow" w:hAnsi="Times New Roman" w:cs="ArialNarrow"/>
          <w:kern w:val="1"/>
          <w:sz w:val="24"/>
          <w:szCs w:val="24"/>
          <w:lang w:eastAsia="ar-SA"/>
        </w:rPr>
        <w:t>podľa Odporúčaní a</w:t>
      </w:r>
      <w:r w:rsidRPr="00EA3F99">
        <w:rPr>
          <w:rFonts w:ascii="Times New Roman" w:eastAsia="ArialNarrow" w:hAnsi="Times New Roman" w:cs="ArialNarrow"/>
          <w:kern w:val="1"/>
          <w:sz w:val="24"/>
          <w:szCs w:val="24"/>
          <w:lang w:eastAsia="ar-SA"/>
        </w:rPr>
        <w:t> medzinárodný</w:t>
      </w:r>
      <w:r>
        <w:rPr>
          <w:rFonts w:ascii="Times New Roman" w:eastAsia="ArialNarrow" w:hAnsi="Times New Roman" w:cs="ArialNarrow"/>
          <w:kern w:val="1"/>
          <w:sz w:val="24"/>
          <w:szCs w:val="24"/>
          <w:lang w:eastAsia="ar-SA"/>
        </w:rPr>
        <w:t>ch</w:t>
      </w:r>
      <w:r w:rsidRPr="00EA3F99">
        <w:rPr>
          <w:rFonts w:ascii="Times New Roman" w:eastAsia="ArialNarrow" w:hAnsi="Times New Roman" w:cs="ArialNarrow"/>
          <w:kern w:val="1"/>
          <w:sz w:val="24"/>
          <w:szCs w:val="24"/>
          <w:lang w:eastAsia="ar-SA"/>
        </w:rPr>
        <w:t xml:space="preserve"> štandard</w:t>
      </w:r>
      <w:r>
        <w:rPr>
          <w:rFonts w:ascii="Times New Roman" w:eastAsia="ArialNarrow" w:hAnsi="Times New Roman" w:cs="ArialNarrow"/>
          <w:kern w:val="1"/>
          <w:sz w:val="24"/>
          <w:szCs w:val="24"/>
          <w:lang w:eastAsia="ar-SA"/>
        </w:rPr>
        <w:t>ov</w:t>
      </w:r>
      <w:r w:rsidRPr="00EA3F99">
        <w:rPr>
          <w:rFonts w:ascii="Times New Roman" w:eastAsia="ArialNarrow" w:hAnsi="Times New Roman" w:cs="ArialNarrow"/>
          <w:kern w:val="1"/>
          <w:sz w:val="24"/>
          <w:szCs w:val="24"/>
          <w:lang w:eastAsia="ar-SA"/>
        </w:rPr>
        <w:t xml:space="preserve"> v oblasti boja proti legalizácii príjmov z trestnej činnosti a o ochrane pred financovaním terorizmu (odporúčania </w:t>
      </w:r>
      <w:r>
        <w:rPr>
          <w:rFonts w:ascii="Times New Roman" w:eastAsia="ArialNarrow" w:hAnsi="Times New Roman" w:cs="ArialNarrow"/>
          <w:kern w:val="1"/>
          <w:sz w:val="24"/>
          <w:szCs w:val="24"/>
          <w:lang w:eastAsia="ar-SA"/>
        </w:rPr>
        <w:t>medzivládnej inštitúcie F</w:t>
      </w:r>
      <w:r w:rsidRPr="00EA3F99">
        <w:rPr>
          <w:rFonts w:ascii="Times New Roman" w:eastAsia="ArialNarrow" w:hAnsi="Times New Roman" w:cs="ArialNarrow"/>
          <w:kern w:val="1"/>
          <w:sz w:val="24"/>
          <w:szCs w:val="24"/>
          <w:lang w:eastAsia="ar-SA"/>
        </w:rPr>
        <w:t>inančnej</w:t>
      </w:r>
      <w:r>
        <w:rPr>
          <w:rFonts w:ascii="Times New Roman" w:eastAsia="ArialNarrow" w:hAnsi="Times New Roman" w:cs="ArialNarrow"/>
          <w:kern w:val="1"/>
          <w:sz w:val="24"/>
          <w:szCs w:val="24"/>
          <w:lang w:eastAsia="ar-SA"/>
        </w:rPr>
        <w:t xml:space="preserve"> akčnej</w:t>
      </w:r>
      <w:r w:rsidRPr="00EA3F99">
        <w:rPr>
          <w:rFonts w:ascii="Times New Roman" w:eastAsia="ArialNarrow" w:hAnsi="Times New Roman" w:cs="ArialNarrow"/>
          <w:kern w:val="1"/>
          <w:sz w:val="24"/>
          <w:szCs w:val="24"/>
          <w:lang w:eastAsia="ar-SA"/>
        </w:rPr>
        <w:t xml:space="preserve"> skupiny (FATF)). </w:t>
      </w:r>
    </w:p>
    <w:p w:rsidR="0033092E" w:rsidRPr="00EA3F99" w:rsidRDefault="0033092E" w:rsidP="0033092E">
      <w:pPr>
        <w:suppressAutoHyphens/>
        <w:autoSpaceDE w:val="0"/>
        <w:jc w:val="both"/>
        <w:rPr>
          <w:rFonts w:ascii="Times New Roman" w:eastAsia="ArialNarrow" w:hAnsi="Times New Roman" w:cs="ArialNarrow"/>
          <w:kern w:val="1"/>
          <w:sz w:val="24"/>
          <w:szCs w:val="24"/>
          <w:lang w:eastAsia="ar-SA"/>
        </w:rPr>
      </w:pPr>
    </w:p>
    <w:p w:rsidR="0033092E" w:rsidRPr="00EA3F99" w:rsidRDefault="0033092E" w:rsidP="0033092E">
      <w:pPr>
        <w:suppressAutoHyphens/>
        <w:autoSpaceDE w:val="0"/>
        <w:jc w:val="both"/>
        <w:rPr>
          <w:rFonts w:ascii="Times New Roman" w:eastAsia="ArialNarrow" w:hAnsi="Times New Roman" w:cs="ArialNarrow"/>
          <w:b/>
          <w:bCs/>
          <w:kern w:val="1"/>
          <w:sz w:val="24"/>
          <w:szCs w:val="24"/>
          <w:u w:val="single"/>
          <w:lang w:eastAsia="ar-SA"/>
        </w:rPr>
      </w:pPr>
      <w:r w:rsidRPr="00EA3F99">
        <w:rPr>
          <w:rFonts w:ascii="Times New Roman" w:eastAsia="ArialNarrow" w:hAnsi="Times New Roman" w:cs="ArialNarrow"/>
          <w:b/>
          <w:bCs/>
          <w:kern w:val="1"/>
          <w:sz w:val="24"/>
          <w:szCs w:val="24"/>
          <w:u w:val="single"/>
          <w:lang w:eastAsia="ar-SA"/>
        </w:rPr>
        <w:t>K bodu 2</w:t>
      </w:r>
      <w:r>
        <w:rPr>
          <w:rFonts w:ascii="Times New Roman" w:eastAsia="ArialNarrow" w:hAnsi="Times New Roman" w:cs="ArialNarrow"/>
          <w:b/>
          <w:bCs/>
          <w:kern w:val="1"/>
          <w:sz w:val="24"/>
          <w:szCs w:val="24"/>
          <w:u w:val="single"/>
          <w:lang w:eastAsia="ar-SA"/>
        </w:rPr>
        <w:t xml:space="preserve"> - § 8 ods. 2 písm. a)</w:t>
      </w:r>
    </w:p>
    <w:p w:rsidR="0033092E" w:rsidRPr="00BC6EFF" w:rsidRDefault="0033092E" w:rsidP="0033092E">
      <w:pPr>
        <w:suppressAutoHyphens/>
        <w:autoSpaceDE w:val="0"/>
        <w:jc w:val="both"/>
        <w:rPr>
          <w:rFonts w:ascii="Times New Roman" w:eastAsia="MS Mincho" w:hAnsi="Times New Roman" w:cs="Times New Roman"/>
          <w:bCs/>
          <w:kern w:val="1"/>
          <w:sz w:val="24"/>
          <w:szCs w:val="24"/>
          <w:lang w:eastAsia="ar-SA"/>
        </w:rPr>
      </w:pPr>
      <w:r w:rsidRPr="00BC6EFF">
        <w:rPr>
          <w:rFonts w:ascii="Times New Roman" w:eastAsia="MS Mincho" w:hAnsi="Times New Roman" w:cs="Times New Roman"/>
          <w:bCs/>
          <w:kern w:val="1"/>
          <w:sz w:val="24"/>
          <w:szCs w:val="24"/>
          <w:lang w:eastAsia="ar-SA"/>
        </w:rPr>
        <w:t>Navrhovaná zmena súvisí so zabezpečením plného súladu so znením spoločného štandardu oznamovania (CRS), ktorý neumožňuje alternatívu k adrese bydliska. Alternatívne znenie by mohlo viesť k rozdielnemu posúdeniu rezidencie na daňové účely.</w:t>
      </w:r>
    </w:p>
    <w:p w:rsidR="0033092E" w:rsidRPr="00EA3F99" w:rsidRDefault="0033092E" w:rsidP="0033092E">
      <w:pPr>
        <w:suppressAutoHyphens/>
        <w:autoSpaceDE w:val="0"/>
        <w:jc w:val="both"/>
        <w:rPr>
          <w:rFonts w:ascii="Times New Roman" w:eastAsia="ArialNarrow" w:hAnsi="Times New Roman" w:cs="ArialNarrow"/>
          <w:kern w:val="1"/>
          <w:sz w:val="24"/>
          <w:szCs w:val="24"/>
          <w:lang w:eastAsia="ar-SA"/>
        </w:rPr>
      </w:pPr>
    </w:p>
    <w:p w:rsidR="0033092E" w:rsidRPr="00EA3F99" w:rsidRDefault="0033092E" w:rsidP="0033092E">
      <w:pPr>
        <w:suppressAutoHyphens/>
        <w:autoSpaceDE w:val="0"/>
        <w:jc w:val="both"/>
        <w:rPr>
          <w:rFonts w:ascii="Times New Roman" w:eastAsia="ArialNarrow" w:hAnsi="Times New Roman" w:cs="ArialNarrow"/>
          <w:b/>
          <w:bCs/>
          <w:kern w:val="1"/>
          <w:sz w:val="24"/>
          <w:szCs w:val="24"/>
          <w:u w:val="single"/>
          <w:lang w:eastAsia="ar-SA"/>
        </w:rPr>
      </w:pPr>
      <w:r w:rsidRPr="00EA3F99">
        <w:rPr>
          <w:rFonts w:ascii="Times New Roman" w:eastAsia="ArialNarrow" w:hAnsi="Times New Roman" w:cs="ArialNarrow"/>
          <w:b/>
          <w:bCs/>
          <w:kern w:val="1"/>
          <w:sz w:val="24"/>
          <w:szCs w:val="24"/>
          <w:u w:val="single"/>
          <w:lang w:eastAsia="ar-SA"/>
        </w:rPr>
        <w:t>K bodu 3 a</w:t>
      </w:r>
      <w:r>
        <w:rPr>
          <w:rFonts w:ascii="Times New Roman" w:eastAsia="ArialNarrow" w:hAnsi="Times New Roman" w:cs="ArialNarrow"/>
          <w:b/>
          <w:bCs/>
          <w:kern w:val="1"/>
          <w:sz w:val="24"/>
          <w:szCs w:val="24"/>
          <w:u w:val="single"/>
          <w:lang w:eastAsia="ar-SA"/>
        </w:rPr>
        <w:t> </w:t>
      </w:r>
      <w:r w:rsidRPr="00EA3F99">
        <w:rPr>
          <w:rFonts w:ascii="Times New Roman" w:eastAsia="ArialNarrow" w:hAnsi="Times New Roman" w:cs="ArialNarrow"/>
          <w:b/>
          <w:bCs/>
          <w:kern w:val="1"/>
          <w:sz w:val="24"/>
          <w:szCs w:val="24"/>
          <w:u w:val="single"/>
          <w:lang w:eastAsia="ar-SA"/>
        </w:rPr>
        <w:t>4</w:t>
      </w:r>
      <w:r>
        <w:rPr>
          <w:rFonts w:ascii="Times New Roman" w:eastAsia="ArialNarrow" w:hAnsi="Times New Roman" w:cs="ArialNarrow"/>
          <w:b/>
          <w:bCs/>
          <w:kern w:val="1"/>
          <w:sz w:val="24"/>
          <w:szCs w:val="24"/>
          <w:u w:val="single"/>
          <w:lang w:eastAsia="ar-SA"/>
        </w:rPr>
        <w:t xml:space="preserve"> - § 8 ods. 2  písm. a) a písm. b)</w:t>
      </w:r>
    </w:p>
    <w:p w:rsidR="0033092E" w:rsidRDefault="0033092E" w:rsidP="0033092E">
      <w:pPr>
        <w:suppressAutoHyphens/>
        <w:autoSpaceDE w:val="0"/>
        <w:jc w:val="both"/>
        <w:rPr>
          <w:rFonts w:ascii="Times New Roman" w:eastAsia="ArialNarrow" w:hAnsi="Times New Roman" w:cs="ArialNarrow"/>
          <w:kern w:val="1"/>
          <w:sz w:val="24"/>
          <w:szCs w:val="24"/>
          <w:lang w:eastAsia="ar-SA"/>
        </w:rPr>
      </w:pPr>
      <w:r w:rsidRPr="00EA3F99">
        <w:rPr>
          <w:rFonts w:ascii="Times New Roman" w:eastAsia="ArialNarrow" w:hAnsi="Times New Roman" w:cs="ArialNarrow"/>
          <w:kern w:val="1"/>
          <w:sz w:val="24"/>
          <w:szCs w:val="24"/>
          <w:lang w:eastAsia="ar-SA"/>
        </w:rPr>
        <w:t xml:space="preserve">Navrhovaná zmena zabezpečuje plný súlad so znením spoločného štandardu oznamovania (CRS), konkrétne zoznamom informácií, ktoré má povinnosť finančná inštitúcia získavať. Štát rezidencie na daňové účely sa zaraďuje medzi povinné informácie. </w:t>
      </w:r>
    </w:p>
    <w:p w:rsidR="0033092E" w:rsidRDefault="0033092E" w:rsidP="0033092E">
      <w:pPr>
        <w:suppressAutoHyphens/>
        <w:autoSpaceDE w:val="0"/>
        <w:jc w:val="both"/>
        <w:rPr>
          <w:rFonts w:ascii="Times New Roman" w:eastAsia="ArialNarrow" w:hAnsi="Times New Roman" w:cs="ArialNarrow"/>
          <w:kern w:val="1"/>
          <w:sz w:val="24"/>
          <w:szCs w:val="24"/>
          <w:lang w:eastAsia="ar-SA"/>
        </w:rPr>
      </w:pPr>
    </w:p>
    <w:p w:rsidR="0033092E" w:rsidRPr="0024381D" w:rsidRDefault="0033092E" w:rsidP="0033092E">
      <w:pPr>
        <w:suppressAutoHyphens/>
        <w:autoSpaceDE w:val="0"/>
        <w:jc w:val="both"/>
        <w:rPr>
          <w:rFonts w:ascii="Times New Roman" w:eastAsia="ArialNarrow" w:hAnsi="Times New Roman" w:cs="ArialNarrow"/>
          <w:b/>
          <w:kern w:val="1"/>
          <w:sz w:val="24"/>
          <w:szCs w:val="24"/>
          <w:u w:val="single"/>
          <w:lang w:eastAsia="ar-SA"/>
        </w:rPr>
      </w:pPr>
      <w:r w:rsidRPr="0024381D">
        <w:rPr>
          <w:rFonts w:ascii="Times New Roman" w:eastAsia="ArialNarrow" w:hAnsi="Times New Roman" w:cs="ArialNarrow"/>
          <w:b/>
          <w:kern w:val="1"/>
          <w:sz w:val="24"/>
          <w:szCs w:val="24"/>
          <w:u w:val="single"/>
          <w:lang w:eastAsia="ar-SA"/>
        </w:rPr>
        <w:t>K bodu 5 a</w:t>
      </w:r>
      <w:r>
        <w:rPr>
          <w:rFonts w:ascii="Times New Roman" w:eastAsia="ArialNarrow" w:hAnsi="Times New Roman" w:cs="ArialNarrow"/>
          <w:b/>
          <w:kern w:val="1"/>
          <w:sz w:val="24"/>
          <w:szCs w:val="24"/>
          <w:u w:val="single"/>
          <w:lang w:eastAsia="ar-SA"/>
        </w:rPr>
        <w:t> </w:t>
      </w:r>
      <w:r w:rsidRPr="0024381D">
        <w:rPr>
          <w:rFonts w:ascii="Times New Roman" w:eastAsia="ArialNarrow" w:hAnsi="Times New Roman" w:cs="ArialNarrow"/>
          <w:b/>
          <w:kern w:val="1"/>
          <w:sz w:val="24"/>
          <w:szCs w:val="24"/>
          <w:u w:val="single"/>
          <w:lang w:eastAsia="ar-SA"/>
        </w:rPr>
        <w:t>8</w:t>
      </w:r>
      <w:r>
        <w:rPr>
          <w:rFonts w:ascii="Times New Roman" w:eastAsia="ArialNarrow" w:hAnsi="Times New Roman" w:cs="ArialNarrow"/>
          <w:b/>
          <w:kern w:val="1"/>
          <w:sz w:val="24"/>
          <w:szCs w:val="24"/>
          <w:u w:val="single"/>
          <w:lang w:eastAsia="ar-SA"/>
        </w:rPr>
        <w:t xml:space="preserve"> - § 9 a § 14</w:t>
      </w:r>
    </w:p>
    <w:p w:rsidR="0033092E" w:rsidRPr="005C24E9" w:rsidRDefault="0033092E" w:rsidP="0033092E">
      <w:pPr>
        <w:suppressAutoHyphens/>
        <w:autoSpaceDE w:val="0"/>
        <w:jc w:val="both"/>
        <w:rPr>
          <w:rFonts w:ascii="Times New Roman" w:eastAsia="ArialNarrow" w:hAnsi="Times New Roman" w:cs="ArialNarrow"/>
          <w:kern w:val="1"/>
          <w:sz w:val="24"/>
          <w:szCs w:val="24"/>
          <w:lang w:eastAsia="ar-SA"/>
        </w:rPr>
      </w:pPr>
      <w:r w:rsidRPr="0024381D">
        <w:rPr>
          <w:rFonts w:ascii="Times New Roman" w:eastAsia="ArialNarrow" w:hAnsi="Times New Roman" w:cs="ArialNarrow"/>
          <w:kern w:val="1"/>
          <w:sz w:val="24"/>
          <w:szCs w:val="24"/>
          <w:lang w:eastAsia="ar-SA"/>
        </w:rPr>
        <w:t xml:space="preserve">Navrhované ustanovenia vyplývajú z doterajších skúseností aplikačnej praxe a upravujú situáciu, keď dôjde k zániku alebo zrušeniu oznamujúcej finančnej inštitúcie. Navrhovanými ustanoveniami sa zabezpečuje splnenie povinností vyplývajúcich zo zákona č. 359/2015 Z. z., a to oznámením príslušných informácií zo strany zanikajúcej finančnej inštitúcie alebo jej </w:t>
      </w:r>
      <w:r>
        <w:rPr>
          <w:rFonts w:ascii="Times New Roman" w:eastAsia="ArialNarrow" w:hAnsi="Times New Roman" w:cs="ArialNarrow"/>
          <w:kern w:val="1"/>
          <w:sz w:val="24"/>
          <w:szCs w:val="24"/>
          <w:lang w:eastAsia="ar-SA"/>
        </w:rPr>
        <w:t xml:space="preserve">právneho zástupcu, právneho </w:t>
      </w:r>
      <w:r w:rsidRPr="0024381D">
        <w:rPr>
          <w:rFonts w:ascii="Times New Roman" w:eastAsia="ArialNarrow" w:hAnsi="Times New Roman" w:cs="ArialNarrow"/>
          <w:kern w:val="1"/>
          <w:sz w:val="24"/>
          <w:szCs w:val="24"/>
          <w:lang w:eastAsia="ar-SA"/>
        </w:rPr>
        <w:t xml:space="preserve">nástupcu do 30. júna kalendárneho roka nasledujúceho po roku, za ktorý sa plní oznamovacia povinnosť. </w:t>
      </w:r>
    </w:p>
    <w:p w:rsidR="0033092E" w:rsidRDefault="0033092E" w:rsidP="0033092E">
      <w:pPr>
        <w:suppressAutoHyphens/>
        <w:autoSpaceDE w:val="0"/>
        <w:jc w:val="both"/>
        <w:rPr>
          <w:rFonts w:ascii="Times New Roman" w:eastAsia="ArialNarrow" w:hAnsi="Times New Roman" w:cs="ArialNarrow"/>
          <w:b/>
          <w:kern w:val="1"/>
          <w:sz w:val="24"/>
          <w:szCs w:val="24"/>
          <w:u w:val="single"/>
          <w:lang w:eastAsia="ar-SA"/>
        </w:rPr>
      </w:pPr>
    </w:p>
    <w:p w:rsidR="0033092E" w:rsidRPr="0024381D" w:rsidRDefault="0033092E" w:rsidP="0033092E">
      <w:pPr>
        <w:suppressAutoHyphens/>
        <w:autoSpaceDE w:val="0"/>
        <w:jc w:val="both"/>
        <w:rPr>
          <w:rFonts w:ascii="Times New Roman" w:eastAsia="ArialNarrow" w:hAnsi="Times New Roman" w:cs="ArialNarrow"/>
          <w:b/>
          <w:kern w:val="1"/>
          <w:sz w:val="24"/>
          <w:szCs w:val="24"/>
          <w:u w:val="single"/>
          <w:lang w:eastAsia="ar-SA"/>
        </w:rPr>
      </w:pPr>
      <w:r w:rsidRPr="0024381D">
        <w:rPr>
          <w:rFonts w:ascii="Times New Roman" w:eastAsia="ArialNarrow" w:hAnsi="Times New Roman" w:cs="ArialNarrow"/>
          <w:b/>
          <w:kern w:val="1"/>
          <w:sz w:val="24"/>
          <w:szCs w:val="24"/>
          <w:u w:val="single"/>
          <w:lang w:eastAsia="ar-SA"/>
        </w:rPr>
        <w:t>K bodu 6</w:t>
      </w:r>
      <w:r>
        <w:rPr>
          <w:rFonts w:ascii="Times New Roman" w:eastAsia="ArialNarrow" w:hAnsi="Times New Roman" w:cs="ArialNarrow"/>
          <w:b/>
          <w:kern w:val="1"/>
          <w:sz w:val="24"/>
          <w:szCs w:val="24"/>
          <w:u w:val="single"/>
          <w:lang w:eastAsia="ar-SA"/>
        </w:rPr>
        <w:t xml:space="preserve"> - § 11</w:t>
      </w:r>
    </w:p>
    <w:p w:rsidR="0033092E" w:rsidRPr="005C24E9" w:rsidRDefault="0033092E" w:rsidP="0033092E">
      <w:pPr>
        <w:suppressAutoHyphens/>
        <w:autoSpaceDE w:val="0"/>
        <w:jc w:val="both"/>
        <w:rPr>
          <w:rFonts w:ascii="Times New Roman" w:eastAsia="ArialNarrow" w:hAnsi="Times New Roman" w:cs="ArialNarrow"/>
          <w:kern w:val="1"/>
          <w:sz w:val="24"/>
          <w:szCs w:val="24"/>
          <w:lang w:eastAsia="ar-SA"/>
        </w:rPr>
      </w:pPr>
      <w:r w:rsidRPr="0024381D">
        <w:rPr>
          <w:rFonts w:ascii="Times New Roman" w:eastAsia="ArialNarrow" w:hAnsi="Times New Roman" w:cs="ArialNarrow"/>
          <w:kern w:val="1"/>
          <w:sz w:val="24"/>
          <w:szCs w:val="24"/>
          <w:lang w:eastAsia="ar-SA"/>
        </w:rPr>
        <w:t xml:space="preserve">Navrhované ustanovenie taktiež vyplýva z aplikačnej praxe a zabezpečuje informovanosť príslušného orgánu SR o zrušení GIIN čísla v prípade zrušenia alebo zániku činnosti oznamujúcej </w:t>
      </w:r>
      <w:r>
        <w:rPr>
          <w:rFonts w:ascii="Times New Roman" w:eastAsia="ArialNarrow" w:hAnsi="Times New Roman" w:cs="ArialNarrow"/>
          <w:kern w:val="1"/>
          <w:sz w:val="24"/>
          <w:szCs w:val="24"/>
          <w:lang w:eastAsia="ar-SA"/>
        </w:rPr>
        <w:t xml:space="preserve">alebo neoznamujúcej </w:t>
      </w:r>
      <w:r w:rsidRPr="0024381D">
        <w:rPr>
          <w:rFonts w:ascii="Times New Roman" w:eastAsia="ArialNarrow" w:hAnsi="Times New Roman" w:cs="ArialNarrow"/>
          <w:kern w:val="1"/>
          <w:sz w:val="24"/>
          <w:szCs w:val="24"/>
          <w:lang w:eastAsia="ar-SA"/>
        </w:rPr>
        <w:t xml:space="preserve">finančnej inštitúcie. </w:t>
      </w:r>
    </w:p>
    <w:p w:rsidR="0033092E" w:rsidRDefault="0033092E" w:rsidP="0033092E">
      <w:pPr>
        <w:suppressAutoHyphens/>
        <w:autoSpaceDE w:val="0"/>
        <w:jc w:val="both"/>
        <w:rPr>
          <w:rFonts w:ascii="Times New Roman" w:eastAsia="ArialNarrow" w:hAnsi="Times New Roman" w:cs="ArialNarrow"/>
          <w:kern w:val="1"/>
          <w:sz w:val="24"/>
          <w:szCs w:val="24"/>
          <w:lang w:eastAsia="ar-SA"/>
        </w:rPr>
      </w:pPr>
    </w:p>
    <w:p w:rsidR="0033092E" w:rsidRDefault="0033092E" w:rsidP="0033092E">
      <w:pPr>
        <w:suppressAutoHyphens/>
        <w:autoSpaceDE w:val="0"/>
        <w:spacing w:after="120"/>
        <w:jc w:val="both"/>
        <w:rPr>
          <w:rFonts w:ascii="Times New Roman" w:eastAsia="ArialNarrow" w:hAnsi="Times New Roman" w:cs="ArialNarrow"/>
          <w:kern w:val="1"/>
          <w:sz w:val="24"/>
          <w:szCs w:val="24"/>
          <w:lang w:eastAsia="ar-SA"/>
        </w:rPr>
      </w:pPr>
      <w:r w:rsidRPr="00BC6EFF">
        <w:rPr>
          <w:rFonts w:ascii="Times New Roman" w:eastAsia="ArialNarrow" w:hAnsi="Times New Roman" w:cs="ArialNarrow"/>
          <w:b/>
          <w:kern w:val="1"/>
          <w:sz w:val="24"/>
          <w:szCs w:val="24"/>
          <w:u w:val="single"/>
          <w:lang w:eastAsia="ar-SA"/>
        </w:rPr>
        <w:t>K bodu 7</w:t>
      </w:r>
      <w:r>
        <w:rPr>
          <w:rFonts w:ascii="Times New Roman" w:eastAsia="ArialNarrow" w:hAnsi="Times New Roman" w:cs="ArialNarrow"/>
          <w:b/>
          <w:kern w:val="1"/>
          <w:sz w:val="24"/>
          <w:szCs w:val="24"/>
          <w:u w:val="single"/>
          <w:lang w:eastAsia="ar-SA"/>
        </w:rPr>
        <w:t xml:space="preserve"> - § 14 ods. 2</w:t>
      </w:r>
    </w:p>
    <w:p w:rsidR="0033092E" w:rsidRPr="00EA3F99" w:rsidRDefault="0033092E" w:rsidP="0033092E">
      <w:pPr>
        <w:suppressAutoHyphens/>
        <w:autoSpaceDE w:val="0"/>
        <w:spacing w:after="120"/>
        <w:jc w:val="both"/>
        <w:rPr>
          <w:rFonts w:ascii="Times New Roman" w:eastAsia="ArialNarrow" w:hAnsi="Times New Roman" w:cs="ArialNarrow"/>
          <w:kern w:val="1"/>
          <w:sz w:val="24"/>
          <w:szCs w:val="24"/>
          <w:lang w:eastAsia="ar-SA"/>
        </w:rPr>
      </w:pPr>
      <w:r w:rsidRPr="0024381D">
        <w:rPr>
          <w:rFonts w:ascii="Times New Roman" w:eastAsia="ArialNarrow" w:hAnsi="Times New Roman" w:cs="ArialNarrow"/>
          <w:kern w:val="1"/>
          <w:sz w:val="24"/>
          <w:szCs w:val="24"/>
          <w:lang w:eastAsia="ar-SA"/>
        </w:rPr>
        <w:t xml:space="preserve">Navrhované doplnenie vyplýva zo skúseností aplikačnej praxe. </w:t>
      </w:r>
    </w:p>
    <w:p w:rsidR="0033092E" w:rsidRDefault="0033092E" w:rsidP="0033092E">
      <w:pPr>
        <w:suppressAutoHyphens/>
        <w:autoSpaceDE w:val="0"/>
        <w:spacing w:after="0"/>
        <w:jc w:val="both"/>
        <w:rPr>
          <w:rFonts w:ascii="Times New Roman" w:eastAsia="ArialNarrow" w:hAnsi="Times New Roman" w:cs="ArialNarrow"/>
          <w:b/>
          <w:bCs/>
          <w:kern w:val="1"/>
          <w:sz w:val="24"/>
          <w:szCs w:val="24"/>
          <w:u w:val="single"/>
          <w:lang w:eastAsia="ar-SA"/>
        </w:rPr>
      </w:pPr>
    </w:p>
    <w:p w:rsidR="0033092E" w:rsidRPr="00EA3F99" w:rsidRDefault="0033092E" w:rsidP="0033092E">
      <w:pPr>
        <w:suppressAutoHyphens/>
        <w:autoSpaceDE w:val="0"/>
        <w:spacing w:after="240"/>
        <w:jc w:val="both"/>
        <w:rPr>
          <w:rFonts w:ascii="Times New Roman" w:eastAsia="ArialNarrow" w:hAnsi="Times New Roman" w:cs="ArialNarrow"/>
          <w:b/>
          <w:bCs/>
          <w:kern w:val="1"/>
          <w:sz w:val="24"/>
          <w:szCs w:val="24"/>
          <w:u w:val="single"/>
          <w:lang w:eastAsia="ar-SA"/>
        </w:rPr>
      </w:pPr>
      <w:r w:rsidRPr="00EA3F99">
        <w:rPr>
          <w:rFonts w:ascii="Times New Roman" w:eastAsia="ArialNarrow" w:hAnsi="Times New Roman" w:cs="ArialNarrow"/>
          <w:b/>
          <w:bCs/>
          <w:kern w:val="1"/>
          <w:sz w:val="24"/>
          <w:szCs w:val="24"/>
          <w:u w:val="single"/>
          <w:lang w:eastAsia="ar-SA"/>
        </w:rPr>
        <w:t xml:space="preserve">K bodu </w:t>
      </w:r>
      <w:r>
        <w:rPr>
          <w:rFonts w:ascii="Times New Roman" w:eastAsia="ArialNarrow" w:hAnsi="Times New Roman" w:cs="ArialNarrow"/>
          <w:b/>
          <w:bCs/>
          <w:kern w:val="1"/>
          <w:sz w:val="24"/>
          <w:szCs w:val="24"/>
          <w:u w:val="single"/>
          <w:lang w:eastAsia="ar-SA"/>
        </w:rPr>
        <w:t>9 - § 22 ods. 1</w:t>
      </w:r>
    </w:p>
    <w:p w:rsidR="0033092E" w:rsidRPr="00EA3F99" w:rsidRDefault="0033092E" w:rsidP="0033092E">
      <w:pPr>
        <w:suppressAutoHyphens/>
        <w:autoSpaceDE w:val="0"/>
        <w:spacing w:after="240"/>
        <w:jc w:val="both"/>
        <w:rPr>
          <w:rFonts w:ascii="Times New Roman" w:eastAsia="ArialNarrow" w:hAnsi="Times New Roman" w:cs="ArialNarrow"/>
          <w:kern w:val="1"/>
          <w:sz w:val="24"/>
          <w:szCs w:val="24"/>
          <w:lang w:eastAsia="ar-SA"/>
        </w:rPr>
      </w:pPr>
      <w:r w:rsidRPr="00EA3F99">
        <w:rPr>
          <w:rFonts w:ascii="Times New Roman" w:eastAsia="ArialNarrow" w:hAnsi="Times New Roman" w:cs="ArialNarrow"/>
          <w:kern w:val="1"/>
          <w:sz w:val="24"/>
          <w:szCs w:val="24"/>
          <w:lang w:eastAsia="ar-SA"/>
        </w:rPr>
        <w:t>Súčasné znenie opatrenia proti obchádzaniu v § 22 ods. 1 zákona pokrýva oznamujúcu finančnú inštitúciu, slovenskú oznamujúcu finančnú inštitúciu, držiteľa finančného účtu a ovládajúcu osobu. Spoločný štandard oznamovania požaduje v takomto ustanovení zahrnutie finančných inštitúcií, osôb a sprostredkovateľov (konajúcich v mene držiteľa účtu). S cieľom plne zosúladiť znenie ustanovenia na účinné uplatňovanie zákona so znením spoločného štandardu oznamovania sa do ustanovenia dopĺňajú aj osoby konajúce v mene držiteľa finančného účtu (napr. advokáti</w:t>
      </w:r>
      <w:r>
        <w:rPr>
          <w:rFonts w:ascii="Times New Roman" w:eastAsia="ArialNarrow" w:hAnsi="Times New Roman" w:cs="ArialNarrow"/>
          <w:kern w:val="1"/>
          <w:sz w:val="24"/>
          <w:szCs w:val="24"/>
          <w:lang w:eastAsia="ar-SA"/>
        </w:rPr>
        <w:t>, notári</w:t>
      </w:r>
      <w:r w:rsidRPr="00EA3F99">
        <w:rPr>
          <w:rFonts w:ascii="Times New Roman" w:eastAsia="ArialNarrow" w:hAnsi="Times New Roman" w:cs="ArialNarrow"/>
          <w:kern w:val="1"/>
          <w:sz w:val="24"/>
          <w:szCs w:val="24"/>
          <w:lang w:eastAsia="ar-SA"/>
        </w:rPr>
        <w:t>), ktorí konajú ako sprostredkovatelia.</w:t>
      </w:r>
    </w:p>
    <w:p w:rsidR="0033092E" w:rsidRPr="00EA3F99" w:rsidRDefault="0033092E" w:rsidP="0033092E">
      <w:pPr>
        <w:suppressAutoHyphens/>
        <w:autoSpaceDE w:val="0"/>
        <w:jc w:val="both"/>
        <w:rPr>
          <w:rFonts w:ascii="Times New Roman" w:eastAsia="ArialNarrow" w:hAnsi="Times New Roman" w:cs="ArialNarrow"/>
          <w:kern w:val="1"/>
          <w:sz w:val="24"/>
          <w:szCs w:val="24"/>
          <w:lang w:eastAsia="ar-SA"/>
        </w:rPr>
      </w:pPr>
    </w:p>
    <w:p w:rsidR="0033092E" w:rsidRPr="00EA3F99" w:rsidRDefault="0033092E" w:rsidP="0033092E">
      <w:pPr>
        <w:suppressAutoHyphens/>
        <w:autoSpaceDE w:val="0"/>
        <w:spacing w:after="0" w:line="100" w:lineRule="atLeast"/>
        <w:jc w:val="both"/>
        <w:rPr>
          <w:rFonts w:ascii="Times New Roman" w:eastAsia="MS Mincho" w:hAnsi="Times New Roman" w:cs="Times New Roman"/>
          <w:b/>
          <w:bCs/>
          <w:kern w:val="1"/>
          <w:sz w:val="24"/>
          <w:szCs w:val="24"/>
          <w:lang w:eastAsia="ar-SA"/>
        </w:rPr>
      </w:pPr>
      <w:r w:rsidRPr="00EA3F99">
        <w:rPr>
          <w:rFonts w:ascii="Times New Roman" w:eastAsia="MS Mincho" w:hAnsi="Times New Roman" w:cs="Times New Roman"/>
          <w:b/>
          <w:bCs/>
          <w:kern w:val="1"/>
          <w:sz w:val="24"/>
          <w:szCs w:val="24"/>
          <w:lang w:eastAsia="ar-SA"/>
        </w:rPr>
        <w:t>K Čl. I</w:t>
      </w:r>
      <w:r>
        <w:rPr>
          <w:rFonts w:ascii="Times New Roman" w:eastAsia="MS Mincho" w:hAnsi="Times New Roman" w:cs="Times New Roman"/>
          <w:b/>
          <w:bCs/>
          <w:kern w:val="1"/>
          <w:sz w:val="24"/>
          <w:szCs w:val="24"/>
          <w:lang w:eastAsia="ar-SA"/>
        </w:rPr>
        <w:t>V</w:t>
      </w:r>
    </w:p>
    <w:p w:rsidR="0033092E" w:rsidRPr="00EA3F99" w:rsidRDefault="0033092E" w:rsidP="0033092E">
      <w:pPr>
        <w:suppressAutoHyphens/>
        <w:autoSpaceDE w:val="0"/>
        <w:spacing w:after="0" w:line="100" w:lineRule="atLeast"/>
        <w:jc w:val="both"/>
        <w:rPr>
          <w:rFonts w:ascii="Times New Roman" w:eastAsia="ArialNarrow" w:hAnsi="Times New Roman" w:cs="ArialNarrow"/>
          <w:kern w:val="1"/>
          <w:sz w:val="24"/>
          <w:szCs w:val="24"/>
          <w:lang w:eastAsia="ar-SA"/>
        </w:rPr>
      </w:pPr>
    </w:p>
    <w:p w:rsidR="0033092E" w:rsidRPr="00BC6EFF" w:rsidRDefault="0033092E" w:rsidP="0033092E">
      <w:pPr>
        <w:suppressAutoHyphens/>
        <w:autoSpaceDE w:val="0"/>
        <w:spacing w:after="0" w:line="100" w:lineRule="atLeast"/>
        <w:jc w:val="both"/>
        <w:rPr>
          <w:rFonts w:ascii="Times New Roman" w:eastAsia="ArialNarrow" w:hAnsi="Times New Roman" w:cs="ArialNarrow"/>
          <w:kern w:val="1"/>
          <w:sz w:val="24"/>
          <w:szCs w:val="24"/>
          <w:lang w:eastAsia="ar-SA"/>
        </w:rPr>
      </w:pPr>
      <w:r w:rsidRPr="00BC6EFF">
        <w:rPr>
          <w:rFonts w:ascii="Times New Roman" w:eastAsia="ArialNarrow" w:hAnsi="Times New Roman" w:cs="ArialNarrow"/>
          <w:kern w:val="1"/>
          <w:sz w:val="24"/>
          <w:szCs w:val="24"/>
          <w:lang w:eastAsia="ar-SA"/>
        </w:rPr>
        <w:t>V článku I</w:t>
      </w:r>
      <w:r>
        <w:rPr>
          <w:rFonts w:ascii="Times New Roman" w:eastAsia="ArialNarrow" w:hAnsi="Times New Roman" w:cs="ArialNarrow"/>
          <w:kern w:val="1"/>
          <w:sz w:val="24"/>
          <w:szCs w:val="24"/>
          <w:lang w:eastAsia="ar-SA"/>
        </w:rPr>
        <w:t>V</w:t>
      </w:r>
      <w:r w:rsidRPr="00BC6EFF">
        <w:rPr>
          <w:rFonts w:ascii="Times New Roman" w:eastAsia="ArialNarrow" w:hAnsi="Times New Roman" w:cs="ArialNarrow"/>
          <w:kern w:val="1"/>
          <w:sz w:val="24"/>
          <w:szCs w:val="24"/>
          <w:lang w:eastAsia="ar-SA"/>
        </w:rPr>
        <w:t xml:space="preserve"> sa ustanovuje, kedy návrh zákona nadobúda účinnosť a účinnosť tohto zákona sa nadobúda 1. januára 2020, okrem čl. I bodov 1, 2, 9 až 1</w:t>
      </w:r>
      <w:r>
        <w:rPr>
          <w:rFonts w:ascii="Times New Roman" w:eastAsia="ArialNarrow" w:hAnsi="Times New Roman" w:cs="ArialNarrow"/>
          <w:kern w:val="1"/>
          <w:sz w:val="24"/>
          <w:szCs w:val="24"/>
          <w:lang w:eastAsia="ar-SA"/>
        </w:rPr>
        <w:t>2</w:t>
      </w:r>
      <w:r w:rsidRPr="00BC6EFF">
        <w:rPr>
          <w:rFonts w:ascii="Times New Roman" w:eastAsia="ArialNarrow" w:hAnsi="Times New Roman" w:cs="ArialNarrow"/>
          <w:kern w:val="1"/>
          <w:sz w:val="24"/>
          <w:szCs w:val="24"/>
          <w:lang w:eastAsia="ar-SA"/>
        </w:rPr>
        <w:t xml:space="preserve"> </w:t>
      </w:r>
      <w:r>
        <w:rPr>
          <w:rFonts w:ascii="Times New Roman" w:eastAsia="ArialNarrow" w:hAnsi="Times New Roman" w:cs="ArialNarrow"/>
          <w:kern w:val="1"/>
          <w:sz w:val="24"/>
          <w:szCs w:val="24"/>
          <w:lang w:eastAsia="ar-SA"/>
        </w:rPr>
        <w:t xml:space="preserve">a čl. II, </w:t>
      </w:r>
      <w:r w:rsidRPr="00BC6EFF">
        <w:rPr>
          <w:rFonts w:ascii="Times New Roman" w:eastAsia="ArialNarrow" w:hAnsi="Times New Roman" w:cs="ArialNarrow"/>
          <w:kern w:val="1"/>
          <w:sz w:val="24"/>
          <w:szCs w:val="24"/>
          <w:lang w:eastAsia="ar-SA"/>
        </w:rPr>
        <w:t>ktoré nadobúdajú účinnosť 1. júla 2020.</w:t>
      </w:r>
    </w:p>
    <w:p w:rsidR="0033092E" w:rsidRPr="00EA3F99" w:rsidRDefault="0033092E" w:rsidP="0033092E"/>
    <w:p w:rsidR="00EA24A5" w:rsidRDefault="00EA24A5" w:rsidP="00EA24A5">
      <w:pPr>
        <w:spacing w:after="0" w:line="240" w:lineRule="auto"/>
        <w:jc w:val="both"/>
        <w:rPr>
          <w:rFonts w:ascii="Times New Roman" w:hAnsi="Times New Roman"/>
          <w:sz w:val="24"/>
          <w:szCs w:val="24"/>
        </w:rPr>
      </w:pPr>
      <w:r>
        <w:rPr>
          <w:rFonts w:ascii="Times New Roman" w:hAnsi="Times New Roman"/>
          <w:sz w:val="24"/>
          <w:szCs w:val="24"/>
        </w:rPr>
        <w:t>Schválené vládou SR dňa 29. mája 2019.</w:t>
      </w:r>
    </w:p>
    <w:p w:rsidR="00EA24A5" w:rsidRDefault="00EA24A5" w:rsidP="00EA24A5">
      <w:pPr>
        <w:spacing w:after="0" w:line="240" w:lineRule="auto"/>
        <w:jc w:val="both"/>
        <w:rPr>
          <w:rFonts w:ascii="Times New Roman" w:hAnsi="Times New Roman"/>
          <w:sz w:val="24"/>
          <w:szCs w:val="24"/>
        </w:rPr>
      </w:pPr>
    </w:p>
    <w:p w:rsidR="00EA24A5" w:rsidRDefault="00EA24A5" w:rsidP="00EA24A5">
      <w:pPr>
        <w:spacing w:after="0" w:line="240" w:lineRule="auto"/>
        <w:jc w:val="both"/>
        <w:rPr>
          <w:rFonts w:ascii="Times New Roman" w:hAnsi="Times New Roman"/>
          <w:sz w:val="24"/>
          <w:szCs w:val="24"/>
        </w:rPr>
      </w:pPr>
    </w:p>
    <w:p w:rsidR="00EA24A5" w:rsidRDefault="00EA24A5" w:rsidP="00EA24A5">
      <w:pPr>
        <w:spacing w:after="0" w:line="240" w:lineRule="auto"/>
        <w:jc w:val="both"/>
        <w:rPr>
          <w:rFonts w:ascii="Times New Roman" w:hAnsi="Times New Roman"/>
          <w:sz w:val="24"/>
          <w:szCs w:val="24"/>
        </w:rPr>
      </w:pPr>
    </w:p>
    <w:p w:rsidR="00EA24A5" w:rsidRDefault="00EA24A5" w:rsidP="00EA24A5">
      <w:pPr>
        <w:spacing w:after="0" w:line="240" w:lineRule="auto"/>
        <w:jc w:val="both"/>
        <w:rPr>
          <w:rFonts w:ascii="Times New Roman" w:hAnsi="Times New Roman"/>
          <w:sz w:val="24"/>
          <w:szCs w:val="24"/>
        </w:rPr>
      </w:pPr>
    </w:p>
    <w:p w:rsidR="00EA24A5" w:rsidRDefault="00EA24A5" w:rsidP="00EA24A5">
      <w:pPr>
        <w:spacing w:after="0" w:line="240" w:lineRule="auto"/>
        <w:jc w:val="both"/>
        <w:rPr>
          <w:rFonts w:ascii="Times New Roman" w:hAnsi="Times New Roman"/>
          <w:sz w:val="24"/>
          <w:szCs w:val="24"/>
        </w:rPr>
      </w:pPr>
    </w:p>
    <w:p w:rsidR="00EA24A5" w:rsidRPr="002A3729" w:rsidRDefault="00EA24A5" w:rsidP="00EA24A5">
      <w:pPr>
        <w:spacing w:after="0" w:line="240" w:lineRule="auto"/>
        <w:jc w:val="both"/>
        <w:rPr>
          <w:rFonts w:ascii="Times New Roman" w:hAnsi="Times New Roman"/>
          <w:sz w:val="24"/>
          <w:szCs w:val="24"/>
        </w:rPr>
      </w:pPr>
    </w:p>
    <w:p w:rsidR="00EA24A5" w:rsidRPr="002A3729" w:rsidRDefault="00EA24A5" w:rsidP="00EA24A5">
      <w:pPr>
        <w:spacing w:after="0" w:line="240" w:lineRule="auto"/>
        <w:jc w:val="center"/>
        <w:rPr>
          <w:rFonts w:ascii="Times New Roman" w:hAnsi="Times New Roman"/>
          <w:b/>
          <w:sz w:val="24"/>
          <w:szCs w:val="24"/>
        </w:rPr>
      </w:pPr>
      <w:r>
        <w:rPr>
          <w:rFonts w:ascii="Times New Roman" w:hAnsi="Times New Roman"/>
          <w:b/>
          <w:sz w:val="24"/>
          <w:szCs w:val="24"/>
        </w:rPr>
        <w:t xml:space="preserve">Peter </w:t>
      </w:r>
      <w:proofErr w:type="spellStart"/>
      <w:r>
        <w:rPr>
          <w:rFonts w:ascii="Times New Roman" w:hAnsi="Times New Roman"/>
          <w:b/>
          <w:sz w:val="24"/>
          <w:szCs w:val="24"/>
        </w:rPr>
        <w:t>Pellegrini</w:t>
      </w:r>
      <w:proofErr w:type="spellEnd"/>
      <w:r>
        <w:rPr>
          <w:rFonts w:ascii="Times New Roman" w:hAnsi="Times New Roman"/>
          <w:b/>
          <w:sz w:val="24"/>
          <w:szCs w:val="24"/>
        </w:rPr>
        <w:t xml:space="preserve">, </w:t>
      </w:r>
      <w:proofErr w:type="spellStart"/>
      <w:r>
        <w:rPr>
          <w:rFonts w:ascii="Times New Roman" w:hAnsi="Times New Roman"/>
          <w:b/>
          <w:sz w:val="24"/>
          <w:szCs w:val="24"/>
        </w:rPr>
        <w:t>v.r</w:t>
      </w:r>
      <w:proofErr w:type="spellEnd"/>
      <w:r>
        <w:rPr>
          <w:rFonts w:ascii="Times New Roman" w:hAnsi="Times New Roman"/>
          <w:b/>
          <w:sz w:val="24"/>
          <w:szCs w:val="24"/>
        </w:rPr>
        <w:t>.</w:t>
      </w:r>
    </w:p>
    <w:p w:rsidR="00EA24A5" w:rsidRPr="002A3729" w:rsidRDefault="00EA24A5" w:rsidP="00EA24A5">
      <w:pPr>
        <w:spacing w:after="0" w:line="240" w:lineRule="auto"/>
        <w:jc w:val="center"/>
        <w:rPr>
          <w:rFonts w:ascii="Times New Roman" w:hAnsi="Times New Roman"/>
          <w:sz w:val="24"/>
          <w:szCs w:val="24"/>
        </w:rPr>
      </w:pPr>
      <w:r w:rsidRPr="002A3729">
        <w:rPr>
          <w:rFonts w:ascii="Times New Roman" w:hAnsi="Times New Roman"/>
          <w:sz w:val="24"/>
          <w:szCs w:val="24"/>
        </w:rPr>
        <w:t>predseda vlády Slovenskej republiky</w:t>
      </w:r>
    </w:p>
    <w:p w:rsidR="00EA24A5" w:rsidRPr="002A3729" w:rsidRDefault="00EA24A5" w:rsidP="00EA24A5">
      <w:pPr>
        <w:spacing w:after="0" w:line="240" w:lineRule="auto"/>
        <w:jc w:val="center"/>
        <w:rPr>
          <w:rFonts w:ascii="Times New Roman" w:hAnsi="Times New Roman"/>
          <w:sz w:val="24"/>
          <w:szCs w:val="24"/>
        </w:rPr>
      </w:pPr>
    </w:p>
    <w:p w:rsidR="00EA24A5" w:rsidRDefault="00EA24A5" w:rsidP="00EA24A5">
      <w:pPr>
        <w:spacing w:after="0" w:line="240" w:lineRule="auto"/>
        <w:jc w:val="center"/>
        <w:rPr>
          <w:rFonts w:ascii="Times New Roman" w:hAnsi="Times New Roman"/>
          <w:sz w:val="24"/>
          <w:szCs w:val="24"/>
        </w:rPr>
      </w:pPr>
    </w:p>
    <w:p w:rsidR="00EA24A5" w:rsidRDefault="00EA24A5" w:rsidP="00EA24A5">
      <w:pPr>
        <w:spacing w:after="0" w:line="240" w:lineRule="auto"/>
        <w:jc w:val="center"/>
        <w:rPr>
          <w:rFonts w:ascii="Times New Roman" w:hAnsi="Times New Roman"/>
          <w:sz w:val="24"/>
          <w:szCs w:val="24"/>
        </w:rPr>
      </w:pPr>
    </w:p>
    <w:p w:rsidR="00EA24A5" w:rsidRDefault="00EA24A5" w:rsidP="00EA24A5">
      <w:pPr>
        <w:spacing w:after="0" w:line="240" w:lineRule="auto"/>
        <w:jc w:val="center"/>
        <w:rPr>
          <w:rFonts w:ascii="Times New Roman" w:hAnsi="Times New Roman"/>
          <w:sz w:val="24"/>
          <w:szCs w:val="24"/>
        </w:rPr>
      </w:pPr>
    </w:p>
    <w:p w:rsidR="00EA24A5" w:rsidRPr="002A3729" w:rsidRDefault="00EA24A5" w:rsidP="00EA24A5">
      <w:pPr>
        <w:spacing w:after="0" w:line="240" w:lineRule="auto"/>
        <w:jc w:val="center"/>
        <w:rPr>
          <w:rFonts w:ascii="Times New Roman" w:hAnsi="Times New Roman"/>
          <w:sz w:val="24"/>
          <w:szCs w:val="24"/>
        </w:rPr>
      </w:pPr>
    </w:p>
    <w:p w:rsidR="00EA24A5" w:rsidRDefault="00EA24A5" w:rsidP="00EA24A5">
      <w:pPr>
        <w:spacing w:after="0" w:line="240" w:lineRule="auto"/>
        <w:jc w:val="center"/>
        <w:rPr>
          <w:rFonts w:ascii="Times New Roman" w:hAnsi="Times New Roman"/>
          <w:sz w:val="24"/>
          <w:szCs w:val="24"/>
        </w:rPr>
      </w:pPr>
    </w:p>
    <w:p w:rsidR="00EA24A5" w:rsidRPr="002A3729" w:rsidRDefault="00EA24A5" w:rsidP="00EA24A5">
      <w:pPr>
        <w:spacing w:after="0" w:line="240" w:lineRule="auto"/>
        <w:jc w:val="center"/>
        <w:rPr>
          <w:rFonts w:ascii="Times New Roman" w:hAnsi="Times New Roman"/>
          <w:sz w:val="24"/>
          <w:szCs w:val="24"/>
        </w:rPr>
      </w:pPr>
    </w:p>
    <w:p w:rsidR="00EA24A5" w:rsidRPr="002A3729" w:rsidRDefault="00EA24A5" w:rsidP="00EA24A5">
      <w:pPr>
        <w:spacing w:after="0" w:line="240" w:lineRule="auto"/>
        <w:jc w:val="center"/>
        <w:rPr>
          <w:rFonts w:ascii="Times New Roman" w:hAnsi="Times New Roman"/>
          <w:b/>
          <w:sz w:val="24"/>
          <w:szCs w:val="24"/>
        </w:rPr>
      </w:pPr>
      <w:r>
        <w:rPr>
          <w:rFonts w:ascii="Times New Roman" w:hAnsi="Times New Roman"/>
          <w:b/>
          <w:sz w:val="24"/>
          <w:szCs w:val="24"/>
        </w:rPr>
        <w:t xml:space="preserve">Ladislav Kamenický, </w:t>
      </w:r>
      <w:proofErr w:type="spellStart"/>
      <w:r>
        <w:rPr>
          <w:rFonts w:ascii="Times New Roman" w:hAnsi="Times New Roman"/>
          <w:b/>
          <w:sz w:val="24"/>
          <w:szCs w:val="24"/>
        </w:rPr>
        <w:t>v.r</w:t>
      </w:r>
      <w:proofErr w:type="spellEnd"/>
      <w:r>
        <w:rPr>
          <w:rFonts w:ascii="Times New Roman" w:hAnsi="Times New Roman"/>
          <w:b/>
          <w:sz w:val="24"/>
          <w:szCs w:val="24"/>
        </w:rPr>
        <w:t>.</w:t>
      </w:r>
    </w:p>
    <w:p w:rsidR="00EA24A5" w:rsidRPr="002A3729" w:rsidRDefault="00EA24A5" w:rsidP="00EA24A5">
      <w:pPr>
        <w:spacing w:after="0" w:line="240" w:lineRule="auto"/>
        <w:jc w:val="center"/>
        <w:rPr>
          <w:rFonts w:ascii="Times New Roman" w:hAnsi="Times New Roman"/>
          <w:color w:val="000000"/>
          <w:sz w:val="24"/>
          <w:szCs w:val="24"/>
        </w:rPr>
      </w:pPr>
      <w:r w:rsidRPr="002A3729">
        <w:rPr>
          <w:rFonts w:ascii="Times New Roman" w:hAnsi="Times New Roman"/>
          <w:sz w:val="24"/>
          <w:szCs w:val="24"/>
        </w:rPr>
        <w:t>minister financií Slovenskej republiky</w:t>
      </w:r>
    </w:p>
    <w:p w:rsidR="00B5447A" w:rsidRDefault="00B5447A" w:rsidP="00B5447A">
      <w:pPr>
        <w:spacing w:after="0" w:line="240" w:lineRule="auto"/>
        <w:jc w:val="both"/>
        <w:rPr>
          <w:rFonts w:ascii="Times New Roman" w:hAnsi="Times New Roman" w:cs="Times New Roman"/>
          <w:b/>
          <w:sz w:val="24"/>
          <w:szCs w:val="24"/>
        </w:rPr>
      </w:pPr>
    </w:p>
    <w:p w:rsidR="0045196E" w:rsidRPr="00C0323B" w:rsidRDefault="0045196E" w:rsidP="00DA01F2">
      <w:pPr>
        <w:spacing w:after="0" w:line="240" w:lineRule="auto"/>
        <w:ind w:left="360"/>
        <w:jc w:val="both"/>
        <w:rPr>
          <w:rFonts w:ascii="Times New Roman" w:hAnsi="Times New Roman" w:cs="Times New Roman"/>
          <w:b/>
          <w:sz w:val="24"/>
          <w:szCs w:val="24"/>
        </w:rPr>
      </w:pPr>
    </w:p>
    <w:sectPr w:rsidR="0045196E" w:rsidRPr="00C0323B" w:rsidSect="000F2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w:altName w:val="Futura Bk"/>
    <w:panose1 w:val="020F0502020204030204"/>
    <w:charset w:val="EE"/>
    <w:family w:val="swiss"/>
    <w:pitch w:val="variable"/>
    <w:sig w:usb0="E00002FF" w:usb1="4000ACFF" w:usb2="00000001" w:usb3="00000000" w:csb0="0000019F" w:csb1="00000000"/>
  </w:font>
  <w:font w:name="Segoe UI">
    <w:altName w:val="Arial"/>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Mincho">
    <w:altName w:val="‚l‚r –ľ’©"/>
    <w:panose1 w:val="02020609040205080304"/>
    <w:charset w:val="80"/>
    <w:family w:val="modern"/>
    <w:pitch w:val="fixed"/>
    <w:sig w:usb0="E00002FF" w:usb1="6AC7FDFB" w:usb2="00000012" w:usb3="00000000" w:csb0="0002009F" w:csb1="00000000"/>
  </w:font>
  <w:font w:name="MS Gothic">
    <w:altName w:val="‚l‚r SVbN"/>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font298">
    <w:altName w:val="MS Mincho"/>
    <w:charset w:val="80"/>
    <w:family w:val="auto"/>
    <w:pitch w:val="variable"/>
  </w:font>
  <w:font w:name="ArialNarrow">
    <w:charset w:val="00"/>
    <w:family w:val="swiss"/>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8" w:rsidRDefault="004B6BB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4B6BB8" w:rsidRDefault="004B6BB8">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8" w:rsidRDefault="004B6BB8">
    <w:pPr>
      <w:pStyle w:val="Pta"/>
      <w:jc w:val="right"/>
    </w:pPr>
    <w:r>
      <w:fldChar w:fldCharType="begin"/>
    </w:r>
    <w:r>
      <w:instrText>PAGE   \* MERGEFORMAT</w:instrText>
    </w:r>
    <w:r>
      <w:fldChar w:fldCharType="separate"/>
    </w:r>
    <w:r w:rsidR="006E0873">
      <w:rPr>
        <w:noProof/>
      </w:rPr>
      <w:t>7</w:t>
    </w:r>
    <w:r>
      <w:fldChar w:fldCharType="end"/>
    </w:r>
  </w:p>
  <w:p w:rsidR="004B6BB8" w:rsidRDefault="004B6BB8">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8" w:rsidRDefault="004B6BB8">
    <w:pPr>
      <w:pStyle w:val="Pta"/>
      <w:jc w:val="right"/>
    </w:pPr>
    <w:r>
      <w:fldChar w:fldCharType="begin"/>
    </w:r>
    <w:r>
      <w:instrText>PAGE   \* MERGEFORMAT</w:instrText>
    </w:r>
    <w:r>
      <w:fldChar w:fldCharType="separate"/>
    </w:r>
    <w:r>
      <w:rPr>
        <w:noProof/>
      </w:rPr>
      <w:t>0</w:t>
    </w:r>
    <w:r>
      <w:fldChar w:fldCharType="end"/>
    </w:r>
  </w:p>
  <w:p w:rsidR="004B6BB8" w:rsidRDefault="004B6BB8">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8" w:rsidRDefault="004B6BB8">
    <w:pPr>
      <w:pStyle w:val="Pta"/>
      <w:jc w:val="center"/>
    </w:pPr>
    <w:r>
      <w:fldChar w:fldCharType="begin"/>
    </w:r>
    <w:r>
      <w:instrText>PAGE   \* MERGEFORMAT</w:instrText>
    </w:r>
    <w:r>
      <w:fldChar w:fldCharType="separate"/>
    </w:r>
    <w:r w:rsidR="006E0873">
      <w:rPr>
        <w:noProof/>
      </w:rPr>
      <w:t>24</w:t>
    </w:r>
    <w:r>
      <w:fldChar w:fldCharType="end"/>
    </w:r>
  </w:p>
  <w:p w:rsidR="004B6BB8" w:rsidRDefault="004B6BB8">
    <w:pPr>
      <w:pStyle w:val="Pt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8" w:rsidRDefault="004B6BB8" w:rsidP="004B6BB8">
    <w:pPr>
      <w:pStyle w:val="Hlavika"/>
      <w:jc w:val="right"/>
    </w:pPr>
    <w:r>
      <w:t>Príloha č. 2</w:t>
    </w:r>
  </w:p>
  <w:p w:rsidR="004B6BB8" w:rsidRPr="00EB59C8" w:rsidRDefault="004B6BB8" w:rsidP="004B6BB8">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BB8" w:rsidRPr="000A15AE" w:rsidRDefault="004B6BB8" w:rsidP="004B6BB8">
    <w:pPr>
      <w:pStyle w:val="Hlavika"/>
      <w:jc w:val="right"/>
    </w:pPr>
    <w: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0BC2"/>
    <w:multiLevelType w:val="hybridMultilevel"/>
    <w:tmpl w:val="C5ACFE6A"/>
    <w:lvl w:ilvl="0" w:tplc="66901444">
      <w:start w:val="1"/>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1EB546E"/>
    <w:multiLevelType w:val="hybridMultilevel"/>
    <w:tmpl w:val="AF2EF426"/>
    <w:lvl w:ilvl="0" w:tplc="041B0001">
      <w:start w:val="1"/>
      <w:numFmt w:val="bullet"/>
      <w:lvlText w:val=""/>
      <w:lvlJc w:val="left"/>
      <w:pPr>
        <w:ind w:left="780" w:hanging="360"/>
      </w:pPr>
      <w:rPr>
        <w:rFonts w:ascii="Symbol" w:hAnsi="Symbol" w:hint="default"/>
        <w:b/>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3255F80"/>
    <w:multiLevelType w:val="hybridMultilevel"/>
    <w:tmpl w:val="55529922"/>
    <w:lvl w:ilvl="0" w:tplc="58FAE16A">
      <w:numFmt w:val="bullet"/>
      <w:lvlText w:val="-"/>
      <w:lvlJc w:val="left"/>
      <w:pPr>
        <w:ind w:left="1068" w:hanging="360"/>
      </w:pPr>
      <w:rPr>
        <w:rFonts w:ascii="Arial" w:eastAsia="Times New Roman" w:hAnsi="Arial" w:hint="default"/>
        <w:sz w:val="20"/>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09DF61A2"/>
    <w:multiLevelType w:val="hybridMultilevel"/>
    <w:tmpl w:val="9806B6A8"/>
    <w:lvl w:ilvl="0" w:tplc="D31C89A6">
      <w:start w:val="1"/>
      <w:numFmt w:val="decimal"/>
      <w:lvlText w:val="%1."/>
      <w:lvlJc w:val="left"/>
      <w:pPr>
        <w:ind w:left="1004" w:hanging="360"/>
      </w:pPr>
      <w:rPr>
        <w:rFonts w:cs="Times New Roman" w:hint="default"/>
        <w:color w:val="auto"/>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C81589B"/>
    <w:multiLevelType w:val="hybridMultilevel"/>
    <w:tmpl w:val="E572FCD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751291"/>
    <w:multiLevelType w:val="hybridMultilevel"/>
    <w:tmpl w:val="455AE83C"/>
    <w:lvl w:ilvl="0" w:tplc="09CA03E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C9B77D4"/>
    <w:multiLevelType w:val="multilevel"/>
    <w:tmpl w:val="AC9ED1DA"/>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Times New Roman" w:eastAsia="Times New Roman" w:hAnsi="Times New Roman" w:cs="Times New Roman" w:hint="default"/>
        <w:b/>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7"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1"/>
  </w:num>
  <w:num w:numId="3">
    <w:abstractNumId w:val="0"/>
  </w:num>
  <w:num w:numId="4">
    <w:abstractNumId w:val="9"/>
  </w:num>
  <w:num w:numId="5">
    <w:abstractNumId w:val="4"/>
  </w:num>
  <w:num w:numId="6">
    <w:abstractNumId w:val="2"/>
  </w:num>
  <w:num w:numId="7">
    <w:abstractNumId w:val="6"/>
  </w:num>
  <w:num w:numId="8">
    <w:abstractNumId w:val="8"/>
    <w:lvlOverride w:ilvl="0"/>
    <w:lvlOverride w:ilvl="1"/>
    <w:lvlOverride w:ilvl="2"/>
    <w:lvlOverride w:ilvl="3"/>
    <w:lvlOverride w:ilvl="4"/>
    <w:lvlOverride w:ilvl="5"/>
    <w:lvlOverride w:ilvl="6"/>
    <w:lvlOverride w:ilvl="7"/>
    <w:lvlOverride w:ilv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9E"/>
    <w:rsid w:val="00070546"/>
    <w:rsid w:val="000F290A"/>
    <w:rsid w:val="000F4E4C"/>
    <w:rsid w:val="000F5D08"/>
    <w:rsid w:val="001639AC"/>
    <w:rsid w:val="001656F9"/>
    <w:rsid w:val="00187C69"/>
    <w:rsid w:val="001C53DB"/>
    <w:rsid w:val="002114AC"/>
    <w:rsid w:val="002A021A"/>
    <w:rsid w:val="003119EE"/>
    <w:rsid w:val="0033092E"/>
    <w:rsid w:val="00343BD5"/>
    <w:rsid w:val="0035169E"/>
    <w:rsid w:val="00366F03"/>
    <w:rsid w:val="00385E37"/>
    <w:rsid w:val="00404C5D"/>
    <w:rsid w:val="00441518"/>
    <w:rsid w:val="00446E9C"/>
    <w:rsid w:val="0045196E"/>
    <w:rsid w:val="00470D8D"/>
    <w:rsid w:val="004B6BB8"/>
    <w:rsid w:val="004F1881"/>
    <w:rsid w:val="005C65D8"/>
    <w:rsid w:val="005E2690"/>
    <w:rsid w:val="006467BB"/>
    <w:rsid w:val="00663015"/>
    <w:rsid w:val="00697122"/>
    <w:rsid w:val="006B3646"/>
    <w:rsid w:val="006B4351"/>
    <w:rsid w:val="006C6F6B"/>
    <w:rsid w:val="006D4C7D"/>
    <w:rsid w:val="006E0873"/>
    <w:rsid w:val="006F12F2"/>
    <w:rsid w:val="00711EF3"/>
    <w:rsid w:val="007812EB"/>
    <w:rsid w:val="008C4D7B"/>
    <w:rsid w:val="008C7A21"/>
    <w:rsid w:val="008F30E3"/>
    <w:rsid w:val="008F5EB3"/>
    <w:rsid w:val="00930AD4"/>
    <w:rsid w:val="00932B9B"/>
    <w:rsid w:val="00961ABF"/>
    <w:rsid w:val="00973C2A"/>
    <w:rsid w:val="00992894"/>
    <w:rsid w:val="009A21F2"/>
    <w:rsid w:val="009C2789"/>
    <w:rsid w:val="009F69EF"/>
    <w:rsid w:val="00A241DB"/>
    <w:rsid w:val="00B5447A"/>
    <w:rsid w:val="00B5458A"/>
    <w:rsid w:val="00B617E6"/>
    <w:rsid w:val="00B651B3"/>
    <w:rsid w:val="00B6544D"/>
    <w:rsid w:val="00B70433"/>
    <w:rsid w:val="00BD2F86"/>
    <w:rsid w:val="00BE0AA4"/>
    <w:rsid w:val="00C0323B"/>
    <w:rsid w:val="00C352DB"/>
    <w:rsid w:val="00CB7B58"/>
    <w:rsid w:val="00CC217A"/>
    <w:rsid w:val="00CD5793"/>
    <w:rsid w:val="00CD63EF"/>
    <w:rsid w:val="00DA01F2"/>
    <w:rsid w:val="00E008FB"/>
    <w:rsid w:val="00EA05F2"/>
    <w:rsid w:val="00EA24A5"/>
    <w:rsid w:val="00F15D1F"/>
    <w:rsid w:val="00F20F5F"/>
    <w:rsid w:val="00F32928"/>
    <w:rsid w:val="00FC3E32"/>
    <w:rsid w:val="00FD0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24269-E8D6-4AD1-8AE3-6151AFDC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35169E"/>
    <w:pPr>
      <w:spacing w:after="0" w:line="240" w:lineRule="auto"/>
      <w:ind w:left="720"/>
      <w:contextualSpacing/>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F188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1881"/>
    <w:rPr>
      <w:rFonts w:ascii="Segoe UI" w:hAnsi="Segoe UI" w:cs="Segoe UI"/>
      <w:sz w:val="18"/>
      <w:szCs w:val="18"/>
    </w:rPr>
  </w:style>
  <w:style w:type="table" w:customStyle="1" w:styleId="Mriekatabuky1">
    <w:name w:val="Mriežka tabuľky1"/>
    <w:basedOn w:val="Normlnatabuka"/>
    <w:next w:val="Mriekatabuky"/>
    <w:uiPriority w:val="59"/>
    <w:rsid w:val="0045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45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45196E"/>
    <w:pPr>
      <w:widowControl w:val="0"/>
      <w:tabs>
        <w:tab w:val="center" w:pos="4536"/>
        <w:tab w:val="right" w:pos="9072"/>
      </w:tabs>
      <w:adjustRightInd w:val="0"/>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uiPriority w:val="99"/>
    <w:rsid w:val="0045196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5196E"/>
    <w:pPr>
      <w:widowControl w:val="0"/>
      <w:tabs>
        <w:tab w:val="center" w:pos="4536"/>
        <w:tab w:val="right" w:pos="9072"/>
      </w:tabs>
      <w:adjustRightInd w:val="0"/>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45196E"/>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45196E"/>
    <w:rPr>
      <w:rFonts w:cs="Times New Roman"/>
    </w:rPr>
  </w:style>
  <w:style w:type="paragraph" w:styleId="Zarkazkladnhotextu">
    <w:name w:val="Body Text Indent"/>
    <w:basedOn w:val="Normlny"/>
    <w:link w:val="ZarkazkladnhotextuChar"/>
    <w:uiPriority w:val="99"/>
    <w:rsid w:val="00B5447A"/>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B5447A"/>
    <w:rPr>
      <w:rFonts w:ascii="Times New Roman" w:eastAsia="Times New Roman" w:hAnsi="Times New Roman" w:cs="Times New Roman"/>
      <w:sz w:val="24"/>
      <w:szCs w:val="24"/>
      <w:lang w:eastAsia="sk-SK"/>
    </w:rPr>
  </w:style>
  <w:style w:type="character" w:customStyle="1" w:styleId="OdsekzoznamuChar">
    <w:name w:val="Odsek zoznamu Char"/>
    <w:link w:val="Odsekzoznamu"/>
    <w:uiPriority w:val="99"/>
    <w:locked/>
    <w:rsid w:val="00B5447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3092E"/>
    <w:rPr>
      <w:sz w:val="16"/>
      <w:szCs w:val="16"/>
    </w:rPr>
  </w:style>
  <w:style w:type="paragraph" w:styleId="Textkomentra">
    <w:name w:val="annotation text"/>
    <w:basedOn w:val="Normlny"/>
    <w:link w:val="TextkomentraChar"/>
    <w:uiPriority w:val="99"/>
    <w:semiHidden/>
    <w:unhideWhenUsed/>
    <w:rsid w:val="0033092E"/>
    <w:pPr>
      <w:spacing w:line="240" w:lineRule="auto"/>
    </w:pPr>
    <w:rPr>
      <w:sz w:val="20"/>
      <w:szCs w:val="20"/>
    </w:rPr>
  </w:style>
  <w:style w:type="character" w:customStyle="1" w:styleId="TextkomentraChar">
    <w:name w:val="Text komentára Char"/>
    <w:basedOn w:val="Predvolenpsmoodseku"/>
    <w:link w:val="Textkomentra"/>
    <w:uiPriority w:val="99"/>
    <w:semiHidden/>
    <w:rsid w:val="0033092E"/>
    <w:rPr>
      <w:sz w:val="20"/>
      <w:szCs w:val="20"/>
    </w:rPr>
  </w:style>
  <w:style w:type="paragraph" w:styleId="Predmetkomentra">
    <w:name w:val="annotation subject"/>
    <w:basedOn w:val="Textkomentra"/>
    <w:next w:val="Textkomentra"/>
    <w:link w:val="PredmetkomentraChar"/>
    <w:uiPriority w:val="99"/>
    <w:semiHidden/>
    <w:unhideWhenUsed/>
    <w:rsid w:val="0033092E"/>
    <w:rPr>
      <w:b/>
      <w:bCs/>
    </w:rPr>
  </w:style>
  <w:style w:type="character" w:customStyle="1" w:styleId="PredmetkomentraChar">
    <w:name w:val="Predmet komentára Char"/>
    <w:basedOn w:val="TextkomentraChar"/>
    <w:link w:val="Predmetkomentra"/>
    <w:uiPriority w:val="99"/>
    <w:semiHidden/>
    <w:rsid w:val="0033092E"/>
    <w:rPr>
      <w:b/>
      <w:bCs/>
      <w:sz w:val="20"/>
      <w:szCs w:val="20"/>
    </w:rPr>
  </w:style>
  <w:style w:type="paragraph" w:styleId="Revzia">
    <w:name w:val="Revision"/>
    <w:hidden/>
    <w:uiPriority w:val="99"/>
    <w:semiHidden/>
    <w:rsid w:val="003309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32</Pages>
  <Words>13198</Words>
  <Characters>75229</Characters>
  <Application>Microsoft Office Word</Application>
  <DocSecurity>0</DocSecurity>
  <Lines>626</Lines>
  <Paragraphs>176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Vidova Michaela</dc:creator>
  <cp:keywords/>
  <dc:description/>
  <cp:lastModifiedBy>Pekarova Elena</cp:lastModifiedBy>
  <cp:revision>16</cp:revision>
  <cp:lastPrinted>2017-05-09T08:17:00Z</cp:lastPrinted>
  <dcterms:created xsi:type="dcterms:W3CDTF">2019-05-28T08:29:00Z</dcterms:created>
  <dcterms:modified xsi:type="dcterms:W3CDTF">2019-05-28T08:41:00Z</dcterms:modified>
</cp:coreProperties>
</file>