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938"/>
        <w:gridCol w:w="5299"/>
        <w:gridCol w:w="709"/>
        <w:gridCol w:w="850"/>
        <w:gridCol w:w="702"/>
        <w:gridCol w:w="5110"/>
        <w:gridCol w:w="709"/>
        <w:gridCol w:w="1201"/>
      </w:tblGrid>
      <w:tr w:rsidR="005A57B9" w:rsidRPr="005A57B9" w:rsidTr="005A57B9">
        <w:tc>
          <w:tcPr>
            <w:tcW w:w="16200" w:type="dxa"/>
            <w:gridSpan w:val="9"/>
            <w:tcBorders>
              <w:top w:val="single" w:sz="12" w:space="0" w:color="auto"/>
              <w:left w:val="single" w:sz="12" w:space="0" w:color="auto"/>
              <w:bottom w:val="single" w:sz="4" w:space="0" w:color="auto"/>
              <w:right w:val="single" w:sz="12" w:space="0" w:color="auto"/>
            </w:tcBorders>
          </w:tcPr>
          <w:p w:rsidR="005A57B9" w:rsidRPr="005A57B9" w:rsidRDefault="005A57B9" w:rsidP="005A57B9">
            <w:pPr>
              <w:keepNext/>
              <w:jc w:val="center"/>
              <w:outlineLvl w:val="0"/>
              <w:rPr>
                <w:b/>
                <w:bCs/>
              </w:rPr>
            </w:pPr>
            <w:r w:rsidRPr="005A57B9">
              <w:rPr>
                <w:b/>
                <w:bCs/>
              </w:rPr>
              <w:t>TABUĽKA  ZHODY</w:t>
            </w:r>
          </w:p>
          <w:p w:rsidR="007B2D8E" w:rsidRDefault="005A57B9" w:rsidP="005A57B9">
            <w:pPr>
              <w:keepNext/>
              <w:spacing w:after="120"/>
              <w:jc w:val="center"/>
              <w:outlineLvl w:val="0"/>
              <w:rPr>
                <w:b/>
                <w:bCs/>
              </w:rPr>
            </w:pPr>
            <w:r w:rsidRPr="005A57B9">
              <w:rPr>
                <w:b/>
                <w:bCs/>
              </w:rPr>
              <w:t xml:space="preserve">k návrhu zákona, ktorým sa mení a dopĺňa zákon č. 595/2003 Z. z. o dani z príjmov v znení neskorších </w:t>
            </w:r>
            <w:r w:rsidR="007B2D8E">
              <w:rPr>
                <w:b/>
                <w:bCs/>
              </w:rPr>
              <w:t>predpisov</w:t>
            </w:r>
          </w:p>
          <w:p w:rsidR="005A57B9" w:rsidRPr="005A57B9" w:rsidRDefault="005A57B9" w:rsidP="005A57B9">
            <w:pPr>
              <w:keepNext/>
              <w:spacing w:after="120"/>
              <w:jc w:val="center"/>
              <w:outlineLvl w:val="0"/>
              <w:rPr>
                <w:b/>
                <w:bCs/>
              </w:rPr>
            </w:pPr>
            <w:r w:rsidRPr="005A57B9">
              <w:rPr>
                <w:b/>
                <w:bCs/>
              </w:rPr>
              <w:t>s právom Európskej únie</w:t>
            </w:r>
          </w:p>
          <w:p w:rsidR="005A57B9" w:rsidRPr="005A57B9" w:rsidRDefault="005A57B9">
            <w:pPr>
              <w:pStyle w:val="Nadpis1"/>
            </w:pPr>
          </w:p>
        </w:tc>
      </w:tr>
      <w:tr w:rsidR="008C54C3" w:rsidRPr="005A57B9">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5A57B9" w:rsidRDefault="008C54C3">
            <w:pPr>
              <w:pStyle w:val="Nadpis4"/>
              <w:jc w:val="both"/>
              <w:rPr>
                <w:sz w:val="24"/>
                <w:szCs w:val="24"/>
              </w:rPr>
            </w:pPr>
            <w:r w:rsidRPr="005A57B9">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5A57B9" w:rsidRDefault="002375DC" w:rsidP="002375DC">
            <w:pPr>
              <w:pStyle w:val="CM1"/>
              <w:spacing w:before="200" w:after="102"/>
              <w:rPr>
                <w:rFonts w:ascii="Times New Roman" w:hAnsi="Times New Roman"/>
                <w:b/>
                <w:bCs/>
              </w:rPr>
            </w:pPr>
            <w:r w:rsidRPr="005A57B9">
              <w:rPr>
                <w:rFonts w:ascii="Times New Roman" w:hAnsi="Times New Roman"/>
              </w:rPr>
              <w:t xml:space="preserve"> </w:t>
            </w:r>
            <w:r w:rsidRPr="005A57B9">
              <w:rPr>
                <w:rFonts w:ascii="Times New Roman" w:hAnsi="Times New Roman"/>
                <w:b/>
                <w:bCs/>
                <w:color w:val="000000"/>
              </w:rPr>
              <w:t xml:space="preserve">SMERNICA RADY </w:t>
            </w:r>
            <w:r w:rsidRPr="005A57B9">
              <w:rPr>
                <w:rFonts w:ascii="Times New Roman" w:hAnsi="Times New Roman"/>
                <w:b/>
                <w:bCs/>
                <w:color w:val="000000"/>
                <w:u w:val="single"/>
              </w:rPr>
              <w:t>2009/133/ES</w:t>
            </w:r>
            <w:r w:rsidRPr="005A57B9">
              <w:rPr>
                <w:rFonts w:ascii="Times New Roman" w:hAnsi="Times New Roman"/>
                <w:b/>
                <w:bCs/>
                <w:color w:val="000000"/>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w:t>
            </w:r>
          </w:p>
        </w:tc>
      </w:tr>
      <w:tr w:rsidR="008C54C3" w:rsidRPr="00D203E0" w:rsidTr="002375DC">
        <w:trPr>
          <w:trHeight w:val="567"/>
        </w:trPr>
        <w:tc>
          <w:tcPr>
            <w:tcW w:w="7628" w:type="dxa"/>
            <w:gridSpan w:val="4"/>
            <w:tcBorders>
              <w:top w:val="single" w:sz="4" w:space="0" w:color="auto"/>
              <w:left w:val="single" w:sz="12" w:space="0" w:color="auto"/>
              <w:bottom w:val="single" w:sz="4" w:space="0" w:color="auto"/>
              <w:right w:val="single" w:sz="12" w:space="0" w:color="auto"/>
            </w:tcBorders>
          </w:tcPr>
          <w:p w:rsidR="008C54C3" w:rsidRPr="00FD6741" w:rsidRDefault="00DE0F85">
            <w:pPr>
              <w:pStyle w:val="Nadpis4"/>
              <w:spacing w:before="120"/>
              <w:rPr>
                <w:sz w:val="24"/>
                <w:szCs w:val="24"/>
              </w:rPr>
            </w:pPr>
            <w:r w:rsidRPr="00FD6741">
              <w:rPr>
                <w:sz w:val="24"/>
                <w:szCs w:val="24"/>
              </w:rPr>
              <w:t>Smernica EÚ</w:t>
            </w:r>
          </w:p>
          <w:p w:rsidR="008C54C3" w:rsidRPr="00FD6741" w:rsidRDefault="002375DC">
            <w:pPr>
              <w:pStyle w:val="Zkladntext3"/>
              <w:spacing w:line="240" w:lineRule="exact"/>
            </w:pPr>
            <w:r w:rsidRPr="00FD6741">
              <w:rPr>
                <w:b/>
                <w:bCs/>
                <w:color w:val="000000"/>
              </w:rPr>
              <w:t xml:space="preserve">SMERNICA RADY </w:t>
            </w:r>
            <w:r w:rsidRPr="00FD6741">
              <w:rPr>
                <w:b/>
                <w:bCs/>
                <w:color w:val="000000"/>
                <w:u w:val="single"/>
              </w:rPr>
              <w:t>2009/133/ES</w:t>
            </w:r>
            <w:r w:rsidRPr="00FD6741">
              <w:rPr>
                <w:b/>
                <w:bCs/>
                <w:color w:val="000000"/>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w:t>
            </w:r>
          </w:p>
        </w:tc>
        <w:tc>
          <w:tcPr>
            <w:tcW w:w="8572" w:type="dxa"/>
            <w:gridSpan w:val="5"/>
            <w:tcBorders>
              <w:top w:val="single" w:sz="4" w:space="0" w:color="auto"/>
              <w:left w:val="nil"/>
              <w:bottom w:val="single" w:sz="4" w:space="0" w:color="auto"/>
              <w:right w:val="single" w:sz="12" w:space="0" w:color="auto"/>
            </w:tcBorders>
          </w:tcPr>
          <w:p w:rsidR="008C54C3" w:rsidRDefault="008C54C3" w:rsidP="005A57B9">
            <w:pPr>
              <w:pStyle w:val="Nadpis4"/>
              <w:spacing w:before="120"/>
              <w:rPr>
                <w:sz w:val="24"/>
                <w:szCs w:val="24"/>
              </w:rPr>
            </w:pPr>
            <w:r w:rsidRPr="00FD6741">
              <w:rPr>
                <w:sz w:val="24"/>
                <w:szCs w:val="24"/>
              </w:rPr>
              <w:t>Všeobecne záväzné právne predpisy Slovenskej republiky</w:t>
            </w:r>
          </w:p>
          <w:p w:rsidR="00787ECF" w:rsidRPr="00787ECF" w:rsidRDefault="00787ECF" w:rsidP="005A57B9">
            <w:pPr>
              <w:rPr>
                <w:b/>
              </w:rPr>
            </w:pPr>
            <w:r w:rsidRPr="00787ECF">
              <w:rPr>
                <w:b/>
              </w:rPr>
              <w:t xml:space="preserve">Návrh zákona, </w:t>
            </w:r>
            <w:r w:rsidR="00A459C7" w:rsidRPr="00A459C7">
              <w:rPr>
                <w:b/>
              </w:rPr>
              <w:t xml:space="preserve">ktorým sa mení a dopĺňa zákon č. 595/2003 Z. z. o dani z príjmov v znení neskorších predpisov </w:t>
            </w:r>
            <w:r w:rsidRPr="00787ECF">
              <w:rPr>
                <w:b/>
              </w:rPr>
              <w:t>(ďalej len „návrh zákona“)</w:t>
            </w:r>
          </w:p>
          <w:p w:rsidR="008D46FD" w:rsidRPr="008D46FD" w:rsidRDefault="008D46FD" w:rsidP="008D46FD"/>
          <w:p w:rsidR="00FD6741" w:rsidRPr="00FD6741" w:rsidRDefault="002375DC" w:rsidP="003D7EC4">
            <w:pPr>
              <w:jc w:val="both"/>
            </w:pPr>
            <w:r w:rsidRPr="00FD6741">
              <w:t>Zákon č. 595/2003 Z. z. o dani z príjmov v znení neskorších p</w:t>
            </w:r>
            <w:r w:rsidR="003D7EC4">
              <w:t>redpisov                    (</w:t>
            </w:r>
            <w:r w:rsidRPr="00FD6741">
              <w:t>ďalej len „ 595/2003</w:t>
            </w:r>
            <w:r w:rsidR="00725774" w:rsidRPr="00FD6741">
              <w:t>“</w:t>
            </w:r>
            <w:r w:rsidRPr="00FD6741">
              <w:t xml:space="preserve">) </w:t>
            </w:r>
          </w:p>
        </w:tc>
      </w:tr>
      <w:tr w:rsidR="00A9063F" w:rsidRPr="00D203E0" w:rsidTr="002375DC">
        <w:tc>
          <w:tcPr>
            <w:tcW w:w="682" w:type="dxa"/>
            <w:tcBorders>
              <w:top w:val="single" w:sz="4" w:space="0" w:color="auto"/>
              <w:left w:val="single" w:sz="12" w:space="0" w:color="auto"/>
              <w:bottom w:val="single" w:sz="4" w:space="0" w:color="auto"/>
              <w:right w:val="single" w:sz="4" w:space="0" w:color="auto"/>
            </w:tcBorders>
          </w:tcPr>
          <w:p w:rsidR="00A9063F" w:rsidRPr="00FD6741" w:rsidRDefault="00A9063F">
            <w:pPr>
              <w:jc w:val="center"/>
            </w:pPr>
            <w:r w:rsidRPr="00FD6741">
              <w:t>1</w:t>
            </w:r>
          </w:p>
        </w:tc>
        <w:tc>
          <w:tcPr>
            <w:tcW w:w="6237" w:type="dxa"/>
            <w:gridSpan w:val="2"/>
            <w:tcBorders>
              <w:top w:val="single" w:sz="4" w:space="0" w:color="auto"/>
              <w:left w:val="single" w:sz="4" w:space="0" w:color="auto"/>
              <w:bottom w:val="single" w:sz="4" w:space="0" w:color="auto"/>
              <w:right w:val="single" w:sz="4" w:space="0" w:color="auto"/>
            </w:tcBorders>
          </w:tcPr>
          <w:p w:rsidR="00A9063F" w:rsidRPr="00FD6741" w:rsidRDefault="00A9063F">
            <w:pPr>
              <w:jc w:val="center"/>
            </w:pPr>
            <w:r w:rsidRPr="00FD6741">
              <w:t>2</w:t>
            </w:r>
          </w:p>
        </w:tc>
        <w:tc>
          <w:tcPr>
            <w:tcW w:w="709" w:type="dxa"/>
            <w:tcBorders>
              <w:top w:val="single" w:sz="4" w:space="0" w:color="auto"/>
              <w:left w:val="single" w:sz="4" w:space="0" w:color="auto"/>
              <w:bottom w:val="single" w:sz="4" w:space="0" w:color="auto"/>
              <w:right w:val="single" w:sz="12" w:space="0" w:color="auto"/>
            </w:tcBorders>
          </w:tcPr>
          <w:p w:rsidR="00A9063F" w:rsidRPr="00FD6741" w:rsidRDefault="00A9063F">
            <w:pPr>
              <w:jc w:val="center"/>
            </w:pPr>
            <w:r w:rsidRPr="00FD6741">
              <w:t>3</w:t>
            </w:r>
          </w:p>
        </w:tc>
        <w:tc>
          <w:tcPr>
            <w:tcW w:w="850" w:type="dxa"/>
            <w:tcBorders>
              <w:top w:val="single" w:sz="4" w:space="0" w:color="auto"/>
              <w:left w:val="nil"/>
              <w:bottom w:val="single" w:sz="4" w:space="0" w:color="auto"/>
              <w:right w:val="single" w:sz="4" w:space="0" w:color="auto"/>
            </w:tcBorders>
          </w:tcPr>
          <w:p w:rsidR="00A9063F" w:rsidRPr="00FD6741" w:rsidRDefault="00A9063F">
            <w:pPr>
              <w:jc w:val="center"/>
            </w:pPr>
            <w:r w:rsidRPr="00FD6741">
              <w:t>4</w:t>
            </w:r>
          </w:p>
        </w:tc>
        <w:tc>
          <w:tcPr>
            <w:tcW w:w="702" w:type="dxa"/>
            <w:tcBorders>
              <w:top w:val="single" w:sz="4" w:space="0" w:color="auto"/>
              <w:left w:val="single" w:sz="4" w:space="0" w:color="auto"/>
              <w:bottom w:val="single" w:sz="4" w:space="0" w:color="auto"/>
              <w:right w:val="single" w:sz="4" w:space="0" w:color="auto"/>
            </w:tcBorders>
          </w:tcPr>
          <w:p w:rsidR="00A9063F" w:rsidRPr="00FD6741" w:rsidRDefault="00A9063F">
            <w:pPr>
              <w:pStyle w:val="Zkladntext2"/>
              <w:spacing w:line="240" w:lineRule="exact"/>
              <w:rPr>
                <w:sz w:val="24"/>
                <w:szCs w:val="24"/>
              </w:rPr>
            </w:pPr>
            <w:r w:rsidRPr="00FD6741">
              <w:rPr>
                <w:sz w:val="24"/>
                <w:szCs w:val="24"/>
              </w:rPr>
              <w:t>5</w:t>
            </w:r>
          </w:p>
        </w:tc>
        <w:tc>
          <w:tcPr>
            <w:tcW w:w="5110" w:type="dxa"/>
            <w:tcBorders>
              <w:top w:val="single" w:sz="4" w:space="0" w:color="auto"/>
              <w:left w:val="single" w:sz="4" w:space="0" w:color="auto"/>
              <w:bottom w:val="single" w:sz="4" w:space="0" w:color="auto"/>
              <w:right w:val="single" w:sz="4" w:space="0" w:color="auto"/>
            </w:tcBorders>
          </w:tcPr>
          <w:p w:rsidR="00A9063F" w:rsidRPr="00FD6741" w:rsidRDefault="00A9063F">
            <w:pPr>
              <w:pStyle w:val="Zkladntext2"/>
              <w:spacing w:line="240" w:lineRule="exact"/>
              <w:rPr>
                <w:sz w:val="24"/>
                <w:szCs w:val="24"/>
              </w:rPr>
            </w:pPr>
            <w:r w:rsidRPr="00FD6741">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A9063F">
            <w:pPr>
              <w:jc w:val="center"/>
            </w:pPr>
            <w:r w:rsidRPr="00FD6741">
              <w:t>7</w:t>
            </w:r>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5170A9">
            <w:pPr>
              <w:jc w:val="center"/>
            </w:pPr>
            <w:r w:rsidRPr="00FD6741">
              <w:t>8</w:t>
            </w:r>
          </w:p>
        </w:tc>
      </w:tr>
      <w:tr w:rsidR="00A9063F" w:rsidRPr="00D203E0" w:rsidTr="002375DC">
        <w:tc>
          <w:tcPr>
            <w:tcW w:w="682" w:type="dxa"/>
            <w:tcBorders>
              <w:top w:val="single" w:sz="4" w:space="0" w:color="auto"/>
              <w:left w:val="single" w:sz="12"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Článok</w:t>
            </w:r>
          </w:p>
          <w:p w:rsidR="00A9063F" w:rsidRPr="00FD6741" w:rsidRDefault="00A9063F">
            <w:pPr>
              <w:pStyle w:val="Normlny0"/>
              <w:jc w:val="center"/>
              <w:rPr>
                <w:sz w:val="24"/>
                <w:szCs w:val="24"/>
              </w:rPr>
            </w:pPr>
            <w:r w:rsidRPr="00FD6741">
              <w:rPr>
                <w:sz w:val="24"/>
                <w:szCs w:val="24"/>
              </w:rPr>
              <w:t>(Č, O,</w:t>
            </w:r>
          </w:p>
          <w:p w:rsidR="00A9063F" w:rsidRPr="00FD6741" w:rsidRDefault="00A9063F">
            <w:pPr>
              <w:pStyle w:val="Normlny0"/>
              <w:jc w:val="center"/>
              <w:rPr>
                <w:sz w:val="24"/>
                <w:szCs w:val="24"/>
              </w:rPr>
            </w:pPr>
            <w:r w:rsidRPr="00FD6741">
              <w:rPr>
                <w:sz w:val="24"/>
                <w:szCs w:val="24"/>
              </w:rPr>
              <w:t>V, P)</w:t>
            </w:r>
          </w:p>
        </w:tc>
        <w:tc>
          <w:tcPr>
            <w:tcW w:w="6237" w:type="dxa"/>
            <w:gridSpan w:val="2"/>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Text</w:t>
            </w:r>
          </w:p>
        </w:tc>
        <w:tc>
          <w:tcPr>
            <w:tcW w:w="709"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ormlny0"/>
              <w:jc w:val="center"/>
              <w:rPr>
                <w:sz w:val="24"/>
                <w:szCs w:val="24"/>
              </w:rPr>
            </w:pPr>
            <w:r w:rsidRPr="00FD6741">
              <w:rPr>
                <w:sz w:val="24"/>
                <w:szCs w:val="24"/>
              </w:rPr>
              <w:t>Spôsob transp.</w:t>
            </w:r>
          </w:p>
          <w:p w:rsidR="00A9063F" w:rsidRPr="00FD6741" w:rsidRDefault="00A9063F">
            <w:pPr>
              <w:pStyle w:val="Normlny0"/>
              <w:jc w:val="center"/>
              <w:rPr>
                <w:sz w:val="24"/>
                <w:szCs w:val="24"/>
              </w:rPr>
            </w:pPr>
            <w:r w:rsidRPr="00FD6741">
              <w:rPr>
                <w:sz w:val="24"/>
                <w:szCs w:val="24"/>
              </w:rPr>
              <w:t>(N, O, D, n.a.)</w:t>
            </w:r>
          </w:p>
        </w:tc>
        <w:tc>
          <w:tcPr>
            <w:tcW w:w="850" w:type="dxa"/>
            <w:tcBorders>
              <w:top w:val="single" w:sz="4" w:space="0" w:color="auto"/>
              <w:left w:val="nil"/>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Číslo</w:t>
            </w:r>
          </w:p>
          <w:p w:rsidR="00A9063F" w:rsidRPr="00FD6741" w:rsidRDefault="00A9063F">
            <w:pPr>
              <w:pStyle w:val="Normlny0"/>
              <w:jc w:val="center"/>
              <w:rPr>
                <w:sz w:val="24"/>
                <w:szCs w:val="24"/>
              </w:rPr>
            </w:pPr>
            <w:r w:rsidRPr="00FD6741">
              <w:rPr>
                <w:sz w:val="24"/>
                <w:szCs w:val="24"/>
              </w:rPr>
              <w:t>predpisu</w:t>
            </w:r>
          </w:p>
        </w:tc>
        <w:tc>
          <w:tcPr>
            <w:tcW w:w="702"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Článok (Č, §, O, V, P)</w:t>
            </w:r>
          </w:p>
        </w:tc>
        <w:tc>
          <w:tcPr>
            <w:tcW w:w="5110"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Text</w:t>
            </w: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Zhoda</w:t>
            </w:r>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ormlny0"/>
              <w:jc w:val="center"/>
              <w:rPr>
                <w:sz w:val="24"/>
                <w:szCs w:val="24"/>
              </w:rPr>
            </w:pPr>
            <w:r w:rsidRPr="00FD6741">
              <w:rPr>
                <w:sz w:val="24"/>
                <w:szCs w:val="24"/>
              </w:rPr>
              <w:t>Poznámky</w:t>
            </w:r>
          </w:p>
        </w:tc>
      </w:tr>
      <w:tr w:rsidR="00A9063F" w:rsidRPr="00D203E0" w:rsidTr="002375DC">
        <w:tc>
          <w:tcPr>
            <w:tcW w:w="682" w:type="dxa"/>
            <w:tcBorders>
              <w:top w:val="single" w:sz="4" w:space="0" w:color="auto"/>
              <w:left w:val="single" w:sz="12" w:space="0" w:color="auto"/>
              <w:bottom w:val="single" w:sz="4" w:space="0" w:color="auto"/>
              <w:right w:val="single" w:sz="4" w:space="0" w:color="auto"/>
            </w:tcBorders>
          </w:tcPr>
          <w:p w:rsidR="00A9063F" w:rsidRPr="00FD6741" w:rsidRDefault="00153B33">
            <w:pPr>
              <w:jc w:val="center"/>
            </w:pPr>
            <w:r w:rsidRPr="00FD6741">
              <w:t>Čl.8</w:t>
            </w:r>
            <w:r w:rsidR="00463DF1">
              <w:t xml:space="preserve"> </w:t>
            </w:r>
            <w:r w:rsidR="00463DF1" w:rsidRPr="007022C6">
              <w:t>ods.1 až 5</w:t>
            </w:r>
          </w:p>
        </w:tc>
        <w:tc>
          <w:tcPr>
            <w:tcW w:w="6237" w:type="dxa"/>
            <w:gridSpan w:val="2"/>
            <w:tcBorders>
              <w:top w:val="single" w:sz="4" w:space="0" w:color="auto"/>
              <w:left w:val="single" w:sz="4" w:space="0" w:color="auto"/>
              <w:bottom w:val="single" w:sz="4" w:space="0" w:color="auto"/>
              <w:right w:val="single" w:sz="4" w:space="0" w:color="auto"/>
            </w:tcBorders>
          </w:tcPr>
          <w:p w:rsidR="002375DC" w:rsidRPr="00FD6741" w:rsidRDefault="002375DC" w:rsidP="00250F0E">
            <w:pPr>
              <w:pStyle w:val="CM4"/>
              <w:spacing w:before="60" w:after="60"/>
              <w:jc w:val="both"/>
              <w:rPr>
                <w:rFonts w:ascii="Times New Roman" w:hAnsi="Times New Roman"/>
                <w:color w:val="000000"/>
              </w:rPr>
            </w:pPr>
            <w:r w:rsidRPr="00FD6741">
              <w:rPr>
                <w:rFonts w:ascii="Times New Roman" w:hAnsi="Times New Roman"/>
                <w:color w:val="000000"/>
              </w:rPr>
              <w:t xml:space="preserve">1. Pri zlučovaní, rozdeľovaní alebo výmene akcií samotné pridelenie cenných papierov, ktoré predstavujú kapitál prijímajúcej alebo nadobúdajúcej spoločnosti, akcionárovi prevádzajúcej alebo nadobudnutej spoločnosti výmenou za cenné papiere predstavujúce kapitál prevádzajúcej alebo nadobudnutej spoločnosti nevedie k zdaneniu príjmu, ziskov ani kapitálových ziskov tohto akcionára. </w:t>
            </w:r>
          </w:p>
          <w:p w:rsidR="002375DC" w:rsidRPr="00FD6741" w:rsidRDefault="002375DC" w:rsidP="00250F0E">
            <w:pPr>
              <w:pStyle w:val="CM4"/>
              <w:spacing w:before="60" w:after="60"/>
              <w:jc w:val="both"/>
              <w:rPr>
                <w:rFonts w:ascii="Times New Roman" w:hAnsi="Times New Roman"/>
                <w:color w:val="000000"/>
              </w:rPr>
            </w:pPr>
            <w:r w:rsidRPr="00FD6741">
              <w:rPr>
                <w:rFonts w:ascii="Times New Roman" w:hAnsi="Times New Roman"/>
                <w:color w:val="000000"/>
              </w:rPr>
              <w:t xml:space="preserve">2. Pri čiastočnom rozdelení samotné pridelenie cenných papierov, ktoré predstavujú kapitál prijímajúcej spoločnosti, akcionárovi prevádzajúcej spoločnosti nevedie k zdaneniu príjmu, ziskov ani kapitálových ziskov tohto akcionára. </w:t>
            </w:r>
          </w:p>
          <w:p w:rsidR="002375DC" w:rsidRPr="00FD6741" w:rsidRDefault="002375DC" w:rsidP="00250F0E">
            <w:pPr>
              <w:pStyle w:val="CM4"/>
              <w:spacing w:before="60" w:after="60"/>
              <w:jc w:val="both"/>
              <w:rPr>
                <w:rFonts w:ascii="Times New Roman" w:hAnsi="Times New Roman"/>
                <w:color w:val="000000"/>
              </w:rPr>
            </w:pPr>
            <w:r w:rsidRPr="00FD6741">
              <w:rPr>
                <w:rFonts w:ascii="Times New Roman" w:hAnsi="Times New Roman"/>
                <w:color w:val="000000"/>
              </w:rPr>
              <w:lastRenderedPageBreak/>
              <w:t xml:space="preserve">3. Ak členský štát považuje akcionára za daňovo transparentného na základe svojho hodnotenia právnych charakteristík tohto akcionára vyplývajúcich z práva, podľa ktorého vznikol, a preto zdaňuje tieto osoby, ktoré majú účasť na akcionároch, z ich podielu na ziskoch akcionára, pokiaľ tieto zisky vznikli, a podľa doby, kedy vznikli, tento členský štát nezdaní príjem, zisky alebo kapitálové zisky plynúce z pridelenia cenných papierov predstavujúcich kapitál prijímajúcej alebo nadobúdajúcej spoločnosti, u týchto osôb. </w:t>
            </w:r>
          </w:p>
          <w:p w:rsidR="002375DC" w:rsidRPr="00FD6741" w:rsidRDefault="002375DC" w:rsidP="00250F0E">
            <w:pPr>
              <w:pStyle w:val="CM4"/>
              <w:spacing w:before="60" w:after="60"/>
              <w:jc w:val="both"/>
              <w:rPr>
                <w:rFonts w:ascii="Times New Roman" w:hAnsi="Times New Roman"/>
                <w:color w:val="000000"/>
              </w:rPr>
            </w:pPr>
            <w:r w:rsidRPr="00FD6741">
              <w:rPr>
                <w:rFonts w:ascii="Times New Roman" w:hAnsi="Times New Roman"/>
                <w:color w:val="000000"/>
              </w:rPr>
              <w:t xml:space="preserve">4. Odseky 1 a 3 sa uplatňuje len vtedy, ak akcionár nepripisuje získaným cenným papierom väčšiu hodnotu na daňové účely, ako mali vymenené cenné papiere bezprostredne pred zlúčením, rozdelením alebo výmenou akcií. </w:t>
            </w:r>
          </w:p>
          <w:p w:rsidR="002375DC" w:rsidRPr="00FD6741" w:rsidRDefault="002375DC" w:rsidP="00250F0E">
            <w:pPr>
              <w:pStyle w:val="CM4"/>
              <w:spacing w:before="60" w:after="60"/>
              <w:jc w:val="both"/>
              <w:rPr>
                <w:rFonts w:ascii="Times New Roman" w:hAnsi="Times New Roman"/>
                <w:color w:val="000000"/>
              </w:rPr>
            </w:pPr>
            <w:r w:rsidRPr="00FD6741">
              <w:rPr>
                <w:rFonts w:ascii="Times New Roman" w:hAnsi="Times New Roman"/>
                <w:color w:val="000000"/>
              </w:rPr>
              <w:t xml:space="preserve">5. Odseky 2 a 3 sa uplatňujú len vtedy, ak akcionár nepripisuje súčtu získaných cenných papierov a cenných papierov vo vlastníctve prevádzajúcej spoločnosti väčšiu hodnotu na daňové účely, ako mali vymenené cenné papiere v prijímajúcej spoločnosti bezprostredne pred čiastočným rozdelením. </w:t>
            </w:r>
          </w:p>
          <w:p w:rsidR="00A9063F" w:rsidRPr="00FD6741" w:rsidRDefault="00A9063F" w:rsidP="00463DF1">
            <w:pPr>
              <w:pStyle w:val="Default"/>
              <w:jc w:val="both"/>
            </w:pPr>
          </w:p>
        </w:tc>
        <w:tc>
          <w:tcPr>
            <w:tcW w:w="709" w:type="dxa"/>
            <w:tcBorders>
              <w:top w:val="single" w:sz="4" w:space="0" w:color="auto"/>
              <w:left w:val="single" w:sz="4" w:space="0" w:color="auto"/>
              <w:bottom w:val="single" w:sz="4" w:space="0" w:color="auto"/>
              <w:right w:val="single" w:sz="12" w:space="0" w:color="auto"/>
            </w:tcBorders>
          </w:tcPr>
          <w:p w:rsidR="00A9063F" w:rsidRPr="00FD6741" w:rsidRDefault="000C668D">
            <w:pPr>
              <w:jc w:val="center"/>
            </w:pPr>
            <w:r w:rsidRPr="00FD6741">
              <w:lastRenderedPageBreak/>
              <w:t xml:space="preserve">N </w:t>
            </w:r>
          </w:p>
        </w:tc>
        <w:tc>
          <w:tcPr>
            <w:tcW w:w="850" w:type="dxa"/>
            <w:tcBorders>
              <w:top w:val="single" w:sz="4" w:space="0" w:color="auto"/>
              <w:left w:val="nil"/>
              <w:bottom w:val="single" w:sz="4" w:space="0" w:color="auto"/>
              <w:right w:val="single" w:sz="4" w:space="0" w:color="auto"/>
            </w:tcBorders>
          </w:tcPr>
          <w:p w:rsidR="00A9063F" w:rsidRDefault="000C668D">
            <w:pPr>
              <w:jc w:val="center"/>
            </w:pPr>
            <w:r w:rsidRPr="00FD6741">
              <w:t>595</w:t>
            </w:r>
            <w:r w:rsidR="00196055">
              <w:t xml:space="preserve">/ </w:t>
            </w:r>
            <w:r w:rsidRPr="00FD6741">
              <w:t>2003</w:t>
            </w: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rPr>
                <w:b/>
              </w:rPr>
            </w:pPr>
          </w:p>
          <w:p w:rsidR="008D46FD" w:rsidRDefault="008D46FD">
            <w:pPr>
              <w:jc w:val="center"/>
              <w:rPr>
                <w:b/>
              </w:rPr>
            </w:pPr>
          </w:p>
          <w:p w:rsidR="008D46FD" w:rsidRDefault="008D46FD">
            <w:pPr>
              <w:jc w:val="center"/>
              <w:rPr>
                <w:b/>
              </w:rPr>
            </w:pPr>
          </w:p>
          <w:p w:rsidR="008D46FD" w:rsidRDefault="008D46FD">
            <w:pPr>
              <w:jc w:val="center"/>
              <w:rPr>
                <w:b/>
              </w:rPr>
            </w:pPr>
          </w:p>
          <w:p w:rsidR="00463DF1" w:rsidRDefault="00463DF1">
            <w:pPr>
              <w:jc w:val="center"/>
              <w:rPr>
                <w:b/>
              </w:rPr>
            </w:pPr>
          </w:p>
          <w:p w:rsidR="008D46FD" w:rsidRDefault="008D46FD">
            <w:pPr>
              <w:jc w:val="center"/>
              <w:rPr>
                <w:b/>
              </w:rPr>
            </w:pPr>
          </w:p>
          <w:p w:rsidR="00463DF1" w:rsidRPr="007022C6" w:rsidRDefault="00196055">
            <w:pPr>
              <w:jc w:val="center"/>
            </w:pPr>
            <w:r w:rsidRPr="007022C6">
              <w:t>595/</w:t>
            </w:r>
          </w:p>
          <w:p w:rsidR="008D46FD" w:rsidRPr="008D46FD" w:rsidRDefault="00196055">
            <w:pPr>
              <w:jc w:val="center"/>
              <w:rPr>
                <w:b/>
              </w:rPr>
            </w:pPr>
            <w:r w:rsidRPr="007022C6">
              <w:t>2003 a</w:t>
            </w:r>
            <w:r w:rsidRPr="007022C6">
              <w:rPr>
                <w:b/>
              </w:rPr>
              <w:t xml:space="preserve"> </w:t>
            </w:r>
            <w:r w:rsidR="00463DF1" w:rsidRPr="007022C6">
              <w:rPr>
                <w:b/>
              </w:rPr>
              <w:t>n</w:t>
            </w:r>
            <w:r w:rsidR="008D46FD" w:rsidRPr="007022C6">
              <w:rPr>
                <w:b/>
              </w:rPr>
              <w:t>ávrh zákona</w:t>
            </w:r>
            <w:r w:rsidR="00463DF1" w:rsidRPr="007022C6">
              <w:rPr>
                <w:b/>
              </w:rPr>
              <w:t xml:space="preserve"> čl.I</w:t>
            </w:r>
          </w:p>
        </w:tc>
        <w:tc>
          <w:tcPr>
            <w:tcW w:w="702" w:type="dxa"/>
            <w:tcBorders>
              <w:top w:val="single" w:sz="4" w:space="0" w:color="auto"/>
              <w:left w:val="single" w:sz="4" w:space="0" w:color="auto"/>
              <w:bottom w:val="single" w:sz="4" w:space="0" w:color="auto"/>
              <w:right w:val="single" w:sz="4" w:space="0" w:color="auto"/>
            </w:tcBorders>
          </w:tcPr>
          <w:p w:rsidR="000C668D" w:rsidRPr="00FD6741" w:rsidRDefault="00250F0E">
            <w:pPr>
              <w:pStyle w:val="Normlny0"/>
              <w:jc w:val="center"/>
              <w:rPr>
                <w:sz w:val="24"/>
                <w:szCs w:val="24"/>
              </w:rPr>
            </w:pPr>
            <w:r>
              <w:rPr>
                <w:sz w:val="24"/>
                <w:szCs w:val="24"/>
              </w:rPr>
              <w:lastRenderedPageBreak/>
              <w:t>§ 3 ods.2 pís</w:t>
            </w:r>
            <w:r w:rsidR="00EF6398">
              <w:rPr>
                <w:sz w:val="24"/>
                <w:szCs w:val="24"/>
              </w:rPr>
              <w:t>m</w:t>
            </w:r>
            <w:r>
              <w:rPr>
                <w:sz w:val="24"/>
                <w:szCs w:val="24"/>
              </w:rPr>
              <w:t>.</w:t>
            </w:r>
            <w:r w:rsidR="00EF6398">
              <w:rPr>
                <w:sz w:val="24"/>
                <w:szCs w:val="24"/>
              </w:rPr>
              <w:t xml:space="preserve"> </w:t>
            </w:r>
            <w:r>
              <w:rPr>
                <w:sz w:val="24"/>
                <w:szCs w:val="24"/>
              </w:rPr>
              <w:t>d</w:t>
            </w:r>
            <w:r w:rsidR="000C668D" w:rsidRPr="00FD6741">
              <w:rPr>
                <w:sz w:val="24"/>
                <w:szCs w:val="24"/>
              </w:rPr>
              <w:t xml:space="preserve">)    </w:t>
            </w:r>
          </w:p>
          <w:p w:rsidR="000C668D" w:rsidRPr="00FD6741" w:rsidRDefault="000C668D">
            <w:pPr>
              <w:pStyle w:val="Normlny0"/>
              <w:jc w:val="center"/>
              <w:rPr>
                <w:sz w:val="24"/>
                <w:szCs w:val="24"/>
              </w:rPr>
            </w:pPr>
          </w:p>
          <w:p w:rsidR="000C668D" w:rsidRPr="00FD6741" w:rsidRDefault="000C668D">
            <w:pPr>
              <w:pStyle w:val="Normlny0"/>
              <w:jc w:val="center"/>
              <w:rPr>
                <w:sz w:val="24"/>
                <w:szCs w:val="24"/>
              </w:rPr>
            </w:pPr>
          </w:p>
          <w:p w:rsidR="000C668D" w:rsidRPr="00FD6741" w:rsidRDefault="000C668D">
            <w:pPr>
              <w:pStyle w:val="Normlny0"/>
              <w:jc w:val="center"/>
              <w:rPr>
                <w:sz w:val="24"/>
                <w:szCs w:val="24"/>
              </w:rPr>
            </w:pPr>
          </w:p>
          <w:p w:rsidR="000C668D" w:rsidRPr="00FD6741" w:rsidRDefault="000C668D">
            <w:pPr>
              <w:pStyle w:val="Normlny0"/>
              <w:jc w:val="center"/>
              <w:rPr>
                <w:sz w:val="24"/>
                <w:szCs w:val="24"/>
              </w:rPr>
            </w:pPr>
          </w:p>
          <w:p w:rsidR="000C668D" w:rsidRDefault="000C668D">
            <w:pPr>
              <w:pStyle w:val="Normlny0"/>
              <w:jc w:val="center"/>
              <w:rPr>
                <w:sz w:val="24"/>
                <w:szCs w:val="24"/>
              </w:rPr>
            </w:pPr>
          </w:p>
          <w:p w:rsidR="00A10B79" w:rsidRDefault="000C668D">
            <w:pPr>
              <w:pStyle w:val="Normlny0"/>
              <w:jc w:val="center"/>
              <w:rPr>
                <w:sz w:val="24"/>
                <w:szCs w:val="24"/>
              </w:rPr>
            </w:pPr>
            <w:r w:rsidRPr="00FD6741">
              <w:rPr>
                <w:sz w:val="24"/>
                <w:szCs w:val="24"/>
              </w:rPr>
              <w:t>§ 12 ods.7</w:t>
            </w:r>
          </w:p>
          <w:p w:rsidR="00A9063F" w:rsidRDefault="000C668D">
            <w:pPr>
              <w:pStyle w:val="Normlny0"/>
              <w:jc w:val="center"/>
              <w:rPr>
                <w:sz w:val="24"/>
                <w:szCs w:val="24"/>
              </w:rPr>
            </w:pPr>
            <w:r w:rsidRPr="00FD6741">
              <w:rPr>
                <w:sz w:val="24"/>
                <w:szCs w:val="24"/>
              </w:rPr>
              <w:lastRenderedPageBreak/>
              <w:t xml:space="preserve"> pís</w:t>
            </w:r>
            <w:r w:rsidR="00EF6398">
              <w:rPr>
                <w:sz w:val="24"/>
                <w:szCs w:val="24"/>
              </w:rPr>
              <w:t>m</w:t>
            </w:r>
            <w:r w:rsidRPr="00FD6741">
              <w:rPr>
                <w:sz w:val="24"/>
                <w:szCs w:val="24"/>
              </w:rPr>
              <w:t>.</w:t>
            </w:r>
            <w:r w:rsidR="00EF6398">
              <w:rPr>
                <w:sz w:val="24"/>
                <w:szCs w:val="24"/>
              </w:rPr>
              <w:t xml:space="preserve"> </w:t>
            </w:r>
            <w:r w:rsidRPr="00FD6741">
              <w:rPr>
                <w:sz w:val="24"/>
                <w:szCs w:val="24"/>
              </w:rPr>
              <w:t xml:space="preserve">d) </w:t>
            </w: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463DF1" w:rsidRDefault="00463DF1">
            <w:pPr>
              <w:pStyle w:val="Normlny0"/>
              <w:jc w:val="center"/>
              <w:rPr>
                <w:sz w:val="24"/>
                <w:szCs w:val="24"/>
              </w:rPr>
            </w:pPr>
          </w:p>
          <w:p w:rsidR="008D46FD" w:rsidRDefault="008D46FD">
            <w:pPr>
              <w:pStyle w:val="Normlny0"/>
              <w:jc w:val="center"/>
              <w:rPr>
                <w:sz w:val="24"/>
                <w:szCs w:val="24"/>
              </w:rPr>
            </w:pPr>
          </w:p>
          <w:p w:rsidR="00463DF1" w:rsidRDefault="00463DF1" w:rsidP="00463DF1">
            <w:pPr>
              <w:pStyle w:val="Normlny0"/>
              <w:jc w:val="center"/>
              <w:rPr>
                <w:b/>
                <w:sz w:val="24"/>
                <w:szCs w:val="24"/>
              </w:rPr>
            </w:pPr>
            <w:r>
              <w:rPr>
                <w:b/>
                <w:sz w:val="24"/>
                <w:szCs w:val="24"/>
              </w:rPr>
              <w:t xml:space="preserve">§ 25a </w:t>
            </w:r>
          </w:p>
          <w:p w:rsidR="00463DF1" w:rsidRDefault="00463DF1" w:rsidP="00463DF1">
            <w:pPr>
              <w:pStyle w:val="Normlny0"/>
              <w:jc w:val="center"/>
              <w:rPr>
                <w:b/>
                <w:sz w:val="24"/>
                <w:szCs w:val="24"/>
              </w:rPr>
            </w:pPr>
          </w:p>
          <w:p w:rsidR="008D46FD" w:rsidRPr="008D46FD" w:rsidRDefault="00463DF1" w:rsidP="00463DF1">
            <w:pPr>
              <w:pStyle w:val="Normlny0"/>
              <w:jc w:val="center"/>
              <w:rPr>
                <w:b/>
                <w:sz w:val="24"/>
                <w:szCs w:val="24"/>
              </w:rPr>
            </w:pPr>
            <w:r>
              <w:rPr>
                <w:b/>
                <w:sz w:val="24"/>
                <w:szCs w:val="24"/>
              </w:rPr>
              <w:t xml:space="preserve">písm. e) </w:t>
            </w:r>
          </w:p>
        </w:tc>
        <w:tc>
          <w:tcPr>
            <w:tcW w:w="5110" w:type="dxa"/>
            <w:tcBorders>
              <w:top w:val="single" w:sz="4" w:space="0" w:color="auto"/>
              <w:left w:val="single" w:sz="4" w:space="0" w:color="auto"/>
              <w:bottom w:val="single" w:sz="4" w:space="0" w:color="auto"/>
              <w:right w:val="single" w:sz="4" w:space="0" w:color="auto"/>
            </w:tcBorders>
          </w:tcPr>
          <w:p w:rsidR="00A9063F" w:rsidRPr="00FD6741" w:rsidRDefault="000C668D">
            <w:pPr>
              <w:pStyle w:val="Normlny0"/>
              <w:jc w:val="both"/>
              <w:rPr>
                <w:color w:val="000000"/>
                <w:sz w:val="24"/>
                <w:szCs w:val="24"/>
              </w:rPr>
            </w:pPr>
            <w:r w:rsidRPr="00FD6741">
              <w:rPr>
                <w:color w:val="000000"/>
                <w:sz w:val="24"/>
                <w:szCs w:val="24"/>
              </w:rPr>
              <w:lastRenderedPageBreak/>
              <w:t>Predmetom dane nie je</w:t>
            </w:r>
          </w:p>
          <w:p w:rsidR="000C668D" w:rsidRPr="00FD6741" w:rsidRDefault="000C668D">
            <w:pPr>
              <w:pStyle w:val="Normlny0"/>
              <w:jc w:val="both"/>
              <w:rPr>
                <w:color w:val="000000"/>
                <w:sz w:val="24"/>
                <w:szCs w:val="24"/>
              </w:rPr>
            </w:pPr>
            <w:r w:rsidRPr="00FD6741">
              <w:rPr>
                <w:color w:val="000000"/>
                <w:sz w:val="24"/>
                <w:szCs w:val="24"/>
              </w:rPr>
              <w:t>príjem plynúci z dôvodu nadobudnutia nových akcií</w:t>
            </w:r>
            <w:r w:rsidRPr="007022C6">
              <w:rPr>
                <w:color w:val="000000"/>
                <w:sz w:val="24"/>
                <w:szCs w:val="24"/>
                <w:vertAlign w:val="superscript"/>
              </w:rPr>
              <w:t>7</w:t>
            </w:r>
            <w:r w:rsidRPr="00FD6741">
              <w:rPr>
                <w:color w:val="000000"/>
                <w:sz w:val="24"/>
                <w:szCs w:val="24"/>
              </w:rPr>
              <w:t>) a podielov</w:t>
            </w:r>
            <w:r w:rsidRPr="007022C6">
              <w:rPr>
                <w:color w:val="000000"/>
                <w:sz w:val="24"/>
                <w:szCs w:val="24"/>
                <w:vertAlign w:val="superscript"/>
              </w:rPr>
              <w:t>7a</w:t>
            </w:r>
            <w:r w:rsidRPr="00FD6741">
              <w:rPr>
                <w:color w:val="000000"/>
                <w:sz w:val="24"/>
                <w:szCs w:val="24"/>
              </w:rPr>
              <w:t>) ako aj príjem plynúci z dôvodu ich výmeny pri zrušení daňovníka bez likvidácie, a to aj vtedy, ak súčasťou splynutia, zlúčenia alebo rozdelenia spoločnosti je aj majetok spoločnosti so sídlom v členských štátoch Európskej únie.</w:t>
            </w:r>
          </w:p>
          <w:p w:rsidR="00B45003" w:rsidRPr="00FD6741" w:rsidRDefault="00B45003">
            <w:pPr>
              <w:pStyle w:val="Normlny0"/>
              <w:jc w:val="both"/>
              <w:rPr>
                <w:color w:val="000000"/>
                <w:sz w:val="24"/>
                <w:szCs w:val="24"/>
              </w:rPr>
            </w:pPr>
          </w:p>
          <w:p w:rsidR="00851356" w:rsidRPr="00FD6741" w:rsidRDefault="00851356" w:rsidP="00851356">
            <w:pPr>
              <w:pStyle w:val="Normlny0"/>
              <w:rPr>
                <w:color w:val="000000"/>
                <w:sz w:val="24"/>
                <w:szCs w:val="24"/>
              </w:rPr>
            </w:pPr>
            <w:r w:rsidRPr="00FD6741">
              <w:rPr>
                <w:color w:val="000000"/>
                <w:sz w:val="24"/>
                <w:szCs w:val="24"/>
              </w:rPr>
              <w:t xml:space="preserve">Predmetom dane nie je, </w:t>
            </w:r>
            <w:r w:rsidRPr="00FD6741">
              <w:rPr>
                <w:color w:val="000000"/>
                <w:sz w:val="24"/>
                <w:szCs w:val="24"/>
              </w:rPr>
              <w:br/>
            </w:r>
          </w:p>
          <w:p w:rsidR="00B45003" w:rsidRPr="00FD6741" w:rsidRDefault="00B45003" w:rsidP="00250F0E">
            <w:pPr>
              <w:pStyle w:val="Normlny0"/>
              <w:jc w:val="both"/>
              <w:rPr>
                <w:color w:val="000000"/>
                <w:sz w:val="24"/>
                <w:szCs w:val="24"/>
              </w:rPr>
            </w:pPr>
            <w:r w:rsidRPr="00FD6741">
              <w:rPr>
                <w:color w:val="000000"/>
                <w:sz w:val="24"/>
                <w:szCs w:val="24"/>
              </w:rPr>
              <w:t xml:space="preserve"> príjem plynúci z dôvodu nadobudnutia nových akcií</w:t>
            </w:r>
            <w:r w:rsidRPr="007022C6">
              <w:rPr>
                <w:color w:val="000000"/>
                <w:sz w:val="24"/>
                <w:szCs w:val="24"/>
                <w:vertAlign w:val="superscript"/>
              </w:rPr>
              <w:t>7</w:t>
            </w:r>
            <w:r w:rsidRPr="00FD6741">
              <w:rPr>
                <w:color w:val="000000"/>
                <w:sz w:val="24"/>
                <w:szCs w:val="24"/>
              </w:rPr>
              <w:t>) a podielov</w:t>
            </w:r>
            <w:r w:rsidRPr="007022C6">
              <w:rPr>
                <w:color w:val="000000"/>
                <w:sz w:val="24"/>
                <w:szCs w:val="24"/>
                <w:vertAlign w:val="superscript"/>
              </w:rPr>
              <w:t>7a</w:t>
            </w:r>
            <w:r w:rsidRPr="00FD6741">
              <w:rPr>
                <w:color w:val="000000"/>
                <w:sz w:val="24"/>
                <w:szCs w:val="24"/>
              </w:rPr>
              <w:t xml:space="preserve">) ako aj príjem plynúci z dôvodu </w:t>
            </w:r>
            <w:r w:rsidRPr="00FD6741">
              <w:rPr>
                <w:color w:val="000000"/>
                <w:sz w:val="24"/>
                <w:szCs w:val="24"/>
              </w:rPr>
              <w:lastRenderedPageBreak/>
              <w:t>ich výmeny pri zrušení daňovníka bez likvidácie, a to aj vtedy, ak súčasťou splynutia, zlúčenia alebo rozdelenia spoločnosti je aj majetok spoločnosti so sídlom v členských štátoch Európskej únie.</w:t>
            </w:r>
          </w:p>
          <w:p w:rsidR="00851356" w:rsidRDefault="00851356" w:rsidP="00851356">
            <w:pPr>
              <w:pStyle w:val="Normlny0"/>
              <w:rPr>
                <w:sz w:val="24"/>
                <w:szCs w:val="24"/>
              </w:rPr>
            </w:pPr>
          </w:p>
          <w:p w:rsidR="008D46FD" w:rsidRDefault="008D46FD" w:rsidP="00851356">
            <w:pPr>
              <w:pStyle w:val="Normlny0"/>
              <w:rPr>
                <w:sz w:val="24"/>
                <w:szCs w:val="24"/>
              </w:rPr>
            </w:pPr>
          </w:p>
          <w:p w:rsidR="008D46FD" w:rsidRDefault="008D46FD" w:rsidP="00851356">
            <w:pPr>
              <w:pStyle w:val="Normlny0"/>
              <w:rPr>
                <w:sz w:val="24"/>
                <w:szCs w:val="24"/>
              </w:rPr>
            </w:pPr>
          </w:p>
          <w:p w:rsidR="008D46FD" w:rsidRDefault="008D46FD" w:rsidP="00851356">
            <w:pPr>
              <w:pStyle w:val="Normlny0"/>
              <w:rPr>
                <w:sz w:val="24"/>
                <w:szCs w:val="24"/>
              </w:rPr>
            </w:pPr>
          </w:p>
          <w:p w:rsidR="008D46FD" w:rsidRDefault="008D46FD" w:rsidP="00851356">
            <w:pPr>
              <w:pStyle w:val="Normlny0"/>
              <w:rPr>
                <w:sz w:val="24"/>
                <w:szCs w:val="24"/>
              </w:rPr>
            </w:pPr>
          </w:p>
          <w:p w:rsidR="00463DF1" w:rsidRDefault="00463DF1" w:rsidP="00851356">
            <w:pPr>
              <w:pStyle w:val="Normlny0"/>
              <w:rPr>
                <w:sz w:val="24"/>
                <w:szCs w:val="24"/>
              </w:rPr>
            </w:pPr>
          </w:p>
          <w:p w:rsidR="008D46FD" w:rsidRDefault="008D46FD" w:rsidP="00851356">
            <w:pPr>
              <w:pStyle w:val="Normlny0"/>
              <w:rPr>
                <w:sz w:val="24"/>
                <w:szCs w:val="24"/>
              </w:rPr>
            </w:pPr>
          </w:p>
          <w:p w:rsidR="008D46FD" w:rsidRDefault="008D46FD" w:rsidP="00851356">
            <w:pPr>
              <w:pStyle w:val="Normlny0"/>
              <w:rPr>
                <w:sz w:val="24"/>
                <w:szCs w:val="24"/>
              </w:rPr>
            </w:pPr>
          </w:p>
          <w:p w:rsidR="008D46FD" w:rsidRPr="00463DF1" w:rsidRDefault="008D46FD" w:rsidP="008D46FD">
            <w:pPr>
              <w:pStyle w:val="Normlny0"/>
              <w:jc w:val="both"/>
              <w:rPr>
                <w:sz w:val="24"/>
                <w:szCs w:val="24"/>
              </w:rPr>
            </w:pPr>
            <w:r w:rsidRPr="00463DF1">
              <w:rPr>
                <w:sz w:val="24"/>
                <w:szCs w:val="24"/>
              </w:rPr>
              <w:t>Vstupnou cenou finančného majetku</w:t>
            </w:r>
            <w:r w:rsidRPr="007022C6">
              <w:rPr>
                <w:sz w:val="24"/>
                <w:szCs w:val="24"/>
                <w:vertAlign w:val="superscript"/>
              </w:rPr>
              <w:t>1</w:t>
            </w:r>
            <w:r w:rsidRPr="00463DF1">
              <w:rPr>
                <w:sz w:val="24"/>
                <w:szCs w:val="24"/>
              </w:rPr>
              <w:t>) je</w:t>
            </w:r>
          </w:p>
          <w:p w:rsidR="008D46FD" w:rsidRPr="008D46FD" w:rsidRDefault="008D46FD" w:rsidP="008D46FD">
            <w:pPr>
              <w:pStyle w:val="Normlny0"/>
              <w:jc w:val="both"/>
              <w:rPr>
                <w:b/>
                <w:sz w:val="24"/>
                <w:szCs w:val="24"/>
              </w:rPr>
            </w:pPr>
          </w:p>
          <w:p w:rsidR="008D46FD" w:rsidRPr="008D46FD" w:rsidRDefault="008D46FD" w:rsidP="008D46FD">
            <w:pPr>
              <w:pStyle w:val="Normlny0"/>
              <w:jc w:val="both"/>
              <w:rPr>
                <w:b/>
                <w:sz w:val="24"/>
                <w:szCs w:val="24"/>
              </w:rPr>
            </w:pPr>
            <w:r w:rsidRPr="008D46FD">
              <w:rPr>
                <w:b/>
                <w:sz w:val="24"/>
                <w:szCs w:val="24"/>
              </w:rPr>
              <w:t>e) pôvodná cena, ak ide o finančný majetok,</w:t>
            </w:r>
            <w:r w:rsidRPr="000A38AD">
              <w:rPr>
                <w:b/>
                <w:sz w:val="24"/>
                <w:szCs w:val="24"/>
                <w:vertAlign w:val="superscript"/>
              </w:rPr>
              <w:t>1</w:t>
            </w:r>
            <w:r w:rsidRPr="008D46FD">
              <w:rPr>
                <w:b/>
                <w:sz w:val="24"/>
                <w:szCs w:val="24"/>
              </w:rPr>
              <w:t xml:space="preserve">) ktorý nadobudol </w:t>
            </w:r>
          </w:p>
          <w:p w:rsidR="008D46FD" w:rsidRDefault="008D46FD" w:rsidP="008D46FD">
            <w:pPr>
              <w:pStyle w:val="Normlny0"/>
              <w:jc w:val="both"/>
              <w:rPr>
                <w:b/>
                <w:sz w:val="24"/>
                <w:szCs w:val="24"/>
              </w:rPr>
            </w:pPr>
            <w:r w:rsidRPr="008D46FD">
              <w:rPr>
                <w:b/>
                <w:sz w:val="24"/>
                <w:szCs w:val="24"/>
              </w:rPr>
              <w:t>1.</w:t>
            </w:r>
            <w:r w:rsidRPr="008D46FD">
              <w:rPr>
                <w:b/>
                <w:sz w:val="24"/>
                <w:szCs w:val="24"/>
              </w:rPr>
              <w:tab/>
              <w:t>prijímateľ nepeňažného vkladu pri uplatnení pôvodných cien podľa § 17d a právny nástupca daňovníka zrušeného bez likvidácie pri uplatnení pôvodných cien podľa § 17e; finančný majetok,</w:t>
            </w:r>
            <w:r w:rsidRPr="000A38AD">
              <w:rPr>
                <w:b/>
                <w:sz w:val="24"/>
                <w:szCs w:val="24"/>
                <w:vertAlign w:val="superscript"/>
              </w:rPr>
              <w:t>1</w:t>
            </w:r>
            <w:r w:rsidRPr="008D46FD">
              <w:rPr>
                <w:b/>
                <w:sz w:val="24"/>
                <w:szCs w:val="24"/>
              </w:rPr>
              <w:t>) ktorý nadobúda vkladateľ nepeňažného vkladu, je ocenený pôvodnou cenou, ktorou sa rozumie celková hodnota nepeňažného vkladu vyjadrená v pôvodných cenách, ktorú preberá príjemca nepeňažného vkladu podľa § 17d,</w:t>
            </w:r>
          </w:p>
          <w:p w:rsidR="008D46FD" w:rsidRPr="00FD6741" w:rsidRDefault="008D46FD" w:rsidP="008D46FD">
            <w:pPr>
              <w:pStyle w:val="Normlny0"/>
              <w:jc w:val="both"/>
              <w:rPr>
                <w:sz w:val="24"/>
                <w:szCs w:val="24"/>
              </w:rPr>
            </w:pPr>
            <w:r w:rsidRPr="008D46FD">
              <w:rPr>
                <w:b/>
                <w:sz w:val="24"/>
                <w:szCs w:val="24"/>
              </w:rPr>
              <w:t>2.</w:t>
            </w:r>
            <w:r w:rsidRPr="008D46FD">
              <w:rPr>
                <w:b/>
                <w:sz w:val="24"/>
                <w:szCs w:val="24"/>
              </w:rPr>
              <w:tab/>
              <w:t>akcionár alebo spoločník daňovníka zrušeného bez likvidácie pri zlúčení, splynutí alebo rozdelení obchodných spoločností alebo družstiev na právnom nástupcovi daňovníka zrušeného bez likvidácie; pôvodnou cenou sa rozumie ocenenie akcií alebo</w:t>
            </w:r>
            <w:r w:rsidR="000A38AD">
              <w:rPr>
                <w:b/>
                <w:sz w:val="24"/>
                <w:szCs w:val="24"/>
              </w:rPr>
              <w:t xml:space="preserve"> podielu na daňové účely, ktorým</w:t>
            </w:r>
            <w:r w:rsidRPr="008D46FD">
              <w:rPr>
                <w:b/>
                <w:sz w:val="24"/>
                <w:szCs w:val="24"/>
              </w:rPr>
              <w:t xml:space="preserve"> boli akcie alebo podiel ocenené pred zlúčením, splynutím alebo rozdelením obchodných spoločností alebo družstiev,</w:t>
            </w: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0C668D">
            <w:pPr>
              <w:jc w:val="center"/>
            </w:pPr>
            <w:bookmarkStart w:id="0" w:name="_GoBack"/>
            <w:r w:rsidRPr="00FD6741">
              <w:lastRenderedPageBreak/>
              <w:t>Ú</w:t>
            </w:r>
            <w:bookmarkEnd w:id="0"/>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adpis1"/>
              <w:rPr>
                <w:b w:val="0"/>
                <w:bCs w:val="0"/>
              </w:rPr>
            </w:pPr>
          </w:p>
        </w:tc>
      </w:tr>
    </w:tbl>
    <w:p w:rsidR="008C54C3" w:rsidRPr="00D203E0" w:rsidRDefault="008C54C3">
      <w:pPr>
        <w:autoSpaceDE/>
        <w:autoSpaceDN/>
        <w:ind w:left="360"/>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D203E0">
        <w:tblPrEx>
          <w:tblCellMar>
            <w:top w:w="0" w:type="dxa"/>
            <w:bottom w:w="0" w:type="dxa"/>
          </w:tblCellMar>
        </w:tblPrEx>
        <w:tc>
          <w:tcPr>
            <w:tcW w:w="241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(1):</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článok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odsek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V – veta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 xml:space="preserve">P – </w:t>
            </w:r>
            <w:r w:rsidR="00DA0F6C" w:rsidRPr="00D203E0">
              <w:rPr>
                <w:rFonts w:ascii="Arial Narrow" w:hAnsi="Arial Narrow"/>
                <w:sz w:val="20"/>
                <w:szCs w:val="20"/>
              </w:rPr>
              <w:t>číslo</w:t>
            </w:r>
            <w:r w:rsidRPr="00D203E0">
              <w:rPr>
                <w:rFonts w:ascii="Arial Narrow" w:hAnsi="Arial Narrow"/>
                <w:sz w:val="20"/>
                <w:szCs w:val="20"/>
              </w:rPr>
              <w:t xml:space="preserve"> (</w:t>
            </w:r>
            <w:r w:rsidR="00DA0F6C" w:rsidRPr="00D203E0">
              <w:rPr>
                <w:rFonts w:ascii="Arial Narrow" w:hAnsi="Arial Narrow"/>
                <w:sz w:val="20"/>
                <w:szCs w:val="20"/>
              </w:rPr>
              <w:t>písmeno</w:t>
            </w:r>
            <w:r w:rsidRPr="00D203E0">
              <w:rPr>
                <w:rFonts w:ascii="Arial Narrow" w:hAnsi="Arial Narrow"/>
                <w:sz w:val="20"/>
                <w:szCs w:val="20"/>
              </w:rPr>
              <w:t>)</w:t>
            </w:r>
          </w:p>
          <w:p w:rsidR="008C54C3" w:rsidRPr="00D203E0" w:rsidRDefault="008C54C3">
            <w:pPr>
              <w:autoSpaceDE/>
              <w:autoSpaceDN/>
              <w:rPr>
                <w:rFonts w:ascii="Arial Narrow" w:hAnsi="Arial Narrow"/>
                <w:sz w:val="20"/>
                <w:szCs w:val="20"/>
              </w:rPr>
            </w:pPr>
          </w:p>
        </w:tc>
        <w:tc>
          <w:tcPr>
            <w:tcW w:w="378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(3):</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N – bežná transpozícia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transpozícia s možnosťou voľby</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D – transpozícia podľa úvahy (dobrovoľná)</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n.a. – transpozícia sa neuskutočňuje</w:t>
            </w:r>
          </w:p>
        </w:tc>
        <w:tc>
          <w:tcPr>
            <w:tcW w:w="234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(5):</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článok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 – paragraf</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odsek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V – veta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P – písmeno (číslo)</w:t>
            </w:r>
          </w:p>
        </w:tc>
        <w:tc>
          <w:tcPr>
            <w:tcW w:w="720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(7):</w:t>
            </w:r>
          </w:p>
          <w:p w:rsidR="008C54C3" w:rsidRPr="00D203E0" w:rsidRDefault="008C54C3" w:rsidP="008C54C3">
            <w:pPr>
              <w:autoSpaceDE/>
              <w:autoSpaceDN/>
              <w:ind w:left="290" w:hanging="290"/>
              <w:rPr>
                <w:rFonts w:ascii="Arial Narrow" w:hAnsi="Arial Narrow"/>
                <w:sz w:val="20"/>
                <w:szCs w:val="20"/>
              </w:rPr>
            </w:pPr>
            <w:r w:rsidRPr="00D203E0">
              <w:rPr>
                <w:rFonts w:ascii="Arial Narrow" w:hAnsi="Arial Narrow"/>
                <w:sz w:val="20"/>
                <w:szCs w:val="20"/>
              </w:rPr>
              <w:t>Ú – úplná zhoda (ak bolo ustanovenie smernice prebraté v celom rozsahu, správne, v príslušnej form</w:t>
            </w:r>
            <w:r w:rsidR="00391DC5" w:rsidRPr="00D203E0">
              <w:rPr>
                <w:rFonts w:ascii="Arial Narrow" w:hAnsi="Arial Narrow"/>
                <w:sz w:val="20"/>
                <w:szCs w:val="20"/>
              </w:rPr>
              <w:t>e</w:t>
            </w:r>
            <w:r w:rsidRPr="00D203E0">
              <w:rPr>
                <w:rFonts w:ascii="Arial Narrow" w:hAnsi="Arial Narrow"/>
                <w:sz w:val="20"/>
                <w:szCs w:val="20"/>
              </w:rPr>
              <w:t>, so zabezpečenou inštitucionálnou nfraštruktúrou, s príslušnými sankciami a vo vzájomnej súvislosti)</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čiastočná zhoda (ak minimálne jedna z podmienok úplnej zhody nie je splnená)</w:t>
            </w:r>
          </w:p>
          <w:p w:rsidR="008C54C3" w:rsidRPr="00D203E0" w:rsidRDefault="008C54C3">
            <w:pPr>
              <w:pStyle w:val="Zarkazkladnhotextu2"/>
              <w:rPr>
                <w:rFonts w:ascii="Arial Narrow" w:hAnsi="Arial Narrow"/>
              </w:rPr>
            </w:pPr>
            <w:r w:rsidRPr="00D203E0">
              <w:rPr>
                <w:rFonts w:ascii="Arial Narrow" w:hAnsi="Arial Narrow"/>
              </w:rPr>
              <w:t>Ž – žiadna zhoda (ak nebola dosiahnutá ani úplná ani čiast. zhoda alebo k prebratiu dôjde v budúcnosti)</w:t>
            </w:r>
          </w:p>
          <w:p w:rsidR="008C54C3" w:rsidRPr="00D203E0" w:rsidRDefault="008C54C3">
            <w:pPr>
              <w:autoSpaceDE/>
              <w:autoSpaceDN/>
              <w:ind w:left="290" w:hanging="290"/>
              <w:rPr>
                <w:rFonts w:ascii="Arial Narrow" w:hAnsi="Arial Narrow"/>
                <w:sz w:val="20"/>
                <w:szCs w:val="20"/>
              </w:rPr>
            </w:pPr>
            <w:r w:rsidRPr="00D203E0">
              <w:rPr>
                <w:rFonts w:ascii="Arial Narrow" w:hAnsi="Arial Narrow"/>
                <w:sz w:val="20"/>
                <w:szCs w:val="20"/>
              </w:rPr>
              <w:t>n.a. – neaplikovateľnosť (ak sa ustanovenie smernice netýka SR alebo nie je potrebné ho prebrať)</w:t>
            </w:r>
          </w:p>
        </w:tc>
      </w:tr>
    </w:tbl>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pStyle w:val="Hlavika"/>
        <w:tabs>
          <w:tab w:val="clear" w:pos="4536"/>
          <w:tab w:val="clear" w:pos="9072"/>
        </w:tabs>
        <w:autoSpaceDE/>
        <w:autoSpaceDN/>
        <w:rPr>
          <w:rFonts w:ascii="Arial Narrow" w:hAnsi="Arial Narrow"/>
          <w:sz w:val="20"/>
          <w:szCs w:val="20"/>
        </w:rPr>
      </w:pPr>
    </w:p>
    <w:sectPr w:rsidR="008C54C3" w:rsidRPr="00D203E0">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29E" w:rsidRDefault="00F7729E">
      <w:r>
        <w:separator/>
      </w:r>
    </w:p>
  </w:endnote>
  <w:endnote w:type="continuationSeparator" w:id="0">
    <w:p w:rsidR="00F7729E" w:rsidRDefault="00F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C3" w:rsidRDefault="008C54C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097A7A">
      <w:rPr>
        <w:rStyle w:val="slostrany"/>
        <w:noProof/>
      </w:rPr>
      <w:t>3</w:t>
    </w:r>
    <w:r>
      <w:rPr>
        <w:rStyle w:val="slostrany"/>
      </w:rPr>
      <w:fldChar w:fldCharType="end"/>
    </w:r>
  </w:p>
  <w:p w:rsidR="008C54C3" w:rsidRDefault="008C54C3">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29E" w:rsidRDefault="00F7729E">
      <w:r>
        <w:separator/>
      </w:r>
    </w:p>
  </w:footnote>
  <w:footnote w:type="continuationSeparator" w:id="0">
    <w:p w:rsidR="00F7729E" w:rsidRDefault="00F77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A132FF9"/>
    <w:multiLevelType w:val="hybridMultilevel"/>
    <w:tmpl w:val="5C242D56"/>
    <w:lvl w:ilvl="0" w:tplc="0A90A45E">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5"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6" w15:restartNumberingAfterBreak="0">
    <w:nsid w:val="1D127C22"/>
    <w:multiLevelType w:val="hybridMultilevel"/>
    <w:tmpl w:val="1E46A5B6"/>
    <w:lvl w:ilvl="0" w:tplc="A0D497C8">
      <w:start w:val="1"/>
      <w:numFmt w:val="decimal"/>
      <w:lvlText w:val="(%1)"/>
      <w:lvlJc w:val="left"/>
      <w:pPr>
        <w:ind w:left="36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626796"/>
    <w:multiLevelType w:val="hybridMultilevel"/>
    <w:tmpl w:val="DE6C70DC"/>
    <w:lvl w:ilvl="0" w:tplc="38AA26B8">
      <w:start w:val="1"/>
      <w:numFmt w:val="lowerLetter"/>
      <w:lvlText w:val="%1)"/>
      <w:lvlJc w:val="left"/>
      <w:pPr>
        <w:ind w:left="420" w:hanging="36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startOverride w:val="3"/>
    </w:lvlOverride>
  </w:num>
  <w:num w:numId="3">
    <w:abstractNumId w:val="8"/>
  </w:num>
  <w:num w:numId="4">
    <w:abstractNumId w:val="8"/>
    <w:lvlOverride w:ilvl="0">
      <w:startOverride w:val="2"/>
    </w:lvlOverride>
  </w:num>
  <w:num w:numId="5">
    <w:abstractNumId w:val="5"/>
  </w:num>
  <w:num w:numId="6">
    <w:abstractNumId w:val="5"/>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2"/>
  </w:num>
  <w:num w:numId="12">
    <w:abstractNumId w:val="3"/>
  </w:num>
  <w:num w:numId="13">
    <w:abstractNumId w:val="10"/>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0CA2"/>
    <w:rsid w:val="00016221"/>
    <w:rsid w:val="00097A7A"/>
    <w:rsid w:val="000A38AD"/>
    <w:rsid w:val="000C1284"/>
    <w:rsid w:val="000C668D"/>
    <w:rsid w:val="000D4F5C"/>
    <w:rsid w:val="000E18BF"/>
    <w:rsid w:val="00127033"/>
    <w:rsid w:val="00133310"/>
    <w:rsid w:val="00153B33"/>
    <w:rsid w:val="00171F5E"/>
    <w:rsid w:val="00177C9B"/>
    <w:rsid w:val="00196055"/>
    <w:rsid w:val="001A7425"/>
    <w:rsid w:val="001D4FBE"/>
    <w:rsid w:val="001F3426"/>
    <w:rsid w:val="001F435A"/>
    <w:rsid w:val="002375DC"/>
    <w:rsid w:val="002503C3"/>
    <w:rsid w:val="00250F0E"/>
    <w:rsid w:val="002622F8"/>
    <w:rsid w:val="00323C76"/>
    <w:rsid w:val="003444EA"/>
    <w:rsid w:val="00391DC5"/>
    <w:rsid w:val="003D7EC4"/>
    <w:rsid w:val="00463DF1"/>
    <w:rsid w:val="00465C94"/>
    <w:rsid w:val="005170A9"/>
    <w:rsid w:val="0052784C"/>
    <w:rsid w:val="00527D90"/>
    <w:rsid w:val="00556D20"/>
    <w:rsid w:val="005875CD"/>
    <w:rsid w:val="005A57B9"/>
    <w:rsid w:val="005D052C"/>
    <w:rsid w:val="006516A2"/>
    <w:rsid w:val="0068090C"/>
    <w:rsid w:val="006B35CB"/>
    <w:rsid w:val="00700360"/>
    <w:rsid w:val="007022C6"/>
    <w:rsid w:val="00725774"/>
    <w:rsid w:val="00784999"/>
    <w:rsid w:val="00787ECF"/>
    <w:rsid w:val="007B2D8E"/>
    <w:rsid w:val="00850C59"/>
    <w:rsid w:val="00851356"/>
    <w:rsid w:val="008A1D0F"/>
    <w:rsid w:val="008C2B65"/>
    <w:rsid w:val="008C54C3"/>
    <w:rsid w:val="008D46FD"/>
    <w:rsid w:val="008E2810"/>
    <w:rsid w:val="009050FB"/>
    <w:rsid w:val="00912D47"/>
    <w:rsid w:val="00925073"/>
    <w:rsid w:val="00977BAF"/>
    <w:rsid w:val="00994392"/>
    <w:rsid w:val="009A347B"/>
    <w:rsid w:val="009C0B2B"/>
    <w:rsid w:val="009F70A1"/>
    <w:rsid w:val="00A10B79"/>
    <w:rsid w:val="00A21BCB"/>
    <w:rsid w:val="00A3063A"/>
    <w:rsid w:val="00A351F3"/>
    <w:rsid w:val="00A36D3D"/>
    <w:rsid w:val="00A459C7"/>
    <w:rsid w:val="00A9063F"/>
    <w:rsid w:val="00AC3670"/>
    <w:rsid w:val="00B45003"/>
    <w:rsid w:val="00BA7E55"/>
    <w:rsid w:val="00C45035"/>
    <w:rsid w:val="00D203E0"/>
    <w:rsid w:val="00D60B99"/>
    <w:rsid w:val="00DA0F6C"/>
    <w:rsid w:val="00DA763F"/>
    <w:rsid w:val="00DE0F85"/>
    <w:rsid w:val="00E16480"/>
    <w:rsid w:val="00E86373"/>
    <w:rsid w:val="00EF5CBC"/>
    <w:rsid w:val="00EF6398"/>
    <w:rsid w:val="00F03F8B"/>
    <w:rsid w:val="00F63902"/>
    <w:rsid w:val="00F7729E"/>
    <w:rsid w:val="00FA65FC"/>
    <w:rsid w:val="00FD6741"/>
    <w:rsid w:val="00FE1BFF"/>
    <w:rsid w:val="00FF79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B09B56-8A48-4D4F-AC92-AFA2A25C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57B9"/>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CharCharCharCharCharCharChar1">
    <w:name w:val="Char Char Char Char Char Char Char1"/>
    <w:basedOn w:val="Normlny"/>
    <w:rsid w:val="001F3426"/>
    <w:pPr>
      <w:autoSpaceDE/>
      <w:autoSpaceDN/>
      <w:spacing w:after="160" w:line="240" w:lineRule="exact"/>
    </w:pPr>
    <w:rPr>
      <w:rFonts w:ascii="Tahoma" w:hAnsi="Tahoma" w:cs="Tahoma"/>
      <w:sz w:val="20"/>
      <w:szCs w:val="20"/>
      <w:lang w:val="en-US" w:eastAsia="en-US"/>
    </w:rPr>
  </w:style>
  <w:style w:type="paragraph" w:customStyle="1" w:styleId="Default">
    <w:name w:val="Default"/>
    <w:rsid w:val="002375D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2375DC"/>
    <w:rPr>
      <w:rFonts w:cs="Times New Roman"/>
      <w:color w:val="auto"/>
    </w:rPr>
  </w:style>
  <w:style w:type="paragraph" w:customStyle="1" w:styleId="CM4">
    <w:name w:val="CM4"/>
    <w:basedOn w:val="Default"/>
    <w:next w:val="Default"/>
    <w:uiPriority w:val="99"/>
    <w:rsid w:val="002375DC"/>
    <w:rPr>
      <w:rFonts w:cs="Times New Roman"/>
      <w:color w:val="auto"/>
    </w:rPr>
  </w:style>
  <w:style w:type="paragraph" w:styleId="Odsekzoznamu">
    <w:name w:val="List Paragraph"/>
    <w:aliases w:val="body,Odsek zoznamu2"/>
    <w:basedOn w:val="Normlny"/>
    <w:link w:val="OdsekzoznamuChar"/>
    <w:uiPriority w:val="34"/>
    <w:qFormat/>
    <w:rsid w:val="006516A2"/>
    <w:pPr>
      <w:autoSpaceDE/>
      <w:autoSpaceDN/>
      <w:spacing w:after="160" w:line="259" w:lineRule="auto"/>
      <w:ind w:left="720"/>
      <w:contextualSpacing/>
    </w:pPr>
    <w:rPr>
      <w:rFonts w:ascii="Calibri" w:hAnsi="Calibri"/>
      <w:sz w:val="22"/>
      <w:szCs w:val="22"/>
      <w:lang w:eastAsia="en-US"/>
    </w:rPr>
  </w:style>
  <w:style w:type="character" w:customStyle="1" w:styleId="OdsekzoznamuChar">
    <w:name w:val="Odsek zoznamu Char"/>
    <w:aliases w:val="body Char,Odsek zoznamu2 Char"/>
    <w:link w:val="Odsekzoznamu"/>
    <w:uiPriority w:val="34"/>
    <w:locked/>
    <w:rsid w:val="006516A2"/>
    <w:rPr>
      <w:rFonts w:ascii="Calibri" w:hAnsi="Calibri"/>
      <w:lang w:val="x-none" w:eastAsia="en-US"/>
    </w:rPr>
  </w:style>
  <w:style w:type="character" w:styleId="Hypertextovprepojenie">
    <w:name w:val="Hyperlink"/>
    <w:basedOn w:val="Predvolenpsmoodseku"/>
    <w:uiPriority w:val="99"/>
    <w:unhideWhenUsed/>
    <w:rsid w:val="00323C76"/>
    <w:rPr>
      <w:rFonts w:cs="Times New Roman"/>
      <w:color w:val="05507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4558</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Murinova Maria</cp:lastModifiedBy>
  <cp:revision>2</cp:revision>
  <cp:lastPrinted>2006-12-14T13:09:00Z</cp:lastPrinted>
  <dcterms:created xsi:type="dcterms:W3CDTF">2019-05-21T14:16:00Z</dcterms:created>
  <dcterms:modified xsi:type="dcterms:W3CDTF">2019-05-21T14:16:00Z</dcterms:modified>
</cp:coreProperties>
</file>