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3A" w:rsidRPr="00EA543A" w:rsidRDefault="00EA543A" w:rsidP="00EA543A">
      <w:pPr>
        <w:spacing w:after="0" w:line="240" w:lineRule="auto"/>
        <w:jc w:val="center"/>
        <w:rPr>
          <w:rFonts w:ascii="Times New Roman" w:hAnsi="Times New Roman" w:cs="Times New Roman"/>
          <w:b/>
          <w:sz w:val="24"/>
          <w:szCs w:val="24"/>
        </w:rPr>
      </w:pPr>
      <w:r w:rsidRPr="00EA543A">
        <w:rPr>
          <w:rFonts w:ascii="Times New Roman" w:hAnsi="Times New Roman" w:cs="Times New Roman"/>
          <w:b/>
          <w:sz w:val="24"/>
          <w:szCs w:val="24"/>
        </w:rPr>
        <w:t>Dôvodová správa</w:t>
      </w:r>
    </w:p>
    <w:p w:rsidR="00EA543A" w:rsidRPr="00EA543A" w:rsidRDefault="00EA543A" w:rsidP="00EA543A">
      <w:pPr>
        <w:spacing w:after="0" w:line="240" w:lineRule="auto"/>
        <w:outlineLvl w:val="0"/>
        <w:rPr>
          <w:rFonts w:ascii="Times New Roman" w:hAnsi="Times New Roman" w:cs="Times New Roman"/>
          <w:b/>
          <w:bCs/>
          <w:sz w:val="24"/>
          <w:szCs w:val="24"/>
          <w:u w:val="single"/>
        </w:rPr>
      </w:pPr>
    </w:p>
    <w:p w:rsidR="00EA543A" w:rsidRPr="00EA543A" w:rsidRDefault="00EA543A" w:rsidP="00EA543A">
      <w:pPr>
        <w:spacing w:after="0" w:line="240" w:lineRule="auto"/>
        <w:outlineLvl w:val="0"/>
        <w:rPr>
          <w:rFonts w:ascii="Times New Roman" w:hAnsi="Times New Roman" w:cs="Times New Roman"/>
          <w:b/>
          <w:bCs/>
          <w:sz w:val="24"/>
          <w:szCs w:val="24"/>
          <w:u w:val="single"/>
        </w:rPr>
      </w:pPr>
      <w:r w:rsidRPr="00EA543A">
        <w:rPr>
          <w:rFonts w:ascii="Times New Roman" w:hAnsi="Times New Roman" w:cs="Times New Roman"/>
          <w:b/>
          <w:bCs/>
          <w:sz w:val="24"/>
          <w:szCs w:val="24"/>
          <w:u w:val="single"/>
        </w:rPr>
        <w:t xml:space="preserve">Všeobecná časť  </w:t>
      </w:r>
    </w:p>
    <w:p w:rsidR="00EA543A" w:rsidRPr="00EA543A" w:rsidRDefault="00EA543A" w:rsidP="00EA543A">
      <w:pPr>
        <w:spacing w:after="0" w:line="240" w:lineRule="auto"/>
        <w:outlineLvl w:val="0"/>
        <w:rPr>
          <w:rFonts w:ascii="Times New Roman" w:hAnsi="Times New Roman" w:cs="Times New Roman"/>
          <w:b/>
          <w:bCs/>
          <w:sz w:val="24"/>
          <w:szCs w:val="24"/>
          <w:u w:val="single"/>
        </w:rPr>
      </w:pPr>
    </w:p>
    <w:p w:rsidR="00EA543A" w:rsidRPr="00EA543A" w:rsidRDefault="00EA543A" w:rsidP="00EA5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Vládny návrh zákona</w:t>
      </w:r>
      <w:r w:rsidRPr="00EA543A">
        <w:rPr>
          <w:rFonts w:ascii="Times New Roman" w:hAnsi="Times New Roman" w:cs="Times New Roman"/>
          <w:sz w:val="24"/>
          <w:szCs w:val="24"/>
        </w:rPr>
        <w:t xml:space="preserve">, ktorým sa mení a dopĺňa zákon č. 595/2003 Z. z. o dani z príjmov v znení neskorších predpisov. Predkladaný návrh zákona je vypracovaný na základe úloh vyplývajúcich z Programového vyhlásenia vlády SR na roky 2016-2020, Plánu legislatívnych úloh vlády Slovenskej republiky na rok 2019 a na základe uznesenia vlády SR č. 51/2019 zo dňa 6. februára 2019, uznesenia vlády SR č. 110/2019 zo dňa 13. 3. 2019 a uznesenia vlády SR č. 185/2019 zo dňa 17. 4. 2019. </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Návrh zákona obsahuje opatrenia vyplývajúce z Analýzy zjednodušenia výpočtu základu dane pre malé a stredné podniky, vzatou na vedomie vládou SR, s cieľom znížiť administratívne zaťaženie a podporiť malé a stredné podniky prostredníctvom dane z príjmov  a takisto aj opatrenia vyplývajúce z Návrhu opatrení na odstránenie bariér pre trvalo udržateľný rozvoj automobilového priemyslu na Slovensku vrátane dodávateľskej siete. V nadväznosti na vládou schválený Akčný plán rozvoja </w:t>
      </w:r>
      <w:proofErr w:type="spellStart"/>
      <w:r w:rsidRPr="00EA543A">
        <w:rPr>
          <w:rFonts w:ascii="Times New Roman" w:hAnsi="Times New Roman" w:cs="Times New Roman"/>
          <w:sz w:val="24"/>
          <w:szCs w:val="24"/>
        </w:rPr>
        <w:t>elektromobility</w:t>
      </w:r>
      <w:proofErr w:type="spellEnd"/>
      <w:r w:rsidRPr="00EA543A">
        <w:rPr>
          <w:rFonts w:ascii="Times New Roman" w:hAnsi="Times New Roman" w:cs="Times New Roman"/>
          <w:sz w:val="24"/>
          <w:szCs w:val="24"/>
        </w:rPr>
        <w:t xml:space="preserve"> v Slovenskej republike obsahuje návrh zákona aj opatrenia zvýhodňujúce daňové odpisovanie elektromobilov.</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Cieľom návrhu zákona je aj transpozícia smernice Rady (EU) 2017/952 z 29. mája 2017, ktorou sa mení smernica (EÚ) 2016/1164, pokiaľ ide o hybridné nesúlady s tretími krajinami (ďalej len „ATAD 2“), pričom sa zavádzajú pravidlá, ktoré zamedzujú využívaniu hybridných prvkov v dôsledku odlišných daňových posúdení finančných nástrojov a daňových subjektov predovšetkým v medzinárodnom kontexte, vedúcich k znižovaniu daňovej povinnosti. </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Predpokladaným návrhom zákona sa na základe poznatkov z uskutočnených konzultácií a z aplikačnej praxe upravujú, spresňujú a zjednocujú z dôvodu zvýšenia právnej istoty daňovníkov niektoré ustanovenia zákona o dani z príjmov. Návrh zákona obsahuje aj opatrenia v oblasti boja proti daňovým únikom a zvyšovania efektivity výberu a vymáhania daní. </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Navrhované úpravy zákona sú zamerané najmä na:</w:t>
      </w:r>
    </w:p>
    <w:p w:rsidR="00EA543A" w:rsidRPr="00EA543A" w:rsidRDefault="00EA543A" w:rsidP="00EA543A">
      <w:pPr>
        <w:pStyle w:val="Odsekzoznamu"/>
        <w:numPr>
          <w:ilvl w:val="0"/>
          <w:numId w:val="4"/>
        </w:num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podporu malých a stredných podnikov</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b/>
          <w:sz w:val="24"/>
          <w:szCs w:val="24"/>
        </w:rPr>
      </w:pPr>
      <w:r w:rsidRPr="00EA543A">
        <w:rPr>
          <w:rFonts w:ascii="Times New Roman" w:hAnsi="Times New Roman" w:cs="Times New Roman"/>
          <w:sz w:val="24"/>
          <w:szCs w:val="24"/>
        </w:rPr>
        <w:t xml:space="preserve"> zavedenie definície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a s ňou súvisiace zmeny v zdaňovaní tejto skupiny daňovníkov</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úprava podmienok odpočtu daňovej straty </w:t>
      </w:r>
    </w:p>
    <w:p w:rsidR="00EA543A" w:rsidRPr="00EA543A" w:rsidRDefault="00EA543A" w:rsidP="00EA543A">
      <w:pPr>
        <w:pStyle w:val="Odsekzoznamu"/>
        <w:numPr>
          <w:ilvl w:val="0"/>
          <w:numId w:val="4"/>
        </w:numPr>
        <w:tabs>
          <w:tab w:val="left" w:pos="284"/>
        </w:tabs>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znižovanie administratívneho zaťaženia daňovníkov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zavedenie automatickej registrácie správcom dane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zjednodušenie podmienok na zahrňovanie do základu dane pri výdavkoch, ktoré sú súčasťou základu dane až po zaplatení</w:t>
      </w:r>
    </w:p>
    <w:p w:rsidR="00EA543A" w:rsidRPr="00EA543A" w:rsidRDefault="00EA543A" w:rsidP="00EA543A">
      <w:pPr>
        <w:pStyle w:val="Odsekzoznamu"/>
        <w:numPr>
          <w:ilvl w:val="0"/>
          <w:numId w:val="4"/>
        </w:num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zníženie administratívnej náročnosti pri zdaňovaní príjmov zo závislej činnosti</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b/>
          <w:sz w:val="24"/>
          <w:szCs w:val="24"/>
        </w:rPr>
        <w:t xml:space="preserve"> </w:t>
      </w:r>
      <w:r w:rsidRPr="00EA543A">
        <w:rPr>
          <w:rFonts w:ascii="Times New Roman" w:hAnsi="Times New Roman" w:cs="Times New Roman"/>
          <w:sz w:val="24"/>
          <w:szCs w:val="24"/>
        </w:rPr>
        <w:t xml:space="preserve">rozšírenie oslobodenia od dane pre vymedzené druhy nepeňažných príjmov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zavedenie možnosti zamestnávateľa vystaviť a doručiť zamestnancovi po vzájomnej dohode vymedzené druhy dokladov elektronickou formou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umožnenie zamestnancovi podať zamestnávateľovi po vzájomnej dohode žiadosť o vykonanie ročného zúčtovania preddavkov na daň elektronickou formou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zrušenie povinnosti zamestnanca každoročne podpisovať vyhlásenie na uplatnenie nezdaniteľnej časti  základu dane na daňovníka a daňového bonusu </w:t>
      </w:r>
    </w:p>
    <w:p w:rsidR="00EA543A" w:rsidRPr="00EA543A" w:rsidRDefault="00EA543A" w:rsidP="00EA543A">
      <w:pPr>
        <w:pStyle w:val="Odsekzoznamu"/>
        <w:numPr>
          <w:ilvl w:val="0"/>
          <w:numId w:val="4"/>
        </w:num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platenie preddavkov na daň z príjmov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zvýšenie</w:t>
      </w:r>
      <w:r w:rsidRPr="00EA543A">
        <w:rPr>
          <w:rFonts w:ascii="Times New Roman" w:hAnsi="Times New Roman" w:cs="Times New Roman"/>
          <w:b/>
          <w:sz w:val="24"/>
          <w:szCs w:val="24"/>
        </w:rPr>
        <w:t xml:space="preserve"> </w:t>
      </w:r>
      <w:r w:rsidRPr="00EA543A">
        <w:rPr>
          <w:rFonts w:ascii="Times New Roman" w:hAnsi="Times New Roman" w:cs="Times New Roman"/>
          <w:sz w:val="24"/>
          <w:szCs w:val="24"/>
        </w:rPr>
        <w:t xml:space="preserve">hranice pre povinnosť platenia preddavkov a zjednodušenie výpočtu poslednej známej daňovej povinnosti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lastRenderedPageBreak/>
        <w:t xml:space="preserve"> zjednodušenie spôsobu platenia preddavkov na daň z príjmov zo závislej činnosti v prípade neexistencie zamestnávateľa, ktorý je platiteľom dane</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zjednotenie lehoty na vyrovnanie preddavkov na daň platených do lehoty na podanie daňového priznania novovzniknutého daňovníka s ostatnými daňovníkmi</w:t>
      </w:r>
    </w:p>
    <w:p w:rsidR="00EA543A" w:rsidRPr="00EA543A" w:rsidRDefault="00EA543A" w:rsidP="00EA543A">
      <w:pPr>
        <w:pStyle w:val="Odsekzoznamu"/>
        <w:numPr>
          <w:ilvl w:val="0"/>
          <w:numId w:val="4"/>
        </w:numPr>
        <w:tabs>
          <w:tab w:val="left" w:pos="284"/>
        </w:tabs>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podpora automobilového priemyslu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zvýšenie sumy oslobodeného nepeňažného plnenia zamestnanca z dôvodu zabezpečenia ubytovania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 xml:space="preserve"> zvýšenie podpory podnikového výskumu a vývoja prostredníctvom odpočtu (výdavkov) nákladov vynaložených na výskum a vývoj </w:t>
      </w:r>
    </w:p>
    <w:p w:rsidR="00EA543A" w:rsidRPr="00EA543A" w:rsidRDefault="00EA543A" w:rsidP="00EA543A">
      <w:pPr>
        <w:pStyle w:val="Odsekzoznamu"/>
        <w:numPr>
          <w:ilvl w:val="0"/>
          <w:numId w:val="5"/>
        </w:numPr>
        <w:spacing w:after="0" w:line="240" w:lineRule="auto"/>
        <w:ind w:left="426" w:hanging="142"/>
        <w:jc w:val="both"/>
        <w:rPr>
          <w:rFonts w:ascii="Times New Roman" w:hAnsi="Times New Roman" w:cs="Times New Roman"/>
          <w:sz w:val="24"/>
          <w:szCs w:val="24"/>
        </w:rPr>
      </w:pPr>
      <w:r w:rsidRPr="00EA543A">
        <w:rPr>
          <w:rFonts w:ascii="Times New Roman" w:hAnsi="Times New Roman" w:cs="Times New Roman"/>
          <w:sz w:val="24"/>
          <w:szCs w:val="24"/>
        </w:rPr>
        <w:t>zavedenie samostatnej odpisovej skupiny pre elektromobily.</w:t>
      </w:r>
    </w:p>
    <w:p w:rsidR="00EA543A" w:rsidRPr="00EA543A" w:rsidRDefault="00EA543A" w:rsidP="00EA543A">
      <w:pPr>
        <w:pStyle w:val="Odsekzoznamu"/>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Návrh zákona má negatívny vplyv na rozpočet verejnej správy, má pozitívny aj negatívny vplyv na podnikateľské prostredie, má pozitívny vplyv na sociálne vplyvy a na životné prostredie a nemá vplyv na informatizáciu, na služby verejnej správy pre občana a  na manželstvo, rodičovstvo a rodinu.</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 </w:t>
      </w:r>
    </w:p>
    <w:p w:rsidR="00EA543A" w:rsidRPr="00EA543A" w:rsidRDefault="00EA543A" w:rsidP="00EA543A">
      <w:pPr>
        <w:spacing w:after="0" w:line="240" w:lineRule="auto"/>
        <w:jc w:val="both"/>
        <w:rPr>
          <w:rFonts w:ascii="Times New Roman" w:hAnsi="Times New Roman" w:cs="Times New Roman"/>
          <w:sz w:val="24"/>
          <w:szCs w:val="24"/>
        </w:rPr>
      </w:pPr>
    </w:p>
    <w:p w:rsidR="00EA543A" w:rsidRPr="00EA543A" w:rsidRDefault="00EA543A" w:rsidP="00EA543A">
      <w:pPr>
        <w:pStyle w:val="Zkladntext"/>
        <w:jc w:val="both"/>
        <w:rPr>
          <w:rFonts w:eastAsia="Calibri"/>
          <w:color w:val="auto"/>
          <w:szCs w:val="24"/>
          <w:lang w:eastAsia="en-US"/>
        </w:rPr>
      </w:pPr>
      <w:r w:rsidRPr="00EA543A">
        <w:rPr>
          <w:szCs w:val="24"/>
        </w:rPr>
        <w:t>Účinnosť predkladaného návrhu zákona, ktorým sa mení a dopĺňa zákon č. 595/2003 Z. z. o dani z príjmov v znení neskorších predpisov sa navrhuje od</w:t>
      </w:r>
      <w:r w:rsidRPr="00EA543A">
        <w:rPr>
          <w:rFonts w:eastAsia="Calibri"/>
          <w:color w:val="auto"/>
          <w:szCs w:val="24"/>
          <w:lang w:eastAsia="en-US"/>
        </w:rPr>
        <w:t xml:space="preserve"> 1. januára 2020 okrem čl. I bodov 1, 9, 40, 49, 50, 55, 56, 62, 64, 71, 73 § 30 ods. 1 písm. a),  body 127 a bodu 133, ktoré nadobúdajú účinnosť 1. januára 2021 a čl. I bodu 11, ktorý nadobúda účinnosť 1. januára 2022.</w:t>
      </w:r>
    </w:p>
    <w:p w:rsidR="00EA543A" w:rsidRPr="00EA543A" w:rsidRDefault="00EA543A" w:rsidP="00EA543A">
      <w:pPr>
        <w:pStyle w:val="Zkladntext"/>
        <w:jc w:val="both"/>
        <w:rPr>
          <w:szCs w:val="24"/>
        </w:rPr>
      </w:pPr>
    </w:p>
    <w:p w:rsidR="00EA543A" w:rsidRPr="00EA543A" w:rsidRDefault="00EA543A" w:rsidP="00EA543A">
      <w:pPr>
        <w:pStyle w:val="Zkladntext"/>
        <w:jc w:val="both"/>
        <w:rPr>
          <w:szCs w:val="24"/>
        </w:rPr>
      </w:pPr>
      <w:r w:rsidRPr="00EA543A">
        <w:rPr>
          <w:szCs w:val="24"/>
        </w:rPr>
        <w:t xml:space="preserve">Účinnosť predkladaného zákona sa navrhuje s dostatočne dlhou </w:t>
      </w:r>
      <w:proofErr w:type="spellStart"/>
      <w:r w:rsidRPr="00EA543A">
        <w:rPr>
          <w:szCs w:val="24"/>
        </w:rPr>
        <w:t>legisvakanciou</w:t>
      </w:r>
      <w:proofErr w:type="spellEnd"/>
      <w:r w:rsidRPr="00EA543A">
        <w:rPr>
          <w:szCs w:val="24"/>
        </w:rPr>
        <w:t>.</w:t>
      </w:r>
    </w:p>
    <w:p w:rsidR="00EA543A" w:rsidRP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Default="00EA543A" w:rsidP="00BA62B0">
      <w:pPr>
        <w:spacing w:after="0" w:line="240" w:lineRule="auto"/>
        <w:jc w:val="both"/>
        <w:rPr>
          <w:rFonts w:ascii="Times New Roman" w:hAnsi="Times New Roman" w:cs="Times New Roman"/>
          <w:b/>
          <w:sz w:val="24"/>
          <w:szCs w:val="24"/>
        </w:rPr>
      </w:pPr>
    </w:p>
    <w:p w:rsidR="00EA543A" w:rsidRP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F45C2A" w:rsidRPr="00EA543A" w:rsidRDefault="00F45C2A" w:rsidP="00EA543A">
      <w:pPr>
        <w:spacing w:after="0" w:line="240" w:lineRule="auto"/>
        <w:jc w:val="both"/>
        <w:rPr>
          <w:rFonts w:ascii="Times New Roman" w:hAnsi="Times New Roman" w:cs="Times New Roman"/>
          <w:b/>
          <w:sz w:val="24"/>
          <w:szCs w:val="24"/>
        </w:rPr>
      </w:pPr>
    </w:p>
    <w:p w:rsidR="00EA543A" w:rsidRPr="00EA543A" w:rsidRDefault="00EA543A" w:rsidP="00EA543A">
      <w:pPr>
        <w:spacing w:after="0" w:line="240" w:lineRule="auto"/>
        <w:jc w:val="both"/>
        <w:rPr>
          <w:rFonts w:ascii="Times New Roman" w:hAnsi="Times New Roman" w:cs="Times New Roman"/>
          <w:b/>
          <w:sz w:val="24"/>
          <w:szCs w:val="24"/>
        </w:rPr>
      </w:pPr>
    </w:p>
    <w:p w:rsidR="00EA543A" w:rsidRPr="00EA543A" w:rsidRDefault="00EA543A" w:rsidP="00EA543A">
      <w:pPr>
        <w:spacing w:after="0" w:line="240" w:lineRule="auto"/>
        <w:jc w:val="both"/>
        <w:rPr>
          <w:rFonts w:ascii="Times New Roman" w:hAnsi="Times New Roman" w:cs="Times New Roman"/>
          <w:b/>
          <w:sz w:val="24"/>
          <w:szCs w:val="24"/>
        </w:rPr>
      </w:pPr>
    </w:p>
    <w:p w:rsidR="00EA543A" w:rsidRPr="00EA543A" w:rsidRDefault="00EA543A" w:rsidP="00EA543A">
      <w:pPr>
        <w:spacing w:line="240" w:lineRule="auto"/>
        <w:jc w:val="center"/>
        <w:rPr>
          <w:rFonts w:ascii="Times New Roman" w:hAnsi="Times New Roman" w:cs="Times New Roman"/>
          <w:b/>
          <w:bCs/>
          <w:sz w:val="24"/>
          <w:szCs w:val="24"/>
        </w:rPr>
      </w:pPr>
      <w:r w:rsidRPr="00EA543A">
        <w:rPr>
          <w:rFonts w:ascii="Times New Roman" w:hAnsi="Times New Roman" w:cs="Times New Roman"/>
          <w:b/>
          <w:bCs/>
          <w:sz w:val="24"/>
          <w:szCs w:val="24"/>
        </w:rPr>
        <w:lastRenderedPageBreak/>
        <w:t>Doložka vybraných vplyvov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Základné údaje</w:t>
            </w: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Názov materiálu</w:t>
            </w:r>
          </w:p>
        </w:tc>
      </w:tr>
      <w:tr w:rsidR="00EA543A" w:rsidRPr="00EA543A" w:rsidTr="00EA543A">
        <w:tc>
          <w:tcPr>
            <w:tcW w:w="9180" w:type="dxa"/>
            <w:gridSpan w:val="10"/>
            <w:tcBorders>
              <w:top w:val="single" w:sz="4" w:space="0" w:color="FFFFFF"/>
            </w:tcBorders>
            <w:shd w:val="clear" w:color="auto" w:fill="auto"/>
          </w:tcPr>
          <w:p w:rsidR="00EA543A" w:rsidRPr="00EA543A" w:rsidRDefault="00EA543A" w:rsidP="00EA543A">
            <w:pPr>
              <w:spacing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Návrh zákona, ktorým sa mení a dopĺňa zákon č. 595/2003 Z. z. o dani z príjmov v znení neskorších predpisov </w:t>
            </w: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Predkladateľ (a spolupredkladateľ)</w:t>
            </w:r>
          </w:p>
        </w:tc>
      </w:tr>
      <w:tr w:rsidR="00EA543A" w:rsidRPr="00EA543A" w:rsidTr="00EA543A">
        <w:tc>
          <w:tcPr>
            <w:tcW w:w="9180" w:type="dxa"/>
            <w:gridSpan w:val="10"/>
            <w:tcBorders>
              <w:top w:val="single" w:sz="4" w:space="0" w:color="FFFFFF"/>
            </w:tcBorders>
            <w:shd w:val="clear" w:color="auto" w:fill="FFFFFF"/>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Ministerstvo financií Slovenskej republiky</w:t>
            </w:r>
          </w:p>
        </w:tc>
      </w:tr>
      <w:tr w:rsidR="00EA543A" w:rsidRPr="00EA543A" w:rsidTr="00EA543A">
        <w:tc>
          <w:tcPr>
            <w:tcW w:w="4212" w:type="dxa"/>
            <w:gridSpan w:val="2"/>
            <w:vMerge w:val="restart"/>
            <w:tcBorders>
              <w:bottom w:val="single" w:sz="4" w:space="0" w:color="FFFFFF"/>
            </w:tcBorders>
            <w:shd w:val="clear" w:color="auto" w:fill="E2E2E2"/>
            <w:vAlign w:val="center"/>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Charakter predkladaného materiálu</w:t>
            </w:r>
          </w:p>
        </w:tc>
        <w:tc>
          <w:tcPr>
            <w:tcW w:w="705" w:type="dxa"/>
            <w:gridSpan w:val="2"/>
            <w:tcBorders>
              <w:right w:val="nil"/>
            </w:tcBorders>
            <w:shd w:val="clear" w:color="auto" w:fill="FFFFFF"/>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Mincho" w:hAnsi="Segoe UI Symbol" w:cs="Segoe UI Symbol"/>
                <w:sz w:val="24"/>
                <w:szCs w:val="24"/>
              </w:rPr>
              <w:t>☐</w:t>
            </w:r>
          </w:p>
        </w:tc>
        <w:tc>
          <w:tcPr>
            <w:tcW w:w="4263" w:type="dxa"/>
            <w:gridSpan w:val="6"/>
            <w:tcBorders>
              <w:left w:val="nil"/>
            </w:tcBorders>
            <w:shd w:val="clear" w:color="auto" w:fill="FFFFFF"/>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Materiál nelegislatívnej povahy</w:t>
            </w:r>
          </w:p>
        </w:tc>
      </w:tr>
      <w:tr w:rsidR="00EA543A" w:rsidRPr="00EA543A" w:rsidTr="00EA543A">
        <w:tc>
          <w:tcPr>
            <w:tcW w:w="4212" w:type="dxa"/>
            <w:gridSpan w:val="2"/>
            <w:vMerge/>
            <w:tcBorders>
              <w:top w:val="nil"/>
              <w:bottom w:val="single" w:sz="4" w:space="0" w:color="FFFFFF"/>
            </w:tcBorders>
            <w:shd w:val="clear" w:color="auto" w:fill="E2E2E2"/>
          </w:tcPr>
          <w:p w:rsidR="00EA543A" w:rsidRPr="00EA543A" w:rsidRDefault="00EA543A" w:rsidP="00EA543A">
            <w:pPr>
              <w:spacing w:line="240" w:lineRule="auto"/>
              <w:rPr>
                <w:rFonts w:ascii="Times New Roman" w:hAnsi="Times New Roman" w:cs="Times New Roman"/>
                <w:sz w:val="24"/>
                <w:szCs w:val="24"/>
              </w:rPr>
            </w:pPr>
          </w:p>
        </w:tc>
        <w:tc>
          <w:tcPr>
            <w:tcW w:w="705" w:type="dxa"/>
            <w:gridSpan w:val="2"/>
            <w:shd w:val="clear" w:color="auto" w:fill="FFFFFF"/>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sz w:val="24"/>
                <w:szCs w:val="24"/>
              </w:rPr>
              <w:t>☒</w:t>
            </w:r>
          </w:p>
        </w:tc>
        <w:tc>
          <w:tcPr>
            <w:tcW w:w="4263" w:type="dxa"/>
            <w:gridSpan w:val="6"/>
            <w:shd w:val="clear" w:color="auto" w:fill="FFFFFF"/>
          </w:tcPr>
          <w:p w:rsidR="00EA543A" w:rsidRPr="00EA543A" w:rsidRDefault="00EA543A" w:rsidP="00EA543A">
            <w:pPr>
              <w:spacing w:line="240" w:lineRule="auto"/>
              <w:ind w:left="175" w:hanging="175"/>
              <w:rPr>
                <w:rFonts w:ascii="Times New Roman" w:hAnsi="Times New Roman" w:cs="Times New Roman"/>
                <w:sz w:val="24"/>
                <w:szCs w:val="24"/>
              </w:rPr>
            </w:pPr>
            <w:r w:rsidRPr="00EA543A">
              <w:rPr>
                <w:rFonts w:ascii="Times New Roman" w:hAnsi="Times New Roman" w:cs="Times New Roman"/>
                <w:sz w:val="24"/>
                <w:szCs w:val="24"/>
              </w:rPr>
              <w:t>Materiál legislatívnej povahy</w:t>
            </w:r>
          </w:p>
        </w:tc>
      </w:tr>
      <w:tr w:rsidR="00EA543A" w:rsidRPr="00EA543A" w:rsidTr="00EA543A">
        <w:tc>
          <w:tcPr>
            <w:tcW w:w="4212" w:type="dxa"/>
            <w:gridSpan w:val="2"/>
            <w:vMerge/>
            <w:tcBorders>
              <w:top w:val="nil"/>
            </w:tcBorders>
            <w:shd w:val="clear" w:color="auto" w:fill="E2E2E2"/>
          </w:tcPr>
          <w:p w:rsidR="00EA543A" w:rsidRPr="00EA543A" w:rsidRDefault="00EA543A" w:rsidP="00EA543A">
            <w:pPr>
              <w:spacing w:line="240" w:lineRule="auto"/>
              <w:rPr>
                <w:rFonts w:ascii="Times New Roman" w:hAnsi="Times New Roman" w:cs="Times New Roman"/>
                <w:sz w:val="24"/>
                <w:szCs w:val="24"/>
              </w:rPr>
            </w:pPr>
          </w:p>
        </w:tc>
        <w:tc>
          <w:tcPr>
            <w:tcW w:w="705" w:type="dxa"/>
            <w:gridSpan w:val="2"/>
            <w:tcBorders>
              <w:right w:val="nil"/>
            </w:tcBorders>
            <w:shd w:val="clear" w:color="auto" w:fill="FFFFFF"/>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sz w:val="24"/>
                <w:szCs w:val="24"/>
              </w:rPr>
              <w:t>☒</w:t>
            </w:r>
          </w:p>
        </w:tc>
        <w:tc>
          <w:tcPr>
            <w:tcW w:w="4263" w:type="dxa"/>
            <w:gridSpan w:val="6"/>
            <w:tcBorders>
              <w:left w:val="nil"/>
            </w:tcBorders>
            <w:shd w:val="clear" w:color="auto" w:fill="FFFFFF"/>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Transpozícia práva EÚ</w:t>
            </w:r>
          </w:p>
        </w:tc>
      </w:tr>
      <w:tr w:rsidR="00EA543A" w:rsidRPr="00EA543A" w:rsidTr="00EA543A">
        <w:tc>
          <w:tcPr>
            <w:tcW w:w="9180" w:type="dxa"/>
            <w:gridSpan w:val="10"/>
            <w:tcBorders>
              <w:bottom w:val="single" w:sz="4" w:space="0" w:color="FFFFFF"/>
            </w:tcBorders>
            <w:shd w:val="clear" w:color="auto" w:fill="FFFFFF"/>
          </w:tcPr>
          <w:p w:rsidR="00EA543A" w:rsidRPr="00EA543A" w:rsidRDefault="00EA543A" w:rsidP="00EA543A">
            <w:pPr>
              <w:spacing w:line="240" w:lineRule="auto"/>
              <w:rPr>
                <w:rFonts w:ascii="Times New Roman" w:hAnsi="Times New Roman" w:cs="Times New Roman"/>
                <w:i/>
                <w:sz w:val="24"/>
                <w:szCs w:val="24"/>
              </w:rPr>
            </w:pPr>
            <w:r w:rsidRPr="00EA543A">
              <w:rPr>
                <w:rFonts w:ascii="Times New Roman" w:hAnsi="Times New Roman" w:cs="Times New Roman"/>
                <w:i/>
                <w:sz w:val="24"/>
                <w:szCs w:val="24"/>
              </w:rPr>
              <w:t>V prípade transpozície uveďte zoznam transponovaných predpisov:</w:t>
            </w:r>
          </w:p>
          <w:p w:rsidR="00EA543A" w:rsidRPr="00EA543A" w:rsidRDefault="00EA543A" w:rsidP="00EA543A">
            <w:pPr>
              <w:spacing w:line="240" w:lineRule="auto"/>
              <w:jc w:val="both"/>
              <w:rPr>
                <w:rFonts w:ascii="Times New Roman" w:hAnsi="Times New Roman" w:cs="Times New Roman"/>
                <w:sz w:val="24"/>
                <w:szCs w:val="24"/>
              </w:rPr>
            </w:pPr>
            <w:r w:rsidRPr="00EA543A">
              <w:rPr>
                <w:rFonts w:ascii="Times New Roman" w:hAnsi="Times New Roman" w:cs="Times New Roman"/>
                <w:sz w:val="24"/>
                <w:szCs w:val="24"/>
              </w:rPr>
              <w:t>Smernica Rady (EU) 2017/952 z 29. mája 2017, ktorou sa mení smernica (EÚ) 2016/1164, pokiaľ ide o hybridné nesúlady s tretími krajinami</w:t>
            </w:r>
          </w:p>
        </w:tc>
      </w:tr>
      <w:tr w:rsidR="00EA543A" w:rsidRPr="00EA543A" w:rsidTr="00EA543A">
        <w:tc>
          <w:tcPr>
            <w:tcW w:w="5634" w:type="dxa"/>
            <w:gridSpan w:val="5"/>
            <w:tcBorders>
              <w:top w:val="single" w:sz="4" w:space="0" w:color="000000"/>
              <w:bottom w:val="single" w:sz="4" w:space="0" w:color="FFFFFF"/>
            </w:tcBorders>
            <w:shd w:val="clear" w:color="auto" w:fill="E2E2E2"/>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Termín začiatku a ukončenia PPK</w:t>
            </w:r>
          </w:p>
        </w:tc>
        <w:tc>
          <w:tcPr>
            <w:tcW w:w="3546" w:type="dxa"/>
            <w:gridSpan w:val="5"/>
            <w:tcBorders>
              <w:top w:val="single" w:sz="4" w:space="0" w:color="000000"/>
            </w:tcBorders>
            <w:shd w:val="clear" w:color="auto" w:fill="auto"/>
          </w:tcPr>
          <w:p w:rsidR="00EA543A" w:rsidRPr="00EA543A" w:rsidRDefault="00EA543A" w:rsidP="00EA543A">
            <w:pPr>
              <w:spacing w:line="240" w:lineRule="auto"/>
              <w:rPr>
                <w:rFonts w:ascii="Times New Roman" w:hAnsi="Times New Roman" w:cs="Times New Roman"/>
                <w:i/>
                <w:sz w:val="24"/>
                <w:szCs w:val="24"/>
              </w:rPr>
            </w:pPr>
          </w:p>
        </w:tc>
      </w:tr>
      <w:tr w:rsidR="00EA543A" w:rsidRPr="00EA543A" w:rsidTr="00EA543A">
        <w:tc>
          <w:tcPr>
            <w:tcW w:w="5634" w:type="dxa"/>
            <w:gridSpan w:val="5"/>
            <w:tcBorders>
              <w:bottom w:val="single" w:sz="4" w:space="0" w:color="FFFFFF"/>
            </w:tcBorders>
            <w:shd w:val="clear" w:color="auto" w:fill="E2E2E2"/>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Predpokladaný termín predloženia na MPK*</w:t>
            </w:r>
          </w:p>
        </w:tc>
        <w:tc>
          <w:tcPr>
            <w:tcW w:w="3546" w:type="dxa"/>
            <w:gridSpan w:val="5"/>
            <w:shd w:val="clear" w:color="auto" w:fill="auto"/>
          </w:tcPr>
          <w:p w:rsidR="00EA543A" w:rsidRPr="00EA543A" w:rsidRDefault="00EA543A" w:rsidP="00EA543A">
            <w:pPr>
              <w:spacing w:line="240" w:lineRule="auto"/>
              <w:rPr>
                <w:rFonts w:ascii="Times New Roman" w:hAnsi="Times New Roman" w:cs="Times New Roman"/>
                <w:i/>
                <w:sz w:val="24"/>
                <w:szCs w:val="24"/>
              </w:rPr>
            </w:pPr>
            <w:r w:rsidRPr="00EA543A">
              <w:rPr>
                <w:rFonts w:ascii="Times New Roman" w:hAnsi="Times New Roman" w:cs="Times New Roman"/>
                <w:i/>
                <w:sz w:val="24"/>
                <w:szCs w:val="24"/>
              </w:rPr>
              <w:t>Apríl 2019</w:t>
            </w:r>
          </w:p>
        </w:tc>
      </w:tr>
      <w:tr w:rsidR="00EA543A" w:rsidRPr="00EA543A" w:rsidTr="00EA543A">
        <w:tc>
          <w:tcPr>
            <w:tcW w:w="5634" w:type="dxa"/>
            <w:gridSpan w:val="5"/>
            <w:tcBorders>
              <w:bottom w:val="single" w:sz="4" w:space="0" w:color="FFFFFF"/>
            </w:tcBorders>
            <w:shd w:val="clear" w:color="auto" w:fill="E2E2E2"/>
          </w:tcPr>
          <w:p w:rsidR="00EA543A" w:rsidRPr="00EA543A" w:rsidRDefault="00EA543A" w:rsidP="00EA543A">
            <w:pPr>
              <w:pStyle w:val="Odsekzoznamu"/>
              <w:spacing w:line="240" w:lineRule="auto"/>
              <w:ind w:left="142"/>
              <w:rPr>
                <w:rFonts w:ascii="Times New Roman" w:hAnsi="Times New Roman" w:cs="Times New Roman"/>
                <w:b/>
                <w:sz w:val="24"/>
                <w:szCs w:val="24"/>
              </w:rPr>
            </w:pPr>
            <w:r w:rsidRPr="00EA543A">
              <w:rPr>
                <w:rFonts w:ascii="Times New Roman" w:hAnsi="Times New Roman" w:cs="Times New Roman"/>
                <w:b/>
                <w:sz w:val="24"/>
                <w:szCs w:val="24"/>
              </w:rPr>
              <w:t>Predpokladaný termín predloženia na Rokovanie vlády SR*</w:t>
            </w:r>
          </w:p>
        </w:tc>
        <w:tc>
          <w:tcPr>
            <w:tcW w:w="3546" w:type="dxa"/>
            <w:gridSpan w:val="5"/>
            <w:shd w:val="clear" w:color="auto" w:fill="auto"/>
          </w:tcPr>
          <w:p w:rsidR="00EA543A" w:rsidRPr="00EA543A" w:rsidRDefault="00EA543A" w:rsidP="00EA543A">
            <w:pPr>
              <w:spacing w:line="240" w:lineRule="auto"/>
              <w:rPr>
                <w:rFonts w:ascii="Times New Roman" w:hAnsi="Times New Roman" w:cs="Times New Roman"/>
                <w:i/>
                <w:sz w:val="24"/>
                <w:szCs w:val="24"/>
              </w:rPr>
            </w:pPr>
            <w:r w:rsidRPr="00EA543A">
              <w:rPr>
                <w:rFonts w:ascii="Times New Roman" w:hAnsi="Times New Roman" w:cs="Times New Roman"/>
                <w:i/>
                <w:sz w:val="24"/>
                <w:szCs w:val="24"/>
              </w:rPr>
              <w:t>Máj 2019</w:t>
            </w: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Definovanie problému</w:t>
            </w:r>
          </w:p>
        </w:tc>
      </w:tr>
      <w:tr w:rsidR="00EA543A" w:rsidRPr="00EA543A" w:rsidTr="00EA543A">
        <w:trPr>
          <w:trHeight w:val="718"/>
        </w:trPr>
        <w:tc>
          <w:tcPr>
            <w:tcW w:w="9180" w:type="dxa"/>
            <w:gridSpan w:val="10"/>
            <w:tcBorders>
              <w:top w:val="single" w:sz="4" w:space="0" w:color="FFFFFF"/>
            </w:tcBorders>
            <w:shd w:val="clear" w:color="auto" w:fill="FFFFFF"/>
          </w:tcPr>
          <w:p w:rsidR="00EA543A" w:rsidRPr="00EA543A" w:rsidRDefault="00EA543A" w:rsidP="00EA543A">
            <w:pPr>
              <w:spacing w:line="240" w:lineRule="auto"/>
              <w:ind w:right="85"/>
              <w:jc w:val="both"/>
              <w:rPr>
                <w:rFonts w:ascii="Times New Roman" w:hAnsi="Times New Roman" w:cs="Times New Roman"/>
                <w:sz w:val="24"/>
                <w:szCs w:val="24"/>
              </w:rPr>
            </w:pPr>
            <w:r w:rsidRPr="00EA543A">
              <w:rPr>
                <w:rFonts w:ascii="Times New Roman" w:hAnsi="Times New Roman" w:cs="Times New Roman"/>
                <w:sz w:val="24"/>
                <w:szCs w:val="24"/>
              </w:rPr>
              <w:t>Plnenie záväzku vlády Slovenskej republiky z Programového vyhlásenia vlády Slovenskej republiky na roky 2016 až 2020, povinnosť transpozície Smernice Rady (EU) 2017/952 z 29. mája 2017, ktorou sa mení smernica Rady (EÚ) 2016/1164, pokiaľ ide o hybridné nesúlady s tretími krajinami a plnenie úloh vyplývajúcich z uznesenia vlády SR č. 51/2019 zo dňa 6. februára 2019.</w:t>
            </w:r>
          </w:p>
        </w:tc>
      </w:tr>
      <w:tr w:rsidR="00EA543A" w:rsidRPr="00EA543A" w:rsidTr="00EA543A">
        <w:tc>
          <w:tcPr>
            <w:tcW w:w="9180" w:type="dxa"/>
            <w:gridSpan w:val="10"/>
            <w:tcBorders>
              <w:bottom w:val="nil"/>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Ciele a výsledný stav</w:t>
            </w:r>
          </w:p>
        </w:tc>
      </w:tr>
      <w:tr w:rsidR="00EA543A" w:rsidRPr="00EA543A" w:rsidTr="00EA543A">
        <w:trPr>
          <w:trHeight w:val="741"/>
        </w:trPr>
        <w:tc>
          <w:tcPr>
            <w:tcW w:w="9180" w:type="dxa"/>
            <w:gridSpan w:val="10"/>
            <w:tcBorders>
              <w:top w:val="nil"/>
            </w:tcBorders>
            <w:shd w:val="clear" w:color="auto" w:fill="FFFFFF"/>
          </w:tcPr>
          <w:p w:rsidR="00EA543A" w:rsidRPr="00EA543A" w:rsidRDefault="00EA543A" w:rsidP="00EA543A">
            <w:pPr>
              <w:spacing w:line="240" w:lineRule="auto"/>
              <w:ind w:right="85"/>
              <w:jc w:val="both"/>
              <w:rPr>
                <w:rFonts w:ascii="Times New Roman" w:hAnsi="Times New Roman" w:cs="Times New Roman"/>
                <w:sz w:val="24"/>
                <w:szCs w:val="24"/>
              </w:rPr>
            </w:pPr>
            <w:r w:rsidRPr="00EA543A">
              <w:rPr>
                <w:rFonts w:ascii="Times New Roman" w:hAnsi="Times New Roman" w:cs="Times New Roman"/>
                <w:sz w:val="24"/>
                <w:szCs w:val="24"/>
              </w:rPr>
              <w:t xml:space="preserve">Návrhom zákona reaguje na potrebu podpory malých a stredných podnikov, zvyšovanie ich konkurencieschopnosti s prihliadnutím na tvorbu nových pracovných miest, ako aj na potrebu transpozície smernice Rady (EÚ) 2017/952, pokiaľ ide o hybridné nesúlady s tretími krajinami. Rovnako je cieľom aj znižovanie administratívnej záťaže daňovníkov. </w:t>
            </w:r>
          </w:p>
        </w:tc>
      </w:tr>
      <w:tr w:rsidR="00EA543A" w:rsidRPr="00EA543A" w:rsidTr="00EA543A">
        <w:tc>
          <w:tcPr>
            <w:tcW w:w="9180" w:type="dxa"/>
            <w:gridSpan w:val="10"/>
            <w:tcBorders>
              <w:bottom w:val="nil"/>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Dotknuté subjekty</w:t>
            </w:r>
          </w:p>
        </w:tc>
      </w:tr>
      <w:tr w:rsidR="00EA543A" w:rsidRPr="00EA543A" w:rsidTr="00EA543A">
        <w:tc>
          <w:tcPr>
            <w:tcW w:w="9180" w:type="dxa"/>
            <w:gridSpan w:val="10"/>
            <w:tcBorders>
              <w:top w:val="nil"/>
            </w:tcBorders>
            <w:shd w:val="clear" w:color="auto" w:fill="FFFFFF"/>
          </w:tcPr>
          <w:p w:rsidR="00EA543A" w:rsidRPr="00EA543A" w:rsidRDefault="00EA543A" w:rsidP="00EA543A">
            <w:pPr>
              <w:spacing w:line="240" w:lineRule="auto"/>
              <w:jc w:val="both"/>
              <w:rPr>
                <w:rFonts w:ascii="Times New Roman" w:hAnsi="Times New Roman" w:cs="Times New Roman"/>
                <w:i/>
                <w:sz w:val="24"/>
                <w:szCs w:val="24"/>
              </w:rPr>
            </w:pPr>
            <w:r w:rsidRPr="00EA543A">
              <w:rPr>
                <w:rFonts w:ascii="Times New Roman" w:hAnsi="Times New Roman" w:cs="Times New Roman"/>
                <w:sz w:val="24"/>
                <w:szCs w:val="24"/>
              </w:rPr>
              <w:t xml:space="preserve">Navrhovaná právna úprava sa dotkne právnických osôb, na ktoré sa budú vzťahovať pravidlá implementovanej smernice, fyzických osôb – zamestnancov, </w:t>
            </w:r>
          </w:p>
        </w:tc>
      </w:tr>
      <w:tr w:rsidR="00EA543A" w:rsidRPr="00EA543A" w:rsidTr="00EA543A">
        <w:tc>
          <w:tcPr>
            <w:tcW w:w="9180" w:type="dxa"/>
            <w:gridSpan w:val="10"/>
            <w:tcBorders>
              <w:bottom w:val="nil"/>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Alternatívne riešenia</w:t>
            </w:r>
          </w:p>
        </w:tc>
      </w:tr>
      <w:tr w:rsidR="00EA543A" w:rsidRPr="00EA543A" w:rsidTr="00EA543A">
        <w:trPr>
          <w:trHeight w:val="709"/>
        </w:trPr>
        <w:tc>
          <w:tcPr>
            <w:tcW w:w="9180" w:type="dxa"/>
            <w:gridSpan w:val="10"/>
            <w:tcBorders>
              <w:top w:val="nil"/>
            </w:tcBorders>
            <w:shd w:val="clear" w:color="auto" w:fill="FFFFFF"/>
          </w:tcPr>
          <w:tbl>
            <w:tblPr>
              <w:tblW w:w="9075" w:type="dxa"/>
              <w:tblBorders>
                <w:top w:val="nil"/>
                <w:left w:val="nil"/>
                <w:bottom w:val="nil"/>
                <w:right w:val="nil"/>
              </w:tblBorders>
              <w:tblLayout w:type="fixed"/>
              <w:tblLook w:val="0000" w:firstRow="0" w:lastRow="0" w:firstColumn="0" w:lastColumn="0" w:noHBand="0" w:noVBand="0"/>
            </w:tblPr>
            <w:tblGrid>
              <w:gridCol w:w="9075"/>
            </w:tblGrid>
            <w:tr w:rsidR="00EA543A" w:rsidRPr="00EA543A" w:rsidTr="00EA543A">
              <w:trPr>
                <w:trHeight w:val="352"/>
              </w:trPr>
              <w:tc>
                <w:tcPr>
                  <w:tcW w:w="9075" w:type="dxa"/>
                </w:tcPr>
                <w:p w:rsidR="00EA543A" w:rsidRPr="00EA543A" w:rsidRDefault="00EA543A" w:rsidP="00EA543A">
                  <w:pPr>
                    <w:pStyle w:val="Default"/>
                    <w:jc w:val="both"/>
                    <w:rPr>
                      <w:color w:val="auto"/>
                    </w:rPr>
                  </w:pPr>
                  <w:r w:rsidRPr="00EA543A">
                    <w:t xml:space="preserve"> </w:t>
                  </w:r>
                  <w:r w:rsidRPr="00EA543A">
                    <w:rPr>
                      <w:color w:val="auto"/>
                    </w:rPr>
                    <w:t xml:space="preserve">Alternatívne riešenia neboli posudzované, pretože vzhľadom na úlohu uloženú v Pláne legislatívnych úloh vlády na rok 2018 ktorej obsahom je prijatie návrhu zákona, ku ktorému má dôjsť z dôvodu potreby transpozície smernice Rady ako aj s ohľadom na doterajšiu aplikačnú prax rešpektujúc požiadavky uvedené v Programovom vyhlásení vlády Slovenskej republiky na roky 2016-2020 a vzhľadom na množstvo podnetov z aplikačnej praxe, ktoré nemožno riešiť len výkladom uvedeného zákona, niet inej možnosti ako prijať uvedenú novelu zákona. </w:t>
                  </w:r>
                </w:p>
              </w:tc>
            </w:tr>
          </w:tbl>
          <w:p w:rsidR="00EA543A" w:rsidRPr="00EA543A" w:rsidRDefault="00EA543A" w:rsidP="00EA543A">
            <w:pPr>
              <w:spacing w:line="240" w:lineRule="auto"/>
              <w:rPr>
                <w:rFonts w:ascii="Times New Roman" w:hAnsi="Times New Roman" w:cs="Times New Roman"/>
                <w:sz w:val="24"/>
                <w:szCs w:val="24"/>
              </w:rPr>
            </w:pP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Vykonávacie predpisy</w:t>
            </w:r>
          </w:p>
        </w:tc>
      </w:tr>
      <w:tr w:rsidR="00EA543A" w:rsidRPr="00EA543A" w:rsidTr="00EA543A">
        <w:tc>
          <w:tcPr>
            <w:tcW w:w="6203" w:type="dxa"/>
            <w:gridSpan w:val="6"/>
            <w:tcBorders>
              <w:top w:val="single" w:sz="4" w:space="0" w:color="FFFFFF"/>
              <w:bottom w:val="nil"/>
              <w:right w:val="nil"/>
            </w:tcBorders>
            <w:shd w:val="clear" w:color="auto" w:fill="FFFFFF"/>
          </w:tcPr>
          <w:p w:rsidR="00EA543A" w:rsidRPr="00EA543A" w:rsidRDefault="00EA543A" w:rsidP="00EA543A">
            <w:pPr>
              <w:spacing w:line="240" w:lineRule="auto"/>
              <w:rPr>
                <w:rFonts w:ascii="Times New Roman" w:hAnsi="Times New Roman" w:cs="Times New Roman"/>
                <w:i/>
                <w:sz w:val="24"/>
                <w:szCs w:val="24"/>
              </w:rPr>
            </w:pPr>
            <w:r w:rsidRPr="00EA543A">
              <w:rPr>
                <w:rFonts w:ascii="Times New Roman" w:hAnsi="Times New Roman" w:cs="Times New Roman"/>
                <w:i/>
                <w:sz w:val="24"/>
                <w:szCs w:val="24"/>
              </w:rPr>
              <w:lastRenderedPageBreak/>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sz w:val="24"/>
                <w:szCs w:val="24"/>
              </w:rPr>
              <w:t>☐</w:t>
            </w:r>
            <w:r w:rsidRPr="00EA543A">
              <w:rPr>
                <w:rFonts w:ascii="Times New Roman" w:hAnsi="Times New Roman" w:cs="Times New Roman"/>
                <w:sz w:val="24"/>
                <w:szCs w:val="24"/>
              </w:rPr>
              <w:t xml:space="preserve">  Áno</w:t>
            </w:r>
          </w:p>
        </w:tc>
        <w:tc>
          <w:tcPr>
            <w:tcW w:w="1560" w:type="dxa"/>
            <w:gridSpan w:val="2"/>
            <w:tcBorders>
              <w:top w:val="single" w:sz="4" w:space="0" w:color="FFFFFF"/>
              <w:left w:val="nil"/>
              <w:bottom w:val="nil"/>
            </w:tcBorders>
            <w:shd w:val="clear" w:color="auto" w:fill="FFFFFF"/>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sz w:val="24"/>
                <w:szCs w:val="24"/>
              </w:rPr>
              <w:t>☒</w:t>
            </w:r>
            <w:r w:rsidRPr="00EA543A">
              <w:rPr>
                <w:rFonts w:ascii="Times New Roman" w:hAnsi="Times New Roman" w:cs="Times New Roman"/>
                <w:sz w:val="24"/>
                <w:szCs w:val="24"/>
              </w:rPr>
              <w:t xml:space="preserve">  Nie</w:t>
            </w:r>
          </w:p>
        </w:tc>
      </w:tr>
      <w:tr w:rsidR="00EA543A" w:rsidRPr="00EA543A" w:rsidTr="00EA543A">
        <w:trPr>
          <w:trHeight w:val="87"/>
        </w:trPr>
        <w:tc>
          <w:tcPr>
            <w:tcW w:w="9180" w:type="dxa"/>
            <w:gridSpan w:val="10"/>
            <w:tcBorders>
              <w:top w:val="nil"/>
            </w:tcBorders>
            <w:shd w:val="clear" w:color="auto" w:fill="FFFFFF"/>
          </w:tcPr>
          <w:p w:rsidR="00EA543A" w:rsidRPr="00EA543A" w:rsidRDefault="00EA543A" w:rsidP="00EA543A">
            <w:pPr>
              <w:spacing w:line="240" w:lineRule="auto"/>
              <w:rPr>
                <w:rFonts w:ascii="Times New Roman" w:hAnsi="Times New Roman" w:cs="Times New Roman"/>
                <w:sz w:val="24"/>
                <w:szCs w:val="24"/>
              </w:rPr>
            </w:pP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 xml:space="preserve">Transpozícia práva EÚ </w:t>
            </w:r>
          </w:p>
        </w:tc>
      </w:tr>
      <w:tr w:rsidR="00EA543A" w:rsidRPr="00EA543A" w:rsidTr="00EA543A">
        <w:trPr>
          <w:trHeight w:val="157"/>
        </w:trPr>
        <w:tc>
          <w:tcPr>
            <w:tcW w:w="9180" w:type="dxa"/>
            <w:gridSpan w:val="10"/>
            <w:tcBorders>
              <w:top w:val="nil"/>
              <w:left w:val="single" w:sz="4" w:space="0" w:color="000000"/>
              <w:bottom w:val="nil"/>
            </w:tcBorders>
            <w:shd w:val="clear" w:color="auto" w:fill="FFFFFF"/>
          </w:tcPr>
          <w:p w:rsidR="00EA543A" w:rsidRPr="00EA543A" w:rsidRDefault="00EA543A" w:rsidP="00EA543A">
            <w:pPr>
              <w:spacing w:line="240" w:lineRule="auto"/>
              <w:jc w:val="both"/>
              <w:rPr>
                <w:rFonts w:ascii="Times New Roman" w:hAnsi="Times New Roman" w:cs="Times New Roman"/>
                <w:sz w:val="24"/>
                <w:szCs w:val="24"/>
              </w:rPr>
            </w:pPr>
            <w:r w:rsidRPr="00EA543A">
              <w:rPr>
                <w:rFonts w:ascii="Times New Roman" w:hAnsi="Times New Roman" w:cs="Times New Roman"/>
                <w:sz w:val="24"/>
                <w:szCs w:val="24"/>
              </w:rPr>
              <w:t>Smernica Rady (EU) 2017/952 z 29. mája 2017, ktorou sa mení smernica (EÚ) 2016/1164, pokiaľ ide o hybridné nesúlady s tretími krajinami</w:t>
            </w:r>
          </w:p>
        </w:tc>
      </w:tr>
      <w:tr w:rsidR="00EA543A" w:rsidRPr="00EA543A" w:rsidTr="00EA543A">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EA543A" w:rsidRPr="00EA543A" w:rsidRDefault="00EA543A" w:rsidP="00EA543A">
            <w:pPr>
              <w:spacing w:line="240" w:lineRule="auto"/>
              <w:rPr>
                <w:rFonts w:ascii="Times New Roman" w:hAnsi="Times New Roman" w:cs="Times New Roman"/>
                <w:sz w:val="24"/>
                <w:szCs w:val="24"/>
              </w:rPr>
            </w:pPr>
          </w:p>
        </w:tc>
      </w:tr>
      <w:tr w:rsidR="00EA543A" w:rsidRPr="00EA543A" w:rsidTr="00EA543A">
        <w:tc>
          <w:tcPr>
            <w:tcW w:w="9180" w:type="dxa"/>
            <w:gridSpan w:val="10"/>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Preskúmanie účelnosti**</w:t>
            </w:r>
          </w:p>
        </w:tc>
      </w:tr>
      <w:tr w:rsidR="00EA543A" w:rsidRPr="00EA543A" w:rsidTr="00EA543A">
        <w:tc>
          <w:tcPr>
            <w:tcW w:w="9180" w:type="dxa"/>
            <w:gridSpan w:val="10"/>
            <w:tcBorders>
              <w:top w:val="single" w:sz="4" w:space="0" w:color="FFFFFF"/>
            </w:tcBorders>
            <w:shd w:val="clear" w:color="auto" w:fill="FFFFFF"/>
          </w:tcPr>
          <w:p w:rsidR="00EA543A" w:rsidRPr="00EA543A" w:rsidRDefault="00EA543A" w:rsidP="00EA543A">
            <w:pPr>
              <w:spacing w:line="240" w:lineRule="auto"/>
              <w:rPr>
                <w:rFonts w:ascii="Times New Roman" w:hAnsi="Times New Roman" w:cs="Times New Roman"/>
                <w:i/>
                <w:sz w:val="24"/>
                <w:szCs w:val="24"/>
              </w:rPr>
            </w:pPr>
          </w:p>
        </w:tc>
      </w:tr>
      <w:tr w:rsidR="00EA543A" w:rsidRPr="00EA543A" w:rsidTr="00EA543A">
        <w:trPr>
          <w:trHeight w:val="577"/>
        </w:trPr>
        <w:tc>
          <w:tcPr>
            <w:tcW w:w="9180" w:type="dxa"/>
            <w:gridSpan w:val="10"/>
            <w:tcBorders>
              <w:bottom w:val="single" w:sz="4" w:space="0" w:color="FFFFFF"/>
            </w:tcBorders>
            <w:shd w:val="clear" w:color="auto" w:fill="E2E2E2"/>
            <w:vAlign w:val="center"/>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Vplyvy navrhovaného materiálu</w:t>
            </w:r>
          </w:p>
        </w:tc>
      </w:tr>
      <w:tr w:rsidR="00EA543A" w:rsidRPr="00EA543A" w:rsidTr="00EA543A">
        <w:tc>
          <w:tcPr>
            <w:tcW w:w="3812" w:type="dxa"/>
            <w:tcBorders>
              <w:bottom w:val="nil"/>
            </w:tcBorders>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rozpočet verejnej správy</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ind w:left="-107" w:right="-108"/>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297" w:type="dxa"/>
            <w:tcBorders>
              <w:left w:val="nil"/>
            </w:tcBorders>
            <w:shd w:val="clear" w:color="auto" w:fill="auto"/>
          </w:tcPr>
          <w:p w:rsidR="00EA543A" w:rsidRPr="00EA543A" w:rsidRDefault="00EA543A" w:rsidP="00EA543A">
            <w:pPr>
              <w:spacing w:line="240" w:lineRule="auto"/>
              <w:ind w:left="3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EA543A">
        <w:tc>
          <w:tcPr>
            <w:tcW w:w="3812" w:type="dxa"/>
            <w:tcBorders>
              <w:top w:val="nil"/>
              <w:bottom w:val="single" w:sz="4" w:space="0" w:color="000000"/>
            </w:tcBorders>
            <w:shd w:val="clear" w:color="auto" w:fill="E2E2E2"/>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 xml:space="preserve">    z toho rozpočtovo zabezpečené vplyvy</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Áno</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Mincho" w:hAnsi="Segoe UI Symbol" w:cs="Segoe UI Symbol"/>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Nie</w:t>
            </w:r>
          </w:p>
        </w:tc>
        <w:tc>
          <w:tcPr>
            <w:tcW w:w="547" w:type="dxa"/>
            <w:gridSpan w:val="2"/>
            <w:tcBorders>
              <w:left w:val="nil"/>
              <w:right w:val="nil"/>
            </w:tcBorders>
            <w:shd w:val="clear" w:color="auto" w:fill="auto"/>
          </w:tcPr>
          <w:p w:rsidR="00EA543A" w:rsidRPr="00EA543A" w:rsidRDefault="00EA543A" w:rsidP="00EA543A">
            <w:pPr>
              <w:spacing w:line="240" w:lineRule="auto"/>
              <w:ind w:left="-107" w:right="-108"/>
              <w:jc w:val="center"/>
              <w:rPr>
                <w:rFonts w:ascii="Times New Roman" w:hAnsi="Times New Roman" w:cs="Times New Roman"/>
                <w:sz w:val="24"/>
                <w:szCs w:val="24"/>
              </w:rPr>
            </w:pPr>
            <w:r w:rsidRPr="00EA543A">
              <w:rPr>
                <w:rFonts w:ascii="Segoe UI Symbol" w:eastAsia="MS Mincho" w:hAnsi="Segoe UI Symbol" w:cs="Segoe UI Symbol"/>
                <w:sz w:val="24"/>
                <w:szCs w:val="24"/>
              </w:rPr>
              <w:t>☐</w:t>
            </w:r>
          </w:p>
        </w:tc>
        <w:tc>
          <w:tcPr>
            <w:tcW w:w="1297" w:type="dxa"/>
            <w:tcBorders>
              <w:left w:val="nil"/>
            </w:tcBorders>
            <w:shd w:val="clear" w:color="auto" w:fill="auto"/>
          </w:tcPr>
          <w:p w:rsidR="00EA543A" w:rsidRPr="00EA543A" w:rsidRDefault="00EA543A" w:rsidP="00EA543A">
            <w:pPr>
              <w:spacing w:line="240" w:lineRule="auto"/>
              <w:ind w:left="34"/>
              <w:rPr>
                <w:rFonts w:ascii="Times New Roman" w:hAnsi="Times New Roman" w:cs="Times New Roman"/>
                <w:sz w:val="24"/>
                <w:szCs w:val="24"/>
              </w:rPr>
            </w:pPr>
            <w:r w:rsidRPr="00EA543A">
              <w:rPr>
                <w:rFonts w:ascii="Times New Roman" w:hAnsi="Times New Roman" w:cs="Times New Roman"/>
                <w:sz w:val="24"/>
                <w:szCs w:val="24"/>
              </w:rPr>
              <w:t>Čiastočne</w:t>
            </w:r>
          </w:p>
        </w:tc>
      </w:tr>
      <w:tr w:rsidR="00EA543A" w:rsidRPr="00EA543A" w:rsidTr="00EA543A">
        <w:tc>
          <w:tcPr>
            <w:tcW w:w="3812" w:type="dxa"/>
            <w:tcBorders>
              <w:top w:val="single" w:sz="4" w:space="0" w:color="000000"/>
              <w:bottom w:val="nil"/>
            </w:tcBorders>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podnikateľské prostredie</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297" w:type="dxa"/>
            <w:tcBorders>
              <w:left w:val="nil"/>
            </w:tcBorders>
            <w:shd w:val="clear" w:color="auto" w:fill="auto"/>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EA543A">
        <w:tc>
          <w:tcPr>
            <w:tcW w:w="3812" w:type="dxa"/>
            <w:tcBorders>
              <w:top w:val="nil"/>
              <w:left w:val="single" w:sz="4" w:space="0" w:color="000000"/>
              <w:bottom w:val="single" w:sz="4" w:space="0" w:color="000000"/>
              <w:right w:val="single" w:sz="4" w:space="0" w:color="000000"/>
            </w:tcBorders>
            <w:shd w:val="clear" w:color="auto" w:fill="E2E2E2"/>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 xml:space="preserve">    z toho vplyvy na MSP</w:t>
            </w:r>
          </w:p>
        </w:tc>
        <w:tc>
          <w:tcPr>
            <w:tcW w:w="541" w:type="dxa"/>
            <w:gridSpan w:val="2"/>
            <w:tcBorders>
              <w:left w:val="single" w:sz="4" w:space="0" w:color="000000"/>
              <w:right w:val="nil"/>
            </w:tcBorders>
            <w:shd w:val="clear" w:color="auto" w:fill="auto"/>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ind w:right="-108"/>
              <w:rPr>
                <w:rFonts w:ascii="Times New Roman" w:hAnsi="Times New Roman" w:cs="Times New Roman"/>
                <w:sz w:val="24"/>
                <w:szCs w:val="24"/>
              </w:rPr>
            </w:pPr>
            <w:r w:rsidRPr="00EA543A">
              <w:rPr>
                <w:rFonts w:ascii="Times New Roman" w:hAnsi="Times New Roman" w:cs="Times New Roman"/>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Mincho"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sz w:val="24"/>
                <w:szCs w:val="24"/>
              </w:rPr>
            </w:pPr>
            <w:r w:rsidRPr="00EA543A">
              <w:rPr>
                <w:rFonts w:ascii="Segoe UI Symbol" w:eastAsia="MS Gothic" w:hAnsi="Segoe UI Symbol" w:cs="Segoe UI Symbol"/>
                <w:b/>
                <w:sz w:val="24"/>
                <w:szCs w:val="24"/>
              </w:rPr>
              <w:t>☒</w:t>
            </w:r>
          </w:p>
        </w:tc>
        <w:tc>
          <w:tcPr>
            <w:tcW w:w="1297" w:type="dxa"/>
            <w:tcBorders>
              <w:left w:val="nil"/>
            </w:tcBorders>
            <w:shd w:val="clear" w:color="auto" w:fill="auto"/>
          </w:tcPr>
          <w:p w:rsidR="00EA543A" w:rsidRPr="00EA543A" w:rsidRDefault="00EA543A" w:rsidP="00EA543A">
            <w:pPr>
              <w:spacing w:line="240" w:lineRule="auto"/>
              <w:ind w:left="54"/>
              <w:rPr>
                <w:rFonts w:ascii="Times New Roman" w:hAnsi="Times New Roman" w:cs="Times New Roman"/>
                <w:sz w:val="24"/>
                <w:szCs w:val="24"/>
              </w:rPr>
            </w:pPr>
            <w:r w:rsidRPr="00EA543A">
              <w:rPr>
                <w:rFonts w:ascii="Times New Roman" w:hAnsi="Times New Roman" w:cs="Times New Roman"/>
                <w:sz w:val="24"/>
                <w:szCs w:val="24"/>
              </w:rPr>
              <w:t>Negatívne</w:t>
            </w:r>
          </w:p>
        </w:tc>
      </w:tr>
      <w:tr w:rsidR="00EA543A" w:rsidRPr="00EA543A" w:rsidTr="00EA543A">
        <w:tc>
          <w:tcPr>
            <w:tcW w:w="3812" w:type="dxa"/>
            <w:tcBorders>
              <w:top w:val="single" w:sz="4" w:space="0" w:color="000000"/>
            </w:tcBorders>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Sociálne vplyvy</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sz w:val="24"/>
                <w:szCs w:val="24"/>
              </w:rPr>
              <w:t>☐</w:t>
            </w:r>
          </w:p>
        </w:tc>
        <w:tc>
          <w:tcPr>
            <w:tcW w:w="1297" w:type="dxa"/>
            <w:tcBorders>
              <w:left w:val="nil"/>
            </w:tcBorders>
            <w:shd w:val="clear" w:color="auto" w:fill="auto"/>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EA543A">
        <w:tc>
          <w:tcPr>
            <w:tcW w:w="3812" w:type="dxa"/>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životné prostredie</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297" w:type="dxa"/>
            <w:tcBorders>
              <w:left w:val="nil"/>
            </w:tcBorders>
            <w:shd w:val="clear" w:color="auto" w:fill="auto"/>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EA543A">
        <w:tc>
          <w:tcPr>
            <w:tcW w:w="3812" w:type="dxa"/>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informatizáciu</w:t>
            </w:r>
          </w:p>
        </w:tc>
        <w:tc>
          <w:tcPr>
            <w:tcW w:w="541" w:type="dxa"/>
            <w:gridSpan w:val="2"/>
            <w:tcBorders>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281" w:type="dxa"/>
            <w:gridSpan w:val="2"/>
            <w:tcBorders>
              <w:left w:val="nil"/>
              <w:right w:val="nil"/>
            </w:tcBorders>
            <w:shd w:val="clear" w:color="auto" w:fill="auto"/>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133" w:type="dxa"/>
            <w:tcBorders>
              <w:left w:val="nil"/>
              <w:right w:val="nil"/>
            </w:tcBorders>
            <w:shd w:val="clear" w:color="auto" w:fill="auto"/>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gridSpan w:val="2"/>
            <w:tcBorders>
              <w:left w:val="nil"/>
              <w:right w:val="nil"/>
            </w:tcBorders>
            <w:shd w:val="clear" w:color="auto" w:fill="auto"/>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297" w:type="dxa"/>
            <w:tcBorders>
              <w:left w:val="nil"/>
            </w:tcBorders>
            <w:shd w:val="clear" w:color="auto" w:fill="auto"/>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bl>
    <w:p w:rsidR="00EA543A" w:rsidRPr="00EA543A" w:rsidRDefault="00EA543A" w:rsidP="00EA543A">
      <w:pPr>
        <w:spacing w:line="240" w:lineRule="auto"/>
        <w:rPr>
          <w:rFonts w:ascii="Times New Roman" w:hAnsi="Times New Roman" w:cs="Times New Roman"/>
          <w:vanish/>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A543A" w:rsidRPr="00EA543A" w:rsidTr="00F45C2A">
        <w:tc>
          <w:tcPr>
            <w:tcW w:w="3812" w:type="dxa"/>
            <w:tcBorders>
              <w:bottom w:val="nil"/>
            </w:tcBorders>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služby verejnej správy pre občana, z toho</w:t>
            </w:r>
          </w:p>
        </w:tc>
        <w:tc>
          <w:tcPr>
            <w:tcW w:w="541" w:type="dxa"/>
            <w:tcBorders>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p>
        </w:tc>
        <w:tc>
          <w:tcPr>
            <w:tcW w:w="1281" w:type="dxa"/>
            <w:tcBorders>
              <w:left w:val="nil"/>
              <w:bottom w:val="nil"/>
              <w:right w:val="nil"/>
            </w:tcBorders>
          </w:tcPr>
          <w:p w:rsidR="00EA543A" w:rsidRPr="00EA543A" w:rsidRDefault="00EA543A" w:rsidP="00EA543A">
            <w:pPr>
              <w:spacing w:line="240" w:lineRule="auto"/>
              <w:ind w:right="-108"/>
              <w:rPr>
                <w:rFonts w:ascii="Times New Roman" w:hAnsi="Times New Roman" w:cs="Times New Roman"/>
                <w:b/>
                <w:sz w:val="24"/>
                <w:szCs w:val="24"/>
              </w:rPr>
            </w:pPr>
          </w:p>
        </w:tc>
        <w:tc>
          <w:tcPr>
            <w:tcW w:w="569" w:type="dxa"/>
            <w:tcBorders>
              <w:left w:val="nil"/>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p>
        </w:tc>
        <w:tc>
          <w:tcPr>
            <w:tcW w:w="1133" w:type="dxa"/>
            <w:tcBorders>
              <w:left w:val="nil"/>
              <w:bottom w:val="nil"/>
              <w:right w:val="nil"/>
            </w:tcBorders>
          </w:tcPr>
          <w:p w:rsidR="00EA543A" w:rsidRPr="00EA543A" w:rsidRDefault="00EA543A" w:rsidP="00EA543A">
            <w:pPr>
              <w:spacing w:line="240" w:lineRule="auto"/>
              <w:rPr>
                <w:rFonts w:ascii="Times New Roman" w:hAnsi="Times New Roman" w:cs="Times New Roman"/>
                <w:b/>
                <w:sz w:val="24"/>
                <w:szCs w:val="24"/>
              </w:rPr>
            </w:pPr>
          </w:p>
        </w:tc>
        <w:tc>
          <w:tcPr>
            <w:tcW w:w="547" w:type="dxa"/>
            <w:tcBorders>
              <w:left w:val="nil"/>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p>
        </w:tc>
        <w:tc>
          <w:tcPr>
            <w:tcW w:w="1297" w:type="dxa"/>
            <w:tcBorders>
              <w:left w:val="nil"/>
              <w:bottom w:val="nil"/>
            </w:tcBorders>
          </w:tcPr>
          <w:p w:rsidR="00EA543A" w:rsidRPr="00EA543A" w:rsidRDefault="00EA543A" w:rsidP="00EA543A">
            <w:pPr>
              <w:spacing w:line="240" w:lineRule="auto"/>
              <w:ind w:left="54"/>
              <w:rPr>
                <w:rFonts w:ascii="Times New Roman" w:hAnsi="Times New Roman" w:cs="Times New Roman"/>
                <w:b/>
                <w:sz w:val="24"/>
                <w:szCs w:val="24"/>
              </w:rPr>
            </w:pPr>
          </w:p>
        </w:tc>
      </w:tr>
      <w:tr w:rsidR="00EA543A" w:rsidRPr="00EA543A" w:rsidTr="00F45C2A">
        <w:tc>
          <w:tcPr>
            <w:tcW w:w="3812" w:type="dxa"/>
            <w:tcBorders>
              <w:top w:val="nil"/>
              <w:bottom w:val="nil"/>
            </w:tcBorders>
            <w:shd w:val="clear" w:color="auto" w:fill="E2E2E2"/>
          </w:tcPr>
          <w:p w:rsidR="00EA543A" w:rsidRPr="00EA543A" w:rsidRDefault="00EA543A" w:rsidP="00EA543A">
            <w:pPr>
              <w:spacing w:line="240" w:lineRule="auto"/>
              <w:ind w:left="196" w:hanging="196"/>
              <w:rPr>
                <w:rFonts w:ascii="Times New Roman" w:hAnsi="Times New Roman" w:cs="Times New Roman"/>
                <w:b/>
                <w:sz w:val="24"/>
                <w:szCs w:val="24"/>
              </w:rPr>
            </w:pPr>
            <w:r w:rsidRPr="00EA543A">
              <w:rPr>
                <w:rFonts w:ascii="Times New Roman" w:hAnsi="Times New Roman" w:cs="Times New Roman"/>
                <w:b/>
                <w:sz w:val="24"/>
                <w:szCs w:val="24"/>
              </w:rPr>
              <w:t xml:space="preserve">    vplyvy služieb verejnej správy na občana</w:t>
            </w:r>
          </w:p>
        </w:tc>
        <w:tc>
          <w:tcPr>
            <w:tcW w:w="541" w:type="dxa"/>
            <w:tcBorders>
              <w:top w:val="nil"/>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Mincho" w:hAnsi="Segoe UI Symbol" w:cs="Segoe UI Symbol"/>
                <w:sz w:val="24"/>
                <w:szCs w:val="24"/>
              </w:rPr>
              <w:t>☐</w:t>
            </w:r>
          </w:p>
        </w:tc>
        <w:tc>
          <w:tcPr>
            <w:tcW w:w="1281" w:type="dxa"/>
            <w:tcBorders>
              <w:top w:val="nil"/>
              <w:left w:val="nil"/>
              <w:bottom w:val="nil"/>
              <w:right w:val="nil"/>
            </w:tcBorders>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top w:val="nil"/>
              <w:left w:val="nil"/>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Gothic" w:hAnsi="Segoe UI Symbol" w:cs="Segoe UI Symbol"/>
                <w:b/>
                <w:sz w:val="24"/>
                <w:szCs w:val="24"/>
              </w:rPr>
              <w:t>☒</w:t>
            </w:r>
          </w:p>
        </w:tc>
        <w:tc>
          <w:tcPr>
            <w:tcW w:w="1133" w:type="dxa"/>
            <w:tcBorders>
              <w:top w:val="nil"/>
              <w:left w:val="nil"/>
              <w:bottom w:val="nil"/>
              <w:right w:val="nil"/>
            </w:tcBorders>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tcBorders>
              <w:top w:val="nil"/>
              <w:left w:val="nil"/>
              <w:bottom w:val="nil"/>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Mincho" w:hAnsi="Segoe UI Symbol" w:cs="Segoe UI Symbol"/>
                <w:sz w:val="24"/>
                <w:szCs w:val="24"/>
              </w:rPr>
              <w:t>☐</w:t>
            </w:r>
          </w:p>
        </w:tc>
        <w:tc>
          <w:tcPr>
            <w:tcW w:w="1297" w:type="dxa"/>
            <w:tcBorders>
              <w:top w:val="nil"/>
              <w:left w:val="nil"/>
              <w:bottom w:val="nil"/>
            </w:tcBorders>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F45C2A">
        <w:tc>
          <w:tcPr>
            <w:tcW w:w="3812" w:type="dxa"/>
            <w:tcBorders>
              <w:top w:val="nil"/>
              <w:bottom w:val="single" w:sz="4" w:space="0" w:color="auto"/>
            </w:tcBorders>
            <w:shd w:val="clear" w:color="auto" w:fill="E2E2E2"/>
          </w:tcPr>
          <w:p w:rsidR="00EA543A" w:rsidRPr="00EA543A" w:rsidRDefault="00EA543A" w:rsidP="00EA543A">
            <w:pPr>
              <w:spacing w:line="240" w:lineRule="auto"/>
              <w:ind w:left="168" w:hanging="168"/>
              <w:rPr>
                <w:rFonts w:ascii="Times New Roman" w:hAnsi="Times New Roman" w:cs="Times New Roman"/>
                <w:b/>
                <w:sz w:val="24"/>
                <w:szCs w:val="24"/>
              </w:rPr>
            </w:pPr>
            <w:r w:rsidRPr="00EA543A">
              <w:rPr>
                <w:rFonts w:ascii="Times New Roman" w:hAnsi="Times New Roman" w:cs="Times New Roman"/>
                <w:b/>
                <w:sz w:val="24"/>
                <w:szCs w:val="24"/>
              </w:rPr>
              <w:t xml:space="preserve">    vplyvy na procesy služieb vo verejnej správe</w:t>
            </w:r>
          </w:p>
        </w:tc>
        <w:tc>
          <w:tcPr>
            <w:tcW w:w="541" w:type="dxa"/>
            <w:tcBorders>
              <w:top w:val="nil"/>
              <w:bottom w:val="single" w:sz="4" w:space="0" w:color="auto"/>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Mincho" w:hAnsi="Segoe UI Symbol" w:cs="Segoe UI Symbol"/>
                <w:sz w:val="24"/>
                <w:szCs w:val="24"/>
              </w:rPr>
              <w:t>☐</w:t>
            </w:r>
          </w:p>
        </w:tc>
        <w:tc>
          <w:tcPr>
            <w:tcW w:w="1281" w:type="dxa"/>
            <w:tcBorders>
              <w:top w:val="nil"/>
              <w:left w:val="nil"/>
              <w:bottom w:val="single" w:sz="4" w:space="0" w:color="auto"/>
              <w:right w:val="nil"/>
            </w:tcBorders>
          </w:tcPr>
          <w:p w:rsidR="00EA543A" w:rsidRPr="00EA543A" w:rsidRDefault="00EA543A" w:rsidP="00EA543A">
            <w:pPr>
              <w:spacing w:line="240" w:lineRule="auto"/>
              <w:ind w:right="-108"/>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top w:val="nil"/>
              <w:left w:val="nil"/>
              <w:bottom w:val="single" w:sz="4" w:space="0" w:color="auto"/>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Gothic" w:hAnsi="Segoe UI Symbol" w:cs="Segoe UI Symbol"/>
                <w:b/>
                <w:sz w:val="24"/>
                <w:szCs w:val="24"/>
              </w:rPr>
              <w:t>☒</w:t>
            </w:r>
          </w:p>
        </w:tc>
        <w:tc>
          <w:tcPr>
            <w:tcW w:w="1133" w:type="dxa"/>
            <w:tcBorders>
              <w:top w:val="nil"/>
              <w:left w:val="nil"/>
              <w:bottom w:val="single" w:sz="4" w:space="0" w:color="auto"/>
              <w:right w:val="nil"/>
            </w:tcBorders>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tcBorders>
              <w:top w:val="nil"/>
              <w:left w:val="nil"/>
              <w:bottom w:val="single" w:sz="4" w:space="0" w:color="auto"/>
              <w:right w:val="nil"/>
            </w:tcBorders>
          </w:tcPr>
          <w:p w:rsidR="00EA543A" w:rsidRPr="00EA543A" w:rsidRDefault="00EA543A" w:rsidP="00EA543A">
            <w:pPr>
              <w:spacing w:line="240" w:lineRule="auto"/>
              <w:jc w:val="center"/>
              <w:rPr>
                <w:rFonts w:ascii="Times New Roman" w:eastAsia="MS Mincho" w:hAnsi="Times New Roman" w:cs="Times New Roman"/>
                <w:b/>
                <w:sz w:val="24"/>
                <w:szCs w:val="24"/>
              </w:rPr>
            </w:pPr>
            <w:r w:rsidRPr="00EA543A">
              <w:rPr>
                <w:rFonts w:ascii="Segoe UI Symbol" w:eastAsia="MS Mincho" w:hAnsi="Segoe UI Symbol" w:cs="Segoe UI Symbol"/>
                <w:sz w:val="24"/>
                <w:szCs w:val="24"/>
              </w:rPr>
              <w:t>☐</w:t>
            </w:r>
          </w:p>
        </w:tc>
        <w:tc>
          <w:tcPr>
            <w:tcW w:w="1297" w:type="dxa"/>
            <w:tcBorders>
              <w:top w:val="nil"/>
              <w:left w:val="nil"/>
              <w:bottom w:val="single" w:sz="4" w:space="0" w:color="auto"/>
            </w:tcBorders>
          </w:tcPr>
          <w:p w:rsidR="00EA543A" w:rsidRPr="00EA543A" w:rsidRDefault="00EA543A" w:rsidP="00EA543A">
            <w:pPr>
              <w:spacing w:line="240" w:lineRule="auto"/>
              <w:ind w:left="54"/>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F45C2A">
        <w:tc>
          <w:tcPr>
            <w:tcW w:w="3812" w:type="dxa"/>
            <w:tcBorders>
              <w:top w:val="single" w:sz="4" w:space="0" w:color="auto"/>
            </w:tcBorders>
            <w:shd w:val="clear" w:color="auto" w:fill="E2E2E2"/>
          </w:tcPr>
          <w:p w:rsidR="00EA543A" w:rsidRPr="00EA543A" w:rsidRDefault="00EA543A" w:rsidP="00EA543A">
            <w:pPr>
              <w:spacing w:line="240" w:lineRule="auto"/>
              <w:rPr>
                <w:rFonts w:ascii="Times New Roman" w:hAnsi="Times New Roman" w:cs="Times New Roman"/>
                <w:b/>
                <w:sz w:val="24"/>
                <w:szCs w:val="24"/>
              </w:rPr>
            </w:pPr>
            <w:r w:rsidRPr="00EA543A">
              <w:rPr>
                <w:rFonts w:ascii="Times New Roman" w:hAnsi="Times New Roman" w:cs="Times New Roman"/>
                <w:b/>
                <w:sz w:val="24"/>
                <w:szCs w:val="24"/>
              </w:rPr>
              <w:t>Vplyvy na manželstvo, rodičovstvo a rodinu</w:t>
            </w:r>
          </w:p>
        </w:tc>
        <w:tc>
          <w:tcPr>
            <w:tcW w:w="541" w:type="dxa"/>
            <w:tcBorders>
              <w:top w:val="single" w:sz="4" w:space="0" w:color="auto"/>
              <w:right w:val="nil"/>
            </w:tcBorders>
            <w:vAlign w:val="center"/>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281" w:type="dxa"/>
            <w:tcBorders>
              <w:top w:val="single" w:sz="4" w:space="0" w:color="auto"/>
              <w:left w:val="nil"/>
              <w:right w:val="nil"/>
            </w:tcBorders>
            <w:vAlign w:val="center"/>
          </w:tcPr>
          <w:p w:rsidR="00EA543A" w:rsidRPr="00EA543A" w:rsidRDefault="00EA543A" w:rsidP="00EA543A">
            <w:pPr>
              <w:spacing w:line="240" w:lineRule="auto"/>
              <w:ind w:right="-108"/>
              <w:jc w:val="center"/>
              <w:rPr>
                <w:rFonts w:ascii="Times New Roman" w:hAnsi="Times New Roman" w:cs="Times New Roman"/>
                <w:b/>
                <w:sz w:val="24"/>
                <w:szCs w:val="24"/>
              </w:rPr>
            </w:pPr>
            <w:r w:rsidRPr="00EA543A">
              <w:rPr>
                <w:rFonts w:ascii="Times New Roman" w:hAnsi="Times New Roman" w:cs="Times New Roman"/>
                <w:b/>
                <w:sz w:val="24"/>
                <w:szCs w:val="24"/>
              </w:rPr>
              <w:t>Pozitívne</w:t>
            </w:r>
          </w:p>
        </w:tc>
        <w:tc>
          <w:tcPr>
            <w:tcW w:w="569" w:type="dxa"/>
            <w:tcBorders>
              <w:top w:val="single" w:sz="4" w:space="0" w:color="auto"/>
              <w:left w:val="nil"/>
              <w:right w:val="nil"/>
            </w:tcBorders>
            <w:vAlign w:val="center"/>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Gothic" w:hAnsi="Segoe UI Symbol" w:cs="Segoe UI Symbol"/>
                <w:b/>
                <w:sz w:val="24"/>
                <w:szCs w:val="24"/>
              </w:rPr>
              <w:t>☒</w:t>
            </w:r>
          </w:p>
        </w:tc>
        <w:tc>
          <w:tcPr>
            <w:tcW w:w="1133" w:type="dxa"/>
            <w:tcBorders>
              <w:top w:val="single" w:sz="4" w:space="0" w:color="auto"/>
              <w:left w:val="nil"/>
              <w:right w:val="nil"/>
            </w:tcBorders>
            <w:vAlign w:val="center"/>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Times New Roman" w:hAnsi="Times New Roman" w:cs="Times New Roman"/>
                <w:b/>
                <w:sz w:val="24"/>
                <w:szCs w:val="24"/>
              </w:rPr>
              <w:t>Žiadne</w:t>
            </w:r>
          </w:p>
        </w:tc>
        <w:tc>
          <w:tcPr>
            <w:tcW w:w="547" w:type="dxa"/>
            <w:tcBorders>
              <w:top w:val="single" w:sz="4" w:space="0" w:color="auto"/>
              <w:left w:val="nil"/>
              <w:right w:val="nil"/>
            </w:tcBorders>
            <w:vAlign w:val="center"/>
          </w:tcPr>
          <w:p w:rsidR="00EA543A" w:rsidRPr="00EA543A" w:rsidRDefault="00EA543A" w:rsidP="00EA543A">
            <w:pPr>
              <w:spacing w:line="240" w:lineRule="auto"/>
              <w:jc w:val="center"/>
              <w:rPr>
                <w:rFonts w:ascii="Times New Roman" w:hAnsi="Times New Roman" w:cs="Times New Roman"/>
                <w:b/>
                <w:sz w:val="24"/>
                <w:szCs w:val="24"/>
              </w:rPr>
            </w:pPr>
            <w:r w:rsidRPr="00EA543A">
              <w:rPr>
                <w:rFonts w:ascii="Segoe UI Symbol" w:eastAsia="MS Mincho" w:hAnsi="Segoe UI Symbol" w:cs="Segoe UI Symbol"/>
                <w:b/>
                <w:sz w:val="24"/>
                <w:szCs w:val="24"/>
              </w:rPr>
              <w:t>☐</w:t>
            </w:r>
          </w:p>
        </w:tc>
        <w:tc>
          <w:tcPr>
            <w:tcW w:w="1297" w:type="dxa"/>
            <w:tcBorders>
              <w:top w:val="single" w:sz="4" w:space="0" w:color="auto"/>
              <w:left w:val="nil"/>
            </w:tcBorders>
            <w:vAlign w:val="center"/>
          </w:tcPr>
          <w:p w:rsidR="00EA543A" w:rsidRPr="00EA543A" w:rsidRDefault="00EA543A" w:rsidP="00EA543A">
            <w:pPr>
              <w:spacing w:line="240" w:lineRule="auto"/>
              <w:ind w:left="54"/>
              <w:jc w:val="center"/>
              <w:rPr>
                <w:rFonts w:ascii="Times New Roman" w:hAnsi="Times New Roman" w:cs="Times New Roman"/>
                <w:b/>
                <w:sz w:val="24"/>
                <w:szCs w:val="24"/>
              </w:rPr>
            </w:pPr>
            <w:r w:rsidRPr="00EA543A">
              <w:rPr>
                <w:rFonts w:ascii="Times New Roman" w:hAnsi="Times New Roman" w:cs="Times New Roman"/>
                <w:b/>
                <w:sz w:val="24"/>
                <w:szCs w:val="24"/>
              </w:rPr>
              <w:t>Negatívne</w:t>
            </w:r>
          </w:p>
        </w:tc>
      </w:tr>
      <w:tr w:rsidR="00EA543A" w:rsidRPr="00EA543A" w:rsidTr="00F45C2A">
        <w:tc>
          <w:tcPr>
            <w:tcW w:w="9176" w:type="dxa"/>
            <w:gridSpan w:val="7"/>
            <w:tcBorders>
              <w:bottom w:val="nil"/>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Poznámky</w:t>
            </w:r>
          </w:p>
        </w:tc>
      </w:tr>
      <w:tr w:rsidR="00EA543A" w:rsidRPr="00EA543A" w:rsidTr="00F45C2A">
        <w:trPr>
          <w:trHeight w:val="713"/>
        </w:trPr>
        <w:tc>
          <w:tcPr>
            <w:tcW w:w="9176" w:type="dxa"/>
            <w:gridSpan w:val="7"/>
            <w:tcBorders>
              <w:top w:val="nil"/>
              <w:bottom w:val="single" w:sz="4" w:space="0" w:color="FFFFFF"/>
            </w:tcBorders>
            <w:shd w:val="clear" w:color="auto" w:fill="auto"/>
          </w:tcPr>
          <w:p w:rsidR="00EA543A" w:rsidRPr="00EA543A" w:rsidRDefault="00EA543A" w:rsidP="00EA543A">
            <w:pPr>
              <w:pStyle w:val="Odsekzoznamu"/>
              <w:spacing w:after="0" w:line="240" w:lineRule="auto"/>
              <w:ind w:left="426"/>
              <w:rPr>
                <w:rFonts w:ascii="Times New Roman" w:hAnsi="Times New Roman" w:cs="Times New Roman"/>
                <w:b/>
                <w:sz w:val="24"/>
                <w:szCs w:val="24"/>
              </w:rPr>
            </w:pPr>
          </w:p>
        </w:tc>
      </w:tr>
      <w:tr w:rsidR="00EA543A" w:rsidRPr="00EA543A" w:rsidTr="00F45C2A">
        <w:tc>
          <w:tcPr>
            <w:tcW w:w="9176" w:type="dxa"/>
            <w:gridSpan w:val="7"/>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Kontakt na spracovateľa</w:t>
            </w:r>
          </w:p>
        </w:tc>
      </w:tr>
      <w:tr w:rsidR="00EA543A" w:rsidRPr="00EA543A" w:rsidTr="00F45C2A">
        <w:trPr>
          <w:trHeight w:val="586"/>
        </w:trPr>
        <w:tc>
          <w:tcPr>
            <w:tcW w:w="9176" w:type="dxa"/>
            <w:gridSpan w:val="7"/>
            <w:tcBorders>
              <w:top w:val="single" w:sz="4" w:space="0" w:color="FFFFFF"/>
            </w:tcBorders>
            <w:shd w:val="clear" w:color="auto" w:fill="FFFFFF"/>
          </w:tcPr>
          <w:p w:rsidR="00EA543A" w:rsidRDefault="00EA543A" w:rsidP="00EA543A">
            <w:pPr>
              <w:spacing w:line="240" w:lineRule="auto"/>
              <w:rPr>
                <w:rFonts w:ascii="Times New Roman" w:hAnsi="Times New Roman" w:cs="Times New Roman"/>
                <w:sz w:val="24"/>
                <w:szCs w:val="24"/>
              </w:rPr>
            </w:pPr>
            <w:hyperlink r:id="rId8" w:history="1">
              <w:r w:rsidRPr="00EA543A">
                <w:rPr>
                  <w:rStyle w:val="Hypertextovprepojenie"/>
                  <w:rFonts w:ascii="Times New Roman" w:hAnsi="Times New Roman"/>
                  <w:sz w:val="24"/>
                  <w:szCs w:val="24"/>
                </w:rPr>
                <w:t>michaela.vidova@mfsr.sk</w:t>
              </w:r>
            </w:hyperlink>
            <w:r w:rsidRPr="00EA543A">
              <w:rPr>
                <w:rFonts w:ascii="Times New Roman" w:hAnsi="Times New Roman" w:cs="Times New Roman"/>
                <w:sz w:val="24"/>
                <w:szCs w:val="24"/>
              </w:rPr>
              <w:t>, tel.: 5958 3480</w:t>
            </w:r>
          </w:p>
          <w:p w:rsidR="00F45C2A" w:rsidRPr="00EA543A" w:rsidRDefault="00F45C2A" w:rsidP="00EA543A">
            <w:pPr>
              <w:spacing w:line="240" w:lineRule="auto"/>
              <w:rPr>
                <w:rFonts w:ascii="Times New Roman" w:hAnsi="Times New Roman" w:cs="Times New Roman"/>
                <w:sz w:val="24"/>
                <w:szCs w:val="24"/>
              </w:rPr>
            </w:pPr>
          </w:p>
        </w:tc>
      </w:tr>
      <w:tr w:rsidR="00EA543A" w:rsidRPr="00EA543A" w:rsidTr="00F45C2A">
        <w:tc>
          <w:tcPr>
            <w:tcW w:w="9176" w:type="dxa"/>
            <w:gridSpan w:val="7"/>
            <w:tcBorders>
              <w:bottom w:val="single" w:sz="4" w:space="0" w:color="FFFFFF"/>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t>Zdroje</w:t>
            </w:r>
          </w:p>
        </w:tc>
      </w:tr>
      <w:tr w:rsidR="00EA543A" w:rsidRPr="00EA543A" w:rsidTr="00F45C2A">
        <w:trPr>
          <w:trHeight w:val="401"/>
        </w:trPr>
        <w:tc>
          <w:tcPr>
            <w:tcW w:w="9176" w:type="dxa"/>
            <w:gridSpan w:val="7"/>
            <w:tcBorders>
              <w:top w:val="single" w:sz="4" w:space="0" w:color="FFFFFF"/>
            </w:tcBorders>
            <w:shd w:val="clear" w:color="auto" w:fill="FFFFFF"/>
          </w:tcPr>
          <w:p w:rsidR="00EA543A" w:rsidRDefault="00EA543A" w:rsidP="00EA543A">
            <w:pPr>
              <w:spacing w:line="240" w:lineRule="auto"/>
              <w:rPr>
                <w:rFonts w:ascii="Times New Roman" w:hAnsi="Times New Roman" w:cs="Times New Roman"/>
                <w:sz w:val="24"/>
                <w:szCs w:val="24"/>
              </w:rPr>
            </w:pPr>
            <w:r w:rsidRPr="00EA543A">
              <w:rPr>
                <w:rFonts w:ascii="Times New Roman" w:hAnsi="Times New Roman" w:cs="Times New Roman"/>
                <w:sz w:val="24"/>
                <w:szCs w:val="24"/>
              </w:rPr>
              <w:t xml:space="preserve">Inštitút finančnej politiky, MF SR </w:t>
            </w:r>
          </w:p>
          <w:p w:rsidR="00F45C2A" w:rsidRPr="00EA543A" w:rsidRDefault="00F45C2A" w:rsidP="00EA543A">
            <w:pPr>
              <w:spacing w:line="240" w:lineRule="auto"/>
              <w:rPr>
                <w:rFonts w:ascii="Times New Roman" w:hAnsi="Times New Roman" w:cs="Times New Roman"/>
                <w:b/>
                <w:sz w:val="24"/>
                <w:szCs w:val="24"/>
              </w:rPr>
            </w:pPr>
          </w:p>
        </w:tc>
      </w:tr>
      <w:tr w:rsidR="00EA543A" w:rsidRPr="00EA543A" w:rsidTr="00F45C2A">
        <w:tc>
          <w:tcPr>
            <w:tcW w:w="9176" w:type="dxa"/>
            <w:gridSpan w:val="7"/>
            <w:tcBorders>
              <w:bottom w:val="single" w:sz="4" w:space="0" w:color="auto"/>
            </w:tcBorders>
            <w:shd w:val="clear" w:color="auto" w:fill="E2E2E2"/>
          </w:tcPr>
          <w:p w:rsidR="00EA543A" w:rsidRPr="00EA543A" w:rsidRDefault="00EA543A" w:rsidP="00EA543A">
            <w:pPr>
              <w:pStyle w:val="Odsekzoznamu"/>
              <w:numPr>
                <w:ilvl w:val="0"/>
                <w:numId w:val="6"/>
              </w:numPr>
              <w:spacing w:after="0" w:line="240" w:lineRule="auto"/>
              <w:ind w:left="426"/>
              <w:rPr>
                <w:rFonts w:ascii="Times New Roman" w:hAnsi="Times New Roman" w:cs="Times New Roman"/>
                <w:b/>
                <w:sz w:val="24"/>
                <w:szCs w:val="24"/>
              </w:rPr>
            </w:pPr>
            <w:r w:rsidRPr="00EA543A">
              <w:rPr>
                <w:rFonts w:ascii="Times New Roman" w:hAnsi="Times New Roman" w:cs="Times New Roman"/>
                <w:b/>
                <w:sz w:val="24"/>
                <w:szCs w:val="24"/>
              </w:rPr>
              <w:lastRenderedPageBreak/>
              <w:t>Stanovisko Komisie pre posudzovanie vybraných vplyvov z PPK</w:t>
            </w:r>
          </w:p>
        </w:tc>
      </w:tr>
      <w:tr w:rsidR="00EA543A" w:rsidRPr="00EA543A" w:rsidTr="00F45C2A">
        <w:tc>
          <w:tcPr>
            <w:tcW w:w="9176" w:type="dxa"/>
            <w:gridSpan w:val="7"/>
            <w:tcBorders>
              <w:top w:val="single" w:sz="4" w:space="0" w:color="auto"/>
            </w:tcBorders>
            <w:shd w:val="clear" w:color="auto" w:fill="FFFFFF"/>
          </w:tcPr>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V rámci záverečného posúdenia komisia pre posudzovanie vybraných vplyvov k predmetnému materiálu zaslala nesúhlasné stanovisko uvedené nižšie:</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vplyvom na podnikateľské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Komisia žiada predkladateľa o vyznačenie negatívneho vplyvu na podnikateľské prostredie, vrátane negatívneho vplyvu na malé a stredné podniky  v časti 9. Vplyvy navrhovaného materiálu Doložky vybraných vplyvov, čím uvedie do súladu Doložku s tvrdením uvádzaným v Analýze vplyvov na podnikateľské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Odôvodnenie: Predloženou reguláciou sa zavádza rozšírenie výdavkov (nákladov) po zaplatení o služby týkajúce sa vedenia firiem a poradenské služby v oblasti podnikového riadenia podľa kódu 70.1 a 70.22.1</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analýze vplyvov na podnikateľské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V bode 3.1 komisia žiada predkladateľa o doplnenie vyčíslenia počtu daňovníkov, ktorých sa regulácie dotkne k nejakému dátumu (napr. k 31. 12. 2018, 31. 03. 2019) podľa uváženia.</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Odôvodnenie: Komisia má za to, že predkladateľ by mal disponovať informáciami o tom, pre koľko podnikateľských subjektov sa regulácia znižuje (</w:t>
            </w:r>
            <w:proofErr w:type="spellStart"/>
            <w:r w:rsidRPr="00EA543A">
              <w:rPr>
                <w:rFonts w:ascii="Times New Roman" w:hAnsi="Times New Roman" w:cs="Times New Roman"/>
                <w:bCs/>
                <w:sz w:val="24"/>
                <w:szCs w:val="24"/>
              </w:rPr>
              <w:t>mikrodaňovníkov</w:t>
            </w:r>
            <w:proofErr w:type="spellEnd"/>
            <w:r w:rsidRPr="00EA543A">
              <w:rPr>
                <w:rFonts w:ascii="Times New Roman" w:hAnsi="Times New Roman" w:cs="Times New Roman"/>
                <w:bCs/>
                <w:sz w:val="24"/>
                <w:szCs w:val="24"/>
              </w:rPr>
              <w:t>), alebo koľkých sa dotkne, pričom ale máme za to, že určité ustanovenia sa týkajú všetkých. Minimálne Komisia žiada uviesť číselný údaj koľko takýchto subjektov mala finančná správa v predchádzajúcom období. Ide o dodržanie postupu podľa Jednotenej metodiky na posudzovanie vybraných vplyvov.</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V bode 3.3.4 komisia žiada predkladateľa o vyčíslenie pozitívnych a negatívnych vplyvov danej regulácie do časti 3.3.4 analýzy vplyvov na podnikateľské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Odôvodnenie: Predkladateľ na viacerých miestach uvádza zníženie nákladov podnikateľských subjektov, pričom ale nie je jasné aké reálne vplyvy navrhovaná regulácia prinesie a s akou úsporou je možné rátať. Komisia odporúča tieto pozitívne vplyvy vyčísliť aspoň na jedného podnikateľa. Zároveň Komisia odporúča vyčísliť aj odhadované negatívne vplyvy spojené s nepriamymi náklady regulácie (softvérové zabezpečenie) a to vo forme buď rozpätia alebo priemernou cenou a tiež nákladov spojených so zavedením § 17, prípadne ďalších, ktoré identifikuje predkladateľ. Metodika výpočtu bude súčasnosťou tabuľky 3.3.4.</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vplyvom na životné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Komisia žiada uviesť pozitívne vplyvy na životné prostredie a rozpracovať príslušnú analýzu, keďže sa plánuje zaviesť daňové zvýhodnenie elektromobilov.</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Vyhodnotenie pripomienok MF SR:</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vplyvom na podnikateľské prostredie</w:t>
            </w:r>
          </w:p>
          <w:p w:rsidR="00EA543A" w:rsidRP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V zmysle uplatnených pripomienok komisie bola doložka vybraných vplyvov upravená v časti „9. Vplyvy navrhovaného materiálu“.</w:t>
            </w: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analýze vplyvov na podnikateľské prostredie</w:t>
            </w:r>
          </w:p>
          <w:p w:rsidR="00EA543A" w:rsidRDefault="00EA543A" w:rsidP="00EA543A">
            <w:pPr>
              <w:spacing w:line="240" w:lineRule="auto"/>
              <w:jc w:val="both"/>
              <w:rPr>
                <w:rFonts w:ascii="Times New Roman" w:hAnsi="Times New Roman" w:cs="Times New Roman"/>
                <w:bCs/>
                <w:sz w:val="24"/>
                <w:szCs w:val="24"/>
              </w:rPr>
            </w:pPr>
            <w:r w:rsidRPr="00EA543A">
              <w:rPr>
                <w:rFonts w:ascii="Times New Roman" w:hAnsi="Times New Roman" w:cs="Times New Roman"/>
                <w:bCs/>
                <w:sz w:val="24"/>
                <w:szCs w:val="24"/>
              </w:rPr>
              <w:t>V zmysle uplatnených pripomienok komisie bola analýza vplyvov na podnikateľské prostredie v časti 3.1. a 3.3.4. upravená.</w:t>
            </w:r>
          </w:p>
          <w:p w:rsidR="00F45C2A" w:rsidRPr="00EA543A" w:rsidRDefault="00F45C2A" w:rsidP="00EA543A">
            <w:pPr>
              <w:spacing w:line="240" w:lineRule="auto"/>
              <w:jc w:val="both"/>
              <w:rPr>
                <w:rFonts w:ascii="Times New Roman" w:hAnsi="Times New Roman" w:cs="Times New Roman"/>
                <w:bCs/>
                <w:sz w:val="24"/>
                <w:szCs w:val="24"/>
              </w:rPr>
            </w:pPr>
          </w:p>
          <w:p w:rsidR="00EA543A" w:rsidRPr="00EA543A" w:rsidRDefault="00EA543A" w:rsidP="00EA543A">
            <w:pPr>
              <w:spacing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lastRenderedPageBreak/>
              <w:t>K vplyvom na životné prostredie</w:t>
            </w:r>
          </w:p>
          <w:p w:rsidR="00EA543A" w:rsidRPr="00EA543A" w:rsidRDefault="00EA543A" w:rsidP="00EA543A">
            <w:pPr>
              <w:spacing w:line="240" w:lineRule="auto"/>
              <w:rPr>
                <w:rFonts w:ascii="Times New Roman" w:hAnsi="Times New Roman" w:cs="Times New Roman"/>
                <w:bCs/>
                <w:sz w:val="24"/>
                <w:szCs w:val="24"/>
              </w:rPr>
            </w:pPr>
            <w:r w:rsidRPr="00EA543A">
              <w:rPr>
                <w:rFonts w:ascii="Times New Roman" w:hAnsi="Times New Roman" w:cs="Times New Roman"/>
                <w:bCs/>
                <w:sz w:val="24"/>
                <w:szCs w:val="24"/>
              </w:rPr>
              <w:t>Odporúčaniu komisie o uvedenie pozitívnych vplyvov na životné prostredie a rozpracovanie príslušnej analýzy bolo vyhovené a doložka bola dopracovaná.</w:t>
            </w:r>
          </w:p>
        </w:tc>
      </w:tr>
    </w:tbl>
    <w:p w:rsidR="00EA543A" w:rsidRPr="00EA543A" w:rsidRDefault="00EA543A" w:rsidP="00EA543A">
      <w:pPr>
        <w:spacing w:after="0" w:line="240" w:lineRule="auto"/>
        <w:jc w:val="both"/>
        <w:rPr>
          <w:rFonts w:ascii="Times New Roman" w:hAnsi="Times New Roman" w:cs="Times New Roman"/>
          <w:b/>
          <w:sz w:val="24"/>
          <w:szCs w:val="24"/>
        </w:rPr>
      </w:pPr>
    </w:p>
    <w:p w:rsidR="00EA543A" w:rsidRP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F45C2A" w:rsidRDefault="00F45C2A" w:rsidP="00EA543A">
      <w:pPr>
        <w:spacing w:after="0" w:line="240" w:lineRule="auto"/>
        <w:jc w:val="both"/>
        <w:rPr>
          <w:rFonts w:ascii="Times New Roman" w:hAnsi="Times New Roman" w:cs="Times New Roman"/>
          <w:b/>
          <w:sz w:val="24"/>
          <w:szCs w:val="24"/>
        </w:rPr>
      </w:pPr>
    </w:p>
    <w:p w:rsidR="00F45C2A" w:rsidRDefault="00F45C2A" w:rsidP="00EA543A">
      <w:pPr>
        <w:spacing w:after="0" w:line="240" w:lineRule="auto"/>
        <w:jc w:val="both"/>
        <w:rPr>
          <w:rFonts w:ascii="Times New Roman" w:hAnsi="Times New Roman" w:cs="Times New Roman"/>
          <w:b/>
          <w:sz w:val="24"/>
          <w:szCs w:val="24"/>
        </w:rPr>
      </w:pPr>
    </w:p>
    <w:p w:rsidR="00F45C2A" w:rsidRDefault="00F45C2A" w:rsidP="00EA543A">
      <w:pPr>
        <w:spacing w:after="0" w:line="240" w:lineRule="auto"/>
        <w:jc w:val="both"/>
        <w:rPr>
          <w:rFonts w:ascii="Times New Roman" w:hAnsi="Times New Roman" w:cs="Times New Roman"/>
          <w:b/>
          <w:sz w:val="24"/>
          <w:szCs w:val="24"/>
        </w:rPr>
      </w:pPr>
    </w:p>
    <w:p w:rsidR="00F45C2A" w:rsidRDefault="00F45C2A" w:rsidP="00EA543A">
      <w:pPr>
        <w:spacing w:after="0" w:line="240" w:lineRule="auto"/>
        <w:jc w:val="both"/>
        <w:rPr>
          <w:rFonts w:ascii="Times New Roman" w:hAnsi="Times New Roman" w:cs="Times New Roman"/>
          <w:b/>
          <w:sz w:val="24"/>
          <w:szCs w:val="24"/>
        </w:rPr>
      </w:pPr>
    </w:p>
    <w:p w:rsidR="00F45C2A" w:rsidRDefault="00F45C2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Pr="007D5748" w:rsidRDefault="00EA543A" w:rsidP="00EA543A">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EA543A" w:rsidRPr="007D5748" w:rsidRDefault="00EA543A" w:rsidP="00EA543A">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A543A" w:rsidRPr="00212894" w:rsidRDefault="00EA543A" w:rsidP="00EA543A">
      <w:pPr>
        <w:spacing w:after="0" w:line="240" w:lineRule="auto"/>
        <w:jc w:val="right"/>
        <w:rPr>
          <w:rFonts w:ascii="Times New Roman" w:eastAsia="Times New Roman" w:hAnsi="Times New Roman" w:cs="Times New Roman"/>
          <w:b/>
          <w:bCs/>
          <w:sz w:val="24"/>
          <w:szCs w:val="24"/>
          <w:lang w:eastAsia="sk-SK"/>
        </w:rPr>
      </w:pPr>
    </w:p>
    <w:p w:rsidR="00EA543A" w:rsidRPr="00212894" w:rsidRDefault="00EA543A" w:rsidP="00EA543A">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A543A" w:rsidRDefault="00EA543A" w:rsidP="00EA543A">
      <w:pPr>
        <w:spacing w:after="0" w:line="240" w:lineRule="auto"/>
        <w:jc w:val="right"/>
        <w:rPr>
          <w:rFonts w:ascii="Times New Roman" w:eastAsia="Times New Roman" w:hAnsi="Times New Roman" w:cs="Times New Roman"/>
          <w:sz w:val="20"/>
          <w:szCs w:val="20"/>
          <w:lang w:eastAsia="sk-SK"/>
        </w:rPr>
      </w:pPr>
    </w:p>
    <w:p w:rsidR="00EA543A" w:rsidRPr="007D5748" w:rsidRDefault="00EA543A" w:rsidP="00EA543A">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276"/>
        <w:gridCol w:w="1559"/>
        <w:gridCol w:w="1418"/>
        <w:gridCol w:w="1512"/>
      </w:tblGrid>
      <w:tr w:rsidR="00EA543A" w:rsidRPr="007D5748" w:rsidTr="00EA543A">
        <w:trPr>
          <w:cantSplit/>
          <w:trHeight w:val="194"/>
          <w:jc w:val="center"/>
        </w:trPr>
        <w:tc>
          <w:tcPr>
            <w:tcW w:w="3964" w:type="dxa"/>
            <w:vMerge w:val="restart"/>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765" w:type="dxa"/>
            <w:gridSpan w:val="4"/>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rozpočet verejnej správy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eurách)</w:t>
            </w:r>
          </w:p>
        </w:tc>
      </w:tr>
      <w:tr w:rsidR="00EA543A" w:rsidRPr="007D5748" w:rsidTr="00EA543A">
        <w:trPr>
          <w:cantSplit/>
          <w:trHeight w:val="70"/>
          <w:jc w:val="center"/>
        </w:trPr>
        <w:tc>
          <w:tcPr>
            <w:tcW w:w="3964" w:type="dxa"/>
            <w:vMerge/>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276" w:type="dxa"/>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418" w:type="dxa"/>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12" w:type="dxa"/>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EA543A" w:rsidRPr="007D5748" w:rsidTr="00EA543A">
        <w:trPr>
          <w:trHeight w:val="70"/>
          <w:jc w:val="center"/>
        </w:trPr>
        <w:tc>
          <w:tcPr>
            <w:tcW w:w="3964" w:type="dxa"/>
            <w:shd w:val="clear" w:color="auto" w:fill="C0C0C0"/>
            <w:noWrap/>
            <w:vAlign w:val="center"/>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76" w:type="dxa"/>
            <w:shd w:val="clear" w:color="auto" w:fill="C0C0C0"/>
          </w:tcPr>
          <w:p w:rsidR="00EA543A" w:rsidRPr="006F1FD4" w:rsidRDefault="00EA543A" w:rsidP="00EA543A">
            <w:pPr>
              <w:spacing w:after="0" w:line="240" w:lineRule="auto"/>
              <w:jc w:val="right"/>
              <w:rPr>
                <w:rFonts w:ascii="Times New Roman" w:hAnsi="Times New Roman" w:cs="Times New Roman"/>
                <w:b/>
              </w:rPr>
            </w:pPr>
            <w:r w:rsidRPr="006F1FD4">
              <w:rPr>
                <w:rFonts w:ascii="Times New Roman" w:hAnsi="Times New Roman" w:cs="Times New Roman"/>
                <w:b/>
              </w:rPr>
              <w:t>-12 372</w:t>
            </w:r>
          </w:p>
        </w:tc>
        <w:tc>
          <w:tcPr>
            <w:tcW w:w="1559" w:type="dxa"/>
            <w:shd w:val="clear" w:color="auto" w:fill="C0C0C0"/>
          </w:tcPr>
          <w:p w:rsidR="00EA543A" w:rsidRPr="006F1FD4" w:rsidRDefault="00EA543A" w:rsidP="00EA543A">
            <w:pPr>
              <w:spacing w:after="0" w:line="240" w:lineRule="auto"/>
              <w:jc w:val="right"/>
              <w:rPr>
                <w:rFonts w:ascii="Times New Roman" w:hAnsi="Times New Roman" w:cs="Times New Roman"/>
                <w:b/>
              </w:rPr>
            </w:pPr>
            <w:r w:rsidRPr="006F1FD4">
              <w:rPr>
                <w:rFonts w:ascii="Times New Roman" w:hAnsi="Times New Roman" w:cs="Times New Roman"/>
                <w:b/>
              </w:rPr>
              <w:t>-36 264</w:t>
            </w:r>
          </w:p>
        </w:tc>
        <w:tc>
          <w:tcPr>
            <w:tcW w:w="1418" w:type="dxa"/>
            <w:shd w:val="clear" w:color="auto" w:fill="C0C0C0"/>
          </w:tcPr>
          <w:p w:rsidR="00EA543A" w:rsidRPr="006F1FD4" w:rsidRDefault="00EA543A" w:rsidP="00EA543A">
            <w:pPr>
              <w:spacing w:after="0" w:line="240" w:lineRule="auto"/>
              <w:jc w:val="right"/>
              <w:rPr>
                <w:rFonts w:ascii="Times New Roman" w:hAnsi="Times New Roman" w:cs="Times New Roman"/>
                <w:b/>
              </w:rPr>
            </w:pPr>
            <w:r w:rsidRPr="006F1FD4">
              <w:rPr>
                <w:rFonts w:ascii="Times New Roman" w:hAnsi="Times New Roman" w:cs="Times New Roman"/>
                <w:b/>
              </w:rPr>
              <w:t>-40 589</w:t>
            </w:r>
          </w:p>
        </w:tc>
        <w:tc>
          <w:tcPr>
            <w:tcW w:w="1512" w:type="dxa"/>
            <w:shd w:val="clear" w:color="auto" w:fill="C0C0C0"/>
          </w:tcPr>
          <w:p w:rsidR="00EA543A" w:rsidRPr="006F1FD4" w:rsidRDefault="00EA543A" w:rsidP="00EA543A">
            <w:pPr>
              <w:spacing w:after="0" w:line="240" w:lineRule="auto"/>
              <w:jc w:val="right"/>
              <w:rPr>
                <w:rFonts w:ascii="Times New Roman" w:hAnsi="Times New Roman" w:cs="Times New Roman"/>
                <w:b/>
              </w:rPr>
            </w:pPr>
            <w:r w:rsidRPr="006F1FD4">
              <w:rPr>
                <w:rFonts w:ascii="Times New Roman" w:hAnsi="Times New Roman" w:cs="Times New Roman"/>
                <w:b/>
              </w:rPr>
              <w:t>-36 501</w:t>
            </w:r>
          </w:p>
        </w:tc>
      </w:tr>
      <w:tr w:rsidR="00EA543A" w:rsidRPr="007D5748" w:rsidTr="00EA543A">
        <w:trPr>
          <w:trHeight w:val="132"/>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tcPr>
          <w:p w:rsidR="00EA543A" w:rsidRPr="006F1FD4" w:rsidRDefault="00EA543A" w:rsidP="00EA543A">
            <w:pPr>
              <w:spacing w:after="0" w:line="240" w:lineRule="auto"/>
              <w:jc w:val="right"/>
              <w:rPr>
                <w:rFonts w:ascii="Times New Roman" w:hAnsi="Times New Roman" w:cs="Times New Roman"/>
              </w:rPr>
            </w:pPr>
          </w:p>
        </w:tc>
        <w:tc>
          <w:tcPr>
            <w:tcW w:w="1559" w:type="dxa"/>
            <w:noWrap/>
          </w:tcPr>
          <w:p w:rsidR="00EA543A" w:rsidRPr="006F1FD4" w:rsidRDefault="00EA543A" w:rsidP="00EA543A">
            <w:pPr>
              <w:spacing w:after="0" w:line="240" w:lineRule="auto"/>
              <w:jc w:val="right"/>
              <w:rPr>
                <w:rFonts w:ascii="Times New Roman" w:hAnsi="Times New Roman" w:cs="Times New Roman"/>
              </w:rPr>
            </w:pPr>
          </w:p>
        </w:tc>
        <w:tc>
          <w:tcPr>
            <w:tcW w:w="1418" w:type="dxa"/>
            <w:noWrap/>
          </w:tcPr>
          <w:p w:rsidR="00EA543A" w:rsidRPr="006F1FD4" w:rsidRDefault="00EA543A" w:rsidP="00EA543A">
            <w:pPr>
              <w:spacing w:after="0" w:line="240" w:lineRule="auto"/>
              <w:jc w:val="right"/>
              <w:rPr>
                <w:rFonts w:ascii="Times New Roman" w:hAnsi="Times New Roman" w:cs="Times New Roman"/>
              </w:rPr>
            </w:pPr>
          </w:p>
        </w:tc>
        <w:tc>
          <w:tcPr>
            <w:tcW w:w="1512" w:type="dxa"/>
            <w:noWrap/>
          </w:tcPr>
          <w:p w:rsidR="00EA543A" w:rsidRPr="006F1FD4" w:rsidRDefault="00EA543A" w:rsidP="00EA543A">
            <w:pPr>
              <w:spacing w:after="0" w:line="240" w:lineRule="auto"/>
              <w:jc w:val="right"/>
              <w:rPr>
                <w:rFonts w:ascii="Times New Roman" w:hAnsi="Times New Roman" w:cs="Times New Roman"/>
              </w:rPr>
            </w:pP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-12 372</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-30 322</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-19 175</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-17 815</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Všeobecná pokladničná správa</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-12 372</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-30 322</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-19 175</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-17 815</w:t>
            </w:r>
          </w:p>
        </w:tc>
      </w:tr>
      <w:tr w:rsidR="00EA543A" w:rsidRPr="007D5748" w:rsidTr="00EA543A">
        <w:trPr>
          <w:trHeight w:val="125"/>
          <w:jc w:val="center"/>
        </w:trPr>
        <w:tc>
          <w:tcPr>
            <w:tcW w:w="3964" w:type="dxa"/>
            <w:noWrap/>
            <w:vAlign w:val="center"/>
          </w:tcPr>
          <w:p w:rsidR="00EA543A" w:rsidDel="00713461" w:rsidRDefault="00EA543A" w:rsidP="00EA543A">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-2 203</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-9 119</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-7 209</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-944</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-3 908</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-3 090</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0</w:t>
            </w:r>
          </w:p>
        </w:tc>
        <w:tc>
          <w:tcPr>
            <w:tcW w:w="1559"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-2 795</w:t>
            </w:r>
          </w:p>
        </w:tc>
        <w:tc>
          <w:tcPr>
            <w:tcW w:w="1418"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-8 387</w:t>
            </w:r>
          </w:p>
        </w:tc>
        <w:tc>
          <w:tcPr>
            <w:tcW w:w="1512" w:type="dxa"/>
            <w:noWrap/>
          </w:tcPr>
          <w:p w:rsidR="00EA543A" w:rsidRPr="006F1FD4" w:rsidRDefault="00EA543A" w:rsidP="00EA543A">
            <w:pPr>
              <w:spacing w:after="0" w:line="240" w:lineRule="auto"/>
              <w:jc w:val="right"/>
              <w:rPr>
                <w:rFonts w:ascii="Times New Roman" w:hAnsi="Times New Roman" w:cs="Times New Roman"/>
              </w:rPr>
            </w:pPr>
            <w:r w:rsidRPr="006F1FD4">
              <w:rPr>
                <w:rFonts w:ascii="Times New Roman" w:hAnsi="Times New Roman" w:cs="Times New Roman"/>
              </w:rPr>
              <w:t>-8 387</w:t>
            </w:r>
          </w:p>
        </w:tc>
      </w:tr>
      <w:tr w:rsidR="00EA543A" w:rsidRPr="007D5748" w:rsidTr="00EA543A">
        <w:trPr>
          <w:trHeight w:val="125"/>
          <w:jc w:val="center"/>
        </w:trPr>
        <w:tc>
          <w:tcPr>
            <w:tcW w:w="3964" w:type="dxa"/>
            <w:shd w:val="clear" w:color="auto" w:fill="C0C0C0"/>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76"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1 608</w:t>
            </w:r>
          </w:p>
        </w:tc>
        <w:tc>
          <w:tcPr>
            <w:tcW w:w="1559"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543A" w:rsidRPr="007D5748" w:rsidTr="00EA543A">
        <w:trPr>
          <w:trHeight w:val="70"/>
          <w:jc w:val="center"/>
        </w:trPr>
        <w:tc>
          <w:tcPr>
            <w:tcW w:w="3964" w:type="dxa"/>
            <w:noWrap/>
            <w:vAlign w:val="center"/>
          </w:tcPr>
          <w:p w:rsidR="00EA543A" w:rsidRDefault="00EA543A" w:rsidP="00EA543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Kapitola MF SR (organizácia FR SR)</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RP 718006 podprogram 0EK0D – Informačné technológie</w:t>
            </w:r>
          </w:p>
        </w:tc>
        <w:tc>
          <w:tcPr>
            <w:tcW w:w="1276" w:type="dxa"/>
            <w:noWrap/>
            <w:vAlign w:val="center"/>
          </w:tcPr>
          <w:p w:rsidR="00EA543A" w:rsidRPr="004D10E4" w:rsidRDefault="00EA543A" w:rsidP="00EA543A">
            <w:pPr>
              <w:spacing w:after="0" w:line="240" w:lineRule="auto"/>
              <w:jc w:val="right"/>
              <w:rPr>
                <w:rFonts w:ascii="Times New Roman" w:eastAsia="Times New Roman" w:hAnsi="Times New Roman" w:cs="Times New Roman"/>
                <w:b/>
                <w:sz w:val="24"/>
                <w:szCs w:val="24"/>
                <w:lang w:eastAsia="sk-SK"/>
              </w:rPr>
            </w:pPr>
            <w:r w:rsidRPr="004D10E4">
              <w:rPr>
                <w:rFonts w:ascii="Times New Roman" w:eastAsia="Times New Roman" w:hAnsi="Times New Roman" w:cs="Times New Roman"/>
                <w:b/>
                <w:sz w:val="24"/>
                <w:szCs w:val="24"/>
                <w:lang w:eastAsia="sk-SK"/>
              </w:rPr>
              <w:t>1 608</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1 608</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125"/>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shd w:val="clear" w:color="auto" w:fill="BFBFBF" w:themeFill="background1" w:themeFillShade="BF"/>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76"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shd w:val="clear" w:color="auto" w:fill="BFBFBF" w:themeFill="background1" w:themeFillShade="BF"/>
            <w:noWrap/>
            <w:vAlign w:val="center"/>
          </w:tcPr>
          <w:p w:rsidR="00EA543A" w:rsidRPr="007D5748" w:rsidRDefault="00EA543A" w:rsidP="00EA543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76"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59"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418"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12"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A543A" w:rsidRPr="007D5748" w:rsidTr="00EA543A">
        <w:trPr>
          <w:trHeight w:val="70"/>
          <w:jc w:val="center"/>
        </w:trPr>
        <w:tc>
          <w:tcPr>
            <w:tcW w:w="3964" w:type="dxa"/>
            <w:shd w:val="clear" w:color="auto" w:fill="C0C0C0"/>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w:t>
            </w:r>
            <w:r>
              <w:rPr>
                <w:rFonts w:ascii="Times New Roman" w:eastAsia="Times New Roman" w:hAnsi="Times New Roman" w:cs="Times New Roman"/>
                <w:b/>
                <w:bCs/>
                <w:sz w:val="24"/>
                <w:szCs w:val="24"/>
                <w:lang w:eastAsia="sk-SK"/>
              </w:rPr>
              <w:t> </w:t>
            </w:r>
            <w:r w:rsidRPr="007D5748">
              <w:rPr>
                <w:rFonts w:ascii="Times New Roman" w:eastAsia="Times New Roman" w:hAnsi="Times New Roman" w:cs="Times New Roman"/>
                <w:b/>
                <w:bCs/>
                <w:sz w:val="24"/>
                <w:szCs w:val="24"/>
                <w:lang w:eastAsia="sk-SK"/>
              </w:rPr>
              <w:t>rozpočte</w:t>
            </w:r>
            <w:r>
              <w:rPr>
                <w:rFonts w:ascii="Times New Roman" w:eastAsia="Times New Roman" w:hAnsi="Times New Roman" w:cs="Times New Roman"/>
                <w:b/>
                <w:bCs/>
                <w:sz w:val="24"/>
                <w:szCs w:val="24"/>
                <w:lang w:eastAsia="sk-SK"/>
              </w:rPr>
              <w:t xml:space="preserve"> verejnej správy</w:t>
            </w:r>
          </w:p>
        </w:tc>
        <w:tc>
          <w:tcPr>
            <w:tcW w:w="1276"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1 608</w:t>
            </w:r>
          </w:p>
        </w:tc>
        <w:tc>
          <w:tcPr>
            <w:tcW w:w="1559"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C0C0C0"/>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EA543A" w:rsidRPr="007D5748" w:rsidTr="00EA543A">
        <w:trPr>
          <w:trHeight w:val="70"/>
          <w:jc w:val="center"/>
        </w:trPr>
        <w:tc>
          <w:tcPr>
            <w:tcW w:w="3964" w:type="dxa"/>
            <w:noWrap/>
            <w:vAlign w:val="center"/>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v tom: za každý subjekt verejnej správy / program zvlášť</w:t>
            </w:r>
          </w:p>
        </w:tc>
        <w:tc>
          <w:tcPr>
            <w:tcW w:w="1276"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A543A" w:rsidRPr="007D5748" w:rsidRDefault="00EA543A" w:rsidP="00EA543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A543A" w:rsidRPr="007D5748" w:rsidTr="00EA543A">
        <w:trPr>
          <w:trHeight w:val="70"/>
          <w:jc w:val="center"/>
        </w:trPr>
        <w:tc>
          <w:tcPr>
            <w:tcW w:w="3964" w:type="dxa"/>
            <w:shd w:val="clear" w:color="auto" w:fill="BFBFBF" w:themeFill="background1" w:themeFillShade="BF"/>
            <w:noWrap/>
            <w:vAlign w:val="center"/>
          </w:tcPr>
          <w:p w:rsidR="00EA543A" w:rsidRPr="007D5748" w:rsidRDefault="00EA543A" w:rsidP="00EA543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76"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A543A" w:rsidRPr="007D5748" w:rsidTr="00EA543A">
        <w:trPr>
          <w:trHeight w:val="70"/>
          <w:jc w:val="center"/>
        </w:trPr>
        <w:tc>
          <w:tcPr>
            <w:tcW w:w="3964" w:type="dxa"/>
            <w:shd w:val="clear" w:color="auto" w:fill="A6A6A6" w:themeFill="background1" w:themeFillShade="A6"/>
            <w:noWrap/>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76" w:type="dxa"/>
            <w:shd w:val="clear" w:color="auto" w:fill="A6A6A6" w:themeFill="background1" w:themeFillShade="A6"/>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A6A6A6" w:themeFill="background1" w:themeFillShade="A6"/>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A6A6A6" w:themeFill="background1" w:themeFillShade="A6"/>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A6A6A6" w:themeFill="background1" w:themeFillShade="A6"/>
            <w:noWrap/>
            <w:vAlign w:val="center"/>
          </w:tcPr>
          <w:p w:rsidR="00EA543A" w:rsidRPr="007D5748" w:rsidRDefault="00EA543A" w:rsidP="00EA543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EA543A" w:rsidRDefault="00EA543A" w:rsidP="00EA543A">
      <w:pPr>
        <w:rPr>
          <w:rFonts w:ascii="Times New Roman" w:eastAsia="Times New Roman" w:hAnsi="Times New Roman" w:cs="Times New Roman"/>
          <w:b/>
          <w:bCs/>
          <w:sz w:val="24"/>
          <w:szCs w:val="24"/>
          <w:lang w:eastAsia="sk-SK"/>
        </w:rPr>
      </w:pPr>
    </w:p>
    <w:p w:rsidR="00EA543A" w:rsidRPr="007D5748" w:rsidRDefault="00EA543A" w:rsidP="00EA543A">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EA543A"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Negatívny vplyv vyplývajúci z nákladov na implementáciu návrhu zákona v oblasti informačného systému Finančnej správy SR bude rozpočtovo zabezpečený v rámci schválených limitov výdavkov verejnej správy.</w:t>
      </w:r>
    </w:p>
    <w:p w:rsidR="00EA543A"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E1143">
        <w:rPr>
          <w:rFonts w:ascii="Times New Roman" w:eastAsia="Times New Roman" w:hAnsi="Times New Roman" w:cs="Times New Roman"/>
          <w:bCs/>
          <w:sz w:val="24"/>
          <w:szCs w:val="24"/>
          <w:lang w:eastAsia="sk-SK"/>
        </w:rPr>
        <w:t xml:space="preserve">Úbytok príjmov </w:t>
      </w:r>
      <w:r>
        <w:rPr>
          <w:rFonts w:ascii="Times New Roman" w:eastAsia="Times New Roman" w:hAnsi="Times New Roman" w:cs="Times New Roman"/>
          <w:bCs/>
          <w:sz w:val="24"/>
          <w:szCs w:val="24"/>
          <w:lang w:eastAsia="sk-SK"/>
        </w:rPr>
        <w:t>verejných financií bude finančne krytý očakávaným zvýšeným výberom ostatných druhov daní ako aj z opatrení.</w:t>
      </w:r>
      <w:r w:rsidRPr="000E1143">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Predpokladá sa krytie výpadku príjmov štátneho rozpočtu aj z opatrení obsiahnutých v návrhu zákona, ktoré nie je možné vyčísliť a to predovšetkým z opatrení týkajúcich sa:</w:t>
      </w:r>
    </w:p>
    <w:p w:rsidR="00EA543A"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-boja proti daňovým únikom – zavedenie pravidiel proti hybridným nesúladom</w:t>
      </w:r>
    </w:p>
    <w:p w:rsidR="00EA543A"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-zjednodušenia administratívnej náročnosti zamestnávateľov prostredníctvom zníženia ich nákladov</w:t>
      </w:r>
    </w:p>
    <w:p w:rsidR="00EA543A"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-zavedením nových zdrojov príjmov.</w:t>
      </w:r>
    </w:p>
    <w:p w:rsidR="00EA543A" w:rsidRPr="007B4144" w:rsidRDefault="00EA543A" w:rsidP="00EA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Zároveň je potrebné podotknúť, že negatívny vplyv niektorých opatrení (napr. uplatnenie daňových odpisov </w:t>
      </w:r>
      <w:proofErr w:type="spellStart"/>
      <w:r>
        <w:rPr>
          <w:rFonts w:ascii="Times New Roman" w:eastAsia="Times New Roman" w:hAnsi="Times New Roman" w:cs="Times New Roman"/>
          <w:bCs/>
          <w:sz w:val="24"/>
          <w:szCs w:val="24"/>
          <w:lang w:eastAsia="sk-SK"/>
        </w:rPr>
        <w:t>mikrodaňovníkov</w:t>
      </w:r>
      <w:proofErr w:type="spellEnd"/>
      <w:r>
        <w:rPr>
          <w:rFonts w:ascii="Times New Roman" w:eastAsia="Times New Roman" w:hAnsi="Times New Roman" w:cs="Times New Roman"/>
          <w:bCs/>
          <w:sz w:val="24"/>
          <w:szCs w:val="24"/>
          <w:lang w:eastAsia="sk-SK"/>
        </w:rPr>
        <w:t>) predstavuje iba vplyv z dôvodu časového posunu uplatnenia daňových výdavkov.</w:t>
      </w:r>
    </w:p>
    <w:p w:rsidR="00EA543A" w:rsidRPr="007D5748" w:rsidRDefault="00EA543A" w:rsidP="00EA543A">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752C01">
        <w:rPr>
          <w:rFonts w:ascii="Times New Roman" w:eastAsia="Times New Roman" w:hAnsi="Times New Roman" w:cs="Times New Roman"/>
          <w:bCs/>
          <w:sz w:val="24"/>
          <w:szCs w:val="24"/>
          <w:lang w:eastAsia="sk-SK"/>
        </w:rPr>
        <w:t>Úbytok príjmov obcí a vyšších územných celkov bude finančne krytý očakávaným zvýšeným výberom dane z príjmov fyzických osôb.</w:t>
      </w:r>
    </w:p>
    <w:p w:rsidR="00EA543A" w:rsidRDefault="00EA543A" w:rsidP="00EA543A">
      <w:pPr>
        <w:spacing w:after="0" w:line="240" w:lineRule="auto"/>
        <w:rPr>
          <w:rFonts w:ascii="Times New Roman" w:eastAsia="Times New Roman" w:hAnsi="Times New Roman" w:cs="Times New Roman"/>
          <w:b/>
          <w:bCs/>
          <w:sz w:val="24"/>
          <w:szCs w:val="24"/>
          <w:lang w:eastAsia="sk-SK"/>
        </w:rPr>
      </w:pPr>
    </w:p>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Pr="007D5748" w:rsidRDefault="00EA543A" w:rsidP="00EA543A">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EA543A" w:rsidRPr="007D5748" w:rsidRDefault="00EA543A" w:rsidP="00EA543A">
      <w:pPr>
        <w:spacing w:after="0" w:line="240" w:lineRule="auto"/>
        <w:jc w:val="both"/>
        <w:rPr>
          <w:rFonts w:ascii="Times New Roman" w:eastAsia="Times New Roman" w:hAnsi="Times New Roman" w:cs="Times New Roman"/>
          <w:b/>
          <w:bCs/>
          <w:sz w:val="24"/>
          <w:szCs w:val="24"/>
          <w:lang w:eastAsia="sk-SK"/>
        </w:rPr>
      </w:pPr>
    </w:p>
    <w:p w:rsidR="00EA543A" w:rsidRPr="0051689A" w:rsidRDefault="00EA543A" w:rsidP="00EA543A">
      <w:pPr>
        <w:spacing w:after="0" w:line="240" w:lineRule="auto"/>
        <w:ind w:firstLine="708"/>
        <w:jc w:val="both"/>
        <w:rPr>
          <w:rFonts w:ascii="Times New Roman" w:eastAsia="Times New Roman" w:hAnsi="Times New Roman" w:cs="Times New Roman"/>
          <w:sz w:val="24"/>
          <w:szCs w:val="24"/>
          <w:lang w:eastAsia="sk-SK"/>
        </w:rPr>
      </w:pPr>
      <w:r w:rsidRPr="0051689A">
        <w:rPr>
          <w:rFonts w:ascii="Times New Roman" w:eastAsia="Times New Roman" w:hAnsi="Times New Roman" w:cs="Times New Roman"/>
          <w:sz w:val="24"/>
          <w:szCs w:val="24"/>
          <w:lang w:eastAsia="sk-SK"/>
        </w:rPr>
        <w:t xml:space="preserve">Návrh zákona, ktorým sa mení a dopĺňa zákon č. 595/2003 Z. z. o dani z príjmov v znení neskorších predpisov </w:t>
      </w:r>
    </w:p>
    <w:p w:rsidR="00EA543A" w:rsidRDefault="00EA543A" w:rsidP="00EA543A">
      <w:pPr>
        <w:spacing w:after="0" w:line="240" w:lineRule="auto"/>
        <w:ind w:firstLine="708"/>
        <w:jc w:val="both"/>
        <w:rPr>
          <w:rFonts w:ascii="Times New Roman" w:eastAsia="Times New Roman" w:hAnsi="Times New Roman" w:cs="Times New Roman"/>
          <w:sz w:val="24"/>
          <w:szCs w:val="24"/>
          <w:lang w:eastAsia="sk-SK"/>
        </w:rPr>
      </w:pP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paušálu na príspevok zamestnávateľa na dopravu</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Zvýšenie príspevku zamestnávateľa na nájomné bývanie na 100 eur</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pravidiel odpočtu daňovej straty u </w:t>
      </w:r>
      <w:proofErr w:type="spellStart"/>
      <w:r>
        <w:rPr>
          <w:rFonts w:ascii="Times New Roman" w:eastAsia="Times New Roman" w:hAnsi="Times New Roman" w:cs="Times New Roman"/>
          <w:sz w:val="24"/>
          <w:szCs w:val="24"/>
          <w:lang w:eastAsia="sk-SK"/>
        </w:rPr>
        <w:t>mikrodaňovníkov</w:t>
      </w:r>
      <w:proofErr w:type="spellEnd"/>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pravidiel odpočtu daňovej straty pre ostatné firmy</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nových podmienok na odpisovanie hmotného majetku u </w:t>
      </w:r>
      <w:proofErr w:type="spellStart"/>
      <w:r>
        <w:rPr>
          <w:rFonts w:ascii="Times New Roman" w:eastAsia="Times New Roman" w:hAnsi="Times New Roman" w:cs="Times New Roman"/>
          <w:sz w:val="24"/>
          <w:szCs w:val="24"/>
          <w:lang w:eastAsia="sk-SK"/>
        </w:rPr>
        <w:t>mikrodaňovníkov</w:t>
      </w:r>
      <w:proofErr w:type="spellEnd"/>
    </w:p>
    <w:p w:rsidR="00EA543A" w:rsidRPr="00C373AC"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Podpora </w:t>
      </w:r>
      <w:proofErr w:type="spellStart"/>
      <w:r>
        <w:rPr>
          <w:rFonts w:ascii="Times New Roman" w:eastAsia="Times New Roman" w:hAnsi="Times New Roman" w:cs="Times New Roman"/>
          <w:sz w:val="24"/>
          <w:szCs w:val="24"/>
          <w:lang w:eastAsia="sk-SK"/>
        </w:rPr>
        <w:t>elektromobility</w:t>
      </w:r>
      <w:proofErr w:type="spellEnd"/>
      <w:r>
        <w:rPr>
          <w:rFonts w:ascii="Times New Roman" w:eastAsia="Times New Roman" w:hAnsi="Times New Roman" w:cs="Times New Roman"/>
          <w:sz w:val="24"/>
          <w:szCs w:val="24"/>
          <w:lang w:eastAsia="sk-SK"/>
        </w:rPr>
        <w:t xml:space="preserve"> prostredníctvom daňových odpisov</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Zmena pri uplatňovaní </w:t>
      </w:r>
      <w:proofErr w:type="spellStart"/>
      <w:r>
        <w:rPr>
          <w:rFonts w:ascii="Times New Roman" w:eastAsia="Times New Roman" w:hAnsi="Times New Roman" w:cs="Times New Roman"/>
          <w:sz w:val="24"/>
          <w:szCs w:val="24"/>
          <w:lang w:eastAsia="sk-SK"/>
        </w:rPr>
        <w:t>superodpočtu</w:t>
      </w:r>
      <w:proofErr w:type="spellEnd"/>
      <w:r>
        <w:rPr>
          <w:rFonts w:ascii="Times New Roman" w:eastAsia="Times New Roman" w:hAnsi="Times New Roman" w:cs="Times New Roman"/>
          <w:sz w:val="24"/>
          <w:szCs w:val="24"/>
          <w:lang w:eastAsia="sk-SK"/>
        </w:rPr>
        <w:t xml:space="preserve"> výdavkov na vedu a výskum</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Zavedenie možnosti tvorby daňových opravných položiek k pohľadávkam </w:t>
      </w:r>
      <w:proofErr w:type="spellStart"/>
      <w:r>
        <w:rPr>
          <w:rFonts w:ascii="Times New Roman" w:eastAsia="Times New Roman" w:hAnsi="Times New Roman" w:cs="Times New Roman"/>
          <w:sz w:val="24"/>
          <w:szCs w:val="24"/>
          <w:lang w:eastAsia="sk-SK"/>
        </w:rPr>
        <w:t>mikrodaňovníkov</w:t>
      </w:r>
      <w:proofErr w:type="spellEnd"/>
      <w:r>
        <w:rPr>
          <w:rFonts w:ascii="Times New Roman" w:eastAsia="Times New Roman" w:hAnsi="Times New Roman" w:cs="Times New Roman"/>
          <w:sz w:val="24"/>
          <w:szCs w:val="24"/>
          <w:lang w:eastAsia="sk-SK"/>
        </w:rPr>
        <w:t xml:space="preserve"> v súlade s účtovníctvom</w:t>
      </w:r>
    </w:p>
    <w:p w:rsidR="00EA543A" w:rsidRDefault="00EA543A" w:rsidP="00EA543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Zvýšenie hranice pre platenie preddavkov u fyzických aj právnických osôb z 2 500 eur na 5 000 eur</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Default="00EA543A" w:rsidP="00EA543A">
      <w:pPr>
        <w:spacing w:after="0" w:line="240" w:lineRule="auto"/>
        <w:rPr>
          <w:rFonts w:ascii="Times New Roman" w:eastAsia="Times New Roman" w:hAnsi="Times New Roman" w:cs="Times New Roman"/>
          <w:b/>
          <w:bCs/>
          <w:sz w:val="24"/>
          <w:szCs w:val="24"/>
          <w:lang w:eastAsia="sk-SK"/>
        </w:rPr>
      </w:pPr>
    </w:p>
    <w:p w:rsidR="00EA543A" w:rsidRDefault="00EA543A" w:rsidP="00EA543A">
      <w:pPr>
        <w:spacing w:after="0" w:line="240" w:lineRule="auto"/>
        <w:rPr>
          <w:rFonts w:ascii="Times New Roman" w:eastAsia="Times New Roman" w:hAnsi="Times New Roman" w:cs="Times New Roman"/>
          <w:b/>
          <w:bCs/>
          <w:sz w:val="24"/>
          <w:szCs w:val="24"/>
          <w:lang w:eastAsia="sk-SK"/>
        </w:rPr>
      </w:pPr>
    </w:p>
    <w:p w:rsidR="00EA543A" w:rsidRDefault="00EA543A" w:rsidP="00EA543A">
      <w:pPr>
        <w:spacing w:after="0" w:line="240" w:lineRule="auto"/>
        <w:rPr>
          <w:rFonts w:ascii="Times New Roman" w:eastAsia="Times New Roman" w:hAnsi="Times New Roman" w:cs="Times New Roman"/>
          <w:b/>
          <w:bCs/>
          <w:sz w:val="24"/>
          <w:szCs w:val="24"/>
          <w:lang w:eastAsia="sk-SK"/>
        </w:rPr>
      </w:pPr>
    </w:p>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2.2.2. Charakteristika návrhu:</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Pr="007D5748" w:rsidRDefault="00EA543A" w:rsidP="00EA543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EA543A" w:rsidRPr="007D5748" w:rsidRDefault="00EA543A" w:rsidP="00EA543A">
      <w:pPr>
        <w:spacing w:after="0" w:line="240" w:lineRule="auto"/>
        <w:rPr>
          <w:rFonts w:ascii="Times New Roman" w:eastAsia="Times New Roman" w:hAnsi="Times New Roman" w:cs="Times New Roman"/>
          <w:sz w:val="24"/>
          <w:szCs w:val="24"/>
          <w:lang w:eastAsia="sk-SK"/>
        </w:rPr>
      </w:pPr>
    </w:p>
    <w:p w:rsidR="00EA543A" w:rsidRDefault="00EA543A" w:rsidP="00EA543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Kvantifikácia predpokladá negatívny akruálny vplyv na rozpočet verejnej správy na úrovni 12 372 tis. eur v roku 2019,  36 264 tis. eur v roku 2020, 40 589 tis. eur v roku 2021 a 36 501 tis. eur v roku 2022. </w:t>
      </w:r>
    </w:p>
    <w:p w:rsidR="00EA543A" w:rsidRDefault="00EA543A" w:rsidP="00EA543A">
      <w:pPr>
        <w:spacing w:after="0" w:line="240" w:lineRule="auto"/>
        <w:jc w:val="both"/>
        <w:rPr>
          <w:rFonts w:ascii="Times New Roman" w:eastAsia="Times New Roman" w:hAnsi="Times New Roman" w:cs="Times New Roman"/>
          <w:sz w:val="24"/>
          <w:szCs w:val="24"/>
          <w:lang w:eastAsia="sk-SK"/>
        </w:rPr>
      </w:pPr>
    </w:p>
    <w:p w:rsidR="00EA543A" w:rsidRPr="00600500" w:rsidRDefault="00EA543A" w:rsidP="00EA543A">
      <w:pPr>
        <w:spacing w:after="0" w:line="240" w:lineRule="auto"/>
        <w:jc w:val="both"/>
        <w:rPr>
          <w:rFonts w:ascii="Times New Roman" w:eastAsia="Times New Roman" w:hAnsi="Times New Roman" w:cs="Times New Roman"/>
          <w:b/>
          <w:sz w:val="24"/>
          <w:szCs w:val="24"/>
          <w:lang w:eastAsia="sk-SK"/>
        </w:rPr>
      </w:pPr>
      <w:r w:rsidRPr="00600500">
        <w:rPr>
          <w:rFonts w:ascii="Times New Roman" w:eastAsia="Times New Roman" w:hAnsi="Times New Roman" w:cs="Times New Roman"/>
          <w:b/>
          <w:sz w:val="24"/>
          <w:szCs w:val="24"/>
          <w:lang w:eastAsia="sk-SK"/>
        </w:rPr>
        <w:t>Kvantifikácia príjmov</w:t>
      </w:r>
    </w:p>
    <w:p w:rsidR="00EA543A" w:rsidRDefault="00EA543A" w:rsidP="00EA543A">
      <w:pPr>
        <w:tabs>
          <w:tab w:val="num" w:pos="1080"/>
        </w:tabs>
        <w:spacing w:after="0" w:line="240" w:lineRule="auto"/>
        <w:jc w:val="both"/>
        <w:rPr>
          <w:rFonts w:ascii="Times New Roman" w:eastAsia="Times New Roman" w:hAnsi="Times New Roman" w:cs="Times New Roman"/>
          <w:bCs/>
          <w:sz w:val="24"/>
          <w:szCs w:val="24"/>
          <w:lang w:eastAsia="sk-SK"/>
        </w:rPr>
      </w:pPr>
    </w:p>
    <w:p w:rsidR="00EA543A" w:rsidRPr="00C373AC"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A</w:t>
      </w:r>
      <w:r w:rsidRPr="00C373AC">
        <w:rPr>
          <w:rFonts w:ascii="Times New Roman" w:eastAsia="Times New Roman" w:hAnsi="Times New Roman" w:cs="Times New Roman"/>
          <w:b/>
          <w:bCs/>
          <w:sz w:val="24"/>
          <w:szCs w:val="24"/>
          <w:lang w:eastAsia="sk-SK"/>
        </w:rPr>
        <w:t xml:space="preserve"> – </w:t>
      </w:r>
      <w:r w:rsidRPr="00C373AC">
        <w:rPr>
          <w:rFonts w:ascii="Times New Roman" w:eastAsia="Times New Roman" w:hAnsi="Times New Roman" w:cs="Times New Roman"/>
          <w:b/>
          <w:sz w:val="24"/>
          <w:szCs w:val="24"/>
          <w:lang w:eastAsia="sk-SK"/>
        </w:rPr>
        <w:t>Zavedenie paušálu na príspevok zamestnávateľa na dopravu</w:t>
      </w:r>
    </w:p>
    <w:p w:rsidR="00EA543A" w:rsidRPr="00600500" w:rsidRDefault="00EA543A" w:rsidP="00EA543A">
      <w:pPr>
        <w:tabs>
          <w:tab w:val="num" w:pos="1080"/>
        </w:tabs>
        <w:spacing w:after="0" w:line="240" w:lineRule="auto"/>
        <w:jc w:val="both"/>
        <w:rPr>
          <w:rFonts w:ascii="Times New Roman" w:eastAsia="Times New Roman" w:hAnsi="Times New Roman" w:cs="Times New Roman"/>
          <w:bCs/>
          <w:sz w:val="24"/>
          <w:szCs w:val="24"/>
          <w:lang w:eastAsia="sk-SK"/>
        </w:rPr>
      </w:pPr>
      <w:r w:rsidRPr="00600500">
        <w:rPr>
          <w:rFonts w:ascii="Times New Roman" w:eastAsia="Times New Roman" w:hAnsi="Times New Roman" w:cs="Times New Roman"/>
          <w:bCs/>
          <w:sz w:val="24"/>
          <w:szCs w:val="24"/>
          <w:lang w:eastAsia="sk-SK"/>
        </w:rPr>
        <w:t>Opatrenie má viac pokryť náklady spojené s dopravou zamestnancov a zároveň zabezpečiť čo najefektívnejšie využívanie autobusov zo strany zamestnávateľa na dopravu zamestnancov. Rozširuje limit už existujúceho opatrenia bez úpravy ostatných predpokladov. Zároveň sa dopĺňa podmienka na vyťaženosť autobusov, ktoré budú používané na prepravu, čo môže mať mierne pozitívny fiškálny vplyv. Kvantifikácia vychádza zo skutočných dát o prepravovaných osobách vybranej firmy v sektore, cez ktoré bol odhadnutý vplyv na zvyšok ekonomiky.</w:t>
      </w:r>
    </w:p>
    <w:p w:rsidR="00EA543A" w:rsidRPr="003C33E6" w:rsidRDefault="00EA543A" w:rsidP="00EA543A">
      <w:pPr>
        <w:tabs>
          <w:tab w:val="num" w:pos="1080"/>
        </w:tabs>
        <w:spacing w:after="0" w:line="240" w:lineRule="auto"/>
        <w:jc w:val="both"/>
        <w:rPr>
          <w:rFonts w:ascii="Times New Roman" w:eastAsia="Times New Roman" w:hAnsi="Times New Roman" w:cs="Times New Roman"/>
          <w:bCs/>
          <w:sz w:val="24"/>
          <w:szCs w:val="24"/>
          <w:lang w:eastAsia="sk-SK"/>
        </w:rPr>
      </w:pPr>
    </w:p>
    <w:p w:rsidR="00EA543A" w:rsidRPr="00C373AC"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bCs/>
          <w:sz w:val="24"/>
          <w:szCs w:val="24"/>
          <w:lang w:eastAsia="sk-SK"/>
        </w:rPr>
        <w:t>B</w:t>
      </w:r>
      <w:r w:rsidRPr="00C373AC">
        <w:rPr>
          <w:rFonts w:ascii="Times New Roman" w:eastAsia="Times New Roman" w:hAnsi="Times New Roman" w:cs="Times New Roman"/>
          <w:b/>
          <w:bCs/>
          <w:sz w:val="24"/>
          <w:szCs w:val="24"/>
          <w:lang w:eastAsia="sk-SK"/>
        </w:rPr>
        <w:t xml:space="preserve"> – </w:t>
      </w:r>
      <w:r w:rsidRPr="00C373AC">
        <w:rPr>
          <w:rFonts w:ascii="Times New Roman" w:eastAsia="Times New Roman" w:hAnsi="Times New Roman" w:cs="Times New Roman"/>
          <w:b/>
          <w:sz w:val="24"/>
          <w:szCs w:val="24"/>
          <w:lang w:eastAsia="sk-SK"/>
        </w:rPr>
        <w:t>Zvýšenie príspevku zamestnávateľa na nájomné bývanie na 100 eur</w:t>
      </w:r>
    </w:p>
    <w:p w:rsidR="00EA543A" w:rsidRPr="00600500" w:rsidRDefault="00EA543A" w:rsidP="00EA543A">
      <w:pPr>
        <w:tabs>
          <w:tab w:val="num" w:pos="1080"/>
        </w:tabs>
        <w:spacing w:after="0" w:line="240" w:lineRule="auto"/>
        <w:jc w:val="both"/>
        <w:rPr>
          <w:rFonts w:ascii="Times New Roman" w:eastAsia="Times New Roman" w:hAnsi="Times New Roman" w:cs="Times New Roman"/>
          <w:bCs/>
          <w:sz w:val="24"/>
          <w:szCs w:val="24"/>
          <w:lang w:eastAsia="sk-SK"/>
        </w:rPr>
      </w:pPr>
      <w:r w:rsidRPr="00600500">
        <w:rPr>
          <w:rFonts w:ascii="Times New Roman" w:eastAsia="Times New Roman" w:hAnsi="Times New Roman" w:cs="Times New Roman"/>
          <w:bCs/>
          <w:sz w:val="24"/>
          <w:szCs w:val="24"/>
          <w:lang w:eastAsia="sk-SK"/>
        </w:rPr>
        <w:t xml:space="preserve">Zvýšenie limitu má pokryť zvýšené náklady spojené s prehrievaním na trhu nehnuteľností a z toho prameniacich vyšších cien nájmov. Kvantifikácia navyšuje limit pri existujúcom opatrení. Pri kvantifikácií boli použité dáta od vybraného subjektu o počte ubytovaných osôb, na základe ktorých boli </w:t>
      </w:r>
      <w:proofErr w:type="spellStart"/>
      <w:r w:rsidRPr="00600500">
        <w:rPr>
          <w:rFonts w:ascii="Times New Roman" w:eastAsia="Times New Roman" w:hAnsi="Times New Roman" w:cs="Times New Roman"/>
          <w:bCs/>
          <w:sz w:val="24"/>
          <w:szCs w:val="24"/>
          <w:lang w:eastAsia="sk-SK"/>
        </w:rPr>
        <w:t>aproximované</w:t>
      </w:r>
      <w:proofErr w:type="spellEnd"/>
      <w:r w:rsidRPr="00600500">
        <w:rPr>
          <w:rFonts w:ascii="Times New Roman" w:eastAsia="Times New Roman" w:hAnsi="Times New Roman" w:cs="Times New Roman"/>
          <w:bCs/>
          <w:sz w:val="24"/>
          <w:szCs w:val="24"/>
          <w:lang w:eastAsia="sk-SK"/>
        </w:rPr>
        <w:t xml:space="preserve"> vplyvy na zvyšok sektora.</w:t>
      </w:r>
    </w:p>
    <w:p w:rsidR="00EA543A" w:rsidRDefault="00EA543A" w:rsidP="00EA543A">
      <w:pPr>
        <w:spacing w:after="0" w:line="240" w:lineRule="auto"/>
        <w:jc w:val="both"/>
        <w:rPr>
          <w:rFonts w:ascii="Times New Roman" w:eastAsia="Times New Roman" w:hAnsi="Times New Roman" w:cs="Times New Roman"/>
          <w:sz w:val="24"/>
          <w:szCs w:val="24"/>
          <w:lang w:eastAsia="sk-SK"/>
        </w:rPr>
      </w:pPr>
    </w:p>
    <w:p w:rsidR="00EA543A"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w:t>
      </w:r>
      <w:r w:rsidRPr="00C373AC">
        <w:rPr>
          <w:rFonts w:ascii="Times New Roman" w:eastAsia="Times New Roman" w:hAnsi="Times New Roman" w:cs="Times New Roman"/>
          <w:b/>
          <w:sz w:val="24"/>
          <w:szCs w:val="24"/>
          <w:lang w:eastAsia="sk-SK"/>
        </w:rPr>
        <w:t xml:space="preserve"> - Zmena pravidiel odpočtu daňovej straty u</w:t>
      </w:r>
      <w:r>
        <w:rPr>
          <w:rFonts w:ascii="Times New Roman" w:eastAsia="Times New Roman" w:hAnsi="Times New Roman" w:cs="Times New Roman"/>
          <w:b/>
          <w:sz w:val="24"/>
          <w:szCs w:val="24"/>
          <w:lang w:eastAsia="sk-SK"/>
        </w:rPr>
        <w:t> </w:t>
      </w:r>
      <w:proofErr w:type="spellStart"/>
      <w:r w:rsidRPr="00C373AC">
        <w:rPr>
          <w:rFonts w:ascii="Times New Roman" w:eastAsia="Times New Roman" w:hAnsi="Times New Roman" w:cs="Times New Roman"/>
          <w:b/>
          <w:sz w:val="24"/>
          <w:szCs w:val="24"/>
          <w:lang w:eastAsia="sk-SK"/>
        </w:rPr>
        <w:t>mikrodaňovníkov</w:t>
      </w:r>
      <w:proofErr w:type="spellEnd"/>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Uvedené opatrenie po prvýkrát vstúpi do platnosti od roku 2021, keď si firmy budú môcť umoriť straty za rok 2020. Zdrojom dát sú individuálne daňové priznania dane z príjmu právnických osôb (DPPO) za obdobie 2010 až 2017. Za uvedené obdobie je spočítaný objem daňových strát dostupných pre firmu k umoreniu. Odhad fiškálneho vplyvu je postavený na odhade zavedenia zmeny odpočtu daňovej straty na historických dátach za obdobie 2014 až 2017. U malých a stredných podnikov nie je odhad fiškálneho vplyvu upravený pretože na základe historického vývoja nepozorujeme významný nárast ziskov v období 2014 až 2017 v porovnaní s predchádzajúcimi rokmi. V prípade malých a stredných podnikov predpokladáme čiastočnú optimalizáciu najmä pokiaľ sú blízko hranice obratu. Pomer skutočne zaplatenej dane a dane, ktorá by vznikla ak by v danom období bola zavedená zmena odpočtu je následne uplatnený na prognózu DPPO v období rokov 2021 a 2022.  </w:t>
      </w:r>
    </w:p>
    <w:p w:rsidR="00EA543A" w:rsidRDefault="00EA543A" w:rsidP="00EA543A">
      <w:pPr>
        <w:spacing w:after="0" w:line="240" w:lineRule="auto"/>
        <w:jc w:val="both"/>
        <w:rPr>
          <w:rFonts w:ascii="Times New Roman" w:eastAsia="Times New Roman" w:hAnsi="Times New Roman" w:cs="Times New Roman"/>
          <w:b/>
          <w:sz w:val="24"/>
          <w:szCs w:val="24"/>
          <w:lang w:eastAsia="sk-SK"/>
        </w:rPr>
      </w:pPr>
    </w:p>
    <w:p w:rsidR="00EA543A" w:rsidRPr="00C373AC"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 - </w:t>
      </w:r>
      <w:r w:rsidRPr="00C373AC">
        <w:rPr>
          <w:rFonts w:ascii="Times New Roman" w:eastAsia="Times New Roman" w:hAnsi="Times New Roman" w:cs="Times New Roman"/>
          <w:b/>
          <w:sz w:val="24"/>
          <w:szCs w:val="24"/>
          <w:lang w:eastAsia="sk-SK"/>
        </w:rPr>
        <w:t>Zmena pravidiel odpočtu daňovej straty pre ostatné firmy</w:t>
      </w:r>
    </w:p>
    <w:p w:rsidR="00EA543A"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Uvedené opatrenie po prvýkrát vstúpi do platnosti od roku 2021, keď si firmy budú môcť umoriť straty za rok 2020. Zdrojom dát sú individuálne daňové priznania dane z príjmu právnických osôb (DPPO) za obdobie 2010 až 2017. Za uvedené obdobie je spočítaný objem </w:t>
      </w:r>
      <w:r w:rsidRPr="00600500">
        <w:rPr>
          <w:rFonts w:ascii="Times New Roman" w:eastAsia="Times New Roman" w:hAnsi="Times New Roman" w:cs="Times New Roman"/>
          <w:sz w:val="24"/>
          <w:szCs w:val="24"/>
          <w:lang w:eastAsia="sk-SK"/>
        </w:rPr>
        <w:lastRenderedPageBreak/>
        <w:t xml:space="preserve">daňových strát dostupných pre firmu k umoreniu. Odhad fiškálneho vplyvu je postavený na odhade zavedenia zmeny odpočtu daňovej straty na historických dátach za obdobie 2014 až 2017. Odhad fiškálneho vplyvu za toto obdobie je ponížený , nakoľko obdobie rokov 2014 až 2017 je možné považovať za vrchol hospodárskeho cyklu keď zisk firiem rástol. Čím vyšší zisk firma dosiahne tým spravidla má k dispozícii vyšší základ dane k umoreniu strát. Bez úpravy základu dane o vplyv pozitívneho ekonomického vývoja by bol fiškálny vplyv nadhodnotený pretože od roku 2020 nepredpokladáme rast ziskov na úrovni obdobia 2014 až 2017. Pomer skutočne zaplatenej dane a dane, ktorá by vznikla ak by v danom období bola zavedená zmena odpočtu je následne uplatnený na prognózu DPPO v období rokov 2021 a 2022.  </w:t>
      </w:r>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p>
    <w:p w:rsidR="00EA543A"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Pr="00C373A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 xml:space="preserve"> </w:t>
      </w:r>
      <w:r w:rsidRPr="00C373AC">
        <w:rPr>
          <w:rFonts w:ascii="Times New Roman" w:eastAsia="Times New Roman" w:hAnsi="Times New Roman" w:cs="Times New Roman"/>
          <w:b/>
          <w:sz w:val="24"/>
          <w:szCs w:val="24"/>
          <w:lang w:eastAsia="sk-SK"/>
        </w:rPr>
        <w:t>Zavedenie nových podmienok na odpisovanie hmotného majetku u</w:t>
      </w:r>
      <w:r>
        <w:rPr>
          <w:rFonts w:ascii="Times New Roman" w:eastAsia="Times New Roman" w:hAnsi="Times New Roman" w:cs="Times New Roman"/>
          <w:b/>
          <w:sz w:val="24"/>
          <w:szCs w:val="24"/>
          <w:lang w:eastAsia="sk-SK"/>
        </w:rPr>
        <w:t> </w:t>
      </w:r>
      <w:proofErr w:type="spellStart"/>
      <w:r w:rsidRPr="00C373AC">
        <w:rPr>
          <w:rFonts w:ascii="Times New Roman" w:eastAsia="Times New Roman" w:hAnsi="Times New Roman" w:cs="Times New Roman"/>
          <w:b/>
          <w:sz w:val="24"/>
          <w:szCs w:val="24"/>
          <w:lang w:eastAsia="sk-SK"/>
        </w:rPr>
        <w:t>mikrodaňovníkov</w:t>
      </w:r>
      <w:proofErr w:type="spellEnd"/>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Zdrojom dát sú individuálne daňové priznania dane z príjmu právnických osôb (DPPO) a finančné výkazy od spoločnosti FINSTAT za obdobie 2010 až 2017. Za uvedené obdobie je spočítaný objem aktív dostupných k odpisu. Odhad fiškálneho vplyvu je postavený na aproximácii zavedenia zmeny odpočtu daňovej straty na historických dátach za obdobie 2014 až 2017. V prípade malých a stredných podnikov predpokladáme čiastočnú optimalizáciu najmä pokiaľ sú blízko hranice obratu. Pomer skutočne zaplatenej dane a dane, ktorá by vznikla ak by v danom období bola zavedená zmena odpočtu je následne uplatnený na prognózu DPPO v období rokov 2021 a 2022.  </w:t>
      </w:r>
    </w:p>
    <w:p w:rsidR="00EA543A" w:rsidRDefault="00EA543A" w:rsidP="00EA543A">
      <w:pPr>
        <w:spacing w:after="0" w:line="240" w:lineRule="auto"/>
        <w:jc w:val="both"/>
        <w:rPr>
          <w:rFonts w:ascii="Times New Roman" w:eastAsia="Times New Roman" w:hAnsi="Times New Roman" w:cs="Times New Roman"/>
          <w:sz w:val="24"/>
          <w:szCs w:val="24"/>
          <w:lang w:eastAsia="sk-SK"/>
        </w:rPr>
      </w:pPr>
    </w:p>
    <w:p w:rsidR="00EA543A"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F</w:t>
      </w:r>
      <w:r w:rsidRPr="00C373AC">
        <w:rPr>
          <w:rFonts w:ascii="Times New Roman" w:eastAsia="Times New Roman" w:hAnsi="Times New Roman" w:cs="Times New Roman"/>
          <w:b/>
          <w:sz w:val="24"/>
          <w:szCs w:val="24"/>
          <w:lang w:eastAsia="sk-SK"/>
        </w:rPr>
        <w:t xml:space="preserve"> - Podpora </w:t>
      </w:r>
      <w:proofErr w:type="spellStart"/>
      <w:r w:rsidRPr="00C373AC">
        <w:rPr>
          <w:rFonts w:ascii="Times New Roman" w:eastAsia="Times New Roman" w:hAnsi="Times New Roman" w:cs="Times New Roman"/>
          <w:b/>
          <w:sz w:val="24"/>
          <w:szCs w:val="24"/>
          <w:lang w:eastAsia="sk-SK"/>
        </w:rPr>
        <w:t>elektromobility</w:t>
      </w:r>
      <w:proofErr w:type="spellEnd"/>
      <w:r w:rsidRPr="00C373AC">
        <w:rPr>
          <w:rFonts w:ascii="Times New Roman" w:eastAsia="Times New Roman" w:hAnsi="Times New Roman" w:cs="Times New Roman"/>
          <w:b/>
          <w:sz w:val="24"/>
          <w:szCs w:val="24"/>
          <w:lang w:eastAsia="sk-SK"/>
        </w:rPr>
        <w:t xml:space="preserve"> prostredníctvom daňových odpisov</w:t>
      </w:r>
    </w:p>
    <w:p w:rsidR="00EA543A"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Kvantifikácia vychádza z prognózy Ministerstva Hospodárstva o počte </w:t>
      </w:r>
      <w:proofErr w:type="spellStart"/>
      <w:r w:rsidRPr="00600500">
        <w:rPr>
          <w:rFonts w:ascii="Times New Roman" w:eastAsia="Times New Roman" w:hAnsi="Times New Roman" w:cs="Times New Roman"/>
          <w:sz w:val="24"/>
          <w:szCs w:val="24"/>
          <w:lang w:eastAsia="sk-SK"/>
        </w:rPr>
        <w:t>elektrombilov</w:t>
      </w:r>
      <w:proofErr w:type="spellEnd"/>
      <w:r w:rsidRPr="00600500">
        <w:rPr>
          <w:rFonts w:ascii="Times New Roman" w:eastAsia="Times New Roman" w:hAnsi="Times New Roman" w:cs="Times New Roman"/>
          <w:sz w:val="24"/>
          <w:szCs w:val="24"/>
          <w:lang w:eastAsia="sk-SK"/>
        </w:rPr>
        <w:t xml:space="preserve"> a </w:t>
      </w:r>
      <w:proofErr w:type="spellStart"/>
      <w:r w:rsidRPr="00600500">
        <w:rPr>
          <w:rFonts w:ascii="Times New Roman" w:eastAsia="Times New Roman" w:hAnsi="Times New Roman" w:cs="Times New Roman"/>
          <w:sz w:val="24"/>
          <w:szCs w:val="24"/>
          <w:lang w:eastAsia="sk-SK"/>
        </w:rPr>
        <w:t>plug</w:t>
      </w:r>
      <w:proofErr w:type="spellEnd"/>
      <w:r w:rsidRPr="00600500">
        <w:rPr>
          <w:rFonts w:ascii="Times New Roman" w:eastAsia="Times New Roman" w:hAnsi="Times New Roman" w:cs="Times New Roman"/>
          <w:sz w:val="24"/>
          <w:szCs w:val="24"/>
          <w:lang w:eastAsia="sk-SK"/>
        </w:rPr>
        <w:t xml:space="preserve">-in hybridov na obdobie 2016 až 2030. Prognóza je upravená na základe pomeru (skutočný počet/prognóza) za obdobie rokov 2016 a 2018. Skutočný počet elektromobilov a </w:t>
      </w:r>
      <w:proofErr w:type="spellStart"/>
      <w:r w:rsidRPr="00600500">
        <w:rPr>
          <w:rFonts w:ascii="Times New Roman" w:eastAsia="Times New Roman" w:hAnsi="Times New Roman" w:cs="Times New Roman"/>
          <w:sz w:val="24"/>
          <w:szCs w:val="24"/>
          <w:lang w:eastAsia="sk-SK"/>
        </w:rPr>
        <w:t>plug</w:t>
      </w:r>
      <w:proofErr w:type="spellEnd"/>
      <w:r w:rsidRPr="00600500">
        <w:rPr>
          <w:rFonts w:ascii="Times New Roman" w:eastAsia="Times New Roman" w:hAnsi="Times New Roman" w:cs="Times New Roman"/>
          <w:sz w:val="24"/>
          <w:szCs w:val="24"/>
          <w:lang w:eastAsia="sk-SK"/>
        </w:rPr>
        <w:t>-in hybridov je dostupný z policajne databázy áut. Kvantifikácia predpokladá priemernú cenu elektromobilu 35 tisíc eur. Predpokladáme dynamický vplyv nákupu nových áut z titulu daňovej úspory po zavedení skrátenej doby odpisu. Kvantifikácia berie do úvahy zavedenie zmeny legislatívy na už nakúpené autá. Fiškálny vplyv je rozdiel medzi súčinom počtu áut a priemernej ceny pri aplikácii aktuálnej odpisovej politiky v porovnaní so skrátenou dobou odpisovania.</w:t>
      </w:r>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p>
    <w:p w:rsidR="00EA543A" w:rsidRDefault="00EA543A" w:rsidP="00EA543A">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G</w:t>
      </w:r>
      <w:r w:rsidRPr="00C373AC">
        <w:rPr>
          <w:rFonts w:ascii="Times New Roman" w:eastAsia="Times New Roman" w:hAnsi="Times New Roman" w:cs="Times New Roman"/>
          <w:b/>
          <w:sz w:val="24"/>
          <w:szCs w:val="24"/>
          <w:lang w:eastAsia="sk-SK"/>
        </w:rPr>
        <w:t xml:space="preserve"> - Zmena pri uplatňovaní </w:t>
      </w:r>
      <w:proofErr w:type="spellStart"/>
      <w:r w:rsidRPr="00C373AC">
        <w:rPr>
          <w:rFonts w:ascii="Times New Roman" w:eastAsia="Times New Roman" w:hAnsi="Times New Roman" w:cs="Times New Roman"/>
          <w:b/>
          <w:sz w:val="24"/>
          <w:szCs w:val="24"/>
          <w:lang w:eastAsia="sk-SK"/>
        </w:rPr>
        <w:t>superodpočtu</w:t>
      </w:r>
      <w:proofErr w:type="spellEnd"/>
      <w:r w:rsidRPr="00C373AC">
        <w:rPr>
          <w:rFonts w:ascii="Times New Roman" w:eastAsia="Times New Roman" w:hAnsi="Times New Roman" w:cs="Times New Roman"/>
          <w:b/>
          <w:sz w:val="24"/>
          <w:szCs w:val="24"/>
          <w:lang w:eastAsia="sk-SK"/>
        </w:rPr>
        <w:t xml:space="preserve"> výdavkov na vedu a</w:t>
      </w:r>
      <w:r>
        <w:rPr>
          <w:rFonts w:ascii="Times New Roman" w:eastAsia="Times New Roman" w:hAnsi="Times New Roman" w:cs="Times New Roman"/>
          <w:b/>
          <w:sz w:val="24"/>
          <w:szCs w:val="24"/>
          <w:lang w:eastAsia="sk-SK"/>
        </w:rPr>
        <w:t> </w:t>
      </w:r>
      <w:r w:rsidRPr="00C373AC">
        <w:rPr>
          <w:rFonts w:ascii="Times New Roman" w:eastAsia="Times New Roman" w:hAnsi="Times New Roman" w:cs="Times New Roman"/>
          <w:b/>
          <w:sz w:val="24"/>
          <w:szCs w:val="24"/>
          <w:lang w:eastAsia="sk-SK"/>
        </w:rPr>
        <w:t>výskum</w:t>
      </w:r>
    </w:p>
    <w:p w:rsidR="00EA543A"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 xml:space="preserve">Zdrojom dát sú individuálne daňové priznania za rok 2015 až 2017. Výsledný kvantifikovaný vplyv je priemerom minimálneho a maximálneho vplyvu. Minimálny vplyv je statický vplyv, ktorý bude rásť na horizonte rozpočtu v súlade s vývojom HDP. U maximálneho vplyvu sa uvažuje s kombináciou dvoch zdrojov rastu. V prvom prípade ide o 3 % medziročný nárast výdavkov na </w:t>
      </w:r>
      <w:proofErr w:type="spellStart"/>
      <w:r w:rsidRPr="00600500">
        <w:rPr>
          <w:rFonts w:ascii="Times New Roman" w:eastAsia="Times New Roman" w:hAnsi="Times New Roman" w:cs="Times New Roman"/>
          <w:sz w:val="24"/>
          <w:szCs w:val="24"/>
          <w:lang w:eastAsia="sk-SK"/>
        </w:rPr>
        <w:t>VaV</w:t>
      </w:r>
      <w:proofErr w:type="spellEnd"/>
      <w:r w:rsidRPr="00600500">
        <w:rPr>
          <w:rFonts w:ascii="Times New Roman" w:eastAsia="Times New Roman" w:hAnsi="Times New Roman" w:cs="Times New Roman"/>
          <w:sz w:val="24"/>
          <w:szCs w:val="24"/>
          <w:lang w:eastAsia="sk-SK"/>
        </w:rPr>
        <w:t xml:space="preserve">, ktorý predpokladá dynamický efekt zo zvýšenia </w:t>
      </w:r>
      <w:proofErr w:type="spellStart"/>
      <w:r w:rsidRPr="00600500">
        <w:rPr>
          <w:rFonts w:ascii="Times New Roman" w:eastAsia="Times New Roman" w:hAnsi="Times New Roman" w:cs="Times New Roman"/>
          <w:sz w:val="24"/>
          <w:szCs w:val="24"/>
          <w:lang w:eastAsia="sk-SK"/>
        </w:rPr>
        <w:t>superodpočtu</w:t>
      </w:r>
      <w:proofErr w:type="spellEnd"/>
      <w:r w:rsidRPr="00600500">
        <w:rPr>
          <w:rFonts w:ascii="Times New Roman" w:eastAsia="Times New Roman" w:hAnsi="Times New Roman" w:cs="Times New Roman"/>
          <w:sz w:val="24"/>
          <w:szCs w:val="24"/>
          <w:lang w:eastAsia="sk-SK"/>
        </w:rPr>
        <w:t xml:space="preserve"> (zodpovedá priemernému nárastu počtu subjektov realizujúcich výdavky na </w:t>
      </w:r>
      <w:proofErr w:type="spellStart"/>
      <w:r w:rsidRPr="00600500">
        <w:rPr>
          <w:rFonts w:ascii="Times New Roman" w:eastAsia="Times New Roman" w:hAnsi="Times New Roman" w:cs="Times New Roman"/>
          <w:sz w:val="24"/>
          <w:szCs w:val="24"/>
          <w:lang w:eastAsia="sk-SK"/>
        </w:rPr>
        <w:t>VaV</w:t>
      </w:r>
      <w:proofErr w:type="spellEnd"/>
      <w:r w:rsidRPr="00600500">
        <w:rPr>
          <w:rFonts w:ascii="Times New Roman" w:eastAsia="Times New Roman" w:hAnsi="Times New Roman" w:cs="Times New Roman"/>
          <w:sz w:val="24"/>
          <w:szCs w:val="24"/>
          <w:lang w:eastAsia="sk-SK"/>
        </w:rPr>
        <w:t xml:space="preserve"> o 3 % ročne po zavedení obdobnej zmeny v ČR v roku 2005). V druhom prípade sa predpokladá, že úsporu na dani z príjmov (z dôvodu zvýšenia </w:t>
      </w:r>
      <w:proofErr w:type="spellStart"/>
      <w:r w:rsidRPr="00600500">
        <w:rPr>
          <w:rFonts w:ascii="Times New Roman" w:eastAsia="Times New Roman" w:hAnsi="Times New Roman" w:cs="Times New Roman"/>
          <w:sz w:val="24"/>
          <w:szCs w:val="24"/>
          <w:lang w:eastAsia="sk-SK"/>
        </w:rPr>
        <w:t>superodpočtu</w:t>
      </w:r>
      <w:proofErr w:type="spellEnd"/>
      <w:r w:rsidRPr="00600500">
        <w:rPr>
          <w:rFonts w:ascii="Times New Roman" w:eastAsia="Times New Roman" w:hAnsi="Times New Roman" w:cs="Times New Roman"/>
          <w:sz w:val="24"/>
          <w:szCs w:val="24"/>
          <w:lang w:eastAsia="sk-SK"/>
        </w:rPr>
        <w:t>) podniky opätovne reinvestujú do oblasti vedy a výskumu.</w:t>
      </w:r>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p>
    <w:p w:rsidR="00EA543A" w:rsidRDefault="00EA543A" w:rsidP="00EA543A">
      <w:pPr>
        <w:spacing w:after="0" w:line="240" w:lineRule="auto"/>
        <w:ind w:left="426" w:hanging="426"/>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H</w:t>
      </w:r>
      <w:r w:rsidRPr="00C373AC">
        <w:rPr>
          <w:rFonts w:ascii="Times New Roman" w:eastAsia="Times New Roman" w:hAnsi="Times New Roman" w:cs="Times New Roman"/>
          <w:b/>
          <w:sz w:val="24"/>
          <w:szCs w:val="24"/>
          <w:lang w:eastAsia="sk-SK"/>
        </w:rPr>
        <w:t xml:space="preserve"> - Zavedenie možnosti tvorby daňových opravných položiek k pohľadávkam </w:t>
      </w:r>
      <w:proofErr w:type="spellStart"/>
      <w:r w:rsidRPr="00C373AC">
        <w:rPr>
          <w:rFonts w:ascii="Times New Roman" w:eastAsia="Times New Roman" w:hAnsi="Times New Roman" w:cs="Times New Roman"/>
          <w:b/>
          <w:sz w:val="24"/>
          <w:szCs w:val="24"/>
          <w:lang w:eastAsia="sk-SK"/>
        </w:rPr>
        <w:t>mikrodaňovníkov</w:t>
      </w:r>
      <w:proofErr w:type="spellEnd"/>
      <w:r w:rsidRPr="00C373AC">
        <w:rPr>
          <w:rFonts w:ascii="Times New Roman" w:eastAsia="Times New Roman" w:hAnsi="Times New Roman" w:cs="Times New Roman"/>
          <w:b/>
          <w:sz w:val="24"/>
          <w:szCs w:val="24"/>
          <w:lang w:eastAsia="sk-SK"/>
        </w:rPr>
        <w:t xml:space="preserve"> v súlade s</w:t>
      </w:r>
      <w:r>
        <w:rPr>
          <w:rFonts w:ascii="Times New Roman" w:eastAsia="Times New Roman" w:hAnsi="Times New Roman" w:cs="Times New Roman"/>
          <w:b/>
          <w:sz w:val="24"/>
          <w:szCs w:val="24"/>
          <w:lang w:eastAsia="sk-SK"/>
        </w:rPr>
        <w:t> </w:t>
      </w:r>
      <w:r w:rsidRPr="00C373AC">
        <w:rPr>
          <w:rFonts w:ascii="Times New Roman" w:eastAsia="Times New Roman" w:hAnsi="Times New Roman" w:cs="Times New Roman"/>
          <w:b/>
          <w:sz w:val="24"/>
          <w:szCs w:val="24"/>
          <w:lang w:eastAsia="sk-SK"/>
        </w:rPr>
        <w:t>účtovníctvom</w:t>
      </w:r>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Zdrojom dát sú individuálne daňové priznania DPPO a finančné výkazy od spoločnosti FINSTAT za obdobie 2014 až 2017. Odhad fiškálneho vplyvu pracuje s predpokladom, že objem opravných položiek pre malé a stredné podniky s kladným základom dane bude vždy uplatnený v súlade s účtovníctvom a nebude už zvyšovať základ dane ako opravná položka neuznaná za daňový výdavok kvôli limitácii a časovému testu. V prípade malých a stredných podnikov predpokladáme čiastočnú optimalizáciu pre podniky blízko hranice obratu.</w:t>
      </w:r>
    </w:p>
    <w:p w:rsidR="00EA543A" w:rsidRDefault="00EA543A" w:rsidP="00EA543A">
      <w:pPr>
        <w:spacing w:after="0" w:line="240" w:lineRule="auto"/>
        <w:ind w:left="426" w:hanging="426"/>
        <w:jc w:val="both"/>
        <w:rPr>
          <w:rFonts w:ascii="Times New Roman" w:eastAsia="Times New Roman" w:hAnsi="Times New Roman" w:cs="Times New Roman"/>
          <w:b/>
          <w:sz w:val="24"/>
          <w:szCs w:val="24"/>
          <w:lang w:eastAsia="sk-SK"/>
        </w:rPr>
      </w:pPr>
    </w:p>
    <w:p w:rsidR="00EA543A" w:rsidRPr="003B74F5" w:rsidRDefault="00EA543A" w:rsidP="00EA543A">
      <w:pPr>
        <w:spacing w:after="0" w:line="240" w:lineRule="auto"/>
        <w:ind w:left="426" w:hanging="426"/>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I</w:t>
      </w:r>
      <w:r w:rsidRPr="003B74F5">
        <w:rPr>
          <w:rFonts w:ascii="Times New Roman" w:eastAsia="Times New Roman" w:hAnsi="Times New Roman" w:cs="Times New Roman"/>
          <w:b/>
          <w:sz w:val="24"/>
          <w:szCs w:val="24"/>
          <w:lang w:eastAsia="sk-SK"/>
        </w:rPr>
        <w:t xml:space="preserve"> - Zvýšenie hranice pre platenie preddavkov u fyzických aj právnických osôb z 2 500 eur na 5 000 eur</w:t>
      </w:r>
    </w:p>
    <w:p w:rsidR="00EA543A" w:rsidRPr="00600500" w:rsidRDefault="00EA543A" w:rsidP="00EA543A">
      <w:pPr>
        <w:spacing w:after="0" w:line="240" w:lineRule="auto"/>
        <w:jc w:val="both"/>
        <w:rPr>
          <w:rFonts w:ascii="Times New Roman" w:eastAsia="Times New Roman" w:hAnsi="Times New Roman" w:cs="Times New Roman"/>
          <w:sz w:val="24"/>
          <w:szCs w:val="24"/>
          <w:lang w:eastAsia="sk-SK"/>
        </w:rPr>
      </w:pPr>
      <w:r w:rsidRPr="00600500">
        <w:rPr>
          <w:rFonts w:ascii="Times New Roman" w:eastAsia="Times New Roman" w:hAnsi="Times New Roman" w:cs="Times New Roman"/>
          <w:sz w:val="24"/>
          <w:szCs w:val="24"/>
          <w:lang w:eastAsia="sk-SK"/>
        </w:rPr>
        <w:t>Zdrojom dát je štruktúra preddavkov na dani z príjmu na individuálnej báze poskytnutá Finančnou správou. Z individuálnych dát je možné vypočítať meškanie platieb kvartálnych preddavkov pri hranici 2500 až 5000 eur. 15 % subjektov (firmy aj SZČO), respektíve 20 % objemu preddavkov je splatených viac ako mesiac po termíne splatnosti. Legislatívna zmen</w:t>
      </w:r>
      <w:r>
        <w:rPr>
          <w:rFonts w:ascii="Times New Roman" w:eastAsia="Times New Roman" w:hAnsi="Times New Roman" w:cs="Times New Roman"/>
          <w:sz w:val="24"/>
          <w:szCs w:val="24"/>
          <w:lang w:eastAsia="sk-SK"/>
        </w:rPr>
        <w:t>a</w:t>
      </w:r>
      <w:r w:rsidRPr="00600500">
        <w:rPr>
          <w:rFonts w:ascii="Times New Roman" w:eastAsia="Times New Roman" w:hAnsi="Times New Roman" w:cs="Times New Roman"/>
          <w:sz w:val="24"/>
          <w:szCs w:val="24"/>
          <w:lang w:eastAsia="sk-SK"/>
        </w:rPr>
        <w:t xml:space="preserve"> by mala za následok, že viacej subjektov bude mať jednor</w:t>
      </w:r>
      <w:r>
        <w:rPr>
          <w:rFonts w:ascii="Times New Roman" w:eastAsia="Times New Roman" w:hAnsi="Times New Roman" w:cs="Times New Roman"/>
          <w:sz w:val="24"/>
          <w:szCs w:val="24"/>
          <w:lang w:eastAsia="sk-SK"/>
        </w:rPr>
        <w:t>a</w:t>
      </w:r>
      <w:r w:rsidRPr="00600500">
        <w:rPr>
          <w:rFonts w:ascii="Times New Roman" w:eastAsia="Times New Roman" w:hAnsi="Times New Roman" w:cs="Times New Roman"/>
          <w:sz w:val="24"/>
          <w:szCs w:val="24"/>
          <w:lang w:eastAsia="sk-SK"/>
        </w:rPr>
        <w:t>zov</w:t>
      </w:r>
      <w:r>
        <w:rPr>
          <w:rFonts w:ascii="Times New Roman" w:eastAsia="Times New Roman" w:hAnsi="Times New Roman" w:cs="Times New Roman"/>
          <w:sz w:val="24"/>
          <w:szCs w:val="24"/>
          <w:lang w:eastAsia="sk-SK"/>
        </w:rPr>
        <w:t>ú</w:t>
      </w:r>
      <w:r w:rsidRPr="00600500">
        <w:rPr>
          <w:rFonts w:ascii="Times New Roman" w:eastAsia="Times New Roman" w:hAnsi="Times New Roman" w:cs="Times New Roman"/>
          <w:sz w:val="24"/>
          <w:szCs w:val="24"/>
          <w:lang w:eastAsia="sk-SK"/>
        </w:rPr>
        <w:t xml:space="preserve"> platbu dane, bez predošlej platby preddavk</w:t>
      </w:r>
      <w:r>
        <w:rPr>
          <w:rFonts w:ascii="Times New Roman" w:eastAsia="Times New Roman" w:hAnsi="Times New Roman" w:cs="Times New Roman"/>
          <w:sz w:val="24"/>
          <w:szCs w:val="24"/>
          <w:lang w:eastAsia="sk-SK"/>
        </w:rPr>
        <w:t>ov. U týchto subjektov predpokladá</w:t>
      </w:r>
      <w:r w:rsidRPr="00600500">
        <w:rPr>
          <w:rFonts w:ascii="Times New Roman" w:eastAsia="Times New Roman" w:hAnsi="Times New Roman" w:cs="Times New Roman"/>
          <w:sz w:val="24"/>
          <w:szCs w:val="24"/>
          <w:lang w:eastAsia="sk-SK"/>
        </w:rPr>
        <w:t>me</w:t>
      </w:r>
      <w:r>
        <w:rPr>
          <w:rFonts w:ascii="Times New Roman" w:eastAsia="Times New Roman" w:hAnsi="Times New Roman" w:cs="Times New Roman"/>
          <w:sz w:val="24"/>
          <w:szCs w:val="24"/>
          <w:lang w:eastAsia="sk-SK"/>
        </w:rPr>
        <w:t>,</w:t>
      </w:r>
      <w:r w:rsidRPr="00600500">
        <w:rPr>
          <w:rFonts w:ascii="Times New Roman" w:eastAsia="Times New Roman" w:hAnsi="Times New Roman" w:cs="Times New Roman"/>
          <w:sz w:val="24"/>
          <w:szCs w:val="24"/>
          <w:lang w:eastAsia="sk-SK"/>
        </w:rPr>
        <w:t xml:space="preserve"> že po podaní daňového priznania nebude platba uhradená do 1 roka. Posun hotovostného výpadku (nezaplatené vyrovnanie dane za rok 2020 v roku 2021) až do roku 2022 spôsobí akruálny výpadok v roku 2021.</w:t>
      </w:r>
    </w:p>
    <w:p w:rsidR="00EA543A" w:rsidRDefault="00EA543A" w:rsidP="00EA543A">
      <w:pPr>
        <w:rPr>
          <w:rFonts w:ascii="Times New Roman" w:eastAsia="Times New Roman" w:hAnsi="Times New Roman" w:cs="Times New Roman"/>
          <w:b/>
          <w:bCs/>
          <w:sz w:val="24"/>
          <w:szCs w:val="20"/>
          <w:lang w:eastAsia="sk-SK"/>
        </w:rPr>
        <w:sectPr w:rsidR="00EA543A" w:rsidSect="00EA543A">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r w:rsidRPr="00C373AC">
        <w:rPr>
          <w:rFonts w:ascii="Times New Roman" w:eastAsia="Times New Roman" w:hAnsi="Times New Roman" w:cs="Times New Roman"/>
          <w:b/>
          <w:bCs/>
          <w:sz w:val="24"/>
          <w:szCs w:val="20"/>
          <w:lang w:eastAsia="sk-SK"/>
        </w:rPr>
        <w:br w:type="page"/>
      </w:r>
    </w:p>
    <w:p w:rsidR="00EA543A" w:rsidRPr="007D5748" w:rsidRDefault="00EA543A" w:rsidP="00EA543A">
      <w:pPr>
        <w:tabs>
          <w:tab w:val="num" w:pos="1080"/>
        </w:tabs>
        <w:spacing w:after="0" w:line="240" w:lineRule="auto"/>
        <w:jc w:val="right"/>
        <w:rPr>
          <w:rFonts w:ascii="Times New Roman" w:eastAsia="Times New Roman" w:hAnsi="Times New Roman" w:cs="Times New Roman"/>
          <w:bCs/>
          <w:sz w:val="24"/>
          <w:szCs w:val="24"/>
          <w:lang w:eastAsia="sk-SK"/>
        </w:rPr>
      </w:pPr>
      <w:proofErr w:type="spellStart"/>
      <w:r w:rsidRPr="007D5748">
        <w:rPr>
          <w:rFonts w:ascii="Times New Roman" w:eastAsia="Times New Roman" w:hAnsi="Times New Roman" w:cs="Times New Roman"/>
          <w:bCs/>
          <w:sz w:val="24"/>
          <w:szCs w:val="24"/>
          <w:lang w:eastAsia="sk-SK"/>
        </w:rPr>
        <w:lastRenderedPageBreak/>
        <w:t>abuľka</w:t>
      </w:r>
      <w:proofErr w:type="spellEnd"/>
      <w:r w:rsidRPr="007D5748">
        <w:rPr>
          <w:rFonts w:ascii="Times New Roman" w:eastAsia="Times New Roman" w:hAnsi="Times New Roman" w:cs="Times New Roman"/>
          <w:bCs/>
          <w:sz w:val="24"/>
          <w:szCs w:val="24"/>
          <w:lang w:eastAsia="sk-SK"/>
        </w:rPr>
        <w:t xml:space="preserve">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A543A" w:rsidRPr="007D5748" w:rsidTr="00EA543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 xml:space="preserve"> - cash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EA543A" w:rsidRPr="007D5748" w:rsidTr="00EA543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EA543A" w:rsidRPr="007D5748" w:rsidRDefault="00EA543A" w:rsidP="00EA543A">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EA543A" w:rsidRPr="007D5748" w:rsidRDefault="00EA543A" w:rsidP="00EA543A">
            <w:pPr>
              <w:spacing w:after="0" w:line="240" w:lineRule="auto"/>
              <w:rPr>
                <w:rFonts w:ascii="Times New Roman" w:eastAsia="Times New Roman" w:hAnsi="Times New Roman" w:cs="Times New Roman"/>
                <w:b/>
                <w:bCs/>
                <w:color w:val="FFFFFF"/>
                <w:sz w:val="24"/>
                <w:szCs w:val="24"/>
                <w:lang w:eastAsia="sk-SK"/>
              </w:rPr>
            </w:pP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-29 679</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-68 554</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-20 022</w:t>
            </w:r>
          </w:p>
        </w:tc>
        <w:tc>
          <w:tcPr>
            <w:tcW w:w="300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65"/>
        </w:trPr>
        <w:tc>
          <w:tcPr>
            <w:tcW w:w="4950" w:type="dxa"/>
            <w:tcBorders>
              <w:top w:val="nil"/>
              <w:left w:val="single" w:sz="4" w:space="0" w:color="auto"/>
              <w:bottom w:val="single" w:sz="4" w:space="0" w:color="auto"/>
              <w:right w:val="single" w:sz="4" w:space="0" w:color="auto"/>
            </w:tcBorders>
            <w:shd w:val="clear" w:color="auto" w:fill="auto"/>
          </w:tcPr>
          <w:p w:rsidR="00EA543A" w:rsidRDefault="00EA543A" w:rsidP="00EA543A">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DPFO (111)</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-3 433</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-13 599</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-10 299</w:t>
            </w:r>
          </w:p>
        </w:tc>
        <w:tc>
          <w:tcPr>
            <w:tcW w:w="3000" w:type="dxa"/>
            <w:tcBorders>
              <w:top w:val="nil"/>
              <w:left w:val="nil"/>
              <w:bottom w:val="single" w:sz="4" w:space="0" w:color="auto"/>
              <w:right w:val="single" w:sz="4" w:space="0" w:color="auto"/>
            </w:tcBorders>
            <w:shd w:val="clear" w:color="auto" w:fill="auto"/>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shd w:val="clear" w:color="auto" w:fill="auto"/>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DPPO (112)</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-18 558</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-46 568</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-1 336</w:t>
            </w:r>
          </w:p>
        </w:tc>
        <w:tc>
          <w:tcPr>
            <w:tcW w:w="3000" w:type="dxa"/>
            <w:tcBorders>
              <w:top w:val="nil"/>
              <w:left w:val="nil"/>
              <w:bottom w:val="single" w:sz="4" w:space="0" w:color="auto"/>
              <w:right w:val="single" w:sz="4" w:space="0" w:color="auto"/>
            </w:tcBorders>
            <w:shd w:val="clear" w:color="auto" w:fill="auto"/>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shd w:val="clear" w:color="auto" w:fill="auto"/>
          </w:tcPr>
          <w:p w:rsidR="00EA543A" w:rsidRDefault="00EA543A" w:rsidP="00EA543A">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-5 393</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3000" w:type="dxa"/>
            <w:tcBorders>
              <w:top w:val="nil"/>
              <w:left w:val="nil"/>
              <w:bottom w:val="single" w:sz="4" w:space="0" w:color="auto"/>
              <w:right w:val="single" w:sz="4" w:space="0" w:color="auto"/>
            </w:tcBorders>
            <w:shd w:val="clear" w:color="auto" w:fill="auto"/>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shd w:val="clear" w:color="auto" w:fill="auto"/>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Zdravotné odvody (154)</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-2 295</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1500" w:type="dxa"/>
            <w:tcBorders>
              <w:top w:val="nil"/>
              <w:left w:val="nil"/>
              <w:bottom w:val="single" w:sz="4" w:space="0" w:color="auto"/>
              <w:right w:val="single" w:sz="4" w:space="0" w:color="auto"/>
            </w:tcBorders>
            <w:shd w:val="clear" w:color="auto" w:fill="auto"/>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3000" w:type="dxa"/>
            <w:tcBorders>
              <w:top w:val="nil"/>
              <w:left w:val="nil"/>
              <w:bottom w:val="single" w:sz="4" w:space="0" w:color="auto"/>
              <w:right w:val="single" w:sz="4" w:space="0" w:color="auto"/>
            </w:tcBorders>
            <w:shd w:val="clear" w:color="auto" w:fill="auto"/>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583"/>
        </w:trPr>
        <w:tc>
          <w:tcPr>
            <w:tcW w:w="4950"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1500" w:type="dxa"/>
            <w:tcBorders>
              <w:top w:val="nil"/>
              <w:left w:val="nil"/>
              <w:bottom w:val="single" w:sz="4" w:space="0" w:color="auto"/>
              <w:right w:val="single" w:sz="4" w:space="0" w:color="auto"/>
            </w:tcBorders>
            <w:shd w:val="clear" w:color="auto" w:fill="FFFF99"/>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 </w:t>
            </w:r>
          </w:p>
        </w:tc>
        <w:tc>
          <w:tcPr>
            <w:tcW w:w="300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-29 679</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-68 554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A543A" w:rsidRPr="006F1FD4" w:rsidRDefault="00EA543A" w:rsidP="00EA543A">
            <w:pPr>
              <w:spacing w:after="0" w:line="240" w:lineRule="auto"/>
              <w:jc w:val="center"/>
              <w:rPr>
                <w:rFonts w:ascii="Times New Roman" w:hAnsi="Times New Roman" w:cs="Times New Roman"/>
                <w:b/>
                <w:bCs/>
                <w:color w:val="000000"/>
              </w:rPr>
            </w:pPr>
            <w:r w:rsidRPr="006F1FD4">
              <w:rPr>
                <w:rFonts w:ascii="Times New Roman" w:hAnsi="Times New Roman" w:cs="Times New Roman"/>
                <w:b/>
                <w:bCs/>
                <w:color w:val="000000"/>
              </w:rPr>
              <w:t>-20 022</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EA543A" w:rsidRDefault="00EA543A" w:rsidP="00EA543A">
      <w:pPr>
        <w:tabs>
          <w:tab w:val="num" w:pos="1080"/>
        </w:tabs>
        <w:spacing w:after="0" w:line="240" w:lineRule="auto"/>
        <w:jc w:val="both"/>
        <w:rPr>
          <w:rFonts w:ascii="Times New Roman" w:eastAsia="Times New Roman" w:hAnsi="Times New Roman" w:cs="Times New Roman"/>
          <w:bCs/>
          <w:sz w:val="24"/>
          <w:szCs w:val="20"/>
          <w:lang w:eastAsia="sk-SK"/>
        </w:rPr>
      </w:pPr>
    </w:p>
    <w:tbl>
      <w:tblPr>
        <w:tblStyle w:val="Mriekatabuky"/>
        <w:tblW w:w="0" w:type="auto"/>
        <w:tblInd w:w="108" w:type="dxa"/>
        <w:tblLook w:val="04A0" w:firstRow="1" w:lastRow="0" w:firstColumn="1" w:lastColumn="0" w:noHBand="0" w:noVBand="1"/>
      </w:tblPr>
      <w:tblGrid>
        <w:gridCol w:w="4960"/>
        <w:gridCol w:w="1558"/>
        <w:gridCol w:w="1416"/>
        <w:gridCol w:w="1559"/>
        <w:gridCol w:w="1416"/>
        <w:gridCol w:w="2975"/>
      </w:tblGrid>
      <w:tr w:rsidR="00EA543A" w:rsidTr="00EA543A">
        <w:tc>
          <w:tcPr>
            <w:tcW w:w="4960"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 xml:space="preserve"> - </w:t>
            </w:r>
            <w:proofErr w:type="spellStart"/>
            <w:r>
              <w:rPr>
                <w:rFonts w:ascii="Times New Roman" w:eastAsia="Times New Roman" w:hAnsi="Times New Roman" w:cs="Times New Roman"/>
                <w:b/>
                <w:bCs/>
                <w:sz w:val="24"/>
                <w:szCs w:val="24"/>
                <w:lang w:eastAsia="sk-SK"/>
              </w:rPr>
              <w:t>akruál</w:t>
            </w:r>
            <w:proofErr w:type="spellEnd"/>
          </w:p>
        </w:tc>
        <w:tc>
          <w:tcPr>
            <w:tcW w:w="5949" w:type="dxa"/>
            <w:gridSpan w:val="4"/>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5" w:type="dxa"/>
            <w:vMerge w:val="restart"/>
            <w:shd w:val="clear" w:color="auto" w:fill="BFBFBF" w:themeFill="background1" w:themeFillShade="BF"/>
            <w:vAlign w:val="center"/>
          </w:tcPr>
          <w:p w:rsidR="00EA543A" w:rsidRPr="008F617E" w:rsidRDefault="00EA543A" w:rsidP="00EA543A">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60" w:type="dxa"/>
            <w:vMerge/>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8"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6"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59"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6"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975" w:type="dxa"/>
            <w:vMerge/>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-36 264</w:t>
            </w:r>
          </w:p>
        </w:tc>
        <w:tc>
          <w:tcPr>
            <w:tcW w:w="1559"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-40 589</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-36 501</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558"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-3 433</w:t>
            </w:r>
          </w:p>
        </w:tc>
        <w:tc>
          <w:tcPr>
            <w:tcW w:w="1559"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-13 599</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-10 299</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558"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-30 036</w:t>
            </w:r>
          </w:p>
        </w:tc>
        <w:tc>
          <w:tcPr>
            <w:tcW w:w="1559"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-18 602</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-17 815</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558"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-1 961</w:t>
            </w:r>
          </w:p>
        </w:tc>
        <w:tc>
          <w:tcPr>
            <w:tcW w:w="1559"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-5 884</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558"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0</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-834</w:t>
            </w:r>
          </w:p>
        </w:tc>
        <w:tc>
          <w:tcPr>
            <w:tcW w:w="1559"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1416" w:type="dxa"/>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-2 504</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58"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58" w:type="dxa"/>
            <w:shd w:val="clear" w:color="auto" w:fill="F6F688"/>
            <w:vAlign w:val="center"/>
          </w:tcPr>
          <w:p w:rsidR="00EA543A" w:rsidRPr="006F1FD4" w:rsidRDefault="00EA543A" w:rsidP="00EA543A">
            <w:pPr>
              <w:jc w:val="center"/>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58"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559"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1416" w:type="dxa"/>
            <w:shd w:val="clear" w:color="auto" w:fill="F6F688"/>
            <w:vAlign w:val="center"/>
          </w:tcPr>
          <w:p w:rsidR="00EA543A" w:rsidRPr="006F1FD4" w:rsidRDefault="00EA543A" w:rsidP="00EA543A">
            <w:pPr>
              <w:jc w:val="both"/>
              <w:rPr>
                <w:rFonts w:ascii="Times New Roman" w:hAnsi="Times New Roman" w:cs="Times New Roman"/>
                <w:color w:val="000000"/>
              </w:rPr>
            </w:pPr>
            <w:r w:rsidRPr="006F1FD4">
              <w:rPr>
                <w:rFonts w:ascii="Times New Roman" w:hAnsi="Times New Roman" w:cs="Times New Roman"/>
                <w:color w:val="000000"/>
              </w:rPr>
              <w:t> </w:t>
            </w:r>
          </w:p>
        </w:tc>
        <w:tc>
          <w:tcPr>
            <w:tcW w:w="2975" w:type="dxa"/>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60" w:type="dxa"/>
            <w:shd w:val="clear" w:color="auto" w:fill="BFBFBF" w:themeFill="background1" w:themeFillShade="BF"/>
          </w:tcPr>
          <w:p w:rsidR="00EA543A" w:rsidRPr="007D5748" w:rsidRDefault="00EA543A" w:rsidP="00EA543A">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58" w:type="dxa"/>
            <w:shd w:val="clear" w:color="auto" w:fill="BFBFBF" w:themeFill="background1" w:themeFillShade="BF"/>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-12 372</w:t>
            </w:r>
          </w:p>
        </w:tc>
        <w:tc>
          <w:tcPr>
            <w:tcW w:w="1416" w:type="dxa"/>
            <w:shd w:val="clear" w:color="auto" w:fill="BFBFBF" w:themeFill="background1" w:themeFillShade="BF"/>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-36 264</w:t>
            </w:r>
          </w:p>
        </w:tc>
        <w:tc>
          <w:tcPr>
            <w:tcW w:w="1559" w:type="dxa"/>
            <w:shd w:val="clear" w:color="auto" w:fill="BFBFBF" w:themeFill="background1" w:themeFillShade="BF"/>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-40 589</w:t>
            </w:r>
          </w:p>
        </w:tc>
        <w:tc>
          <w:tcPr>
            <w:tcW w:w="1416" w:type="dxa"/>
            <w:shd w:val="clear" w:color="auto" w:fill="BFBFBF" w:themeFill="background1" w:themeFillShade="BF"/>
            <w:vAlign w:val="center"/>
          </w:tcPr>
          <w:p w:rsidR="00EA543A" w:rsidRPr="006F1FD4" w:rsidRDefault="00EA543A" w:rsidP="00EA543A">
            <w:pPr>
              <w:jc w:val="center"/>
              <w:rPr>
                <w:rFonts w:ascii="Times New Roman" w:hAnsi="Times New Roman" w:cs="Times New Roman"/>
                <w:b/>
                <w:bCs/>
                <w:color w:val="000000"/>
              </w:rPr>
            </w:pPr>
            <w:r w:rsidRPr="006F1FD4">
              <w:rPr>
                <w:rFonts w:ascii="Times New Roman" w:hAnsi="Times New Roman" w:cs="Times New Roman"/>
                <w:b/>
                <w:bCs/>
                <w:color w:val="000000"/>
              </w:rPr>
              <w:t>-36 501</w:t>
            </w:r>
          </w:p>
        </w:tc>
        <w:tc>
          <w:tcPr>
            <w:tcW w:w="2975"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Pr="007D5748" w:rsidRDefault="00EA543A" w:rsidP="00EA543A">
      <w:pPr>
        <w:tabs>
          <w:tab w:val="num" w:pos="1080"/>
        </w:tabs>
        <w:spacing w:after="0" w:line="240" w:lineRule="auto"/>
        <w:jc w:val="both"/>
        <w:rPr>
          <w:rFonts w:ascii="Times New Roman" w:eastAsia="Times New Roman" w:hAnsi="Times New Roman" w:cs="Times New Roman"/>
          <w:bCs/>
          <w:sz w:val="24"/>
          <w:szCs w:val="20"/>
          <w:lang w:eastAsia="sk-SK"/>
        </w:rPr>
      </w:pPr>
    </w:p>
    <w:p w:rsidR="00EA543A" w:rsidRPr="00440704" w:rsidRDefault="00EA543A" w:rsidP="00EA543A">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sidRPr="00440704">
        <w:rPr>
          <w:rFonts w:ascii="Times New Roman" w:eastAsia="Times New Roman" w:hAnsi="Times New Roman" w:cs="Times New Roman"/>
          <w:bCs/>
          <w:sz w:val="24"/>
          <w:szCs w:val="24"/>
          <w:lang w:eastAsia="sk-SK"/>
        </w:rPr>
        <w:t xml:space="preserve">Tabuľka č. 3.1. </w:t>
      </w:r>
    </w:p>
    <w:tbl>
      <w:tblPr>
        <w:tblStyle w:val="Mriekatabuky"/>
        <w:tblW w:w="14029" w:type="dxa"/>
        <w:tblLook w:val="04A0" w:firstRow="1" w:lastRow="0" w:firstColumn="1" w:lastColumn="0" w:noHBand="0" w:noVBand="1"/>
      </w:tblPr>
      <w:tblGrid>
        <w:gridCol w:w="4957"/>
        <w:gridCol w:w="1417"/>
        <w:gridCol w:w="1559"/>
        <w:gridCol w:w="1560"/>
        <w:gridCol w:w="1417"/>
        <w:gridCol w:w="3119"/>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p>
        </w:tc>
        <w:tc>
          <w:tcPr>
            <w:tcW w:w="5953"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3119"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119"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-12 458</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-12 458</w:t>
            </w:r>
          </w:p>
        </w:tc>
        <w:tc>
          <w:tcPr>
            <w:tcW w:w="3119" w:type="dxa"/>
            <w:vMerge w:val="restart"/>
            <w:shd w:val="clear" w:color="auto" w:fill="FFFFFF" w:themeFill="background1"/>
          </w:tcPr>
          <w:p w:rsidR="00EA543A" w:rsidRPr="00604B73" w:rsidRDefault="00EA543A" w:rsidP="00EA543A">
            <w:pPr>
              <w:jc w:val="both"/>
              <w:rPr>
                <w:rFonts w:ascii="Times New Roman" w:eastAsia="Times New Roman" w:hAnsi="Times New Roman" w:cs="Times New Roman"/>
                <w:sz w:val="24"/>
                <w:szCs w:val="24"/>
                <w:lang w:eastAsia="sk-SK"/>
              </w:rPr>
            </w:pPr>
            <w:r w:rsidRPr="00604B73">
              <w:rPr>
                <w:rFonts w:ascii="Times New Roman" w:eastAsia="Times New Roman" w:hAnsi="Times New Roman" w:cs="Times New Roman"/>
                <w:sz w:val="24"/>
                <w:szCs w:val="24"/>
                <w:lang w:eastAsia="sk-SK"/>
              </w:rPr>
              <w:t>Zavedenie paušálu na príspevok zamestnávateľa na dopravu</w:t>
            </w:r>
          </w:p>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FFFFFF" w:themeFill="background1"/>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-6 866</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-6 866</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-3 923</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-3 923</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-1 669</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-1 669</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99"/>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EA543A" w:rsidRPr="0095034B" w:rsidRDefault="00EA543A" w:rsidP="00EA543A">
            <w:pPr>
              <w:tabs>
                <w:tab w:val="num" w:pos="1080"/>
              </w:tabs>
              <w:jc w:val="both"/>
              <w:rPr>
                <w:rFonts w:ascii="Times New Roman" w:eastAsia="Times New Roman" w:hAnsi="Times New Roman" w:cs="Times New Roman"/>
                <w:b/>
                <w:bCs/>
                <w:sz w:val="24"/>
                <w:szCs w:val="20"/>
                <w:lang w:eastAsia="sk-SK"/>
              </w:rPr>
            </w:pPr>
          </w:p>
        </w:tc>
        <w:tc>
          <w:tcPr>
            <w:tcW w:w="1417" w:type="dxa"/>
            <w:shd w:val="clear" w:color="auto" w:fill="FFFF99"/>
          </w:tcPr>
          <w:p w:rsidR="00EA543A" w:rsidRPr="0095034B" w:rsidRDefault="00EA543A" w:rsidP="00EA543A">
            <w:pPr>
              <w:tabs>
                <w:tab w:val="num" w:pos="1080"/>
              </w:tabs>
              <w:jc w:val="both"/>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BFBFBF" w:themeFill="background1" w:themeFillShade="BF"/>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60" w:type="dxa"/>
            <w:shd w:val="clear" w:color="auto" w:fill="BFBFBF" w:themeFill="background1" w:themeFillShade="BF"/>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-12 458</w:t>
            </w:r>
          </w:p>
        </w:tc>
        <w:tc>
          <w:tcPr>
            <w:tcW w:w="1417" w:type="dxa"/>
            <w:shd w:val="clear" w:color="auto" w:fill="BFBFBF" w:themeFill="background1" w:themeFillShade="BF"/>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-12 458</w:t>
            </w:r>
          </w:p>
        </w:tc>
        <w:tc>
          <w:tcPr>
            <w:tcW w:w="3119"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EA543A" w:rsidRPr="007D5748" w:rsidRDefault="00EA543A" w:rsidP="00EA543A">
      <w:pPr>
        <w:tabs>
          <w:tab w:val="num" w:pos="1080"/>
        </w:tabs>
        <w:spacing w:after="0" w:line="240" w:lineRule="auto"/>
        <w:ind w:right="110"/>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3.2.</w:t>
      </w:r>
    </w:p>
    <w:tbl>
      <w:tblPr>
        <w:tblStyle w:val="Mriekatabuky"/>
        <w:tblW w:w="14029" w:type="dxa"/>
        <w:tblLook w:val="04A0" w:firstRow="1" w:lastRow="0" w:firstColumn="1" w:lastColumn="0" w:noHBand="0" w:noVBand="1"/>
      </w:tblPr>
      <w:tblGrid>
        <w:gridCol w:w="4957"/>
        <w:gridCol w:w="1417"/>
        <w:gridCol w:w="1559"/>
        <w:gridCol w:w="1560"/>
        <w:gridCol w:w="1417"/>
        <w:gridCol w:w="3119"/>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xml:space="preserve">Príjmy (v </w:t>
            </w:r>
            <w:r>
              <w:rPr>
                <w:rFonts w:ascii="Times New Roman" w:eastAsia="Times New Roman" w:hAnsi="Times New Roman" w:cs="Times New Roman"/>
                <w:b/>
                <w:bCs/>
                <w:sz w:val="24"/>
                <w:szCs w:val="24"/>
                <w:lang w:eastAsia="sk-SK"/>
              </w:rPr>
              <w:t xml:space="preserve">tis. </w:t>
            </w:r>
            <w:r w:rsidRPr="007D5748">
              <w:rPr>
                <w:rFonts w:ascii="Times New Roman" w:eastAsia="Times New Roman" w:hAnsi="Times New Roman" w:cs="Times New Roman"/>
                <w:b/>
                <w:bCs/>
                <w:sz w:val="24"/>
                <w:szCs w:val="24"/>
                <w:lang w:eastAsia="sk-SK"/>
              </w:rPr>
              <w:t>eur)</w:t>
            </w:r>
          </w:p>
        </w:tc>
        <w:tc>
          <w:tcPr>
            <w:tcW w:w="5953"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3119"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tcPr>
          <w:p w:rsidR="00EA543A" w:rsidRPr="007D5748" w:rsidRDefault="00EA543A" w:rsidP="00EA543A">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119"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-6 228</w:t>
            </w:r>
          </w:p>
        </w:tc>
        <w:tc>
          <w:tcPr>
            <w:tcW w:w="3119" w:type="dxa"/>
            <w:vMerge w:val="restart"/>
            <w:shd w:val="clear" w:color="auto" w:fill="FFFFFF" w:themeFill="background1"/>
          </w:tcPr>
          <w:p w:rsidR="00EA543A" w:rsidRPr="00604B73" w:rsidRDefault="00EA543A" w:rsidP="00EA543A">
            <w:pPr>
              <w:jc w:val="both"/>
              <w:rPr>
                <w:rFonts w:ascii="Times New Roman" w:eastAsia="Times New Roman" w:hAnsi="Times New Roman" w:cs="Times New Roman"/>
                <w:sz w:val="24"/>
                <w:szCs w:val="24"/>
                <w:lang w:eastAsia="sk-SK"/>
              </w:rPr>
            </w:pPr>
            <w:r w:rsidRPr="00604B73">
              <w:rPr>
                <w:rFonts w:ascii="Times New Roman" w:eastAsia="Times New Roman" w:hAnsi="Times New Roman" w:cs="Times New Roman"/>
                <w:sz w:val="24"/>
                <w:szCs w:val="24"/>
                <w:lang w:eastAsia="sk-SK"/>
              </w:rPr>
              <w:t>Zvýšenie príspevku zamestnávateľa na nájomné bývanie na 100 eur</w:t>
            </w:r>
          </w:p>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-3 433</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Sociálne odvody (151, 152, 155, 157 a 158)</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-1 961</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1560"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1417" w:type="dxa"/>
            <w:shd w:val="clear" w:color="auto" w:fill="FFFFFF" w:themeFill="background1"/>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0"/>
                <w:lang w:eastAsia="sk-SK"/>
              </w:rPr>
              <w:t>-834</w:t>
            </w: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FF" w:themeFill="background1"/>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4"/>
                <w:lang w:eastAsia="sk-SK"/>
              </w:rPr>
              <w:t> </w:t>
            </w:r>
          </w:p>
        </w:tc>
        <w:tc>
          <w:tcPr>
            <w:tcW w:w="1560" w:type="dxa"/>
            <w:shd w:val="clear" w:color="auto" w:fill="FFFF99"/>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417" w:type="dxa"/>
            <w:shd w:val="clear" w:color="auto" w:fill="FFFF99"/>
          </w:tcPr>
          <w:p w:rsidR="00EA543A" w:rsidRPr="0095034B" w:rsidRDefault="00EA543A" w:rsidP="00EA543A">
            <w:pPr>
              <w:tabs>
                <w:tab w:val="num" w:pos="1080"/>
              </w:tabs>
              <w:jc w:val="center"/>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EA543A" w:rsidRPr="0095034B" w:rsidRDefault="00EA543A" w:rsidP="00EA543A">
            <w:pPr>
              <w:tabs>
                <w:tab w:val="num" w:pos="1080"/>
              </w:tabs>
              <w:jc w:val="both"/>
              <w:rPr>
                <w:rFonts w:ascii="Times New Roman" w:eastAsia="Times New Roman" w:hAnsi="Times New Roman" w:cs="Times New Roman"/>
                <w:b/>
                <w:bCs/>
                <w:sz w:val="24"/>
                <w:szCs w:val="20"/>
                <w:lang w:eastAsia="sk-SK"/>
              </w:rPr>
            </w:pPr>
            <w:r w:rsidRPr="0095034B">
              <w:rPr>
                <w:rFonts w:ascii="Times New Roman" w:eastAsia="Times New Roman" w:hAnsi="Times New Roman" w:cs="Times New Roman"/>
                <w:b/>
                <w:bCs/>
                <w:sz w:val="24"/>
                <w:szCs w:val="24"/>
                <w:lang w:eastAsia="sk-SK"/>
              </w:rPr>
              <w:t> </w:t>
            </w:r>
          </w:p>
        </w:tc>
        <w:tc>
          <w:tcPr>
            <w:tcW w:w="1560" w:type="dxa"/>
            <w:shd w:val="clear" w:color="auto" w:fill="FFFF99"/>
          </w:tcPr>
          <w:p w:rsidR="00EA543A" w:rsidRPr="0095034B" w:rsidRDefault="00EA543A" w:rsidP="00EA543A">
            <w:pPr>
              <w:tabs>
                <w:tab w:val="num" w:pos="1080"/>
              </w:tabs>
              <w:jc w:val="both"/>
              <w:rPr>
                <w:rFonts w:ascii="Times New Roman" w:eastAsia="Times New Roman" w:hAnsi="Times New Roman" w:cs="Times New Roman"/>
                <w:b/>
                <w:bCs/>
                <w:sz w:val="24"/>
                <w:szCs w:val="20"/>
                <w:lang w:eastAsia="sk-SK"/>
              </w:rPr>
            </w:pPr>
          </w:p>
        </w:tc>
        <w:tc>
          <w:tcPr>
            <w:tcW w:w="1417" w:type="dxa"/>
            <w:shd w:val="clear" w:color="auto" w:fill="FFFF99"/>
          </w:tcPr>
          <w:p w:rsidR="00EA543A" w:rsidRPr="0095034B" w:rsidRDefault="00EA543A" w:rsidP="00EA543A">
            <w:pPr>
              <w:tabs>
                <w:tab w:val="num" w:pos="1080"/>
              </w:tabs>
              <w:jc w:val="both"/>
              <w:rPr>
                <w:rFonts w:ascii="Times New Roman" w:eastAsia="Times New Roman" w:hAnsi="Times New Roman" w:cs="Times New Roman"/>
                <w:b/>
                <w:bCs/>
                <w:sz w:val="24"/>
                <w:szCs w:val="20"/>
                <w:lang w:eastAsia="sk-SK"/>
              </w:rPr>
            </w:pPr>
          </w:p>
        </w:tc>
        <w:tc>
          <w:tcPr>
            <w:tcW w:w="3119"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0C35A3" w:rsidRDefault="00EA543A" w:rsidP="00EA543A">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BFBFBF" w:themeFill="background1" w:themeFillShade="BF"/>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1560" w:type="dxa"/>
            <w:shd w:val="clear" w:color="auto" w:fill="BFBFBF" w:themeFill="background1" w:themeFillShade="BF"/>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1417" w:type="dxa"/>
            <w:shd w:val="clear" w:color="auto" w:fill="BFBFBF" w:themeFill="background1" w:themeFillShade="BF"/>
            <w:vAlign w:val="bottom"/>
          </w:tcPr>
          <w:p w:rsidR="00EA543A" w:rsidRPr="0095034B" w:rsidRDefault="00EA543A" w:rsidP="00EA543A">
            <w:pPr>
              <w:tabs>
                <w:tab w:val="num" w:pos="1080"/>
              </w:tabs>
              <w:jc w:val="center"/>
              <w:rPr>
                <w:rFonts w:ascii="Times New Roman" w:eastAsia="Times New Roman" w:hAnsi="Times New Roman" w:cs="Times New Roman"/>
                <w:b/>
                <w:bCs/>
                <w:sz w:val="24"/>
                <w:szCs w:val="24"/>
                <w:lang w:eastAsia="sk-SK"/>
              </w:rPr>
            </w:pPr>
            <w:r w:rsidRPr="0095034B">
              <w:rPr>
                <w:rFonts w:ascii="Times New Roman" w:eastAsia="Times New Roman" w:hAnsi="Times New Roman" w:cs="Times New Roman"/>
                <w:b/>
                <w:bCs/>
                <w:sz w:val="24"/>
                <w:szCs w:val="24"/>
                <w:lang w:eastAsia="sk-SK"/>
              </w:rPr>
              <w:t>-6 228</w:t>
            </w:r>
          </w:p>
        </w:tc>
        <w:tc>
          <w:tcPr>
            <w:tcW w:w="3119"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578"/>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578"/>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578"/>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578"/>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         </w:t>
      </w:r>
    </w:p>
    <w:p w:rsidR="00EA543A" w:rsidRPr="007D5748"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3.3.</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vMerge w:val="restart"/>
            <w:shd w:val="clear" w:color="auto" w:fill="FFFFFF" w:themeFill="background1"/>
          </w:tcPr>
          <w:p w:rsidR="00EA543A" w:rsidRPr="00BE7FC3" w:rsidRDefault="00EA543A" w:rsidP="00EA543A">
            <w:pPr>
              <w:jc w:val="both"/>
              <w:rPr>
                <w:rFonts w:ascii="Times New Roman" w:eastAsia="Times New Roman" w:hAnsi="Times New Roman" w:cs="Times New Roman"/>
                <w:sz w:val="24"/>
                <w:szCs w:val="24"/>
                <w:lang w:eastAsia="sk-SK"/>
              </w:rPr>
            </w:pPr>
            <w:r w:rsidRPr="00BE7FC3">
              <w:rPr>
                <w:rFonts w:ascii="Times New Roman" w:eastAsia="Times New Roman" w:hAnsi="Times New Roman" w:cs="Times New Roman"/>
                <w:sz w:val="24"/>
                <w:szCs w:val="24"/>
                <w:lang w:eastAsia="sk-SK"/>
              </w:rPr>
              <w:t>Zmena pravidiel odpočtu daňovej straty u </w:t>
            </w:r>
            <w:proofErr w:type="spellStart"/>
            <w:r w:rsidRPr="00BE7FC3">
              <w:rPr>
                <w:rFonts w:ascii="Times New Roman" w:eastAsia="Times New Roman" w:hAnsi="Times New Roman" w:cs="Times New Roman"/>
                <w:sz w:val="24"/>
                <w:szCs w:val="24"/>
                <w:lang w:eastAsia="sk-SK"/>
              </w:rPr>
              <w:t>mikrodaňovníkov</w:t>
            </w:r>
            <w:proofErr w:type="spellEnd"/>
          </w:p>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-4 491</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3.4.</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vMerge w:val="restart"/>
            <w:shd w:val="clear" w:color="auto" w:fill="FFFFFF" w:themeFill="background1"/>
          </w:tcPr>
          <w:p w:rsidR="00EA543A" w:rsidRPr="00BE7FC3" w:rsidRDefault="00EA543A" w:rsidP="00EA543A">
            <w:pPr>
              <w:jc w:val="both"/>
              <w:rPr>
                <w:rFonts w:ascii="Times New Roman" w:eastAsia="Times New Roman" w:hAnsi="Times New Roman" w:cs="Times New Roman"/>
                <w:sz w:val="24"/>
                <w:szCs w:val="24"/>
                <w:lang w:eastAsia="sk-SK"/>
              </w:rPr>
            </w:pPr>
            <w:r w:rsidRPr="00BE7FC3">
              <w:rPr>
                <w:rFonts w:ascii="Times New Roman" w:eastAsia="Times New Roman" w:hAnsi="Times New Roman" w:cs="Times New Roman"/>
                <w:sz w:val="24"/>
                <w:szCs w:val="24"/>
                <w:lang w:eastAsia="sk-SK"/>
              </w:rPr>
              <w:t xml:space="preserve">Zmena pravidiel odpočtu daňovej straty </w:t>
            </w:r>
            <w:r>
              <w:rPr>
                <w:rFonts w:ascii="Times New Roman" w:eastAsia="Times New Roman" w:hAnsi="Times New Roman" w:cs="Times New Roman"/>
                <w:sz w:val="24"/>
                <w:szCs w:val="24"/>
                <w:lang w:eastAsia="sk-SK"/>
              </w:rPr>
              <w:t>pre ostatné firmy</w:t>
            </w:r>
          </w:p>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36 005</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30 050</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3.5.</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FFFFFF" w:themeFill="background1"/>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vMerge w:val="restart"/>
            <w:shd w:val="clear" w:color="auto" w:fill="FFFFFF" w:themeFill="background1"/>
          </w:tcPr>
          <w:p w:rsidR="00EA543A" w:rsidRPr="000B428C" w:rsidRDefault="00EA543A" w:rsidP="00EA543A">
            <w:pPr>
              <w:jc w:val="both"/>
              <w:rPr>
                <w:rFonts w:ascii="Times New Roman" w:eastAsia="Times New Roman" w:hAnsi="Times New Roman" w:cs="Times New Roman"/>
                <w:sz w:val="24"/>
                <w:szCs w:val="24"/>
                <w:lang w:eastAsia="sk-SK"/>
              </w:rPr>
            </w:pPr>
            <w:r w:rsidRPr="000B428C">
              <w:rPr>
                <w:rFonts w:ascii="Times New Roman" w:eastAsia="Times New Roman" w:hAnsi="Times New Roman" w:cs="Times New Roman"/>
                <w:sz w:val="24"/>
                <w:szCs w:val="24"/>
                <w:lang w:eastAsia="sk-SK"/>
              </w:rPr>
              <w:t>Zavedenie nových podmienok na odpisovanie hmotného majetku u </w:t>
            </w:r>
            <w:proofErr w:type="spellStart"/>
            <w:r w:rsidRPr="000B428C">
              <w:rPr>
                <w:rFonts w:ascii="Times New Roman" w:eastAsia="Times New Roman" w:hAnsi="Times New Roman" w:cs="Times New Roman"/>
                <w:sz w:val="24"/>
                <w:szCs w:val="24"/>
                <w:lang w:eastAsia="sk-SK"/>
              </w:rPr>
              <w:t>mikrodaňovníkov</w:t>
            </w:r>
            <w:proofErr w:type="spellEnd"/>
          </w:p>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FFFFFF" w:themeFill="background1"/>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99"/>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-15 028</w:t>
            </w:r>
          </w:p>
        </w:tc>
        <w:tc>
          <w:tcPr>
            <w:tcW w:w="1559" w:type="dxa"/>
            <w:shd w:val="clear" w:color="auto" w:fill="BFBFBF" w:themeFill="background1" w:themeFillShade="BF"/>
            <w:vAlign w:val="bottom"/>
          </w:tcPr>
          <w:p w:rsidR="00EA543A" w:rsidRPr="006F1FD4" w:rsidRDefault="00EA543A" w:rsidP="00EA543A">
            <w:pPr>
              <w:tabs>
                <w:tab w:val="num" w:pos="1080"/>
              </w:tabs>
              <w:jc w:val="center"/>
              <w:rPr>
                <w:rFonts w:ascii="Times New Roman" w:eastAsia="Times New Roman" w:hAnsi="Times New Roman" w:cs="Times New Roman"/>
                <w:b/>
                <w:bCs/>
                <w:sz w:val="24"/>
                <w:szCs w:val="20"/>
                <w:lang w:eastAsia="sk-SK"/>
              </w:rPr>
            </w:pPr>
            <w:r w:rsidRPr="006F1FD4">
              <w:rPr>
                <w:rFonts w:ascii="Times New Roman" w:eastAsia="Times New Roman" w:hAnsi="Times New Roman" w:cs="Times New Roman"/>
                <w:b/>
                <w:bCs/>
                <w:sz w:val="24"/>
                <w:szCs w:val="20"/>
                <w:lang w:eastAsia="sk-SK"/>
              </w:rPr>
              <w:t>-14 645</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3.6.</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vMerge w:val="restart"/>
            <w:shd w:val="clear" w:color="auto" w:fill="FFFFFF" w:themeFill="background1"/>
          </w:tcPr>
          <w:p w:rsidR="00EA543A" w:rsidRPr="000B428C" w:rsidRDefault="00EA543A" w:rsidP="00EA543A">
            <w:pPr>
              <w:jc w:val="both"/>
              <w:rPr>
                <w:rFonts w:ascii="Times New Roman" w:eastAsia="Times New Roman" w:hAnsi="Times New Roman" w:cs="Times New Roman"/>
                <w:sz w:val="24"/>
                <w:szCs w:val="24"/>
                <w:lang w:eastAsia="sk-SK"/>
              </w:rPr>
            </w:pPr>
            <w:r w:rsidRPr="000B428C">
              <w:rPr>
                <w:rFonts w:ascii="Times New Roman" w:eastAsia="Times New Roman" w:hAnsi="Times New Roman" w:cs="Times New Roman"/>
                <w:sz w:val="24"/>
                <w:szCs w:val="24"/>
                <w:lang w:eastAsia="sk-SK"/>
              </w:rPr>
              <w:t xml:space="preserve">Podpora </w:t>
            </w:r>
            <w:proofErr w:type="spellStart"/>
            <w:r w:rsidRPr="000B428C">
              <w:rPr>
                <w:rFonts w:ascii="Times New Roman" w:eastAsia="Times New Roman" w:hAnsi="Times New Roman" w:cs="Times New Roman"/>
                <w:sz w:val="24"/>
                <w:szCs w:val="24"/>
                <w:lang w:eastAsia="sk-SK"/>
              </w:rPr>
              <w:t>elektromobility</w:t>
            </w:r>
            <w:proofErr w:type="spellEnd"/>
            <w:r w:rsidRPr="000B428C">
              <w:rPr>
                <w:rFonts w:ascii="Times New Roman" w:eastAsia="Times New Roman" w:hAnsi="Times New Roman" w:cs="Times New Roman"/>
                <w:sz w:val="24"/>
                <w:szCs w:val="24"/>
                <w:lang w:eastAsia="sk-SK"/>
              </w:rPr>
              <w:t xml:space="preserve"> prostredníctvom daňových odpisov</w:t>
            </w:r>
          </w:p>
          <w:p w:rsidR="00EA543A" w:rsidRDefault="00EA543A" w:rsidP="00EA543A">
            <w:pPr>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775</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-16</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697</w:t>
            </w:r>
          </w:p>
        </w:tc>
        <w:tc>
          <w:tcPr>
            <w:tcW w:w="1560"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487</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-9</w:t>
            </w:r>
            <w:r>
              <w:rPr>
                <w:rFonts w:ascii="Times New Roman" w:eastAsia="Times New Roman" w:hAnsi="Times New Roman" w:cs="Times New Roman"/>
                <w:b/>
                <w:bCs/>
                <w:sz w:val="24"/>
                <w:szCs w:val="20"/>
                <w:lang w:eastAsia="sk-SK"/>
              </w:rPr>
              <w:t xml:space="preserve"> </w:t>
            </w:r>
            <w:r w:rsidRPr="00A10DEC">
              <w:rPr>
                <w:rFonts w:ascii="Times New Roman" w:eastAsia="Times New Roman" w:hAnsi="Times New Roman" w:cs="Times New Roman"/>
                <w:b/>
                <w:bCs/>
                <w:sz w:val="24"/>
                <w:szCs w:val="20"/>
                <w:lang w:eastAsia="sk-SK"/>
              </w:rPr>
              <w:t>261</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Tabuľka č. 3.7.</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vMerge w:val="restart"/>
            <w:shd w:val="clear" w:color="auto" w:fill="FFFFFF" w:themeFill="background1"/>
          </w:tcPr>
          <w:p w:rsidR="00EA543A" w:rsidRDefault="00EA543A" w:rsidP="00EA543A">
            <w:pPr>
              <w:jc w:val="both"/>
              <w:rPr>
                <w:rFonts w:ascii="Times New Roman" w:eastAsia="Times New Roman" w:hAnsi="Times New Roman" w:cs="Times New Roman"/>
                <w:bCs/>
                <w:sz w:val="24"/>
                <w:szCs w:val="20"/>
                <w:lang w:eastAsia="sk-SK"/>
              </w:rPr>
            </w:pPr>
            <w:r>
              <w:rPr>
                <w:rFonts w:ascii="Times New Roman" w:eastAsia="Times New Roman" w:hAnsi="Times New Roman" w:cs="Times New Roman"/>
                <w:sz w:val="24"/>
                <w:szCs w:val="24"/>
                <w:lang w:eastAsia="sk-SK"/>
              </w:rPr>
              <w:t xml:space="preserve">Zmena pri uplatňovaní </w:t>
            </w:r>
            <w:proofErr w:type="spellStart"/>
            <w:r>
              <w:rPr>
                <w:rFonts w:ascii="Times New Roman" w:eastAsia="Times New Roman" w:hAnsi="Times New Roman" w:cs="Times New Roman"/>
                <w:sz w:val="24"/>
                <w:szCs w:val="24"/>
                <w:lang w:eastAsia="sk-SK"/>
              </w:rPr>
              <w:t>superodpočtu</w:t>
            </w:r>
            <w:proofErr w:type="spellEnd"/>
            <w:r>
              <w:rPr>
                <w:rFonts w:ascii="Times New Roman" w:eastAsia="Times New Roman" w:hAnsi="Times New Roman" w:cs="Times New Roman"/>
                <w:sz w:val="24"/>
                <w:szCs w:val="24"/>
                <w:lang w:eastAsia="sk-SK"/>
              </w:rPr>
              <w:t xml:space="preserve"> výdavkov na vedu a výskum</w:t>
            </w:r>
            <w:r>
              <w:rPr>
                <w:rFonts w:ascii="Times New Roman" w:eastAsia="Times New Roman" w:hAnsi="Times New Roman" w:cs="Times New Roman"/>
                <w:bCs/>
                <w:sz w:val="24"/>
                <w:szCs w:val="20"/>
                <w:lang w:eastAsia="sk-SK"/>
              </w:rPr>
              <w:t xml:space="preserve"> </w:t>
            </w: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-5 597</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-13 339</w:t>
            </w:r>
          </w:p>
        </w:tc>
        <w:tc>
          <w:tcPr>
            <w:tcW w:w="1560"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-15 293</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-18 368</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3.8.</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vMerge w:val="restart"/>
            <w:shd w:val="clear" w:color="auto" w:fill="FFFFFF" w:themeFill="background1"/>
          </w:tcPr>
          <w:p w:rsidR="00EA543A" w:rsidRPr="003B74F5" w:rsidRDefault="00EA543A" w:rsidP="00EA543A">
            <w:pPr>
              <w:jc w:val="both"/>
              <w:rPr>
                <w:rFonts w:ascii="Times New Roman" w:eastAsia="Times New Roman" w:hAnsi="Times New Roman" w:cs="Times New Roman"/>
                <w:sz w:val="24"/>
                <w:szCs w:val="24"/>
                <w:lang w:eastAsia="sk-SK"/>
              </w:rPr>
            </w:pPr>
            <w:r w:rsidRPr="003B74F5">
              <w:rPr>
                <w:rFonts w:ascii="Times New Roman" w:eastAsia="Times New Roman" w:hAnsi="Times New Roman" w:cs="Times New Roman"/>
                <w:sz w:val="24"/>
                <w:szCs w:val="24"/>
                <w:lang w:eastAsia="sk-SK"/>
              </w:rPr>
              <w:t xml:space="preserve">Zavedenie možnosti tvorby daňových opravných položiek k pohľadávkam </w:t>
            </w:r>
            <w:proofErr w:type="spellStart"/>
            <w:r w:rsidRPr="003B74F5">
              <w:rPr>
                <w:rFonts w:ascii="Times New Roman" w:eastAsia="Times New Roman" w:hAnsi="Times New Roman" w:cs="Times New Roman"/>
                <w:sz w:val="24"/>
                <w:szCs w:val="24"/>
                <w:lang w:eastAsia="sk-SK"/>
              </w:rPr>
              <w:t>mikrodaňovníkov</w:t>
            </w:r>
            <w:proofErr w:type="spellEnd"/>
            <w:r w:rsidRPr="003B74F5">
              <w:rPr>
                <w:rFonts w:ascii="Times New Roman" w:eastAsia="Times New Roman" w:hAnsi="Times New Roman" w:cs="Times New Roman"/>
                <w:sz w:val="24"/>
                <w:szCs w:val="24"/>
                <w:lang w:eastAsia="sk-SK"/>
              </w:rPr>
              <w:t xml:space="preserve"> v súlade s účtovníctvom</w:t>
            </w:r>
          </w:p>
          <w:p w:rsidR="00EA543A" w:rsidRDefault="00EA543A" w:rsidP="00EA543A">
            <w:pPr>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FFFFFF" w:themeFill="background1"/>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1559" w:type="dxa"/>
            <w:shd w:val="clear" w:color="auto" w:fill="BFBFBF" w:themeFill="background1" w:themeFillShade="BF"/>
            <w:vAlign w:val="bottom"/>
          </w:tcPr>
          <w:p w:rsidR="00EA543A" w:rsidRPr="00A10DEC" w:rsidRDefault="00EA543A" w:rsidP="00EA543A">
            <w:pPr>
              <w:tabs>
                <w:tab w:val="num" w:pos="1080"/>
              </w:tabs>
              <w:jc w:val="center"/>
              <w:rPr>
                <w:rFonts w:ascii="Times New Roman" w:eastAsia="Times New Roman" w:hAnsi="Times New Roman" w:cs="Times New Roman"/>
                <w:b/>
                <w:bCs/>
                <w:sz w:val="24"/>
                <w:szCs w:val="20"/>
                <w:lang w:eastAsia="sk-SK"/>
              </w:rPr>
            </w:pPr>
            <w:r w:rsidRPr="00A10DEC">
              <w:rPr>
                <w:rFonts w:ascii="Times New Roman" w:eastAsia="Times New Roman" w:hAnsi="Times New Roman" w:cs="Times New Roman"/>
                <w:b/>
                <w:bCs/>
                <w:sz w:val="24"/>
                <w:szCs w:val="20"/>
                <w:lang w:eastAsia="sk-SK"/>
              </w:rPr>
              <w:t>-1 100</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Tabuľka č. 3.9.</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EA543A" w:rsidTr="00EA543A">
        <w:tc>
          <w:tcPr>
            <w:tcW w:w="4957" w:type="dxa"/>
            <w:vMerge w:val="restart"/>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w:t>
            </w:r>
            <w:r>
              <w:rPr>
                <w:rFonts w:ascii="Times New Roman" w:eastAsia="Times New Roman" w:hAnsi="Times New Roman" w:cs="Times New Roman"/>
                <w:b/>
                <w:bCs/>
                <w:sz w:val="24"/>
                <w:szCs w:val="24"/>
                <w:lang w:eastAsia="sk-SK"/>
              </w:rPr>
              <w:t xml:space="preserve"> tis.</w:t>
            </w:r>
            <w:r w:rsidRPr="007D5748">
              <w:rPr>
                <w:rFonts w:ascii="Times New Roman" w:eastAsia="Times New Roman" w:hAnsi="Times New Roman" w:cs="Times New Roman"/>
                <w:b/>
                <w:bCs/>
                <w:sz w:val="24"/>
                <w:szCs w:val="24"/>
                <w:lang w:eastAsia="sk-SK"/>
              </w:rPr>
              <w:t xml:space="preserve"> eur)</w:t>
            </w:r>
          </w:p>
        </w:tc>
        <w:tc>
          <w:tcPr>
            <w:tcW w:w="6095" w:type="dxa"/>
            <w:gridSpan w:val="4"/>
            <w:shd w:val="clear" w:color="auto" w:fill="BFBFBF" w:themeFill="background1" w:themeFillShade="BF"/>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EA543A" w:rsidRDefault="00EA543A" w:rsidP="00EA543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EA543A" w:rsidTr="00EA543A">
        <w:tc>
          <w:tcPr>
            <w:tcW w:w="4957" w:type="dxa"/>
            <w:vMerge/>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1560"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2021</w:t>
            </w:r>
          </w:p>
        </w:tc>
        <w:tc>
          <w:tcPr>
            <w:tcW w:w="1559"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2022</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EA543A" w:rsidRPr="005C47E4" w:rsidRDefault="00EA543A" w:rsidP="00EA543A">
            <w:pPr>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-11 000</w:t>
            </w:r>
          </w:p>
        </w:tc>
        <w:tc>
          <w:tcPr>
            <w:tcW w:w="1559"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vMerge w:val="restart"/>
            <w:shd w:val="clear" w:color="auto" w:fill="FFFFFF" w:themeFill="background1"/>
          </w:tcPr>
          <w:p w:rsidR="00EA543A" w:rsidRPr="003B74F5" w:rsidRDefault="00EA543A" w:rsidP="00EA543A">
            <w:pPr>
              <w:jc w:val="both"/>
              <w:rPr>
                <w:rFonts w:ascii="Times New Roman" w:eastAsia="Times New Roman" w:hAnsi="Times New Roman" w:cs="Times New Roman"/>
                <w:sz w:val="24"/>
                <w:szCs w:val="24"/>
                <w:lang w:eastAsia="sk-SK"/>
              </w:rPr>
            </w:pPr>
            <w:r w:rsidRPr="003B74F5">
              <w:rPr>
                <w:rFonts w:ascii="Times New Roman" w:eastAsia="Times New Roman" w:hAnsi="Times New Roman" w:cs="Times New Roman"/>
                <w:sz w:val="24"/>
                <w:szCs w:val="24"/>
                <w:lang w:eastAsia="sk-SK"/>
              </w:rPr>
              <w:t>Zvýšenie hranice pre platenie preddavkov u fyzických aj právnických osôb z 2 500 eur na 5 000 eur</w:t>
            </w:r>
          </w:p>
          <w:p w:rsidR="00EA543A" w:rsidRDefault="00EA543A" w:rsidP="00EA543A">
            <w:pPr>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 xml:space="preserve">DPFO (111) </w:t>
            </w:r>
          </w:p>
        </w:tc>
        <w:tc>
          <w:tcPr>
            <w:tcW w:w="1417" w:type="dxa"/>
            <w:shd w:val="clear" w:color="auto" w:fill="FFFFFF" w:themeFill="background1"/>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-3 300</w:t>
            </w:r>
          </w:p>
        </w:tc>
        <w:tc>
          <w:tcPr>
            <w:tcW w:w="1559"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EA543A"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59"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1560"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-7 700</w:t>
            </w:r>
          </w:p>
        </w:tc>
        <w:tc>
          <w:tcPr>
            <w:tcW w:w="1559" w:type="dxa"/>
            <w:shd w:val="clear" w:color="auto" w:fill="FFFFFF" w:themeFill="background1"/>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r w:rsidR="00EA543A" w:rsidTr="00EA543A">
        <w:tc>
          <w:tcPr>
            <w:tcW w:w="495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EA543A" w:rsidRPr="00526826" w:rsidRDefault="00EA543A" w:rsidP="00EA543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tcPr>
          <w:p w:rsidR="00EA543A" w:rsidRPr="005C47E4" w:rsidRDefault="00EA543A" w:rsidP="00EA543A">
            <w:pPr>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1560" w:type="dxa"/>
            <w:shd w:val="clear" w:color="auto" w:fill="BFBFBF" w:themeFill="background1" w:themeFillShade="BF"/>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-11 000</w:t>
            </w:r>
          </w:p>
        </w:tc>
        <w:tc>
          <w:tcPr>
            <w:tcW w:w="1559" w:type="dxa"/>
            <w:shd w:val="clear" w:color="auto" w:fill="BFBFBF" w:themeFill="background1" w:themeFillShade="BF"/>
          </w:tcPr>
          <w:p w:rsidR="00EA543A" w:rsidRPr="005C47E4" w:rsidRDefault="00EA543A" w:rsidP="00EA543A">
            <w:pPr>
              <w:tabs>
                <w:tab w:val="num" w:pos="1080"/>
              </w:tabs>
              <w:jc w:val="center"/>
              <w:rPr>
                <w:rFonts w:ascii="Times New Roman" w:eastAsia="Times New Roman" w:hAnsi="Times New Roman" w:cs="Times New Roman"/>
                <w:b/>
                <w:bCs/>
                <w:sz w:val="24"/>
                <w:szCs w:val="20"/>
                <w:lang w:eastAsia="sk-SK"/>
              </w:rPr>
            </w:pPr>
            <w:r w:rsidRPr="005C47E4">
              <w:rPr>
                <w:rFonts w:ascii="Times New Roman" w:eastAsia="Times New Roman" w:hAnsi="Times New Roman" w:cs="Times New Roman"/>
                <w:b/>
                <w:bCs/>
                <w:sz w:val="24"/>
                <w:szCs w:val="20"/>
                <w:lang w:eastAsia="sk-SK"/>
              </w:rPr>
              <w:t>0</w:t>
            </w:r>
          </w:p>
        </w:tc>
        <w:tc>
          <w:tcPr>
            <w:tcW w:w="2977" w:type="dxa"/>
            <w:shd w:val="clear" w:color="auto" w:fill="BFBFBF" w:themeFill="background1" w:themeFillShade="BF"/>
          </w:tcPr>
          <w:p w:rsidR="00EA543A" w:rsidRDefault="00EA543A" w:rsidP="00EA543A">
            <w:pPr>
              <w:tabs>
                <w:tab w:val="num" w:pos="1080"/>
              </w:tabs>
              <w:jc w:val="both"/>
              <w:rPr>
                <w:rFonts w:ascii="Times New Roman" w:eastAsia="Times New Roman" w:hAnsi="Times New Roman" w:cs="Times New Roman"/>
                <w:bCs/>
                <w:sz w:val="24"/>
                <w:szCs w:val="20"/>
                <w:lang w:eastAsia="sk-SK"/>
              </w:rPr>
            </w:pPr>
          </w:p>
        </w:tc>
      </w:tr>
    </w:tbl>
    <w:p w:rsidR="00EA543A" w:rsidRDefault="00EA543A" w:rsidP="00EA543A">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EA543A" w:rsidRPr="007D5748" w:rsidRDefault="00EA543A" w:rsidP="00EA543A">
      <w:pPr>
        <w:tabs>
          <w:tab w:val="num" w:pos="1080"/>
        </w:tabs>
        <w:spacing w:after="0" w:line="240" w:lineRule="auto"/>
        <w:ind w:right="-32"/>
        <w:jc w:val="right"/>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417"/>
        <w:gridCol w:w="1276"/>
        <w:gridCol w:w="1276"/>
        <w:gridCol w:w="3831"/>
      </w:tblGrid>
      <w:tr w:rsidR="00EA543A" w:rsidRPr="007D5748" w:rsidTr="00EA543A">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xml:space="preserve">Výdavky (v </w:t>
            </w:r>
            <w:r>
              <w:rPr>
                <w:rFonts w:ascii="Times New Roman" w:eastAsia="Times New Roman" w:hAnsi="Times New Roman" w:cs="Times New Roman"/>
                <w:b/>
                <w:bCs/>
                <w:sz w:val="20"/>
                <w:szCs w:val="20"/>
                <w:lang w:eastAsia="sk-SK"/>
              </w:rPr>
              <w:t xml:space="preserve">tis. </w:t>
            </w:r>
            <w:r w:rsidRPr="007D5748">
              <w:rPr>
                <w:rFonts w:ascii="Times New Roman" w:eastAsia="Times New Roman" w:hAnsi="Times New Roman" w:cs="Times New Roman"/>
                <w:b/>
                <w:bCs/>
                <w:sz w:val="20"/>
                <w:szCs w:val="20"/>
                <w:lang w:eastAsia="sk-SK"/>
              </w:rPr>
              <w:t>eur)</w:t>
            </w:r>
          </w:p>
        </w:tc>
        <w:tc>
          <w:tcPr>
            <w:tcW w:w="524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EA543A" w:rsidRPr="007D5748" w:rsidTr="00EA543A">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EA543A" w:rsidRPr="007D5748" w:rsidRDefault="00EA543A" w:rsidP="00EA543A">
            <w:pPr>
              <w:spacing w:after="0" w:line="240" w:lineRule="auto"/>
              <w:rPr>
                <w:rFonts w:ascii="Times New Roman" w:eastAsia="Times New Roman" w:hAnsi="Times New Roman" w:cs="Times New Roman"/>
                <w:b/>
                <w:bCs/>
                <w:color w:val="FFFFFF"/>
                <w:sz w:val="20"/>
                <w:szCs w:val="20"/>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EA543A" w:rsidRPr="004D77EC"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7" w:type="dxa"/>
            <w:tcBorders>
              <w:top w:val="nil"/>
              <w:left w:val="nil"/>
              <w:bottom w:val="single" w:sz="4" w:space="0" w:color="auto"/>
              <w:right w:val="single" w:sz="4" w:space="0" w:color="auto"/>
            </w:tcBorders>
            <w:shd w:val="clear" w:color="auto" w:fill="BFBFBF" w:themeFill="background1" w:themeFillShade="BF"/>
          </w:tcPr>
          <w:p w:rsidR="00EA543A" w:rsidRPr="004D77EC"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76" w:type="dxa"/>
            <w:tcBorders>
              <w:top w:val="nil"/>
              <w:left w:val="nil"/>
              <w:bottom w:val="single" w:sz="4" w:space="0" w:color="auto"/>
              <w:right w:val="single" w:sz="4" w:space="0" w:color="auto"/>
            </w:tcBorders>
            <w:shd w:val="clear" w:color="auto" w:fill="BFBFBF" w:themeFill="background1" w:themeFillShade="BF"/>
          </w:tcPr>
          <w:p w:rsidR="00EA543A" w:rsidRPr="004D77EC"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76"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3831" w:type="dxa"/>
            <w:vMerge/>
            <w:tcBorders>
              <w:top w:val="single" w:sz="4" w:space="0" w:color="auto"/>
              <w:left w:val="single" w:sz="4" w:space="0" w:color="auto"/>
              <w:bottom w:val="single" w:sz="4" w:space="0" w:color="auto"/>
              <w:right w:val="single" w:sz="4" w:space="0" w:color="auto"/>
            </w:tcBorders>
            <w:vAlign w:val="center"/>
          </w:tcPr>
          <w:p w:rsidR="00EA543A" w:rsidRPr="007D5748" w:rsidRDefault="00EA543A" w:rsidP="00EA543A">
            <w:pPr>
              <w:spacing w:after="0" w:line="240" w:lineRule="auto"/>
              <w:rPr>
                <w:rFonts w:ascii="Times New Roman" w:eastAsia="Times New Roman" w:hAnsi="Times New Roman" w:cs="Times New Roman"/>
                <w:b/>
                <w:bCs/>
                <w:color w:val="FFFFFF"/>
                <w:sz w:val="24"/>
                <w:szCs w:val="24"/>
                <w:lang w:eastAsia="sk-SK"/>
              </w:rPr>
            </w:pP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ind w:left="209"/>
              <w:rPr>
                <w:rFonts w:ascii="Times New Roman" w:eastAsia="Times New Roman" w:hAnsi="Times New Roman" w:cs="Times New Roman"/>
                <w:sz w:val="20"/>
                <w:szCs w:val="20"/>
                <w:lang w:eastAsia="sk-SK"/>
              </w:rPr>
            </w:pPr>
            <w:proofErr w:type="spellStart"/>
            <w:r>
              <w:rPr>
                <w:rFonts w:ascii="Times New Roman" w:eastAsia="Times New Roman" w:hAnsi="Times New Roman" w:cs="Times New Roman"/>
                <w:sz w:val="20"/>
                <w:szCs w:val="20"/>
                <w:lang w:eastAsia="sk-SK"/>
              </w:rPr>
              <w:t>Transféry</w:t>
            </w:r>
            <w:proofErr w:type="spellEnd"/>
            <w:r>
              <w:rPr>
                <w:rFonts w:ascii="Times New Roman" w:eastAsia="Times New Roman" w:hAnsi="Times New Roman" w:cs="Times New Roman"/>
                <w:sz w:val="20"/>
                <w:szCs w:val="20"/>
                <w:lang w:eastAsia="sk-SK"/>
              </w:rPr>
              <w:t xml:space="preserve"> jednotlivcom a neziskovým právnickým osobám (642)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2D1539"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vAlign w:val="center"/>
          </w:tcPr>
          <w:p w:rsidR="00EA543A" w:rsidRPr="007D5748" w:rsidRDefault="00EA543A" w:rsidP="00EA54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1 608</w:t>
            </w:r>
          </w:p>
        </w:tc>
        <w:tc>
          <w:tcPr>
            <w:tcW w:w="1417"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výdavky súvisiace s úpravou informačného systému FS SR</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1 608</w:t>
            </w:r>
          </w:p>
        </w:tc>
        <w:tc>
          <w:tcPr>
            <w:tcW w:w="1417"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shd w:val="clear" w:color="auto" w:fill="FFFF99"/>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1 608</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83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EA543A" w:rsidRDefault="00EA543A" w:rsidP="00EA543A">
      <w:pPr>
        <w:tabs>
          <w:tab w:val="num" w:pos="1080"/>
        </w:tabs>
        <w:spacing w:after="0" w:line="240" w:lineRule="auto"/>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jc w:val="right"/>
        <w:rPr>
          <w:rFonts w:ascii="Times New Roman" w:eastAsia="Times New Roman" w:hAnsi="Times New Roman" w:cs="Times New Roman"/>
          <w:bCs/>
          <w:sz w:val="24"/>
          <w:szCs w:val="24"/>
          <w:lang w:eastAsia="sk-SK"/>
        </w:rPr>
      </w:pPr>
    </w:p>
    <w:p w:rsidR="00EA543A" w:rsidRDefault="00EA543A" w:rsidP="00EA543A">
      <w:pPr>
        <w:tabs>
          <w:tab w:val="num" w:pos="1080"/>
        </w:tabs>
        <w:spacing w:after="0" w:line="240" w:lineRule="auto"/>
        <w:jc w:val="right"/>
        <w:rPr>
          <w:rFonts w:ascii="Times New Roman" w:eastAsia="Times New Roman" w:hAnsi="Times New Roman" w:cs="Times New Roman"/>
          <w:bCs/>
          <w:sz w:val="24"/>
          <w:szCs w:val="24"/>
          <w:lang w:eastAsia="sk-SK"/>
        </w:rPr>
      </w:pPr>
    </w:p>
    <w:p w:rsidR="00EA543A" w:rsidRPr="007D5748" w:rsidRDefault="00EA543A" w:rsidP="00EA543A">
      <w:pPr>
        <w:tabs>
          <w:tab w:val="num" w:pos="1080"/>
        </w:tabs>
        <w:spacing w:after="0" w:line="240" w:lineRule="auto"/>
        <w:jc w:val="right"/>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EA543A" w:rsidRPr="007D5748" w:rsidTr="00EA543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EA543A" w:rsidRPr="007D5748" w:rsidTr="00EA543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43A" w:rsidRPr="007D5748" w:rsidRDefault="00EA543A" w:rsidP="00EA543A">
            <w:pPr>
              <w:spacing w:after="0" w:line="240" w:lineRule="auto"/>
              <w:rPr>
                <w:rFonts w:ascii="Times New Roman" w:eastAsia="Times New Roman" w:hAnsi="Times New Roman" w:cs="Times New Roman"/>
                <w:b/>
                <w:bCs/>
                <w:color w:val="FFFFFF"/>
                <w:sz w:val="24"/>
                <w:szCs w:val="24"/>
                <w:lang w:eastAsia="sk-SK"/>
              </w:rPr>
            </w:pP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A543A" w:rsidRPr="007D5748" w:rsidTr="00EA543A">
        <w:trPr>
          <w:trHeight w:val="255"/>
        </w:trPr>
        <w:tc>
          <w:tcPr>
            <w:tcW w:w="6188" w:type="dxa"/>
            <w:tcBorders>
              <w:top w:val="nil"/>
              <w:left w:val="single" w:sz="4" w:space="0" w:color="auto"/>
              <w:bottom w:val="single" w:sz="4" w:space="0" w:color="auto"/>
              <w:right w:val="single" w:sz="4" w:space="0" w:color="auto"/>
            </w:tcBorders>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EA543A" w:rsidRPr="007D5748" w:rsidRDefault="00EA543A" w:rsidP="00EA543A">
            <w:pPr>
              <w:spacing w:after="0" w:line="240" w:lineRule="auto"/>
              <w:jc w:val="center"/>
              <w:rPr>
                <w:rFonts w:ascii="Times New Roman" w:eastAsia="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EA543A" w:rsidRPr="007D5748" w:rsidRDefault="00EA543A" w:rsidP="00EA54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EA543A" w:rsidRP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sectPr w:rsidR="00EA543A" w:rsidSect="00EA543A">
          <w:footerReference w:type="default" r:id="rId14"/>
          <w:pgSz w:w="16838" w:h="11906" w:orient="landscape"/>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062"/>
      </w:tblGrid>
      <w:tr w:rsidR="007A5B13" w:rsidRPr="007A5B13" w:rsidTr="007A5B13">
        <w:trPr>
          <w:trHeight w:val="567"/>
        </w:trPr>
        <w:tc>
          <w:tcPr>
            <w:tcW w:w="9062" w:type="dxa"/>
            <w:shd w:val="clear" w:color="auto" w:fill="D9D9D9" w:themeFill="background1" w:themeFillShade="D9"/>
          </w:tcPr>
          <w:p w:rsidR="007A5B13" w:rsidRPr="007A5B13" w:rsidRDefault="007A5B13" w:rsidP="00D225C7">
            <w:pPr>
              <w:jc w:val="center"/>
              <w:rPr>
                <w:rFonts w:ascii="Times New Roman" w:hAnsi="Times New Roman" w:cs="Times New Roman"/>
                <w:b/>
                <w:sz w:val="24"/>
                <w:szCs w:val="24"/>
              </w:rPr>
            </w:pPr>
            <w:r w:rsidRPr="007A5B13">
              <w:rPr>
                <w:rFonts w:ascii="Times New Roman" w:hAnsi="Times New Roman" w:cs="Times New Roman"/>
                <w:b/>
                <w:sz w:val="24"/>
                <w:szCs w:val="24"/>
              </w:rPr>
              <w:lastRenderedPageBreak/>
              <w:t xml:space="preserve">Analýza vplyvov na podnikateľské prostredie </w:t>
            </w:r>
          </w:p>
          <w:p w:rsidR="007A5B13" w:rsidRPr="007A5B13" w:rsidRDefault="007A5B13" w:rsidP="00D225C7">
            <w:pPr>
              <w:jc w:val="center"/>
              <w:rPr>
                <w:rFonts w:ascii="Times New Roman" w:hAnsi="Times New Roman" w:cs="Times New Roman"/>
                <w:b/>
                <w:sz w:val="24"/>
                <w:szCs w:val="24"/>
              </w:rPr>
            </w:pPr>
            <w:r w:rsidRPr="007A5B13">
              <w:rPr>
                <w:rFonts w:ascii="Times New Roman" w:hAnsi="Times New Roman" w:cs="Times New Roman"/>
                <w:b/>
                <w:sz w:val="24"/>
                <w:szCs w:val="24"/>
              </w:rPr>
              <w:t>(vrátane testu MSP)</w:t>
            </w:r>
          </w:p>
        </w:tc>
      </w:tr>
      <w:tr w:rsidR="007A5B13" w:rsidRPr="007A5B13" w:rsidTr="007A5B13">
        <w:trPr>
          <w:trHeight w:val="567"/>
        </w:trPr>
        <w:tc>
          <w:tcPr>
            <w:tcW w:w="9062" w:type="dxa"/>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Materiál bude mať vplyv s ohľadom na veľkostnú kategóriu podnikov:</w:t>
            </w:r>
          </w:p>
        </w:tc>
      </w:tr>
      <w:tr w:rsidR="007A5B13" w:rsidRPr="007A5B13" w:rsidTr="007A5B13">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7A5B13" w:rsidRPr="007A5B13" w:rsidTr="00D225C7">
              <w:sdt>
                <w:sdtPr>
                  <w:rPr>
                    <w:rFonts w:ascii="Times New Roman" w:hAnsi="Times New Roman" w:cs="Times New Roman"/>
                    <w:sz w:val="24"/>
                    <w:szCs w:val="24"/>
                  </w:rPr>
                  <w:id w:val="43339831"/>
                  <w14:checkbox>
                    <w14:checked w14:val="0"/>
                    <w14:checkedState w14:val="2612" w14:font="MS Gothic"/>
                    <w14:uncheckedState w14:val="2610" w14:font="MS Gothic"/>
                  </w14:checkbox>
                </w:sdtPr>
                <w:sdtContent>
                  <w:tc>
                    <w:tcPr>
                      <w:tcW w:w="436" w:type="dxa"/>
                    </w:tcPr>
                    <w:p w:rsidR="007A5B13" w:rsidRPr="007A5B13" w:rsidRDefault="007A5B13" w:rsidP="00D225C7">
                      <w:pPr>
                        <w:jc w:val="center"/>
                        <w:rPr>
                          <w:rFonts w:ascii="Times New Roman" w:hAnsi="Times New Roman" w:cs="Times New Roman"/>
                          <w:sz w:val="24"/>
                          <w:szCs w:val="24"/>
                        </w:rPr>
                      </w:pPr>
                      <w:r w:rsidRPr="007A5B13">
                        <w:rPr>
                          <w:rFonts w:ascii="Segoe UI Symbol" w:eastAsia="MS Mincho" w:hAnsi="Segoe UI Symbol" w:cs="Segoe UI Symbol"/>
                          <w:sz w:val="24"/>
                          <w:szCs w:val="24"/>
                        </w:rPr>
                        <w:t>☐</w:t>
                      </w:r>
                    </w:p>
                  </w:tc>
                </w:sdtContent>
              </w:sdt>
              <w:tc>
                <w:tcPr>
                  <w:tcW w:w="8545" w:type="dxa"/>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 xml:space="preserve">iba na MSP (0 - 249 zamestnancov) </w:t>
                  </w:r>
                </w:p>
              </w:tc>
            </w:tr>
            <w:tr w:rsidR="007A5B13" w:rsidRPr="007A5B13" w:rsidTr="00D225C7">
              <w:sdt>
                <w:sdtPr>
                  <w:rPr>
                    <w:rFonts w:ascii="Times New Roman" w:hAnsi="Times New Roman" w:cs="Times New Roman"/>
                    <w:sz w:val="24"/>
                    <w:szCs w:val="24"/>
                  </w:rPr>
                  <w:id w:val="-79453833"/>
                  <w14:checkbox>
                    <w14:checked w14:val="0"/>
                    <w14:checkedState w14:val="2612" w14:font="MS Gothic"/>
                    <w14:uncheckedState w14:val="2610" w14:font="MS Gothic"/>
                  </w14:checkbox>
                </w:sdtPr>
                <w:sdtContent>
                  <w:tc>
                    <w:tcPr>
                      <w:tcW w:w="436" w:type="dxa"/>
                    </w:tcPr>
                    <w:p w:rsidR="007A5B13" w:rsidRPr="007A5B13" w:rsidRDefault="007A5B13" w:rsidP="00D225C7">
                      <w:pPr>
                        <w:jc w:val="center"/>
                        <w:rPr>
                          <w:rFonts w:ascii="Times New Roman" w:hAnsi="Times New Roman" w:cs="Times New Roman"/>
                          <w:sz w:val="24"/>
                          <w:szCs w:val="24"/>
                        </w:rPr>
                      </w:pPr>
                      <w:r w:rsidRPr="007A5B13">
                        <w:rPr>
                          <w:rFonts w:ascii="Segoe UI Symbol" w:eastAsia="MS Mincho" w:hAnsi="Segoe UI Symbol" w:cs="Segoe UI Symbol"/>
                          <w:sz w:val="24"/>
                          <w:szCs w:val="24"/>
                        </w:rPr>
                        <w:t>☐</w:t>
                      </w:r>
                    </w:p>
                  </w:tc>
                </w:sdtContent>
              </w:sdt>
              <w:tc>
                <w:tcPr>
                  <w:tcW w:w="8545" w:type="dxa"/>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iba na veľké podniky (250 a viac zamestnancov)</w:t>
                  </w:r>
                </w:p>
              </w:tc>
            </w:tr>
            <w:tr w:rsidR="007A5B13" w:rsidRPr="007A5B13" w:rsidTr="00D225C7">
              <w:sdt>
                <w:sdtPr>
                  <w:rPr>
                    <w:rFonts w:ascii="Times New Roman" w:hAnsi="Times New Roman" w:cs="Times New Roman"/>
                    <w:sz w:val="24"/>
                    <w:szCs w:val="24"/>
                  </w:rPr>
                  <w:id w:val="1290634502"/>
                  <w14:checkbox>
                    <w14:checked w14:val="1"/>
                    <w14:checkedState w14:val="2612" w14:font="MS Gothic"/>
                    <w14:uncheckedState w14:val="2610" w14:font="MS Gothic"/>
                  </w14:checkbox>
                </w:sdtPr>
                <w:sdtContent>
                  <w:tc>
                    <w:tcPr>
                      <w:tcW w:w="436" w:type="dxa"/>
                    </w:tcPr>
                    <w:p w:rsidR="007A5B13" w:rsidRPr="007A5B13" w:rsidRDefault="007A5B13" w:rsidP="00D225C7">
                      <w:pPr>
                        <w:jc w:val="center"/>
                        <w:rPr>
                          <w:rFonts w:ascii="Times New Roman" w:hAnsi="Times New Roman" w:cs="Times New Roman"/>
                          <w:sz w:val="24"/>
                          <w:szCs w:val="24"/>
                        </w:rPr>
                      </w:pPr>
                      <w:r w:rsidRPr="007A5B13">
                        <w:rPr>
                          <w:rFonts w:ascii="Segoe UI Symbol" w:eastAsia="MS Gothic" w:hAnsi="Segoe UI Symbol" w:cs="Segoe UI Symbol"/>
                          <w:sz w:val="24"/>
                          <w:szCs w:val="24"/>
                        </w:rPr>
                        <w:t>☒</w:t>
                      </w:r>
                    </w:p>
                  </w:tc>
                </w:sdtContent>
              </w:sdt>
              <w:tc>
                <w:tcPr>
                  <w:tcW w:w="8545" w:type="dxa"/>
                </w:tcPr>
                <w:p w:rsidR="007A5B13" w:rsidRPr="007A5B13" w:rsidRDefault="007A5B13" w:rsidP="00D225C7">
                  <w:pPr>
                    <w:rPr>
                      <w:rFonts w:ascii="Times New Roman" w:hAnsi="Times New Roman" w:cs="Times New Roman"/>
                      <w:sz w:val="24"/>
                      <w:szCs w:val="24"/>
                    </w:rPr>
                  </w:pPr>
                  <w:r w:rsidRPr="007A5B13">
                    <w:rPr>
                      <w:rFonts w:ascii="Times New Roman" w:hAnsi="Times New Roman" w:cs="Times New Roman"/>
                      <w:b/>
                      <w:sz w:val="24"/>
                      <w:szCs w:val="24"/>
                    </w:rPr>
                    <w:t>na všetky kategórie podnikov</w:t>
                  </w:r>
                </w:p>
              </w:tc>
            </w:tr>
          </w:tbl>
          <w:p w:rsidR="007A5B13" w:rsidRPr="007A5B13" w:rsidRDefault="007A5B13" w:rsidP="00D225C7">
            <w:pPr>
              <w:rPr>
                <w:rFonts w:ascii="Times New Roman" w:hAnsi="Times New Roman" w:cs="Times New Roman"/>
                <w:b/>
                <w:sz w:val="24"/>
                <w:szCs w:val="24"/>
              </w:rPr>
            </w:pPr>
          </w:p>
        </w:tc>
      </w:tr>
      <w:tr w:rsidR="007A5B13" w:rsidRPr="007A5B13" w:rsidTr="007A5B13">
        <w:tc>
          <w:tcPr>
            <w:tcW w:w="9062" w:type="dxa"/>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3.1 Dotknuté podnikateľské subjekty</w:t>
            </w:r>
          </w:p>
          <w:p w:rsidR="007A5B13" w:rsidRPr="007A5B13" w:rsidRDefault="007A5B13" w:rsidP="00D225C7">
            <w:pPr>
              <w:ind w:left="284"/>
              <w:rPr>
                <w:rFonts w:ascii="Times New Roman" w:hAnsi="Times New Roman" w:cs="Times New Roman"/>
                <w:b/>
                <w:sz w:val="24"/>
                <w:szCs w:val="24"/>
              </w:rPr>
            </w:pPr>
            <w:r w:rsidRPr="007A5B13">
              <w:rPr>
                <w:rFonts w:ascii="Times New Roman" w:hAnsi="Times New Roman" w:cs="Times New Roman"/>
                <w:sz w:val="24"/>
                <w:szCs w:val="24"/>
              </w:rPr>
              <w:t xml:space="preserve"> - </w:t>
            </w:r>
            <w:r w:rsidRPr="007A5B13">
              <w:rPr>
                <w:rFonts w:ascii="Times New Roman" w:hAnsi="Times New Roman" w:cs="Times New Roman"/>
                <w:b/>
                <w:sz w:val="24"/>
                <w:szCs w:val="24"/>
              </w:rPr>
              <w:t>z toho MSP</w:t>
            </w: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Uveďte, aké podnikateľské subjekty budú predkladaným návrhom ovplyvnené.</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Aký je ich počet?</w:t>
            </w:r>
          </w:p>
        </w:tc>
      </w:tr>
      <w:tr w:rsidR="007A5B13" w:rsidRPr="007A5B13" w:rsidTr="007A5B13">
        <w:trPr>
          <w:trHeight w:val="1440"/>
        </w:trPr>
        <w:tc>
          <w:tcPr>
            <w:tcW w:w="9062" w:type="dxa"/>
            <w:tcBorders>
              <w:bottom w:val="single" w:sz="4" w:space="0" w:color="auto"/>
            </w:tcBorders>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Predpokladá sa, že návrh zákona ovplyvní:</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proofErr w:type="spellStart"/>
            <w:r w:rsidRPr="007A5B13">
              <w:rPr>
                <w:rFonts w:ascii="Times New Roman" w:hAnsi="Times New Roman" w:cs="Times New Roman"/>
                <w:b/>
                <w:sz w:val="24"/>
                <w:szCs w:val="24"/>
              </w:rPr>
              <w:t>mikrodaňovníkov</w:t>
            </w:r>
            <w:proofErr w:type="spellEnd"/>
            <w:r w:rsidRPr="007A5B13">
              <w:rPr>
                <w:rFonts w:ascii="Times New Roman" w:hAnsi="Times New Roman" w:cs="Times New Roman"/>
                <w:b/>
                <w:sz w:val="24"/>
                <w:szCs w:val="24"/>
              </w:rPr>
              <w:t xml:space="preserve"> spĺňajúcich podmienky podľa zákona o dani z príjmov</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daňovníkov tvoriacich daňovo uznané opravné položky k pohľadávkam</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právnické osoby, u ktorých dochádza k hybridným nesúladom</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podnikateľské subjekty poskytujúce dopravu zamestnancom do zamestnania a späť</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 xml:space="preserve">podnikateľské subjekty využívajúce elektromobily </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podnikateľské subjekty odpočítavajúce daňovú stratu</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podnikateľské subjekty vykonávajúce podnikový výskum a vývoj</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právnické osoby poberajúce príjmy z predaja akcii, obchodných podielov a členských vkladov v družstve</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podnikateľské subjekty – zamestnávateľov pri doručovaní dokladov elektronickými prostriedkami</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podnikateľské subjekty s povinnosťou platiť preddavky na daň z príjmov</w:t>
            </w:r>
          </w:p>
          <w:p w:rsidR="007A5B13" w:rsidRPr="007A5B13" w:rsidRDefault="007A5B13" w:rsidP="007A5B13">
            <w:pPr>
              <w:pStyle w:val="Odsekzoznamu"/>
              <w:numPr>
                <w:ilvl w:val="0"/>
                <w:numId w:val="27"/>
              </w:numPr>
              <w:spacing w:after="200" w:line="276" w:lineRule="auto"/>
              <w:rPr>
                <w:rFonts w:ascii="Times New Roman" w:hAnsi="Times New Roman" w:cs="Times New Roman"/>
                <w:b/>
                <w:sz w:val="24"/>
                <w:szCs w:val="24"/>
              </w:rPr>
            </w:pPr>
            <w:r w:rsidRPr="007A5B13">
              <w:rPr>
                <w:rFonts w:ascii="Times New Roman" w:hAnsi="Times New Roman" w:cs="Times New Roman"/>
                <w:b/>
                <w:sz w:val="24"/>
                <w:szCs w:val="24"/>
              </w:rPr>
              <w:t>registráciu podnikateľských subjektov</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b/>
                <w:sz w:val="24"/>
                <w:szCs w:val="24"/>
              </w:rPr>
              <w:t>Počet dotknutých subjektov nie je možné presne určiť.</w:t>
            </w:r>
            <w:r w:rsidRPr="007A5B13">
              <w:rPr>
                <w:rFonts w:ascii="Times New Roman" w:hAnsi="Times New Roman" w:cs="Times New Roman"/>
                <w:sz w:val="24"/>
                <w:szCs w:val="24"/>
              </w:rPr>
              <w:t xml:space="preserve"> </w:t>
            </w:r>
            <w:r w:rsidRPr="007A5B13">
              <w:rPr>
                <w:rFonts w:ascii="Times New Roman" w:hAnsi="Times New Roman" w:cs="Times New Roman"/>
                <w:b/>
                <w:sz w:val="24"/>
                <w:szCs w:val="24"/>
              </w:rPr>
              <w:t xml:space="preserve">Podľa individuálnych daňových priznaní za rok 2017 na Slovensku pôsobí približne 152 - tisíc </w:t>
            </w:r>
            <w:proofErr w:type="spellStart"/>
            <w:r w:rsidRPr="007A5B13">
              <w:rPr>
                <w:rFonts w:ascii="Times New Roman" w:hAnsi="Times New Roman" w:cs="Times New Roman"/>
                <w:b/>
                <w:sz w:val="24"/>
                <w:szCs w:val="24"/>
              </w:rPr>
              <w:t>mikrodaňovníkov</w:t>
            </w:r>
            <w:proofErr w:type="spellEnd"/>
            <w:r w:rsidRPr="007A5B13">
              <w:rPr>
                <w:rFonts w:ascii="Times New Roman" w:hAnsi="Times New Roman" w:cs="Times New Roman"/>
                <w:b/>
                <w:sz w:val="24"/>
                <w:szCs w:val="24"/>
              </w:rPr>
              <w:t xml:space="preserve">. Ďalších približne 90 - tisíc daňovníkov nespĺňa definíciu </w:t>
            </w:r>
            <w:proofErr w:type="spellStart"/>
            <w:r w:rsidRPr="007A5B13">
              <w:rPr>
                <w:rFonts w:ascii="Times New Roman" w:hAnsi="Times New Roman" w:cs="Times New Roman"/>
                <w:b/>
                <w:sz w:val="24"/>
                <w:szCs w:val="24"/>
              </w:rPr>
              <w:t>mikrodaňovníka</w:t>
            </w:r>
            <w:proofErr w:type="spellEnd"/>
            <w:r w:rsidRPr="007A5B13">
              <w:rPr>
                <w:rFonts w:ascii="Times New Roman" w:hAnsi="Times New Roman" w:cs="Times New Roman"/>
                <w:b/>
                <w:sz w:val="24"/>
                <w:szCs w:val="24"/>
              </w:rPr>
              <w:t>.</w:t>
            </w:r>
          </w:p>
        </w:tc>
      </w:tr>
      <w:tr w:rsidR="007A5B13" w:rsidRPr="007A5B13" w:rsidTr="007A5B13">
        <w:trPr>
          <w:trHeight w:val="339"/>
        </w:trPr>
        <w:tc>
          <w:tcPr>
            <w:tcW w:w="9062" w:type="dxa"/>
            <w:tcBorders>
              <w:bottom w:val="single" w:sz="4" w:space="0" w:color="auto"/>
            </w:tcBorders>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3.2 Vyhodnotenie konzultácií</w:t>
            </w: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sz w:val="24"/>
                <w:szCs w:val="24"/>
              </w:rPr>
              <w:t xml:space="preserve">       - </w:t>
            </w:r>
            <w:r w:rsidRPr="007A5B13">
              <w:rPr>
                <w:rFonts w:ascii="Times New Roman" w:hAnsi="Times New Roman" w:cs="Times New Roman"/>
                <w:b/>
                <w:sz w:val="24"/>
                <w:szCs w:val="24"/>
              </w:rPr>
              <w:t>z toho MSP</w:t>
            </w:r>
          </w:p>
        </w:tc>
      </w:tr>
      <w:tr w:rsidR="007A5B13" w:rsidRPr="007A5B13" w:rsidTr="007A5B13">
        <w:trPr>
          <w:trHeight w:val="557"/>
        </w:trPr>
        <w:tc>
          <w:tcPr>
            <w:tcW w:w="9062" w:type="dxa"/>
            <w:tcBorders>
              <w:bottom w:val="single" w:sz="4" w:space="0" w:color="auto"/>
            </w:tcBorders>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Uveďte, akou formou (verejné alebo cielené konzultácie a prečo) a s kým bol návrh konzultovaný.</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Ako dlho trvali konzultácie?</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 xml:space="preserve">Uveďte hlavné body konzultácií a výsledky konzultácií. </w:t>
            </w:r>
          </w:p>
        </w:tc>
      </w:tr>
      <w:tr w:rsidR="007A5B13" w:rsidRPr="007A5B13" w:rsidTr="007A5B13">
        <w:trPr>
          <w:trHeight w:val="1440"/>
        </w:trPr>
        <w:tc>
          <w:tcPr>
            <w:tcW w:w="9062" w:type="dxa"/>
            <w:tcBorders>
              <w:bottom w:val="single" w:sz="4" w:space="0" w:color="auto"/>
            </w:tcBorders>
          </w:tcPr>
          <w:p w:rsidR="007A5B13" w:rsidRPr="007A5B13" w:rsidRDefault="007A5B13" w:rsidP="00D225C7">
            <w:pPr>
              <w:jc w:val="both"/>
              <w:rPr>
                <w:rFonts w:ascii="Times New Roman" w:hAnsi="Times New Roman" w:cs="Times New Roman"/>
                <w:sz w:val="24"/>
                <w:szCs w:val="24"/>
              </w:rPr>
            </w:pPr>
            <w:r w:rsidRPr="007A5B13">
              <w:rPr>
                <w:rFonts w:ascii="Times New Roman" w:hAnsi="Times New Roman" w:cs="Times New Roman"/>
                <w:sz w:val="24"/>
                <w:szCs w:val="24"/>
              </w:rPr>
              <w:t>Konzultácie sa uskutočnili formou osobných stretnutí v termíne od 21. 1. 2019 do 15. 2. 2019. Následne bolo vykonané aj druhé kolo konzultácií s vybranými účastníkmi v dňoch 15.3.2019 a 18.3.2019.</w:t>
            </w:r>
          </w:p>
          <w:p w:rsidR="007A5B13" w:rsidRPr="007A5B13" w:rsidRDefault="007A5B13" w:rsidP="00D225C7">
            <w:pPr>
              <w:jc w:val="both"/>
              <w:rPr>
                <w:rFonts w:ascii="Times New Roman" w:hAnsi="Times New Roman" w:cs="Times New Roman"/>
                <w:sz w:val="24"/>
                <w:szCs w:val="24"/>
              </w:rPr>
            </w:pPr>
          </w:p>
          <w:p w:rsidR="007A5B13" w:rsidRPr="007A5B13" w:rsidRDefault="007A5B13" w:rsidP="00D225C7">
            <w:pPr>
              <w:jc w:val="both"/>
              <w:rPr>
                <w:rFonts w:ascii="Times New Roman" w:hAnsi="Times New Roman" w:cs="Times New Roman"/>
                <w:sz w:val="24"/>
                <w:szCs w:val="24"/>
              </w:rPr>
            </w:pPr>
            <w:r w:rsidRPr="007A5B13">
              <w:rPr>
                <w:rFonts w:ascii="Times New Roman" w:hAnsi="Times New Roman" w:cs="Times New Roman"/>
                <w:sz w:val="24"/>
                <w:szCs w:val="24"/>
              </w:rPr>
              <w:t>Konzultácií sa zúčastnili:</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SKDP</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Klub 500</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proofErr w:type="spellStart"/>
            <w:r w:rsidRPr="007A5B13">
              <w:rPr>
                <w:rFonts w:ascii="Times New Roman" w:hAnsi="Times New Roman" w:cs="Times New Roman"/>
                <w:b/>
                <w:sz w:val="24"/>
                <w:szCs w:val="24"/>
              </w:rPr>
              <w:t>Deloitte</w:t>
            </w:r>
            <w:proofErr w:type="spellEnd"/>
            <w:r w:rsidRPr="007A5B13">
              <w:rPr>
                <w:rFonts w:ascii="Times New Roman" w:hAnsi="Times New Roman" w:cs="Times New Roman"/>
                <w:b/>
                <w:sz w:val="24"/>
                <w:szCs w:val="24"/>
              </w:rPr>
              <w:t xml:space="preserve"> </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proofErr w:type="spellStart"/>
            <w:r w:rsidRPr="007A5B13">
              <w:rPr>
                <w:rFonts w:ascii="Times New Roman" w:hAnsi="Times New Roman" w:cs="Times New Roman"/>
                <w:b/>
                <w:sz w:val="24"/>
                <w:szCs w:val="24"/>
              </w:rPr>
              <w:t>Ernst</w:t>
            </w:r>
            <w:proofErr w:type="spellEnd"/>
            <w:r w:rsidRPr="007A5B13">
              <w:rPr>
                <w:rFonts w:ascii="Times New Roman" w:hAnsi="Times New Roman" w:cs="Times New Roman"/>
                <w:b/>
                <w:sz w:val="24"/>
                <w:szCs w:val="24"/>
              </w:rPr>
              <w:t xml:space="preserve"> &amp; </w:t>
            </w:r>
            <w:proofErr w:type="spellStart"/>
            <w:r w:rsidRPr="007A5B13">
              <w:rPr>
                <w:rFonts w:ascii="Times New Roman" w:hAnsi="Times New Roman" w:cs="Times New Roman"/>
                <w:b/>
                <w:sz w:val="24"/>
                <w:szCs w:val="24"/>
              </w:rPr>
              <w:t>Young</w:t>
            </w:r>
            <w:proofErr w:type="spellEnd"/>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PWC</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lastRenderedPageBreak/>
              <w:t>KPMG</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AZZZ</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RÚZ</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INESS - Inštitút ekonomických a spoločenských analýz</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SLASPO</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SAMP - Slovenská asociácia malých a stredných podnikov a živnostníkov</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SŽZ - Slovenský živnostenský zväz</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proofErr w:type="spellStart"/>
            <w:r w:rsidRPr="007A5B13">
              <w:rPr>
                <w:rFonts w:ascii="Times New Roman" w:hAnsi="Times New Roman" w:cs="Times New Roman"/>
                <w:b/>
                <w:sz w:val="24"/>
                <w:szCs w:val="24"/>
              </w:rPr>
              <w:t>AmCham</w:t>
            </w:r>
            <w:proofErr w:type="spellEnd"/>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Slovak Business Agency</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APZ - Asociácia priemyselných zväzov</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 xml:space="preserve">Slovenská asociácia podnikových finančníkov </w:t>
            </w:r>
          </w:p>
          <w:p w:rsidR="007A5B13" w:rsidRPr="007A5B13" w:rsidRDefault="007A5B13" w:rsidP="007A5B13">
            <w:pPr>
              <w:pStyle w:val="Odsekzoznamu"/>
              <w:numPr>
                <w:ilvl w:val="0"/>
                <w:numId w:val="28"/>
              </w:numPr>
              <w:spacing w:after="200" w:line="276" w:lineRule="auto"/>
              <w:jc w:val="both"/>
              <w:rPr>
                <w:rFonts w:ascii="Times New Roman" w:hAnsi="Times New Roman" w:cs="Times New Roman"/>
                <w:b/>
                <w:sz w:val="24"/>
                <w:szCs w:val="24"/>
              </w:rPr>
            </w:pPr>
            <w:r w:rsidRPr="007A5B13">
              <w:rPr>
                <w:rFonts w:ascii="Times New Roman" w:hAnsi="Times New Roman" w:cs="Times New Roman"/>
                <w:b/>
                <w:sz w:val="24"/>
                <w:szCs w:val="24"/>
              </w:rPr>
              <w:t>Slovenská poľnohospodárska a potravinárska komora</w:t>
            </w:r>
          </w:p>
          <w:p w:rsidR="007A5B13" w:rsidRPr="007A5B13" w:rsidRDefault="007A5B13" w:rsidP="00D225C7">
            <w:pPr>
              <w:jc w:val="both"/>
              <w:rPr>
                <w:rFonts w:ascii="Times New Roman" w:hAnsi="Times New Roman" w:cs="Times New Roman"/>
                <w:sz w:val="24"/>
                <w:szCs w:val="24"/>
              </w:rPr>
            </w:pPr>
            <w:r w:rsidRPr="007A5B13">
              <w:rPr>
                <w:rFonts w:ascii="Times New Roman" w:hAnsi="Times New Roman" w:cs="Times New Roman"/>
                <w:sz w:val="24"/>
                <w:szCs w:val="24"/>
              </w:rPr>
              <w:t>Zúčastnené subjekty boli informované o pripravovaných zmenách týkajúcich sa zákona č. 595/2003 Z. z. o dani z príjmov v znení neskorších predpisov. Uvedené zmeny vyplývajú aj z analýzy zjednodušenia výpočtu základu dane pre malé a stredné podniky, ktorá bola prerokovaná vládou Slovenskej republiky. Zúčastnené subjekty zároveň predniesli aj pripomienky nad rámec návrhu novely zákona. Tieto pripomienky smerovali k riešeniu problematických oblastí v závislosti od jednotlivých subjektov.</w:t>
            </w:r>
          </w:p>
          <w:p w:rsidR="007A5B13" w:rsidRPr="007A5B13" w:rsidRDefault="007A5B13" w:rsidP="00D225C7">
            <w:pPr>
              <w:jc w:val="both"/>
              <w:rPr>
                <w:rFonts w:ascii="Times New Roman" w:hAnsi="Times New Roman" w:cs="Times New Roman"/>
                <w:sz w:val="24"/>
                <w:szCs w:val="24"/>
              </w:rPr>
            </w:pPr>
          </w:p>
        </w:tc>
      </w:tr>
      <w:tr w:rsidR="007A5B13" w:rsidRPr="007A5B13" w:rsidTr="007A5B13">
        <w:tc>
          <w:tcPr>
            <w:tcW w:w="9062" w:type="dxa"/>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lastRenderedPageBreak/>
              <w:t>3.3 Náklady regulácie</w:t>
            </w: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sz w:val="24"/>
                <w:szCs w:val="24"/>
              </w:rPr>
              <w:t xml:space="preserve">      - </w:t>
            </w:r>
            <w:r w:rsidRPr="007A5B13">
              <w:rPr>
                <w:rFonts w:ascii="Times New Roman" w:hAnsi="Times New Roman" w:cs="Times New Roman"/>
                <w:b/>
                <w:sz w:val="24"/>
                <w:szCs w:val="24"/>
              </w:rPr>
              <w:t>z toho MSP</w:t>
            </w: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b/>
                <w:i/>
                <w:sz w:val="24"/>
                <w:szCs w:val="24"/>
              </w:rPr>
            </w:pPr>
            <w:r w:rsidRPr="007A5B13">
              <w:rPr>
                <w:rFonts w:ascii="Times New Roman" w:hAnsi="Times New Roman" w:cs="Times New Roman"/>
                <w:b/>
                <w:i/>
                <w:sz w:val="24"/>
                <w:szCs w:val="24"/>
              </w:rPr>
              <w:t>3.3.1 Priame finančné náklady</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b/>
                <w:i/>
                <w:sz w:val="24"/>
                <w:szCs w:val="24"/>
              </w:rPr>
            </w:pP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Predpokladá sa zníženie priamych finančných nákladov v súvislosti so:</w:t>
            </w:r>
          </w:p>
          <w:p w:rsidR="007A5B13" w:rsidRPr="007A5B13" w:rsidRDefault="007A5B13" w:rsidP="00D225C7">
            <w:pPr>
              <w:rPr>
                <w:rFonts w:ascii="Times New Roman" w:hAnsi="Times New Roman" w:cs="Times New Roman"/>
                <w:b/>
                <w:sz w:val="24"/>
                <w:szCs w:val="24"/>
              </w:rPr>
            </w:pP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 xml:space="preserve">zavedením osobitného daňového režimu u </w:t>
            </w:r>
            <w:proofErr w:type="spellStart"/>
            <w:r w:rsidRPr="007A5B13">
              <w:rPr>
                <w:rFonts w:ascii="Times New Roman" w:hAnsi="Times New Roman" w:cs="Times New Roman"/>
                <w:b/>
                <w:sz w:val="24"/>
                <w:szCs w:val="24"/>
              </w:rPr>
              <w:t>mikrodaňovníkov</w:t>
            </w:r>
            <w:proofErr w:type="spellEnd"/>
            <w:r w:rsidRPr="007A5B13">
              <w:rPr>
                <w:rFonts w:ascii="Times New Roman" w:hAnsi="Times New Roman" w:cs="Times New Roman"/>
                <w:b/>
                <w:sz w:val="24"/>
                <w:szCs w:val="24"/>
              </w:rPr>
              <w:t xml:space="preserve"> spĺňajúcich podmienky podľa zákona o dani z príjmov v oblasti odpisov majetku, opravných položiek, odpočítania daňovej straty</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zjednodušením tvorby opravnej položky k pohľadávke a uplatnením daňového výdavku pri odpise a postúpení pohľadávky vzhľadom na nepremlčanie pohľadávky</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zvýhodnením odpočtu daňovej straty</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zavedením novej odpisovej skupiny pre elektromobily</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zvýšením hranice pre platenie preddavkov na daň z príjmov</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zvýšením % odpočtu výdavkov (nákladov) vynaložených na výskum a vývoj</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zavedením oslobodenia príjmu z predaja akcií jednoduchej spoločnosti na akcie</w:t>
            </w:r>
          </w:p>
          <w:p w:rsidR="007A5B13" w:rsidRPr="007A5B13" w:rsidRDefault="007A5B13" w:rsidP="007A5B13">
            <w:pPr>
              <w:pStyle w:val="Odsekzoznamu"/>
              <w:numPr>
                <w:ilvl w:val="0"/>
                <w:numId w:val="27"/>
              </w:numPr>
              <w:ind w:left="312" w:hanging="357"/>
              <w:rPr>
                <w:rFonts w:ascii="Times New Roman" w:hAnsi="Times New Roman" w:cs="Times New Roman"/>
                <w:b/>
                <w:sz w:val="24"/>
                <w:szCs w:val="24"/>
              </w:rPr>
            </w:pPr>
            <w:r w:rsidRPr="007A5B13">
              <w:rPr>
                <w:rFonts w:ascii="Times New Roman" w:hAnsi="Times New Roman" w:cs="Times New Roman"/>
                <w:b/>
                <w:sz w:val="24"/>
                <w:szCs w:val="24"/>
              </w:rPr>
              <w:t>znížením administratívnej náročnosti pri registrácii na daň z príjmov od roku 2021 a pri doručovaní dokladov zamestnávateľmi elektronickými prostriedkami</w:t>
            </w:r>
          </w:p>
          <w:p w:rsidR="007A5B13" w:rsidRPr="007A5B13" w:rsidRDefault="007A5B13" w:rsidP="00D225C7">
            <w:pPr>
              <w:rPr>
                <w:rFonts w:ascii="Times New Roman" w:hAnsi="Times New Roman" w:cs="Times New Roman"/>
                <w:b/>
                <w:sz w:val="24"/>
                <w:szCs w:val="24"/>
              </w:rPr>
            </w:pPr>
          </w:p>
          <w:p w:rsidR="007A5B13" w:rsidRPr="007A5B13" w:rsidRDefault="007A5B13" w:rsidP="00D225C7">
            <w:pPr>
              <w:jc w:val="both"/>
              <w:rPr>
                <w:rFonts w:ascii="Times New Roman" w:hAnsi="Times New Roman" w:cs="Times New Roman"/>
                <w:b/>
                <w:sz w:val="24"/>
                <w:szCs w:val="24"/>
              </w:rPr>
            </w:pPr>
            <w:r w:rsidRPr="007A5B13">
              <w:rPr>
                <w:rFonts w:ascii="Times New Roman" w:hAnsi="Times New Roman" w:cs="Times New Roman"/>
                <w:b/>
                <w:sz w:val="24"/>
                <w:szCs w:val="24"/>
              </w:rPr>
              <w:t>Negatívny vplyv sa očakáva z dôvodu zavedenia opatrenia proti hybridným nesúladom. Vplyv zavedenia opatrenia pre hybridné nesúlady nie je možné vyčísliť.</w:t>
            </w:r>
          </w:p>
          <w:p w:rsidR="007A5B13" w:rsidRPr="007A5B13" w:rsidRDefault="007A5B13" w:rsidP="00D225C7">
            <w:pPr>
              <w:jc w:val="both"/>
              <w:rPr>
                <w:rFonts w:ascii="Times New Roman" w:hAnsi="Times New Roman" w:cs="Times New Roman"/>
                <w:b/>
                <w:sz w:val="24"/>
                <w:szCs w:val="24"/>
              </w:rPr>
            </w:pPr>
          </w:p>
          <w:p w:rsidR="007A5B13" w:rsidRPr="007A5B13" w:rsidRDefault="007A5B13" w:rsidP="00D225C7">
            <w:pPr>
              <w:jc w:val="both"/>
              <w:rPr>
                <w:rFonts w:ascii="Times New Roman" w:hAnsi="Times New Roman" w:cs="Times New Roman"/>
                <w:b/>
                <w:sz w:val="24"/>
                <w:szCs w:val="24"/>
              </w:rPr>
            </w:pPr>
            <w:r w:rsidRPr="007A5B13">
              <w:rPr>
                <w:rFonts w:ascii="Times New Roman" w:hAnsi="Times New Roman" w:cs="Times New Roman"/>
                <w:b/>
                <w:sz w:val="24"/>
                <w:szCs w:val="24"/>
              </w:rPr>
              <w:t>Kvantifikácia zníženia/zvýšenia priamych finančných nákladov je odvodená z fiškálnych vplyvov uvedených v analýze vplyvov na rozpočet verejnej správy, na zamestnanosť vo verejnej správe a financovanie návrhu. Konkrétne:</w:t>
            </w:r>
          </w:p>
          <w:p w:rsidR="007A5B13" w:rsidRPr="007A5B13" w:rsidRDefault="007A5B13" w:rsidP="00D225C7">
            <w:pPr>
              <w:rPr>
                <w:rFonts w:ascii="Times New Roman" w:hAnsi="Times New Roman" w:cs="Times New Roman"/>
                <w:b/>
                <w:i/>
                <w:sz w:val="24"/>
                <w:szCs w:val="24"/>
              </w:rPr>
            </w:pPr>
          </w:p>
          <w:p w:rsidR="007A5B13" w:rsidRPr="007A5B13" w:rsidRDefault="007A5B13" w:rsidP="007A5B13">
            <w:pPr>
              <w:pStyle w:val="Odsekzoznamu"/>
              <w:numPr>
                <w:ilvl w:val="0"/>
                <w:numId w:val="27"/>
              </w:numPr>
              <w:spacing w:after="200" w:line="276" w:lineRule="auto"/>
              <w:ind w:left="454"/>
              <w:jc w:val="both"/>
              <w:rPr>
                <w:rFonts w:ascii="Times New Roman" w:eastAsia="Times New Roman" w:hAnsi="Times New Roman" w:cs="Times New Roman"/>
                <w:b/>
                <w:sz w:val="24"/>
                <w:szCs w:val="24"/>
                <w:lang w:eastAsia="sk-SK"/>
              </w:rPr>
            </w:pPr>
            <w:r w:rsidRPr="007A5B13">
              <w:rPr>
                <w:rFonts w:ascii="Times New Roman" w:eastAsia="Times New Roman" w:hAnsi="Times New Roman" w:cs="Times New Roman"/>
                <w:b/>
                <w:sz w:val="24"/>
                <w:szCs w:val="24"/>
                <w:lang w:eastAsia="sk-SK"/>
              </w:rPr>
              <w:lastRenderedPageBreak/>
              <w:t xml:space="preserve">zníženie priamych finančných nákladov pre </w:t>
            </w:r>
            <w:proofErr w:type="spellStart"/>
            <w:r w:rsidRPr="007A5B13">
              <w:rPr>
                <w:rFonts w:ascii="Times New Roman" w:eastAsia="Times New Roman" w:hAnsi="Times New Roman" w:cs="Times New Roman"/>
                <w:b/>
                <w:sz w:val="24"/>
                <w:szCs w:val="24"/>
                <w:lang w:eastAsia="sk-SK"/>
              </w:rPr>
              <w:t>mikrodaňovníkov</w:t>
            </w:r>
            <w:proofErr w:type="spellEnd"/>
            <w:r w:rsidRPr="007A5B13">
              <w:rPr>
                <w:rFonts w:ascii="Times New Roman" w:eastAsia="Times New Roman" w:hAnsi="Times New Roman" w:cs="Times New Roman"/>
                <w:b/>
                <w:sz w:val="24"/>
                <w:szCs w:val="24"/>
                <w:lang w:eastAsia="sk-SK"/>
              </w:rPr>
              <w:t xml:space="preserve"> vychádza z priamej finančnej úspory z titulu uvoľnenie odpočtu daňovej straty, uvoľnenie odpisu hmotného majetku a zavedenie možnosti tvorby daňových opravných položiek v súlade s účtovníctvom. Celkový objem úspory priamych finančných nákladov odhadujeme v objeme -16 mil. eur v roku 2021 a -20 mil. eur v roku 2022. V priemere na jedného </w:t>
            </w:r>
            <w:proofErr w:type="spellStart"/>
            <w:r w:rsidRPr="007A5B13">
              <w:rPr>
                <w:rFonts w:ascii="Times New Roman" w:eastAsia="Times New Roman" w:hAnsi="Times New Roman" w:cs="Times New Roman"/>
                <w:b/>
                <w:sz w:val="24"/>
                <w:szCs w:val="24"/>
                <w:lang w:eastAsia="sk-SK"/>
              </w:rPr>
              <w:t>mikrodaňovníka</w:t>
            </w:r>
            <w:proofErr w:type="spellEnd"/>
            <w:r w:rsidRPr="007A5B13">
              <w:rPr>
                <w:rFonts w:ascii="Times New Roman" w:eastAsia="Times New Roman" w:hAnsi="Times New Roman" w:cs="Times New Roman"/>
                <w:b/>
                <w:sz w:val="24"/>
                <w:szCs w:val="24"/>
                <w:lang w:eastAsia="sk-SK"/>
              </w:rPr>
              <w:t xml:space="preserve"> ide o zníženie priamych finančných nákladov o -110 až -135 eur v rokoch 2021 a 2022.</w:t>
            </w:r>
          </w:p>
          <w:p w:rsidR="007A5B13" w:rsidRPr="007A5B13" w:rsidRDefault="007A5B13" w:rsidP="007A5B13">
            <w:pPr>
              <w:pStyle w:val="Odsekzoznamu"/>
              <w:numPr>
                <w:ilvl w:val="0"/>
                <w:numId w:val="27"/>
              </w:numPr>
              <w:ind w:left="453" w:hanging="357"/>
              <w:jc w:val="both"/>
              <w:rPr>
                <w:rFonts w:ascii="Times New Roman" w:eastAsia="Times New Roman" w:hAnsi="Times New Roman" w:cs="Times New Roman"/>
                <w:b/>
                <w:sz w:val="24"/>
                <w:szCs w:val="24"/>
                <w:lang w:eastAsia="sk-SK"/>
              </w:rPr>
            </w:pPr>
            <w:r w:rsidRPr="007A5B13">
              <w:rPr>
                <w:rFonts w:ascii="Times New Roman" w:eastAsia="Times New Roman" w:hAnsi="Times New Roman" w:cs="Times New Roman"/>
                <w:b/>
                <w:sz w:val="24"/>
                <w:szCs w:val="24"/>
                <w:lang w:eastAsia="sk-SK"/>
              </w:rPr>
              <w:t xml:space="preserve">zvýšenie priamych finančných nákladov je spojené s úpravou odpočtu daňovej straty pre daňovníkov, ktorí nespĺňajú definíciu </w:t>
            </w:r>
            <w:proofErr w:type="spellStart"/>
            <w:r w:rsidRPr="007A5B13">
              <w:rPr>
                <w:rFonts w:ascii="Times New Roman" w:eastAsia="Times New Roman" w:hAnsi="Times New Roman" w:cs="Times New Roman"/>
                <w:b/>
                <w:sz w:val="24"/>
                <w:szCs w:val="24"/>
                <w:lang w:eastAsia="sk-SK"/>
              </w:rPr>
              <w:t>mikrodaňovníka</w:t>
            </w:r>
            <w:proofErr w:type="spellEnd"/>
            <w:r w:rsidRPr="007A5B13">
              <w:rPr>
                <w:rFonts w:ascii="Times New Roman" w:eastAsia="Times New Roman" w:hAnsi="Times New Roman" w:cs="Times New Roman"/>
                <w:b/>
                <w:sz w:val="24"/>
                <w:szCs w:val="24"/>
                <w:lang w:eastAsia="sk-SK"/>
              </w:rPr>
              <w:t xml:space="preserve">. V roku 2021 sa odhaduje zvýšenie priamych finančných nákladov o 36 mil. eur. Naopak zníženie priamych finančných nákladov prinášajú výhodnejšie odpisy elektromobilov a zvýšenie odpočtu na vedu a výskum v objeme -30 mil. eur v roku 2021. U oboch opatrení znižujúcich priame finančné náklady sa predpokladá ich využitie najmä u väčších firiem nespadajúcich pod definíciu </w:t>
            </w:r>
            <w:proofErr w:type="spellStart"/>
            <w:r w:rsidRPr="007A5B13">
              <w:rPr>
                <w:rFonts w:ascii="Times New Roman" w:eastAsia="Times New Roman" w:hAnsi="Times New Roman" w:cs="Times New Roman"/>
                <w:b/>
                <w:sz w:val="24"/>
                <w:szCs w:val="24"/>
                <w:lang w:eastAsia="sk-SK"/>
              </w:rPr>
              <w:t>mikrodaňovníka</w:t>
            </w:r>
            <w:proofErr w:type="spellEnd"/>
            <w:r w:rsidRPr="007A5B13">
              <w:rPr>
                <w:rFonts w:ascii="Times New Roman" w:eastAsia="Times New Roman" w:hAnsi="Times New Roman" w:cs="Times New Roman"/>
                <w:b/>
                <w:sz w:val="24"/>
                <w:szCs w:val="24"/>
                <w:lang w:eastAsia="sk-SK"/>
              </w:rPr>
              <w:t xml:space="preserve">. Priemerné saldo týchto opatrení na 1 daňovníka zvyšuje priame finančné náklady o +67 eur na jedného daňovníka (nie </w:t>
            </w:r>
            <w:proofErr w:type="spellStart"/>
            <w:r w:rsidRPr="007A5B13">
              <w:rPr>
                <w:rFonts w:ascii="Times New Roman" w:eastAsia="Times New Roman" w:hAnsi="Times New Roman" w:cs="Times New Roman"/>
                <w:b/>
                <w:sz w:val="24"/>
                <w:szCs w:val="24"/>
                <w:lang w:eastAsia="sk-SK"/>
              </w:rPr>
              <w:t>mikrodaňovníka</w:t>
            </w:r>
            <w:proofErr w:type="spellEnd"/>
            <w:r w:rsidRPr="007A5B13">
              <w:rPr>
                <w:rFonts w:ascii="Times New Roman" w:eastAsia="Times New Roman" w:hAnsi="Times New Roman" w:cs="Times New Roman"/>
                <w:b/>
                <w:sz w:val="24"/>
                <w:szCs w:val="24"/>
                <w:lang w:eastAsia="sk-SK"/>
              </w:rPr>
              <w:t>).</w:t>
            </w:r>
          </w:p>
          <w:p w:rsidR="007A5B13" w:rsidRPr="007A5B13" w:rsidRDefault="007A5B13" w:rsidP="00D225C7">
            <w:pPr>
              <w:rPr>
                <w:rFonts w:ascii="Times New Roman" w:hAnsi="Times New Roman" w:cs="Times New Roman"/>
                <w:b/>
                <w:i/>
                <w:sz w:val="24"/>
                <w:szCs w:val="24"/>
              </w:rPr>
            </w:pP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b/>
                <w:i/>
                <w:sz w:val="24"/>
                <w:szCs w:val="24"/>
              </w:rPr>
            </w:pPr>
            <w:r w:rsidRPr="007A5B13">
              <w:rPr>
                <w:rFonts w:ascii="Times New Roman" w:hAnsi="Times New Roman" w:cs="Times New Roman"/>
                <w:b/>
                <w:i/>
                <w:sz w:val="24"/>
                <w:szCs w:val="24"/>
              </w:rPr>
              <w:lastRenderedPageBreak/>
              <w:t>3.3.2 Nepriame finančné náklady</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b/>
                <w:i/>
                <w:sz w:val="24"/>
                <w:szCs w:val="24"/>
              </w:rPr>
            </w:pP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 xml:space="preserve">Predloženými návrhmi dôjde k vzniku nepriamych nákladov zo strany podnikateľov z dôvodu možnej potreby úpravy softvérov vyžívaných pri výpočte daňových povinností . </w:t>
            </w: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Predkladaný návrh nezvyšuje náklady súvisiace so zamestnávaním.</w:t>
            </w:r>
          </w:p>
          <w:p w:rsidR="007A5B13" w:rsidRPr="007A5B13" w:rsidRDefault="007A5B13" w:rsidP="00D225C7">
            <w:pPr>
              <w:rPr>
                <w:rFonts w:ascii="Times New Roman" w:hAnsi="Times New Roman" w:cs="Times New Roman"/>
                <w:b/>
                <w:sz w:val="24"/>
                <w:szCs w:val="24"/>
              </w:rPr>
            </w:pPr>
          </w:p>
          <w:p w:rsidR="007A5B13" w:rsidRPr="007A5B13" w:rsidRDefault="007A5B13" w:rsidP="00D225C7">
            <w:pPr>
              <w:rPr>
                <w:rFonts w:ascii="Times New Roman" w:hAnsi="Times New Roman" w:cs="Times New Roman"/>
                <w:b/>
                <w:i/>
                <w:sz w:val="24"/>
                <w:szCs w:val="24"/>
              </w:rPr>
            </w:pPr>
          </w:p>
          <w:p w:rsidR="007A5B13" w:rsidRPr="007A5B13" w:rsidRDefault="007A5B13" w:rsidP="00D225C7">
            <w:pPr>
              <w:rPr>
                <w:rFonts w:ascii="Times New Roman" w:hAnsi="Times New Roman" w:cs="Times New Roman"/>
                <w:b/>
                <w:i/>
                <w:sz w:val="24"/>
                <w:szCs w:val="24"/>
              </w:rPr>
            </w:pP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b/>
                <w:i/>
                <w:sz w:val="24"/>
                <w:szCs w:val="24"/>
              </w:rPr>
            </w:pPr>
            <w:r w:rsidRPr="007A5B13">
              <w:rPr>
                <w:rFonts w:ascii="Times New Roman" w:hAnsi="Times New Roman" w:cs="Times New Roman"/>
                <w:b/>
                <w:i/>
                <w:sz w:val="24"/>
                <w:szCs w:val="24"/>
              </w:rPr>
              <w:t>3.3.3 Administratívne náklady</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A5B13" w:rsidRPr="007A5B13" w:rsidTr="007A5B13">
        <w:tc>
          <w:tcPr>
            <w:tcW w:w="9062" w:type="dxa"/>
            <w:tcBorders>
              <w:bottom w:val="single" w:sz="4" w:space="0" w:color="auto"/>
            </w:tcBorders>
          </w:tcPr>
          <w:p w:rsidR="007A5B13" w:rsidRPr="007A5B13" w:rsidRDefault="007A5B13" w:rsidP="00D225C7">
            <w:pPr>
              <w:jc w:val="both"/>
              <w:rPr>
                <w:rFonts w:ascii="Times New Roman" w:hAnsi="Times New Roman" w:cs="Times New Roman"/>
                <w:b/>
                <w:i/>
                <w:sz w:val="24"/>
                <w:szCs w:val="24"/>
              </w:rPr>
            </w:pPr>
            <w:r w:rsidRPr="007A5B13">
              <w:rPr>
                <w:rFonts w:ascii="Times New Roman" w:hAnsi="Times New Roman" w:cs="Times New Roman"/>
                <w:b/>
                <w:i/>
                <w:sz w:val="24"/>
                <w:szCs w:val="24"/>
              </w:rPr>
              <w:t xml:space="preserve">Zníženie administratívnej záťaže v súvislosti s odstránením sledovania splnenia dodatočných podmienok v § 17 ods. 19 zákona o dani z príjmov okrem podmienky zaplatenia. </w:t>
            </w:r>
          </w:p>
          <w:p w:rsidR="007A5B13" w:rsidRPr="007A5B13" w:rsidRDefault="007A5B13" w:rsidP="00D225C7">
            <w:pPr>
              <w:jc w:val="both"/>
              <w:rPr>
                <w:rFonts w:ascii="Times New Roman" w:hAnsi="Times New Roman" w:cs="Times New Roman"/>
                <w:b/>
                <w:i/>
                <w:sz w:val="24"/>
                <w:szCs w:val="24"/>
              </w:rPr>
            </w:pPr>
            <w:r w:rsidRPr="007A5B13">
              <w:rPr>
                <w:rFonts w:ascii="Times New Roman" w:hAnsi="Times New Roman" w:cs="Times New Roman"/>
                <w:b/>
                <w:i/>
                <w:sz w:val="24"/>
                <w:szCs w:val="24"/>
              </w:rPr>
              <w:t xml:space="preserve">Zjednodušenie výpočtu poslednej známej daňovej povinnosti u fyzickej osoby podľa § 34 na účely výpočtu preddavkov na daň z príjmov. </w:t>
            </w:r>
          </w:p>
          <w:p w:rsidR="007A5B13" w:rsidRPr="007A5B13" w:rsidRDefault="007A5B13" w:rsidP="00D225C7">
            <w:pPr>
              <w:jc w:val="both"/>
              <w:rPr>
                <w:rFonts w:ascii="Times New Roman" w:hAnsi="Times New Roman" w:cs="Times New Roman"/>
                <w:b/>
                <w:i/>
                <w:sz w:val="24"/>
                <w:szCs w:val="24"/>
              </w:rPr>
            </w:pPr>
            <w:r w:rsidRPr="007A5B13">
              <w:rPr>
                <w:rFonts w:ascii="Times New Roman" w:hAnsi="Times New Roman" w:cs="Times New Roman"/>
                <w:b/>
                <w:i/>
                <w:sz w:val="24"/>
                <w:szCs w:val="24"/>
              </w:rPr>
              <w:t>Zvýšenie hranice poslednej známej daňovej povinnosti od ktorej sa odvíja povinnosť a periodicita platenia preddavkov na daň z príjmov.</w:t>
            </w:r>
          </w:p>
          <w:p w:rsidR="007A5B13" w:rsidRPr="007A5B13" w:rsidRDefault="007A5B13" w:rsidP="00D225C7">
            <w:pPr>
              <w:jc w:val="both"/>
              <w:rPr>
                <w:rFonts w:ascii="Times New Roman" w:hAnsi="Times New Roman" w:cs="Times New Roman"/>
                <w:b/>
                <w:i/>
                <w:sz w:val="24"/>
                <w:szCs w:val="24"/>
              </w:rPr>
            </w:pPr>
            <w:r w:rsidRPr="007A5B13">
              <w:rPr>
                <w:rFonts w:ascii="Times New Roman" w:hAnsi="Times New Roman" w:cs="Times New Roman"/>
                <w:b/>
                <w:i/>
                <w:sz w:val="24"/>
                <w:szCs w:val="24"/>
              </w:rPr>
              <w:t>Zníženie administratívnej záťaže v súvislosti so zavedením možnosti elektronickej komunikácie zamestnávateľa so zamestnancom.</w:t>
            </w:r>
          </w:p>
          <w:p w:rsidR="007A5B13" w:rsidRPr="007A5B13" w:rsidRDefault="007A5B13" w:rsidP="00D225C7">
            <w:pPr>
              <w:rPr>
                <w:rFonts w:ascii="Times New Roman" w:hAnsi="Times New Roman" w:cs="Times New Roman"/>
                <w:b/>
                <w:i/>
                <w:sz w:val="24"/>
                <w:szCs w:val="24"/>
              </w:rPr>
            </w:pPr>
            <w:r w:rsidRPr="007A5B13">
              <w:rPr>
                <w:rFonts w:ascii="Times New Roman" w:hAnsi="Times New Roman" w:cs="Times New Roman"/>
                <w:b/>
                <w:i/>
                <w:sz w:val="24"/>
                <w:szCs w:val="24"/>
              </w:rPr>
              <w:t>Zníženie administratívnej záťaže v súvislosti s registráciou daňovníka na daň z príjmov priamo správcom dane na základe jeho evidencie v Registri právnických osôb, podnikateľov a orgánov verejnej moci od roku 2021.</w:t>
            </w:r>
          </w:p>
          <w:p w:rsidR="007A5B13" w:rsidRPr="007A5B13" w:rsidRDefault="007A5B13" w:rsidP="00D225C7">
            <w:pPr>
              <w:rPr>
                <w:rFonts w:ascii="Times New Roman" w:hAnsi="Times New Roman" w:cs="Times New Roman"/>
                <w:b/>
                <w:i/>
                <w:sz w:val="24"/>
                <w:szCs w:val="24"/>
              </w:rPr>
            </w:pPr>
          </w:p>
          <w:p w:rsidR="007A5B13" w:rsidRPr="007A5B13" w:rsidRDefault="007A5B13" w:rsidP="00D225C7">
            <w:pPr>
              <w:jc w:val="both"/>
              <w:rPr>
                <w:rFonts w:ascii="Times New Roman" w:hAnsi="Times New Roman" w:cs="Times New Roman"/>
                <w:b/>
                <w:bCs/>
                <w:i/>
                <w:sz w:val="24"/>
                <w:szCs w:val="24"/>
              </w:rPr>
            </w:pPr>
            <w:r w:rsidRPr="007A5B13">
              <w:rPr>
                <w:rFonts w:ascii="Times New Roman" w:hAnsi="Times New Roman" w:cs="Times New Roman"/>
                <w:b/>
                <w:bCs/>
                <w:i/>
                <w:sz w:val="24"/>
                <w:szCs w:val="24"/>
              </w:rPr>
              <w:t>Odhad zníženia/zvýšenia nepriamych finančných a administratívnych nákladov nie je možné kvantifikovať.</w:t>
            </w:r>
          </w:p>
          <w:p w:rsidR="007A5B13" w:rsidRPr="007A5B13" w:rsidRDefault="007A5B13" w:rsidP="00D225C7">
            <w:pPr>
              <w:rPr>
                <w:rFonts w:ascii="Times New Roman" w:hAnsi="Times New Roman" w:cs="Times New Roman"/>
                <w:b/>
                <w:i/>
                <w:sz w:val="24"/>
                <w:szCs w:val="24"/>
              </w:rPr>
            </w:pPr>
          </w:p>
        </w:tc>
      </w:tr>
      <w:tr w:rsidR="007A5B13" w:rsidRPr="007A5B13" w:rsidTr="007A5B13">
        <w:trPr>
          <w:trHeight w:val="2318"/>
        </w:trPr>
        <w:tc>
          <w:tcPr>
            <w:tcW w:w="9062" w:type="dxa"/>
            <w:tcBorders>
              <w:bottom w:val="single" w:sz="4" w:space="0" w:color="auto"/>
            </w:tcBorders>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b/>
                <w:i/>
                <w:sz w:val="24"/>
                <w:szCs w:val="24"/>
              </w:rPr>
              <w:lastRenderedPageBreak/>
              <w:t>3.3.4 Súhrnná tabuľka nákladov regulácie</w:t>
            </w:r>
          </w:p>
          <w:p w:rsidR="007A5B13" w:rsidRPr="007A5B13" w:rsidRDefault="007A5B13" w:rsidP="00D225C7">
            <w:pPr>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2951"/>
              <w:gridCol w:w="2939"/>
              <w:gridCol w:w="2946"/>
            </w:tblGrid>
            <w:tr w:rsidR="007A5B13" w:rsidRPr="007A5B13" w:rsidTr="00D225C7">
              <w:tc>
                <w:tcPr>
                  <w:tcW w:w="2993" w:type="dxa"/>
                </w:tcPr>
                <w:p w:rsidR="007A5B13" w:rsidRPr="007A5B13" w:rsidRDefault="007A5B13" w:rsidP="00D225C7">
                  <w:pPr>
                    <w:rPr>
                      <w:rFonts w:ascii="Times New Roman" w:hAnsi="Times New Roman" w:cs="Times New Roman"/>
                      <w:i/>
                      <w:sz w:val="24"/>
                      <w:szCs w:val="24"/>
                    </w:rPr>
                  </w:pP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Náklady na 1 podnikateľa</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Náklady na celé podnikateľské prostredie</w:t>
                  </w:r>
                </w:p>
              </w:tc>
            </w:tr>
            <w:tr w:rsidR="007A5B13" w:rsidRPr="007A5B13" w:rsidTr="00D225C7">
              <w:tc>
                <w:tcPr>
                  <w:tcW w:w="2993" w:type="dxa"/>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Priame finančné náklady</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r>
            <w:tr w:rsidR="007A5B13" w:rsidRPr="007A5B13" w:rsidTr="00D225C7">
              <w:tc>
                <w:tcPr>
                  <w:tcW w:w="2993" w:type="dxa"/>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Nepriame finančné náklady</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r>
            <w:tr w:rsidR="007A5B13" w:rsidRPr="007A5B13" w:rsidTr="00D225C7">
              <w:tc>
                <w:tcPr>
                  <w:tcW w:w="2993" w:type="dxa"/>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Administratívne náklady</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c>
                <w:tcPr>
                  <w:tcW w:w="2994" w:type="dxa"/>
                </w:tcPr>
                <w:p w:rsidR="007A5B13" w:rsidRPr="007A5B13" w:rsidRDefault="007A5B13" w:rsidP="00D225C7">
                  <w:pPr>
                    <w:jc w:val="center"/>
                    <w:rPr>
                      <w:rFonts w:ascii="Times New Roman" w:hAnsi="Times New Roman" w:cs="Times New Roman"/>
                      <w:i/>
                      <w:sz w:val="24"/>
                      <w:szCs w:val="24"/>
                    </w:rPr>
                  </w:pPr>
                  <w:r w:rsidRPr="007A5B13">
                    <w:rPr>
                      <w:rFonts w:ascii="Times New Roman" w:hAnsi="Times New Roman" w:cs="Times New Roman"/>
                      <w:i/>
                      <w:sz w:val="24"/>
                      <w:szCs w:val="24"/>
                    </w:rPr>
                    <w:t>0</w:t>
                  </w:r>
                </w:p>
              </w:tc>
            </w:tr>
            <w:tr w:rsidR="007A5B13" w:rsidRPr="007A5B13" w:rsidTr="00D225C7">
              <w:tc>
                <w:tcPr>
                  <w:tcW w:w="2993" w:type="dxa"/>
                </w:tcPr>
                <w:p w:rsidR="007A5B13" w:rsidRPr="007A5B13" w:rsidRDefault="007A5B13" w:rsidP="00D225C7">
                  <w:pPr>
                    <w:rPr>
                      <w:rFonts w:ascii="Times New Roman" w:hAnsi="Times New Roman" w:cs="Times New Roman"/>
                      <w:b/>
                      <w:i/>
                      <w:sz w:val="24"/>
                      <w:szCs w:val="24"/>
                    </w:rPr>
                  </w:pPr>
                  <w:r w:rsidRPr="007A5B13">
                    <w:rPr>
                      <w:rFonts w:ascii="Times New Roman" w:hAnsi="Times New Roman" w:cs="Times New Roman"/>
                      <w:b/>
                      <w:i/>
                      <w:sz w:val="24"/>
                      <w:szCs w:val="24"/>
                    </w:rPr>
                    <w:t>Celkové náklady regulácie</w:t>
                  </w:r>
                </w:p>
              </w:tc>
              <w:tc>
                <w:tcPr>
                  <w:tcW w:w="2994" w:type="dxa"/>
                </w:tcPr>
                <w:p w:rsidR="007A5B13" w:rsidRPr="007A5B13" w:rsidRDefault="007A5B13" w:rsidP="00D225C7">
                  <w:pPr>
                    <w:jc w:val="center"/>
                    <w:rPr>
                      <w:rFonts w:ascii="Times New Roman" w:hAnsi="Times New Roman" w:cs="Times New Roman"/>
                      <w:b/>
                      <w:i/>
                      <w:sz w:val="24"/>
                      <w:szCs w:val="24"/>
                    </w:rPr>
                  </w:pPr>
                  <w:r w:rsidRPr="007A5B13">
                    <w:rPr>
                      <w:rFonts w:ascii="Times New Roman" w:hAnsi="Times New Roman" w:cs="Times New Roman"/>
                      <w:b/>
                      <w:i/>
                      <w:sz w:val="24"/>
                      <w:szCs w:val="24"/>
                    </w:rPr>
                    <w:t>0</w:t>
                  </w:r>
                </w:p>
              </w:tc>
              <w:tc>
                <w:tcPr>
                  <w:tcW w:w="2994" w:type="dxa"/>
                </w:tcPr>
                <w:p w:rsidR="007A5B13" w:rsidRPr="007A5B13" w:rsidRDefault="007A5B13" w:rsidP="00D225C7">
                  <w:pPr>
                    <w:jc w:val="center"/>
                    <w:rPr>
                      <w:rFonts w:ascii="Times New Roman" w:hAnsi="Times New Roman" w:cs="Times New Roman"/>
                      <w:b/>
                      <w:i/>
                      <w:sz w:val="24"/>
                      <w:szCs w:val="24"/>
                    </w:rPr>
                  </w:pPr>
                  <w:r w:rsidRPr="007A5B13">
                    <w:rPr>
                      <w:rFonts w:ascii="Times New Roman" w:hAnsi="Times New Roman" w:cs="Times New Roman"/>
                      <w:b/>
                      <w:i/>
                      <w:sz w:val="24"/>
                      <w:szCs w:val="24"/>
                    </w:rPr>
                    <w:t>0</w:t>
                  </w:r>
                </w:p>
              </w:tc>
            </w:tr>
          </w:tbl>
          <w:p w:rsidR="007A5B13" w:rsidRPr="007A5B13" w:rsidRDefault="007A5B13" w:rsidP="00D225C7">
            <w:pPr>
              <w:rPr>
                <w:rFonts w:ascii="Times New Roman" w:hAnsi="Times New Roman" w:cs="Times New Roman"/>
                <w:i/>
                <w:sz w:val="24"/>
                <w:szCs w:val="24"/>
              </w:rPr>
            </w:pPr>
          </w:p>
        </w:tc>
      </w:tr>
      <w:tr w:rsidR="007A5B13" w:rsidRPr="007A5B13" w:rsidTr="007A5B13">
        <w:tc>
          <w:tcPr>
            <w:tcW w:w="9062" w:type="dxa"/>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3.4 Konkurencieschopnosť a správanie sa podnikov na trhu</w:t>
            </w:r>
          </w:p>
          <w:p w:rsidR="007A5B13" w:rsidRPr="007A5B13" w:rsidRDefault="007A5B13" w:rsidP="00D225C7">
            <w:pPr>
              <w:rPr>
                <w:rFonts w:ascii="Times New Roman" w:hAnsi="Times New Roman" w:cs="Times New Roman"/>
                <w:sz w:val="24"/>
                <w:szCs w:val="24"/>
              </w:rPr>
            </w:pPr>
            <w:r w:rsidRPr="007A5B13">
              <w:rPr>
                <w:rFonts w:ascii="Times New Roman" w:hAnsi="Times New Roman" w:cs="Times New Roman"/>
                <w:b/>
                <w:sz w:val="24"/>
                <w:szCs w:val="24"/>
              </w:rPr>
              <w:t xml:space="preserve">       </w:t>
            </w:r>
            <w:r w:rsidRPr="007A5B13">
              <w:rPr>
                <w:rFonts w:ascii="Times New Roman" w:hAnsi="Times New Roman" w:cs="Times New Roman"/>
                <w:sz w:val="24"/>
                <w:szCs w:val="24"/>
              </w:rPr>
              <w:t xml:space="preserve">- </w:t>
            </w:r>
            <w:r w:rsidRPr="007A5B13">
              <w:rPr>
                <w:rFonts w:ascii="Times New Roman" w:hAnsi="Times New Roman" w:cs="Times New Roman"/>
                <w:b/>
                <w:sz w:val="24"/>
                <w:szCs w:val="24"/>
              </w:rPr>
              <w:t>z toho MSP</w:t>
            </w:r>
          </w:p>
        </w:tc>
      </w:tr>
      <w:tr w:rsidR="007A5B13" w:rsidRPr="007A5B13" w:rsidTr="007A5B13">
        <w:tc>
          <w:tcPr>
            <w:tcW w:w="9062" w:type="dxa"/>
            <w:tcBorders>
              <w:bottom w:val="single" w:sz="4" w:space="0" w:color="auto"/>
            </w:tcBorders>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7A5B13">
              <w:rPr>
                <w:rFonts w:ascii="Times New Roman" w:hAnsi="Times New Roman" w:cs="Times New Roman"/>
                <w:i/>
                <w:sz w:val="24"/>
                <w:szCs w:val="24"/>
              </w:rPr>
              <w:t>mikro</w:t>
            </w:r>
            <w:proofErr w:type="spellEnd"/>
            <w:r w:rsidRPr="007A5B13">
              <w:rPr>
                <w:rFonts w:ascii="Times New Roman" w:hAnsi="Times New Roman" w:cs="Times New Roman"/>
                <w:i/>
                <w:sz w:val="24"/>
                <w:szCs w:val="24"/>
              </w:rPr>
              <w:t>, malé a stredné podniky tzv. MSP)? Ak áno, popíšte.</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Ako ovplyvní cenu alebo dostupnosť základných zdrojov (suroviny, mechanizmy, pracovná sila, energie atď.)?</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Ovplyvňuje prístup k financiám? Ak áno, ako?</w:t>
            </w:r>
          </w:p>
        </w:tc>
      </w:tr>
      <w:tr w:rsidR="007A5B13" w:rsidRPr="007A5B13" w:rsidTr="007A5B13">
        <w:trPr>
          <w:trHeight w:val="1282"/>
        </w:trPr>
        <w:tc>
          <w:tcPr>
            <w:tcW w:w="9062" w:type="dxa"/>
            <w:tcBorders>
              <w:bottom w:val="single" w:sz="4" w:space="0" w:color="auto"/>
            </w:tcBorders>
          </w:tcPr>
          <w:p w:rsidR="007A5B13" w:rsidRPr="007A5B13" w:rsidRDefault="007A5B13" w:rsidP="00D225C7">
            <w:pPr>
              <w:jc w:val="both"/>
              <w:rPr>
                <w:rFonts w:ascii="Times New Roman" w:hAnsi="Times New Roman" w:cs="Times New Roman"/>
                <w:sz w:val="24"/>
                <w:szCs w:val="24"/>
              </w:rPr>
            </w:pPr>
            <w:r w:rsidRPr="007A5B13">
              <w:rPr>
                <w:rFonts w:ascii="Times New Roman" w:hAnsi="Times New Roman" w:cs="Times New Roman"/>
                <w:b/>
                <w:sz w:val="24"/>
                <w:szCs w:val="24"/>
              </w:rPr>
              <w:t>Nepredpokladá sa vplyv navrhovanej zmeny na konkurencieschopnosť a správanie podnikov na trhu</w:t>
            </w:r>
            <w:r w:rsidRPr="007A5B13">
              <w:rPr>
                <w:rFonts w:ascii="Times New Roman" w:hAnsi="Times New Roman" w:cs="Times New Roman"/>
                <w:sz w:val="24"/>
                <w:szCs w:val="24"/>
              </w:rPr>
              <w:t>.</w:t>
            </w:r>
          </w:p>
          <w:p w:rsidR="007A5B13" w:rsidRPr="007A5B13" w:rsidRDefault="007A5B13" w:rsidP="00D225C7">
            <w:pPr>
              <w:jc w:val="both"/>
              <w:rPr>
                <w:rFonts w:ascii="Times New Roman" w:hAnsi="Times New Roman" w:cs="Times New Roman"/>
                <w:b/>
                <w:sz w:val="24"/>
                <w:szCs w:val="24"/>
              </w:rPr>
            </w:pPr>
            <w:r w:rsidRPr="007A5B13">
              <w:rPr>
                <w:rFonts w:ascii="Times New Roman" w:hAnsi="Times New Roman" w:cs="Times New Roman"/>
                <w:b/>
                <w:sz w:val="24"/>
                <w:szCs w:val="24"/>
              </w:rPr>
              <w:t xml:space="preserve">Predpokladá sa pozitívny vplyv na vybranú skupinu daňovníkov vymedzených v zákone o dani z príjmov ako </w:t>
            </w:r>
            <w:proofErr w:type="spellStart"/>
            <w:r w:rsidRPr="007A5B13">
              <w:rPr>
                <w:rFonts w:ascii="Times New Roman" w:hAnsi="Times New Roman" w:cs="Times New Roman"/>
                <w:b/>
                <w:sz w:val="24"/>
                <w:szCs w:val="24"/>
              </w:rPr>
              <w:t>mikrodaňovník</w:t>
            </w:r>
            <w:proofErr w:type="spellEnd"/>
            <w:r w:rsidRPr="007A5B13">
              <w:rPr>
                <w:rFonts w:ascii="Times New Roman" w:hAnsi="Times New Roman" w:cs="Times New Roman"/>
                <w:b/>
                <w:sz w:val="24"/>
                <w:szCs w:val="24"/>
              </w:rPr>
              <w:t>. U </w:t>
            </w:r>
            <w:proofErr w:type="spellStart"/>
            <w:r w:rsidRPr="007A5B13">
              <w:rPr>
                <w:rFonts w:ascii="Times New Roman" w:hAnsi="Times New Roman" w:cs="Times New Roman"/>
                <w:b/>
                <w:sz w:val="24"/>
                <w:szCs w:val="24"/>
              </w:rPr>
              <w:t>mikrodaňovníka</w:t>
            </w:r>
            <w:proofErr w:type="spellEnd"/>
            <w:r w:rsidRPr="007A5B13">
              <w:rPr>
                <w:rFonts w:ascii="Times New Roman" w:hAnsi="Times New Roman" w:cs="Times New Roman"/>
                <w:b/>
                <w:sz w:val="24"/>
                <w:szCs w:val="24"/>
              </w:rPr>
              <w:t xml:space="preserve"> sa umožňuje:</w:t>
            </w:r>
          </w:p>
          <w:p w:rsidR="007A5B13" w:rsidRPr="007A5B13" w:rsidRDefault="007A5B13" w:rsidP="007A5B13">
            <w:pPr>
              <w:pStyle w:val="Odsekzoznamu"/>
              <w:numPr>
                <w:ilvl w:val="0"/>
                <w:numId w:val="27"/>
              </w:numPr>
              <w:spacing w:after="200" w:line="276" w:lineRule="auto"/>
              <w:ind w:left="454"/>
              <w:jc w:val="both"/>
              <w:rPr>
                <w:rFonts w:ascii="Times New Roman" w:eastAsia="Times New Roman" w:hAnsi="Times New Roman" w:cs="Times New Roman"/>
                <w:b/>
                <w:sz w:val="24"/>
                <w:szCs w:val="24"/>
                <w:lang w:eastAsia="sk-SK"/>
              </w:rPr>
            </w:pPr>
            <w:r w:rsidRPr="007A5B13">
              <w:rPr>
                <w:rFonts w:ascii="Times New Roman" w:eastAsia="Times New Roman" w:hAnsi="Times New Roman" w:cs="Times New Roman"/>
                <w:b/>
                <w:sz w:val="24"/>
                <w:szCs w:val="24"/>
                <w:lang w:eastAsia="sk-SK"/>
              </w:rPr>
              <w:t>zjednodušenie tvorby opravnej položky k nepremlčanej pohľadávke v súlade s účtovníctvom</w:t>
            </w:r>
          </w:p>
          <w:p w:rsidR="007A5B13" w:rsidRPr="007A5B13" w:rsidRDefault="007A5B13" w:rsidP="007A5B13">
            <w:pPr>
              <w:pStyle w:val="Odsekzoznamu"/>
              <w:numPr>
                <w:ilvl w:val="0"/>
                <w:numId w:val="27"/>
              </w:numPr>
              <w:spacing w:after="200" w:line="276" w:lineRule="auto"/>
              <w:ind w:left="454"/>
              <w:jc w:val="both"/>
              <w:rPr>
                <w:rFonts w:ascii="Times New Roman" w:eastAsia="Times New Roman" w:hAnsi="Times New Roman" w:cs="Times New Roman"/>
                <w:b/>
                <w:sz w:val="24"/>
                <w:szCs w:val="24"/>
                <w:lang w:eastAsia="sk-SK"/>
              </w:rPr>
            </w:pPr>
            <w:r w:rsidRPr="007A5B13">
              <w:rPr>
                <w:rFonts w:ascii="Times New Roman" w:eastAsia="Times New Roman" w:hAnsi="Times New Roman" w:cs="Times New Roman"/>
                <w:b/>
                <w:sz w:val="24"/>
                <w:szCs w:val="24"/>
                <w:lang w:eastAsia="sk-SK"/>
              </w:rPr>
              <w:t xml:space="preserve">zvýhodnené odpisovanie hmotného majetku zaradeného do odpisových skupín 0 až 4 v stanovenej výške </w:t>
            </w:r>
            <w:proofErr w:type="spellStart"/>
            <w:r w:rsidRPr="007A5B13">
              <w:rPr>
                <w:rFonts w:ascii="Times New Roman" w:eastAsia="Times New Roman" w:hAnsi="Times New Roman" w:cs="Times New Roman"/>
                <w:b/>
                <w:sz w:val="24"/>
                <w:szCs w:val="24"/>
                <w:lang w:eastAsia="sk-SK"/>
              </w:rPr>
              <w:t>mikrodaňovníkom</w:t>
            </w:r>
            <w:proofErr w:type="spellEnd"/>
            <w:r w:rsidRPr="007A5B13">
              <w:rPr>
                <w:rFonts w:ascii="Times New Roman" w:eastAsia="Times New Roman" w:hAnsi="Times New Roman" w:cs="Times New Roman"/>
                <w:b/>
                <w:sz w:val="24"/>
                <w:szCs w:val="24"/>
                <w:lang w:eastAsia="sk-SK"/>
              </w:rPr>
              <w:t>, najviac do výšky vstupnej ceny majetku</w:t>
            </w:r>
          </w:p>
          <w:p w:rsidR="007A5B13" w:rsidRPr="007A5B13" w:rsidRDefault="007A5B13" w:rsidP="007A5B13">
            <w:pPr>
              <w:pStyle w:val="Odsekzoznamu"/>
              <w:numPr>
                <w:ilvl w:val="0"/>
                <w:numId w:val="27"/>
              </w:numPr>
              <w:spacing w:after="200" w:line="276" w:lineRule="auto"/>
              <w:ind w:left="454"/>
              <w:jc w:val="both"/>
              <w:rPr>
                <w:rFonts w:ascii="Times New Roman" w:hAnsi="Times New Roman" w:cs="Times New Roman"/>
                <w:i/>
                <w:sz w:val="24"/>
                <w:szCs w:val="24"/>
              </w:rPr>
            </w:pPr>
            <w:r w:rsidRPr="007A5B13">
              <w:rPr>
                <w:rFonts w:ascii="Times New Roman" w:eastAsia="Times New Roman" w:hAnsi="Times New Roman" w:cs="Times New Roman"/>
                <w:b/>
                <w:sz w:val="24"/>
                <w:szCs w:val="24"/>
                <w:lang w:eastAsia="sk-SK"/>
              </w:rPr>
              <w:t>zvýhodnené odpočítavanie daňovej straty</w:t>
            </w:r>
            <w:r w:rsidRPr="007A5B13">
              <w:rPr>
                <w:rFonts w:ascii="Times New Roman" w:eastAsia="Times New Roman" w:hAnsi="Times New Roman" w:cs="Times New Roman"/>
                <w:sz w:val="24"/>
                <w:szCs w:val="24"/>
                <w:lang w:eastAsia="sk-SK"/>
              </w:rPr>
              <w:t>.</w:t>
            </w:r>
            <w:r w:rsidRPr="007A5B13">
              <w:rPr>
                <w:rFonts w:ascii="Times New Roman" w:hAnsi="Times New Roman" w:cs="Times New Roman"/>
                <w:sz w:val="24"/>
                <w:szCs w:val="24"/>
              </w:rPr>
              <w:t xml:space="preserve"> </w:t>
            </w:r>
          </w:p>
        </w:tc>
      </w:tr>
      <w:tr w:rsidR="007A5B13" w:rsidRPr="007A5B13" w:rsidTr="007A5B13">
        <w:tc>
          <w:tcPr>
            <w:tcW w:w="9062" w:type="dxa"/>
            <w:shd w:val="clear" w:color="auto" w:fill="D9D9D9" w:themeFill="background1" w:themeFillShade="D9"/>
          </w:tcPr>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b/>
                <w:sz w:val="24"/>
                <w:szCs w:val="24"/>
              </w:rPr>
              <w:t xml:space="preserve">3.5 Inovácie </w:t>
            </w:r>
          </w:p>
          <w:p w:rsidR="007A5B13" w:rsidRPr="007A5B13" w:rsidRDefault="007A5B13" w:rsidP="00D225C7">
            <w:pPr>
              <w:rPr>
                <w:rFonts w:ascii="Times New Roman" w:hAnsi="Times New Roman" w:cs="Times New Roman"/>
                <w:b/>
                <w:sz w:val="24"/>
                <w:szCs w:val="24"/>
              </w:rPr>
            </w:pPr>
            <w:r w:rsidRPr="007A5B13">
              <w:rPr>
                <w:rFonts w:ascii="Times New Roman" w:hAnsi="Times New Roman" w:cs="Times New Roman"/>
                <w:sz w:val="24"/>
                <w:szCs w:val="24"/>
              </w:rPr>
              <w:t xml:space="preserve">       - </w:t>
            </w:r>
            <w:r w:rsidRPr="007A5B13">
              <w:rPr>
                <w:rFonts w:ascii="Times New Roman" w:hAnsi="Times New Roman" w:cs="Times New Roman"/>
                <w:b/>
                <w:sz w:val="24"/>
                <w:szCs w:val="24"/>
              </w:rPr>
              <w:t>z toho MSP</w:t>
            </w:r>
          </w:p>
        </w:tc>
      </w:tr>
      <w:tr w:rsidR="007A5B13" w:rsidRPr="007A5B13" w:rsidTr="007A5B13">
        <w:tc>
          <w:tcPr>
            <w:tcW w:w="9062" w:type="dxa"/>
          </w:tcPr>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Uveďte, ako podporuje navrhovaná zmena inovácie.</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Zjednodušuje uvedenie alebo rozšírenie nových výrobných metód, technológií a výrobkov na trh?</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7A5B13" w:rsidRPr="007A5B13" w:rsidRDefault="007A5B13" w:rsidP="00D225C7">
            <w:pPr>
              <w:rPr>
                <w:rFonts w:ascii="Times New Roman" w:hAnsi="Times New Roman" w:cs="Times New Roman"/>
                <w:i/>
                <w:sz w:val="24"/>
                <w:szCs w:val="24"/>
              </w:rPr>
            </w:pPr>
            <w:r w:rsidRPr="007A5B13">
              <w:rPr>
                <w:rFonts w:ascii="Times New Roman" w:hAnsi="Times New Roman" w:cs="Times New Roman"/>
                <w:i/>
                <w:sz w:val="24"/>
                <w:szCs w:val="24"/>
              </w:rPr>
              <w:t>Podporuje vyššiu efektivitu výroby/využívania zdrojov? Ak áno, ako?</w:t>
            </w:r>
          </w:p>
          <w:p w:rsidR="007A5B13" w:rsidRPr="007A5B13" w:rsidRDefault="007A5B13" w:rsidP="00D225C7">
            <w:pPr>
              <w:rPr>
                <w:rFonts w:ascii="Times New Roman" w:hAnsi="Times New Roman" w:cs="Times New Roman"/>
                <w:sz w:val="24"/>
                <w:szCs w:val="24"/>
              </w:rPr>
            </w:pPr>
            <w:r w:rsidRPr="007A5B13">
              <w:rPr>
                <w:rFonts w:ascii="Times New Roman" w:hAnsi="Times New Roman" w:cs="Times New Roman"/>
                <w:i/>
                <w:sz w:val="24"/>
                <w:szCs w:val="24"/>
              </w:rPr>
              <w:t>Vytvorí zmena nové pracovné miesta pre zamestnancov výskumu a vývoja v SR?</w:t>
            </w:r>
          </w:p>
        </w:tc>
      </w:tr>
      <w:tr w:rsidR="007A5B13" w:rsidRPr="007A5B13" w:rsidTr="007A5B13">
        <w:trPr>
          <w:trHeight w:val="1747"/>
        </w:trPr>
        <w:tc>
          <w:tcPr>
            <w:tcW w:w="9062" w:type="dxa"/>
          </w:tcPr>
          <w:p w:rsidR="007A5B13" w:rsidRPr="007A5B13" w:rsidRDefault="007A5B13" w:rsidP="00D225C7">
            <w:pPr>
              <w:jc w:val="both"/>
              <w:rPr>
                <w:rFonts w:ascii="Times New Roman" w:hAnsi="Times New Roman" w:cs="Times New Roman"/>
                <w:b/>
                <w:sz w:val="24"/>
                <w:szCs w:val="24"/>
              </w:rPr>
            </w:pPr>
            <w:r w:rsidRPr="007A5B13">
              <w:rPr>
                <w:rFonts w:ascii="Times New Roman" w:hAnsi="Times New Roman" w:cs="Times New Roman"/>
                <w:b/>
                <w:sz w:val="24"/>
                <w:szCs w:val="24"/>
              </w:rPr>
              <w:t xml:space="preserve">Zmena % výšky odpočtu nákladov na výskum a vývoj bude znamenať významné zvýšenie položky, ktorá bude znižovať základ dane daňového subjektu, ktorý vykonáva podnikový výskum a vývoj. Na strane tohto daňového subjektu príde úsporou na dani k vytvoreniu dodatočných zdrojov, ktoré bude možné venovať na rozvoj podnikania. Maximálna dĺžka obdobia odpočtu sa predlžuje zo štyroch zdaňovacích období bezprostredne nasledujúcich po zdaňovacom období, v ktorom nárok na odpočet vznikol, na päť zdaňovacích období. Podporou podnikového výskumu a vývoja prichádza k rýchlejšiemu zavádzaniu moderných technológii a spôsobov výroby a tým </w:t>
            </w:r>
            <w:r w:rsidRPr="007A5B13">
              <w:rPr>
                <w:rFonts w:ascii="Times New Roman" w:hAnsi="Times New Roman" w:cs="Times New Roman"/>
                <w:b/>
                <w:sz w:val="24"/>
                <w:szCs w:val="24"/>
              </w:rPr>
              <w:lastRenderedPageBreak/>
              <w:t>aj k zvýšeniu efektívnosti výroby. Zároveň sa vytvára motivácia k zvýšeniu zamestnanosti v oblasti výskumu a vývoja.</w:t>
            </w:r>
          </w:p>
        </w:tc>
      </w:tr>
    </w:tbl>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p w:rsidR="007A5B13" w:rsidRDefault="007A5B13" w:rsidP="00EA543A">
      <w:pPr>
        <w:spacing w:after="0" w:line="240" w:lineRule="auto"/>
        <w:jc w:val="both"/>
        <w:rPr>
          <w:rFonts w:ascii="Times New Roman" w:hAnsi="Times New Roman" w:cs="Times New Roman"/>
          <w:b/>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951"/>
        <w:gridCol w:w="4687"/>
      </w:tblGrid>
      <w:tr w:rsidR="007A5B13" w:rsidRPr="00CD4982" w:rsidTr="007A5B13">
        <w:trPr>
          <w:trHeight w:val="759"/>
          <w:jc w:val="center"/>
        </w:trPr>
        <w:tc>
          <w:tcPr>
            <w:tcW w:w="5000" w:type="pct"/>
            <w:gridSpan w:val="3"/>
            <w:tcBorders>
              <w:top w:val="single" w:sz="4" w:space="0" w:color="auto"/>
              <w:bottom w:val="dotted" w:sz="4" w:space="0" w:color="auto"/>
            </w:tcBorders>
            <w:shd w:val="clear" w:color="auto" w:fill="auto"/>
          </w:tcPr>
          <w:p w:rsidR="007A5B13" w:rsidRPr="00A57582" w:rsidRDefault="007A5B13" w:rsidP="007A5B13">
            <w:pPr>
              <w:spacing w:after="0" w:line="240" w:lineRule="auto"/>
              <w:ind w:left="-284" w:firstLine="284"/>
              <w:jc w:val="center"/>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Analýza sociálnych vplyvov</w:t>
            </w:r>
          </w:p>
          <w:p w:rsidR="007A5B13" w:rsidRPr="00012826" w:rsidRDefault="007A5B13" w:rsidP="007A5B13">
            <w:pPr>
              <w:spacing w:after="0" w:line="240" w:lineRule="auto"/>
              <w:rPr>
                <w:rFonts w:ascii="Times New Roman" w:eastAsia="Calibri" w:hAnsi="Times New Roman" w:cs="Times New Roman"/>
                <w:sz w:val="20"/>
                <w:szCs w:val="20"/>
                <w:lang w:eastAsia="sk-SK"/>
              </w:rPr>
            </w:pPr>
            <w:r w:rsidRPr="00A57582">
              <w:rPr>
                <w:rFonts w:ascii="Times New Roman"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7A5B13" w:rsidRPr="00CD4982" w:rsidTr="007A5B13">
        <w:trPr>
          <w:trHeight w:val="759"/>
          <w:jc w:val="center"/>
        </w:trPr>
        <w:tc>
          <w:tcPr>
            <w:tcW w:w="5000" w:type="pct"/>
            <w:gridSpan w:val="3"/>
            <w:tcBorders>
              <w:top w:val="nil"/>
              <w:bottom w:val="dotted" w:sz="4" w:space="0" w:color="auto"/>
            </w:tcBorders>
            <w:shd w:val="clear" w:color="auto" w:fill="auto"/>
          </w:tcPr>
          <w:p w:rsidR="007A5B13" w:rsidRPr="00012826" w:rsidRDefault="007A5B13" w:rsidP="00D225C7">
            <w:pPr>
              <w:spacing w:after="0" w:line="240" w:lineRule="auto"/>
              <w:rPr>
                <w:rFonts w:ascii="Times New Roman" w:eastAsia="Calibri" w:hAnsi="Times New Roman" w:cs="Times New Roman"/>
                <w:sz w:val="20"/>
                <w:szCs w:val="20"/>
                <w:lang w:eastAsia="sk-SK"/>
              </w:rPr>
            </w:pPr>
            <w:r w:rsidRPr="00A57582">
              <w:rPr>
                <w:rFonts w:ascii="Times New Roman"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rsidR="007A5B13" w:rsidRPr="00CD4982" w:rsidTr="007A5B13">
        <w:trPr>
          <w:trHeight w:val="759"/>
          <w:jc w:val="center"/>
        </w:trPr>
        <w:tc>
          <w:tcPr>
            <w:tcW w:w="5000" w:type="pct"/>
            <w:gridSpan w:val="3"/>
            <w:tcBorders>
              <w:top w:val="nil"/>
              <w:bottom w:val="dotted" w:sz="4" w:space="0" w:color="auto"/>
            </w:tcBorders>
            <w:shd w:val="clear" w:color="auto" w:fill="auto"/>
          </w:tcPr>
          <w:p w:rsidR="007A5B13" w:rsidRPr="00A57582" w:rsidRDefault="007A5B13" w:rsidP="007A5B13">
            <w:pPr>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 xml:space="preserve">Vedie návrh k zvýšeniu alebo zníženiu príjmov alebo výdavkov domácností? </w:t>
            </w:r>
          </w:p>
          <w:p w:rsidR="007A5B13" w:rsidRPr="00A57582" w:rsidRDefault="007A5B13" w:rsidP="007A5B13">
            <w:pPr>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 xml:space="preserve">Ktoré skupiny domácností/obyvateľstva sú takto ovplyvnené a akým spôsobom? </w:t>
            </w:r>
          </w:p>
          <w:p w:rsidR="007A5B13" w:rsidRPr="00012826" w:rsidRDefault="007A5B13" w:rsidP="007A5B13">
            <w:pPr>
              <w:spacing w:after="0" w:line="240" w:lineRule="auto"/>
              <w:rPr>
                <w:rFonts w:ascii="Times New Roman" w:eastAsia="Calibri" w:hAnsi="Times New Roman" w:cs="Times New Roman"/>
                <w:sz w:val="20"/>
                <w:szCs w:val="20"/>
                <w:lang w:eastAsia="sk-SK"/>
              </w:rPr>
            </w:pPr>
            <w:r w:rsidRPr="00A57582">
              <w:rPr>
                <w:rFonts w:ascii="Times New Roman" w:hAnsi="Times New Roman" w:cs="Times New Roman"/>
                <w:b/>
                <w:sz w:val="24"/>
                <w:szCs w:val="24"/>
                <w:lang w:eastAsia="sk-SK"/>
              </w:rPr>
              <w:t>Sú medzi potenciálne ovplyvnenými skupinami skupiny v riziku chudoby alebo sociálneho vylúčenia?</w:t>
            </w:r>
          </w:p>
        </w:tc>
      </w:tr>
      <w:tr w:rsidR="007A5B13" w:rsidRPr="00CD4982" w:rsidTr="00D225C7">
        <w:trPr>
          <w:trHeight w:val="759"/>
          <w:jc w:val="center"/>
        </w:trPr>
        <w:tc>
          <w:tcPr>
            <w:tcW w:w="2500" w:type="pct"/>
            <w:gridSpan w:val="2"/>
            <w:tcBorders>
              <w:top w:val="nil"/>
              <w:bottom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 xml:space="preserve">Popíšte </w:t>
            </w:r>
            <w:r w:rsidRPr="007A5B13">
              <w:rPr>
                <w:rFonts w:ascii="Times New Roman" w:eastAsia="Calibri" w:hAnsi="Times New Roman" w:cs="Times New Roman"/>
                <w:b/>
                <w:i/>
                <w:sz w:val="24"/>
                <w:szCs w:val="24"/>
                <w:lang w:eastAsia="sk-SK"/>
              </w:rPr>
              <w:t>pozitívny</w:t>
            </w:r>
            <w:r w:rsidRPr="007A5B13">
              <w:rPr>
                <w:rFonts w:ascii="Times New Roman" w:eastAsia="Calibri" w:hAnsi="Times New Roman" w:cs="Times New Roman"/>
                <w:i/>
                <w:sz w:val="24"/>
                <w:szCs w:val="24"/>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Návrh zákona bude mať mierne pozitívny vplyv na sociálne prostredie, predovšetkým vďaka oslobodeniu nepeňažného plnenia, ktoré by malo mať pozitívny vplyv na disponibilné príjmy obyvateľstva.</w:t>
            </w:r>
          </w:p>
        </w:tc>
      </w:tr>
      <w:tr w:rsidR="007A5B13" w:rsidRPr="00CD4982" w:rsidTr="00D225C7">
        <w:trPr>
          <w:trHeight w:val="624"/>
          <w:jc w:val="center"/>
        </w:trPr>
        <w:tc>
          <w:tcPr>
            <w:tcW w:w="2500" w:type="pct"/>
            <w:gridSpan w:val="2"/>
            <w:tcBorders>
              <w:top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 xml:space="preserve">Špecifikujte </w:t>
            </w:r>
            <w:r w:rsidRPr="007A5B13">
              <w:rPr>
                <w:rFonts w:ascii="Times New Roman" w:eastAsia="Calibri" w:hAnsi="Times New Roman" w:cs="Times New Roman"/>
                <w:b/>
                <w:i/>
                <w:sz w:val="24"/>
                <w:szCs w:val="24"/>
                <w:lang w:eastAsia="sk-SK"/>
              </w:rPr>
              <w:t>pozitívne</w:t>
            </w:r>
            <w:r w:rsidRPr="007A5B13">
              <w:rPr>
                <w:rFonts w:ascii="Times New Roman" w:eastAsia="Calibri" w:hAnsi="Times New Roman" w:cs="Times New Roman"/>
                <w:i/>
                <w:sz w:val="24"/>
                <w:szCs w:val="24"/>
                <w:lang w:eastAsia="sk-SK"/>
              </w:rPr>
              <w:t xml:space="preserve"> ovplyvnené skupiny:</w:t>
            </w:r>
          </w:p>
        </w:tc>
        <w:tc>
          <w:tcPr>
            <w:tcW w:w="2500" w:type="pct"/>
            <w:tcBorders>
              <w:top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sz w:val="24"/>
                <w:szCs w:val="24"/>
                <w:lang w:eastAsia="sk-SK"/>
              </w:rPr>
              <w:t>1</w:t>
            </w:r>
            <w:r w:rsidRPr="007A5B13">
              <w:rPr>
                <w:rFonts w:ascii="Times New Roman" w:eastAsia="Calibri" w:hAnsi="Times New Roman" w:cs="Times New Roman"/>
                <w:b/>
                <w:sz w:val="24"/>
                <w:szCs w:val="24"/>
                <w:lang w:eastAsia="sk-SK"/>
              </w:rPr>
              <w:t xml:space="preserve">. Daňovníci, fyzické osoby - zamestnanci, ktorým zamestnávateľ poskytne plnenia oslobodené od dane z príjmov: </w:t>
            </w:r>
          </w:p>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  príspevok zo sociálneho fondu na preventívnu zdravotnú starostlivosť nad rámec zákona,</w:t>
            </w:r>
          </w:p>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 xml:space="preserve">- dopravu do zamestnania a späť, </w:t>
            </w:r>
          </w:p>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 ubytovanie (len ak prevažujúcou činnosťou zamestnávateľa je výroba vo viaczmennej prevádzke)</w:t>
            </w:r>
          </w:p>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 nepeňažné plnenie bez špecifikácie účelu v ustanovenej sume 500 eur.</w:t>
            </w:r>
          </w:p>
          <w:p w:rsidR="007A5B13" w:rsidRPr="007A5B13" w:rsidRDefault="007A5B13" w:rsidP="00D225C7">
            <w:pPr>
              <w:spacing w:after="0" w:line="240" w:lineRule="auto"/>
              <w:rPr>
                <w:rFonts w:ascii="Times New Roman" w:eastAsia="Calibri" w:hAnsi="Times New Roman" w:cs="Times New Roman"/>
                <w:b/>
                <w:sz w:val="24"/>
                <w:szCs w:val="24"/>
                <w:lang w:eastAsia="sk-SK"/>
              </w:rPr>
            </w:pPr>
          </w:p>
          <w:p w:rsidR="007A5B13" w:rsidRPr="007A5B13" w:rsidRDefault="007A5B13" w:rsidP="00D225C7">
            <w:pPr>
              <w:spacing w:after="0" w:line="240" w:lineRule="auto"/>
              <w:rPr>
                <w:rFonts w:ascii="Times New Roman" w:eastAsia="Calibri" w:hAnsi="Times New Roman" w:cs="Times New Roman"/>
                <w:sz w:val="24"/>
                <w:szCs w:val="24"/>
                <w:lang w:eastAsia="sk-SK"/>
              </w:rPr>
            </w:pPr>
            <w:r w:rsidRPr="007A5B13">
              <w:rPr>
                <w:rFonts w:ascii="Times New Roman" w:eastAsia="Calibri" w:hAnsi="Times New Roman" w:cs="Times New Roman"/>
                <w:b/>
                <w:sz w:val="24"/>
                <w:szCs w:val="24"/>
                <w:lang w:eastAsia="sk-SK"/>
              </w:rPr>
              <w:t>2. Daňovníci – fyzické osoby, ktorých schopnosť vykonávať doterajšiu činnosť v dôsledku úrazu klesla o viac ako 40 % a ktorým bolo poskytnuté jednorazové vysporiadanie odškodnenia budúcich poistných nárokov (ide o náhradu škody resp. náhradu za stratu na zárobku po skončení pracovnej neschopnosti), plynúcich z komerčného poistenia zodpovednosti za škodu.</w:t>
            </w:r>
          </w:p>
        </w:tc>
      </w:tr>
      <w:tr w:rsidR="007A5B13" w:rsidRPr="00CD4982" w:rsidTr="00D225C7">
        <w:trPr>
          <w:trHeight w:val="759"/>
          <w:jc w:val="center"/>
        </w:trPr>
        <w:tc>
          <w:tcPr>
            <w:tcW w:w="2500" w:type="pct"/>
            <w:gridSpan w:val="2"/>
            <w:tcBorders>
              <w:bottom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 xml:space="preserve">Popíšte </w:t>
            </w:r>
            <w:r w:rsidRPr="007A5B13">
              <w:rPr>
                <w:rFonts w:ascii="Times New Roman" w:eastAsia="Calibri" w:hAnsi="Times New Roman" w:cs="Times New Roman"/>
                <w:b/>
                <w:i/>
                <w:sz w:val="24"/>
                <w:szCs w:val="24"/>
                <w:lang w:eastAsia="sk-SK"/>
              </w:rPr>
              <w:t xml:space="preserve">negatívny </w:t>
            </w:r>
            <w:r w:rsidRPr="007A5B13">
              <w:rPr>
                <w:rFonts w:ascii="Times New Roman" w:eastAsia="Calibri" w:hAnsi="Times New Roman" w:cs="Times New Roman"/>
                <w:i/>
                <w:sz w:val="24"/>
                <w:szCs w:val="24"/>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sz w:val="24"/>
                <w:szCs w:val="24"/>
                <w:lang w:eastAsia="sk-SK"/>
              </w:rPr>
            </w:pPr>
          </w:p>
        </w:tc>
      </w:tr>
      <w:tr w:rsidR="007A5B13" w:rsidRPr="00CD4982" w:rsidTr="007A5B13">
        <w:trPr>
          <w:trHeight w:val="624"/>
          <w:jc w:val="center"/>
        </w:trPr>
        <w:tc>
          <w:tcPr>
            <w:tcW w:w="2500" w:type="pct"/>
            <w:gridSpan w:val="2"/>
            <w:tcBorders>
              <w:top w:val="dotted" w:sz="4" w:space="0" w:color="auto"/>
              <w:bottom w:val="single"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 xml:space="preserve">Špecifikujte </w:t>
            </w:r>
            <w:r w:rsidRPr="007A5B13">
              <w:rPr>
                <w:rFonts w:ascii="Times New Roman" w:eastAsia="Calibri" w:hAnsi="Times New Roman" w:cs="Times New Roman"/>
                <w:b/>
                <w:i/>
                <w:sz w:val="24"/>
                <w:szCs w:val="24"/>
                <w:lang w:eastAsia="sk-SK"/>
              </w:rPr>
              <w:t>negatívne</w:t>
            </w:r>
            <w:r w:rsidRPr="007A5B13">
              <w:rPr>
                <w:rFonts w:ascii="Times New Roman" w:eastAsia="Calibri" w:hAnsi="Times New Roman" w:cs="Times New Roman"/>
                <w:i/>
                <w:sz w:val="24"/>
                <w:szCs w:val="24"/>
                <w:lang w:eastAsia="sk-SK"/>
              </w:rPr>
              <w:t xml:space="preserve"> ovplyvnené skupiny:</w:t>
            </w:r>
          </w:p>
        </w:tc>
        <w:tc>
          <w:tcPr>
            <w:tcW w:w="2500" w:type="pct"/>
            <w:tcBorders>
              <w:top w:val="dotted" w:sz="4" w:space="0" w:color="auto"/>
              <w:bottom w:val="single" w:sz="4" w:space="0" w:color="auto"/>
            </w:tcBorders>
            <w:shd w:val="clear" w:color="auto" w:fill="auto"/>
          </w:tcPr>
          <w:p w:rsidR="007A5B13" w:rsidRPr="007A5B13" w:rsidRDefault="007A5B13" w:rsidP="00D225C7">
            <w:pPr>
              <w:spacing w:after="0" w:line="240" w:lineRule="auto"/>
              <w:rPr>
                <w:rFonts w:ascii="Times New Roman" w:eastAsia="Calibri" w:hAnsi="Times New Roman" w:cs="Times New Roman"/>
                <w:sz w:val="24"/>
                <w:szCs w:val="24"/>
                <w:lang w:eastAsia="sk-SK"/>
              </w:rPr>
            </w:pPr>
          </w:p>
        </w:tc>
      </w:tr>
      <w:tr w:rsidR="007A5B13" w:rsidRPr="00CD4982" w:rsidTr="007A5B13">
        <w:trPr>
          <w:trHeight w:val="680"/>
          <w:jc w:val="center"/>
        </w:trPr>
        <w:tc>
          <w:tcPr>
            <w:tcW w:w="2500" w:type="pct"/>
            <w:gridSpan w:val="2"/>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 xml:space="preserve">Špecifikujte ovplyvnené skupiny </w:t>
            </w:r>
            <w:r w:rsidRPr="007A5B13">
              <w:rPr>
                <w:rFonts w:ascii="Times New Roman" w:eastAsia="Calibri" w:hAnsi="Times New Roman" w:cs="Times New Roman"/>
                <w:b/>
                <w:i/>
                <w:sz w:val="24"/>
                <w:szCs w:val="24"/>
                <w:lang w:eastAsia="sk-SK"/>
              </w:rPr>
              <w:t>v riziku chudoby alebo sociálneho vylúčenia</w:t>
            </w:r>
            <w:r w:rsidRPr="007A5B13">
              <w:rPr>
                <w:rFonts w:ascii="Times New Roman" w:eastAsia="Calibri" w:hAnsi="Times New Roman" w:cs="Times New Roman"/>
                <w:i/>
                <w:sz w:val="24"/>
                <w:szCs w:val="24"/>
                <w:lang w:eastAsia="sk-SK"/>
              </w:rPr>
              <w:t xml:space="preserve"> a popíšte vplyv:</w:t>
            </w:r>
          </w:p>
        </w:tc>
        <w:tc>
          <w:tcPr>
            <w:tcW w:w="2500" w:type="pct"/>
            <w:shd w:val="clear" w:color="auto" w:fill="auto"/>
          </w:tcPr>
          <w:p w:rsidR="007A5B13" w:rsidRPr="007A5B13" w:rsidRDefault="007A5B13" w:rsidP="00D225C7">
            <w:pPr>
              <w:spacing w:after="0" w:line="240" w:lineRule="auto"/>
              <w:rPr>
                <w:rFonts w:ascii="Times New Roman" w:eastAsia="Calibri" w:hAnsi="Times New Roman" w:cs="Times New Roman"/>
                <w:b/>
                <w:sz w:val="24"/>
                <w:szCs w:val="24"/>
                <w:lang w:eastAsia="sk-SK"/>
              </w:rPr>
            </w:pPr>
            <w:r w:rsidRPr="007A5B13">
              <w:rPr>
                <w:rFonts w:ascii="Times New Roman" w:eastAsia="Calibri" w:hAnsi="Times New Roman" w:cs="Times New Roman"/>
                <w:b/>
                <w:sz w:val="24"/>
                <w:szCs w:val="24"/>
                <w:lang w:eastAsia="sk-SK"/>
              </w:rPr>
              <w:t xml:space="preserve">Ľudia so zdravotným postihnutím, ktorí v dôsledku úrazu nemôžu, resp. môžu len </w:t>
            </w:r>
            <w:r w:rsidRPr="007A5B13">
              <w:rPr>
                <w:rFonts w:ascii="Times New Roman" w:eastAsia="Calibri" w:hAnsi="Times New Roman" w:cs="Times New Roman"/>
                <w:b/>
                <w:sz w:val="24"/>
                <w:szCs w:val="24"/>
                <w:lang w:eastAsia="sk-SK"/>
              </w:rPr>
              <w:lastRenderedPageBreak/>
              <w:t>v obmedzenej miere, vykonávať zárobkovú činnosť.</w:t>
            </w:r>
          </w:p>
          <w:p w:rsidR="007A5B13" w:rsidRPr="007A5B13" w:rsidRDefault="007A5B13" w:rsidP="00D225C7">
            <w:pPr>
              <w:spacing w:after="0" w:line="240" w:lineRule="auto"/>
              <w:rPr>
                <w:rFonts w:ascii="Times New Roman" w:eastAsia="Calibri" w:hAnsi="Times New Roman" w:cs="Times New Roman"/>
                <w:b/>
                <w:sz w:val="24"/>
                <w:szCs w:val="24"/>
                <w:lang w:eastAsia="sk-SK"/>
              </w:rPr>
            </w:pPr>
          </w:p>
          <w:p w:rsidR="007A5B13" w:rsidRPr="007A5B13" w:rsidRDefault="007A5B13" w:rsidP="00D225C7">
            <w:pPr>
              <w:spacing w:after="0" w:line="240" w:lineRule="auto"/>
              <w:rPr>
                <w:rFonts w:ascii="Times New Roman" w:eastAsia="Calibri" w:hAnsi="Times New Roman" w:cs="Times New Roman"/>
                <w:sz w:val="24"/>
                <w:szCs w:val="24"/>
                <w:lang w:eastAsia="sk-SK"/>
              </w:rPr>
            </w:pPr>
            <w:r w:rsidRPr="007A5B13">
              <w:rPr>
                <w:rFonts w:ascii="Times New Roman" w:eastAsia="Calibri" w:hAnsi="Times New Roman" w:cs="Times New Roman"/>
                <w:b/>
                <w:sz w:val="24"/>
                <w:szCs w:val="24"/>
                <w:lang w:eastAsia="sk-SK"/>
              </w:rPr>
              <w:t>Sociálne slabšie skupiny ľudí, ktorí budú mať viac príležitostí bezodplatného prístupu k potravinám, ktorým exspirovala doba použiteľnosti.</w:t>
            </w:r>
          </w:p>
        </w:tc>
      </w:tr>
      <w:tr w:rsidR="007A5B13" w:rsidRPr="00CD4982" w:rsidTr="007A5B13">
        <w:trPr>
          <w:trHeight w:val="680"/>
          <w:jc w:val="center"/>
        </w:trPr>
        <w:tc>
          <w:tcPr>
            <w:tcW w:w="5000" w:type="pct"/>
            <w:gridSpan w:val="3"/>
            <w:tcBorders>
              <w:bottom w:val="single" w:sz="4" w:space="0" w:color="auto"/>
            </w:tcBorders>
            <w:shd w:val="clear" w:color="auto" w:fill="auto"/>
          </w:tcPr>
          <w:p w:rsidR="007A5B13" w:rsidRPr="007A5B13" w:rsidRDefault="007A5B13" w:rsidP="007A5B13">
            <w:pPr>
              <w:spacing w:after="0" w:line="240" w:lineRule="auto"/>
              <w:jc w:val="both"/>
              <w:rPr>
                <w:rFonts w:ascii="Times New Roman" w:hAnsi="Times New Roman" w:cs="Times New Roman"/>
                <w:i/>
                <w:sz w:val="24"/>
                <w:szCs w:val="24"/>
                <w:lang w:eastAsia="sk-SK"/>
              </w:rPr>
            </w:pPr>
            <w:r w:rsidRPr="007A5B13">
              <w:rPr>
                <w:rFonts w:ascii="Times New Roman" w:hAnsi="Times New Roman" w:cs="Times New Roman"/>
                <w:i/>
                <w:sz w:val="24"/>
                <w:szCs w:val="24"/>
                <w:lang w:eastAsia="sk-SK"/>
              </w:rPr>
              <w:lastRenderedPageBreak/>
              <w:t>Kvantifikujte rast alebo pokles príjmov/výdavkov za jednotliv</w:t>
            </w:r>
            <w:r w:rsidRPr="007A5B13">
              <w:rPr>
                <w:rFonts w:ascii="Times New Roman" w:hAnsi="Times New Roman" w:cs="Times New Roman"/>
                <w:i/>
                <w:sz w:val="24"/>
                <w:szCs w:val="24"/>
                <w:lang w:eastAsia="sk-SK"/>
              </w:rPr>
              <w:t>é ovplyvnené skupiny domácností</w:t>
            </w:r>
            <w:r w:rsidRPr="007A5B13">
              <w:rPr>
                <w:rFonts w:ascii="Times New Roman" w:hAnsi="Times New Roman" w:cs="Times New Roman"/>
                <w:i/>
                <w:sz w:val="24"/>
                <w:szCs w:val="24"/>
                <w:lang w:eastAsia="sk-SK"/>
              </w:rPr>
              <w:t>/skupiny jednotlivcov a počet obyvateľstva/domácností ovplyvnených predkladaným materiálom.</w:t>
            </w:r>
          </w:p>
          <w:p w:rsidR="007A5B13" w:rsidRPr="007A5B13" w:rsidRDefault="007A5B13" w:rsidP="007A5B13">
            <w:pPr>
              <w:spacing w:after="0" w:line="240" w:lineRule="auto"/>
              <w:jc w:val="both"/>
              <w:rPr>
                <w:rFonts w:ascii="Times New Roman" w:hAnsi="Times New Roman" w:cs="Times New Roman"/>
                <w:i/>
                <w:sz w:val="24"/>
                <w:szCs w:val="24"/>
                <w:lang w:eastAsia="sk-SK"/>
              </w:rPr>
            </w:pPr>
            <w:r w:rsidRPr="007A5B13">
              <w:rPr>
                <w:rFonts w:ascii="Times New Roman" w:hAnsi="Times New Roman" w:cs="Times New Roman"/>
                <w:i/>
                <w:sz w:val="24"/>
                <w:szCs w:val="24"/>
                <w:lang w:eastAsia="sk-SK"/>
              </w:rPr>
              <w:t>V prípade vyššieho počtu ovplyvnených skupín doplňte do tabuľky ďalšie riadky.</w:t>
            </w:r>
          </w:p>
          <w:p w:rsidR="007A5B13" w:rsidRPr="007A5B13" w:rsidRDefault="007A5B13" w:rsidP="007A5B13">
            <w:pPr>
              <w:spacing w:after="0" w:line="240" w:lineRule="auto"/>
              <w:rPr>
                <w:rFonts w:ascii="Times New Roman" w:eastAsia="Calibri" w:hAnsi="Times New Roman" w:cs="Times New Roman"/>
                <w:sz w:val="24"/>
                <w:szCs w:val="24"/>
                <w:lang w:eastAsia="sk-SK"/>
              </w:rPr>
            </w:pPr>
            <w:r w:rsidRPr="007A5B13">
              <w:rPr>
                <w:rFonts w:ascii="Times New Roman" w:hAnsi="Times New Roman" w:cs="Times New Roman"/>
                <w:i/>
                <w:sz w:val="24"/>
                <w:szCs w:val="24"/>
                <w:lang w:eastAsia="sk-SK"/>
              </w:rPr>
              <w:t>V prípade, ak neuvádzate kvantifikáciu, uveďte dôvod.</w:t>
            </w:r>
          </w:p>
        </w:tc>
      </w:tr>
      <w:tr w:rsidR="007A5B13" w:rsidRPr="00CD4982" w:rsidTr="007A5B13">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A5B13" w:rsidRPr="007A5B13" w:rsidRDefault="007A5B13" w:rsidP="00D225C7">
            <w:pPr>
              <w:spacing w:after="0" w:line="240" w:lineRule="auto"/>
              <w:jc w:val="both"/>
              <w:rPr>
                <w:rFonts w:ascii="Times New Roman" w:hAnsi="Times New Roman" w:cs="Times New Roman"/>
                <w:i/>
                <w:sz w:val="24"/>
                <w:szCs w:val="24"/>
                <w:lang w:eastAsia="sk-SK"/>
              </w:rPr>
            </w:pPr>
            <w:r w:rsidRPr="007A5B13">
              <w:rPr>
                <w:rFonts w:ascii="Times New Roman" w:hAnsi="Times New Roman" w:cs="Times New Roman"/>
                <w:i/>
                <w:sz w:val="24"/>
                <w:szCs w:val="24"/>
                <w:lang w:eastAsia="sk-SK"/>
              </w:rPr>
              <w:t>Ovplyvnená skupina č. 1:</w:t>
            </w:r>
          </w:p>
        </w:tc>
      </w:tr>
      <w:tr w:rsidR="007A5B13" w:rsidRPr="00CD4982" w:rsidTr="00F018BF">
        <w:trPr>
          <w:trHeight w:val="503"/>
          <w:jc w:val="center"/>
        </w:trPr>
        <w:tc>
          <w:tcPr>
            <w:tcW w:w="2500" w:type="pct"/>
            <w:gridSpan w:val="2"/>
            <w:tcBorders>
              <w:bottom w:val="single" w:sz="4" w:space="0" w:color="BFBFBF" w:themeColor="background1" w:themeShade="BF"/>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7A5B13" w:rsidRPr="00F018BF" w:rsidRDefault="007A5B13" w:rsidP="00D225C7">
            <w:pPr>
              <w:spacing w:after="0" w:line="240" w:lineRule="auto"/>
              <w:jc w:val="both"/>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Ide o opatrenia, ktoré v aplikačnej praxi zamestnávatelia môžu, ale nemusia uplatniť. Z toho dôvodu nie je možné vyčísliť priemerný rast príjmov v tejto skupine.</w:t>
            </w:r>
          </w:p>
        </w:tc>
      </w:tr>
      <w:tr w:rsidR="007A5B13" w:rsidRPr="00CD4982" w:rsidTr="00F018BF">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7A5B13" w:rsidRPr="007A5B13" w:rsidRDefault="007A5B13" w:rsidP="00D225C7">
            <w:pPr>
              <w:spacing w:after="0" w:line="240" w:lineRule="auto"/>
              <w:rPr>
                <w:rFonts w:ascii="Calibri" w:eastAsia="Calibri" w:hAnsi="Calibri" w:cs="Times New Roman"/>
                <w:i/>
                <w:sz w:val="24"/>
                <w:szCs w:val="24"/>
                <w:lang w:eastAsia="sk-SK"/>
              </w:rPr>
            </w:pPr>
            <w:r w:rsidRPr="007A5B13">
              <w:rPr>
                <w:rFonts w:ascii="Times New Roman" w:eastAsia="Calibri" w:hAnsi="Times New Roman" w:cs="Times New Roman"/>
                <w:i/>
                <w:sz w:val="24"/>
                <w:szCs w:val="24"/>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363"/>
          <w:jc w:val="center"/>
        </w:trPr>
        <w:tc>
          <w:tcPr>
            <w:tcW w:w="2500" w:type="pct"/>
            <w:gridSpan w:val="2"/>
            <w:tcBorders>
              <w:top w:val="single" w:sz="4" w:space="0" w:color="BFBFBF" w:themeColor="background1" w:themeShade="BF"/>
              <w:bottom w:val="single" w:sz="4" w:space="0" w:color="auto"/>
            </w:tcBorders>
            <w:shd w:val="clear" w:color="auto" w:fill="auto"/>
          </w:tcPr>
          <w:p w:rsidR="007A5B13" w:rsidRPr="007A5B13" w:rsidRDefault="007A5B13" w:rsidP="00D225C7">
            <w:pPr>
              <w:spacing w:after="0" w:line="240" w:lineRule="auto"/>
              <w:rPr>
                <w:rFonts w:ascii="Calibri" w:eastAsia="Calibri" w:hAnsi="Calibri" w:cs="Times New Roman"/>
                <w:i/>
                <w:sz w:val="24"/>
                <w:szCs w:val="24"/>
                <w:lang w:eastAsia="sk-SK"/>
              </w:rPr>
            </w:pPr>
            <w:r w:rsidRPr="007A5B13">
              <w:rPr>
                <w:rFonts w:ascii="Times New Roman" w:eastAsia="Calibri" w:hAnsi="Times New Roman" w:cs="Times New Roman"/>
                <w:i/>
                <w:sz w:val="24"/>
                <w:szCs w:val="24"/>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265"/>
          <w:jc w:val="center"/>
        </w:trPr>
        <w:tc>
          <w:tcPr>
            <w:tcW w:w="5000" w:type="pct"/>
            <w:gridSpan w:val="3"/>
            <w:tcBorders>
              <w:top w:val="single" w:sz="4" w:space="0" w:color="auto"/>
            </w:tcBorders>
            <w:shd w:val="clear" w:color="auto" w:fill="auto"/>
          </w:tcPr>
          <w:p w:rsidR="007A5B13" w:rsidRPr="007A5B13" w:rsidRDefault="007A5B13" w:rsidP="00D225C7">
            <w:pPr>
              <w:spacing w:after="0" w:line="240" w:lineRule="auto"/>
              <w:jc w:val="both"/>
              <w:rPr>
                <w:rFonts w:ascii="Times New Roman" w:eastAsia="Calibri" w:hAnsi="Times New Roman" w:cs="Times New Roman"/>
                <w:i/>
                <w:sz w:val="24"/>
                <w:szCs w:val="24"/>
                <w:lang w:eastAsia="sk-SK"/>
              </w:rPr>
            </w:pPr>
            <w:r w:rsidRPr="007A5B13">
              <w:rPr>
                <w:rFonts w:ascii="Times New Roman" w:eastAsia="Calibri" w:hAnsi="Times New Roman" w:cs="Times New Roman"/>
                <w:b/>
                <w:i/>
                <w:sz w:val="24"/>
                <w:szCs w:val="24"/>
                <w:lang w:eastAsia="sk-SK"/>
              </w:rPr>
              <w:t>Ovplyvnená skupina č. 2:</w:t>
            </w:r>
          </w:p>
        </w:tc>
      </w:tr>
      <w:tr w:rsidR="007A5B13" w:rsidRPr="00CD4982" w:rsidTr="00F018BF">
        <w:trPr>
          <w:trHeight w:val="587"/>
          <w:jc w:val="center"/>
        </w:trPr>
        <w:tc>
          <w:tcPr>
            <w:tcW w:w="2500" w:type="pct"/>
            <w:gridSpan w:val="2"/>
            <w:tcBorders>
              <w:bottom w:val="single" w:sz="4" w:space="0" w:color="BFBFBF" w:themeColor="background1" w:themeShade="BF"/>
            </w:tcBorders>
            <w:shd w:val="clear" w:color="auto" w:fill="auto"/>
          </w:tcPr>
          <w:p w:rsidR="007A5B13" w:rsidRPr="007A5B13" w:rsidRDefault="007A5B13" w:rsidP="00D225C7">
            <w:pPr>
              <w:spacing w:after="0" w:line="240" w:lineRule="auto"/>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7A5B13" w:rsidRPr="007A5B13" w:rsidRDefault="007A5B13" w:rsidP="00D225C7">
            <w:pPr>
              <w:spacing w:after="0" w:line="240" w:lineRule="auto"/>
              <w:rPr>
                <w:rFonts w:ascii="Calibri" w:eastAsia="Calibri" w:hAnsi="Calibri" w:cs="Times New Roman"/>
                <w:i/>
                <w:sz w:val="24"/>
                <w:szCs w:val="24"/>
                <w:lang w:eastAsia="sk-SK"/>
              </w:rPr>
            </w:pPr>
            <w:r w:rsidRPr="007A5B13">
              <w:rPr>
                <w:rFonts w:ascii="Times New Roman" w:eastAsia="Calibri" w:hAnsi="Times New Roman" w:cs="Times New Roman"/>
                <w:i/>
                <w:sz w:val="24"/>
                <w:szCs w:val="24"/>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363"/>
          <w:jc w:val="center"/>
        </w:trPr>
        <w:tc>
          <w:tcPr>
            <w:tcW w:w="2500" w:type="pct"/>
            <w:gridSpan w:val="2"/>
            <w:tcBorders>
              <w:top w:val="single" w:sz="4" w:space="0" w:color="BFBFBF" w:themeColor="background1" w:themeShade="BF"/>
            </w:tcBorders>
            <w:shd w:val="clear" w:color="auto" w:fill="auto"/>
          </w:tcPr>
          <w:p w:rsidR="007A5B13" w:rsidRPr="007A5B13" w:rsidRDefault="007A5B13" w:rsidP="00D225C7">
            <w:pPr>
              <w:spacing w:after="0" w:line="240" w:lineRule="auto"/>
              <w:rPr>
                <w:rFonts w:ascii="Calibri" w:eastAsia="Calibri" w:hAnsi="Calibri" w:cs="Times New Roman"/>
                <w:i/>
                <w:sz w:val="24"/>
                <w:szCs w:val="24"/>
                <w:lang w:eastAsia="sk-SK"/>
              </w:rPr>
            </w:pPr>
            <w:r w:rsidRPr="007A5B13">
              <w:rPr>
                <w:rFonts w:ascii="Times New Roman" w:eastAsia="Calibri" w:hAnsi="Times New Roman" w:cs="Times New Roman"/>
                <w:i/>
                <w:sz w:val="24"/>
                <w:szCs w:val="24"/>
                <w:lang w:eastAsia="sk-SK"/>
              </w:rPr>
              <w:t>Veľkosť skupiny (počet obyvateľov):</w:t>
            </w:r>
          </w:p>
        </w:tc>
        <w:tc>
          <w:tcPr>
            <w:tcW w:w="2500" w:type="pct"/>
            <w:tcBorders>
              <w:top w:val="single" w:sz="4" w:space="0" w:color="BFBFBF" w:themeColor="background1" w:themeShade="BF"/>
            </w:tcBorders>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670"/>
          <w:jc w:val="center"/>
        </w:trPr>
        <w:tc>
          <w:tcPr>
            <w:tcW w:w="2500" w:type="pct"/>
            <w:gridSpan w:val="2"/>
            <w:shd w:val="clear" w:color="auto" w:fill="auto"/>
          </w:tcPr>
          <w:p w:rsidR="007A5B13" w:rsidRPr="007A5B13" w:rsidRDefault="007A5B13" w:rsidP="00D225C7">
            <w:pPr>
              <w:spacing w:after="0" w:line="240" w:lineRule="auto"/>
              <w:rPr>
                <w:rFonts w:ascii="Calibri" w:eastAsia="Calibri" w:hAnsi="Calibri" w:cs="Times New Roman"/>
                <w:i/>
                <w:sz w:val="24"/>
                <w:szCs w:val="24"/>
                <w:lang w:eastAsia="sk-SK"/>
              </w:rPr>
            </w:pPr>
            <w:r w:rsidRPr="007A5B13">
              <w:rPr>
                <w:rFonts w:ascii="Times New Roman" w:eastAsia="Calibri" w:hAnsi="Times New Roman" w:cs="Times New Roman"/>
                <w:i/>
                <w:sz w:val="24"/>
                <w:szCs w:val="24"/>
                <w:lang w:eastAsia="sk-SK"/>
              </w:rPr>
              <w:t>Dôvod chýbajúcej kvantifikácie:</w:t>
            </w:r>
          </w:p>
        </w:tc>
        <w:tc>
          <w:tcPr>
            <w:tcW w:w="2500" w:type="pct"/>
            <w:shd w:val="clear" w:color="auto" w:fill="auto"/>
          </w:tcPr>
          <w:p w:rsidR="007A5B13" w:rsidRPr="007A5B13" w:rsidRDefault="007A5B13" w:rsidP="00D225C7">
            <w:pPr>
              <w:spacing w:after="0" w:line="240" w:lineRule="auto"/>
              <w:jc w:val="both"/>
              <w:rPr>
                <w:rFonts w:ascii="Times New Roman" w:eastAsia="Calibri" w:hAnsi="Times New Roman" w:cs="Times New Roman"/>
                <w:sz w:val="24"/>
                <w:szCs w:val="24"/>
                <w:lang w:eastAsia="sk-SK"/>
              </w:rPr>
            </w:pPr>
          </w:p>
        </w:tc>
      </w:tr>
      <w:tr w:rsidR="007A5B13" w:rsidRPr="00CD4982" w:rsidTr="00F018BF">
        <w:trPr>
          <w:trHeight w:val="670"/>
          <w:jc w:val="center"/>
        </w:trPr>
        <w:tc>
          <w:tcPr>
            <w:tcW w:w="2500" w:type="pct"/>
            <w:gridSpan w:val="2"/>
            <w:shd w:val="clear" w:color="auto" w:fill="auto"/>
          </w:tcPr>
          <w:p w:rsidR="007A5B13" w:rsidRPr="007A5B13" w:rsidRDefault="007A5B13" w:rsidP="00D225C7">
            <w:pPr>
              <w:spacing w:after="0" w:line="240" w:lineRule="auto"/>
              <w:jc w:val="both"/>
              <w:rPr>
                <w:rFonts w:ascii="Times New Roman" w:eastAsia="Calibri" w:hAnsi="Times New Roman" w:cs="Times New Roman"/>
                <w:i/>
                <w:sz w:val="24"/>
                <w:szCs w:val="24"/>
                <w:lang w:eastAsia="sk-SK"/>
              </w:rPr>
            </w:pPr>
            <w:r w:rsidRPr="007A5B13">
              <w:rPr>
                <w:rFonts w:ascii="Times New Roman" w:eastAsia="Calibri" w:hAnsi="Times New Roman" w:cs="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7A5B13" w:rsidRPr="00F018BF" w:rsidRDefault="007A5B13" w:rsidP="00D225C7">
            <w:pPr>
              <w:spacing w:after="0" w:line="240" w:lineRule="auto"/>
              <w:jc w:val="both"/>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 xml:space="preserve">U fyzických osôb, ktorých schopnosť vykonávať doterajšiu činnosť v dôsledku úrazu klesla o viac ako 40 % a ktorým bolo poskytnuté jednorazové vysporiadanie odškodnenia budúcich poistných nárokov dochádza k rastu ich čistého </w:t>
            </w:r>
            <w:proofErr w:type="spellStart"/>
            <w:r w:rsidRPr="00F018BF">
              <w:rPr>
                <w:rFonts w:ascii="Times New Roman" w:eastAsia="Calibri" w:hAnsi="Times New Roman" w:cs="Times New Roman"/>
                <w:b/>
                <w:sz w:val="24"/>
                <w:szCs w:val="24"/>
                <w:lang w:eastAsia="sk-SK"/>
              </w:rPr>
              <w:t>diponibilného</w:t>
            </w:r>
            <w:proofErr w:type="spellEnd"/>
            <w:r w:rsidRPr="00F018BF">
              <w:rPr>
                <w:rFonts w:ascii="Times New Roman" w:eastAsia="Calibri" w:hAnsi="Times New Roman" w:cs="Times New Roman"/>
                <w:b/>
                <w:sz w:val="24"/>
                <w:szCs w:val="24"/>
                <w:lang w:eastAsia="sk-SK"/>
              </w:rPr>
              <w:t xml:space="preserve"> príjmu vzhľadom na zvýšenie pôvodnej sumy oslobodenej od dane z príjmu vo výške nezdaniteľnej časti základu dane na daňovníka, na jej násobok v závislosti od počtu rokov, na ktoré sa jednorazové vysporiadanie poskytuje, najviac v sume    20 000 eur.</w:t>
            </w:r>
          </w:p>
          <w:p w:rsidR="007A5B13" w:rsidRPr="007A5B13" w:rsidRDefault="007A5B13" w:rsidP="00D225C7">
            <w:pPr>
              <w:spacing w:after="0" w:line="240" w:lineRule="auto"/>
              <w:jc w:val="both"/>
              <w:rPr>
                <w:rFonts w:ascii="Times New Roman" w:eastAsia="Calibri" w:hAnsi="Times New Roman" w:cs="Times New Roman"/>
                <w:color w:val="FF0000"/>
                <w:sz w:val="24"/>
                <w:szCs w:val="24"/>
                <w:lang w:eastAsia="sk-SK"/>
              </w:rPr>
            </w:pPr>
          </w:p>
          <w:p w:rsidR="007A5B13" w:rsidRPr="00F018BF" w:rsidRDefault="007A5B13" w:rsidP="00D225C7">
            <w:pPr>
              <w:spacing w:after="0" w:line="240" w:lineRule="auto"/>
              <w:jc w:val="both"/>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Vzhľadom na to, že ide o opatrenie, ktoré v aplikačnej praxi títo daňovníci môžu, ale nemusia uplatniť a zároveň je nemožné uviesť počet takýchto situácií, nie je možné vyčísliť priemerný rast príjmov v tejto skupine.</w:t>
            </w:r>
          </w:p>
        </w:tc>
      </w:tr>
      <w:tr w:rsidR="00F018BF" w:rsidRPr="00CD4982" w:rsidTr="00F018BF">
        <w:trPr>
          <w:trHeight w:val="670"/>
          <w:jc w:val="center"/>
        </w:trPr>
        <w:tc>
          <w:tcPr>
            <w:tcW w:w="5000" w:type="pct"/>
            <w:gridSpan w:val="3"/>
            <w:shd w:val="clear" w:color="auto" w:fill="auto"/>
          </w:tcPr>
          <w:p w:rsidR="00F018BF" w:rsidRPr="00F018BF" w:rsidRDefault="00F018BF" w:rsidP="00F018BF">
            <w:pPr>
              <w:spacing w:after="0" w:line="240" w:lineRule="auto"/>
              <w:rPr>
                <w:rFonts w:ascii="Times New Roman" w:hAnsi="Times New Roman" w:cs="Times New Roman"/>
                <w:b/>
                <w:sz w:val="24"/>
                <w:szCs w:val="24"/>
                <w:lang w:eastAsia="sk-SK"/>
              </w:rPr>
            </w:pPr>
            <w:r w:rsidRPr="00F018BF">
              <w:rPr>
                <w:rFonts w:ascii="Times New Roman"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F018BF" w:rsidRPr="00CD4982" w:rsidTr="00F018BF">
        <w:trPr>
          <w:trHeight w:val="670"/>
          <w:jc w:val="center"/>
        </w:trPr>
        <w:tc>
          <w:tcPr>
            <w:tcW w:w="5000" w:type="pct"/>
            <w:gridSpan w:val="3"/>
            <w:tcBorders>
              <w:bottom w:val="single" w:sz="4" w:space="0" w:color="auto"/>
            </w:tcBorders>
            <w:shd w:val="clear" w:color="auto" w:fill="auto"/>
          </w:tcPr>
          <w:p w:rsidR="00F018BF" w:rsidRPr="00F018BF" w:rsidRDefault="00F018BF" w:rsidP="00F018BF">
            <w:pPr>
              <w:spacing w:after="0" w:line="240" w:lineRule="auto"/>
              <w:jc w:val="both"/>
              <w:rPr>
                <w:rFonts w:ascii="Times New Roman" w:hAnsi="Times New Roman" w:cs="Times New Roman"/>
                <w:i/>
                <w:sz w:val="24"/>
                <w:szCs w:val="24"/>
                <w:lang w:eastAsia="sk-SK"/>
              </w:rPr>
            </w:pPr>
            <w:r w:rsidRPr="00F018BF">
              <w:rPr>
                <w:rFonts w:ascii="Times New Roman" w:hAnsi="Times New Roman" w:cs="Times New Roman"/>
                <w:i/>
                <w:sz w:val="24"/>
                <w:szCs w:val="24"/>
                <w:lang w:eastAsia="sk-SK"/>
              </w:rPr>
              <w:t xml:space="preserve">Má návrh vplyv na prístup k zdrojom, právam, tovarom a službám? </w:t>
            </w:r>
          </w:p>
          <w:p w:rsidR="00F018BF" w:rsidRPr="00F018BF" w:rsidRDefault="00F018BF" w:rsidP="00F018BF">
            <w:pPr>
              <w:spacing w:after="0" w:line="240" w:lineRule="auto"/>
              <w:jc w:val="both"/>
              <w:rPr>
                <w:rFonts w:ascii="Times New Roman" w:hAnsi="Times New Roman" w:cs="Times New Roman"/>
                <w:i/>
                <w:sz w:val="24"/>
                <w:szCs w:val="24"/>
                <w:lang w:eastAsia="sk-SK"/>
              </w:rPr>
            </w:pPr>
            <w:r w:rsidRPr="00F018BF">
              <w:rPr>
                <w:rFonts w:ascii="Times New Roman" w:hAnsi="Times New Roman" w:cs="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F018BF" w:rsidRPr="00CD4982" w:rsidTr="00F018BF">
        <w:tblPrEx>
          <w:tblBorders>
            <w:top w:val="none" w:sz="0" w:space="0" w:color="auto"/>
            <w:bottom w:val="none" w:sz="0" w:space="0" w:color="auto"/>
          </w:tblBorders>
        </w:tblPrEx>
        <w:trPr>
          <w:trHeight w:val="557"/>
          <w:jc w:val="center"/>
        </w:trPr>
        <w:tc>
          <w:tcPr>
            <w:tcW w:w="1993" w:type="pct"/>
            <w:tcBorders>
              <w:top w:val="single" w:sz="4" w:space="0" w:color="auto"/>
              <w:bottom w:val="single" w:sz="4" w:space="0" w:color="auto"/>
            </w:tcBorders>
            <w:shd w:val="clear" w:color="auto" w:fill="auto"/>
          </w:tcPr>
          <w:p w:rsidR="00F018BF" w:rsidRPr="00F018BF" w:rsidRDefault="00F018BF" w:rsidP="00D225C7">
            <w:p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Rozumie sa najmä na prístup k:</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 xml:space="preserve">sociálnej ochrane, sociálno-právnej ochrane, sociálnym službám (vrátane služieb starostlivosti o deti, starších ľudí a ľudí so zdravotným postihnutím), </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kvalitnej práci, ochrane zdravia, dôstojnosti a bezpečnosti pri práci pre zamestnancov a existujúcim zamestnaneckým právam,</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 xml:space="preserve">pomoci pri úhrade výdavkov súvisiacich so zdravotným postihnutím, </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zamestnaniu, na trh práce (napr. uľahčenie zosúladenia rodinných a pracovných povinností, služby zamestnanosti), k školeniam, odbornému vzdelávaniu a príprave na trh práce,</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 xml:space="preserve">zdravotnej starostlivosti vrátane cenovo dostupných pomôcok pre občanov so zdravotným postihnutím, </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k formálnemu i neformálnemu vzdelávaniu a celo</w:t>
            </w:r>
            <w:r w:rsidRPr="00F018BF">
              <w:rPr>
                <w:rFonts w:ascii="Times New Roman" w:eastAsia="Calibri" w:hAnsi="Times New Roman" w:cs="Times New Roman"/>
                <w:i/>
                <w:sz w:val="24"/>
                <w:szCs w:val="24"/>
                <w:lang w:eastAsia="sk-SK"/>
              </w:rPr>
              <w:softHyphen/>
              <w:t xml:space="preserve">životnému vzdelávaniu, </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bývaniu a súvisiacim základným komunálnym službám,</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doprave,</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ďalším službám najmä službám všeobecného záujmu a tovarom,</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spravodlivosti, právnej ochrane, právnym službám,</w:t>
            </w:r>
          </w:p>
          <w:p w:rsidR="00F018BF" w:rsidRPr="00F018BF" w:rsidRDefault="00F018BF" w:rsidP="00F018BF">
            <w:pPr>
              <w:numPr>
                <w:ilvl w:val="0"/>
                <w:numId w:val="29"/>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lastRenderedPageBreak/>
              <w:t>informáciám</w:t>
            </w:r>
          </w:p>
          <w:p w:rsidR="00F018BF" w:rsidRPr="00F018BF" w:rsidRDefault="00F018BF" w:rsidP="00F018BF">
            <w:pPr>
              <w:numPr>
                <w:ilvl w:val="0"/>
                <w:numId w:val="29"/>
              </w:numPr>
              <w:spacing w:after="0" w:line="240" w:lineRule="auto"/>
              <w:jc w:val="both"/>
              <w:rPr>
                <w:rFonts w:ascii="Calibri" w:eastAsia="Calibri" w:hAnsi="Calibri" w:cs="Times New Roman"/>
                <w:i/>
                <w:sz w:val="24"/>
                <w:szCs w:val="24"/>
                <w:lang w:eastAsia="sk-SK"/>
              </w:rPr>
            </w:pPr>
            <w:r w:rsidRPr="00F018BF">
              <w:rPr>
                <w:rFonts w:ascii="Times New Roman" w:eastAsia="Calibri" w:hAnsi="Times New Roman" w:cs="Times New Roman"/>
                <w:i/>
                <w:sz w:val="24"/>
                <w:szCs w:val="24"/>
                <w:lang w:eastAsia="sk-SK"/>
              </w:rPr>
              <w:t>k iným právam (napr. politickým).</w:t>
            </w:r>
          </w:p>
        </w:tc>
        <w:tc>
          <w:tcPr>
            <w:tcW w:w="3007" w:type="pct"/>
            <w:gridSpan w:val="2"/>
            <w:tcBorders>
              <w:top w:val="single" w:sz="4" w:space="0" w:color="auto"/>
              <w:bottom w:val="single" w:sz="4" w:space="0" w:color="auto"/>
            </w:tcBorders>
            <w:shd w:val="clear" w:color="auto" w:fill="auto"/>
          </w:tcPr>
          <w:p w:rsidR="00F018BF" w:rsidRPr="00F018BF" w:rsidRDefault="00F018BF" w:rsidP="00D225C7">
            <w:pPr>
              <w:spacing w:after="0" w:line="240" w:lineRule="auto"/>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lastRenderedPageBreak/>
              <w:t xml:space="preserve">Návrh zákona upravuje a podporuje spôsob zabezpečovania dopravy a ubytovania pre zamestnancov z pohľadu zdaňovania, nakoľko sú tieto nepeňažné plnenia u zamestnancov oslobodené v zákonom ustanovenej výške, pričom suma oslobodenia od dane sa od 1.1.2020 zvyšuje.  </w:t>
            </w:r>
          </w:p>
          <w:p w:rsidR="00F018BF" w:rsidRPr="00F018BF" w:rsidRDefault="00F018BF" w:rsidP="00D225C7">
            <w:pPr>
              <w:spacing w:after="0" w:line="240" w:lineRule="auto"/>
              <w:rPr>
                <w:rFonts w:ascii="Times New Roman" w:eastAsia="Calibri" w:hAnsi="Times New Roman" w:cs="Times New Roman"/>
                <w:b/>
                <w:sz w:val="24"/>
                <w:szCs w:val="24"/>
                <w:lang w:eastAsia="sk-SK"/>
              </w:rPr>
            </w:pPr>
          </w:p>
          <w:p w:rsidR="00F018BF" w:rsidRPr="00F018BF" w:rsidRDefault="00F018BF" w:rsidP="00D225C7">
            <w:pPr>
              <w:spacing w:after="0" w:line="240" w:lineRule="auto"/>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 xml:space="preserve">Za účelom podpory vzdelávania poskytovaného a zabezpečovaného zamestnávateľom, sa upravuje (rozširuje) skupina ľudí, u ktorých je toto nepeňažné plnenie oslobodené od dane ak sú tieto vzdelávacie aktivity predpokladom pre vykonávanie podnikateľskej činnosti zamestnávateľa. Podmienky a spôsob poskytovania vzdelávania zamestnancom sa na daňové účely riadia Zákonníkom práce. </w:t>
            </w:r>
          </w:p>
          <w:p w:rsidR="00F018BF" w:rsidRPr="00F018BF" w:rsidRDefault="00F018BF" w:rsidP="00D225C7">
            <w:pPr>
              <w:spacing w:after="0" w:line="240" w:lineRule="auto"/>
              <w:rPr>
                <w:rFonts w:ascii="Times New Roman" w:eastAsia="Calibri" w:hAnsi="Times New Roman" w:cs="Times New Roman"/>
                <w:b/>
                <w:sz w:val="24"/>
                <w:szCs w:val="24"/>
                <w:lang w:eastAsia="sk-SK"/>
              </w:rPr>
            </w:pPr>
          </w:p>
          <w:p w:rsidR="00F018BF" w:rsidRPr="00F018BF" w:rsidRDefault="00F018BF" w:rsidP="00D225C7">
            <w:pPr>
              <w:spacing w:after="0" w:line="240" w:lineRule="auto"/>
              <w:rPr>
                <w:rFonts w:ascii="Times New Roman" w:eastAsia="Calibri" w:hAnsi="Times New Roman" w:cs="Times New Roman"/>
                <w:sz w:val="24"/>
                <w:szCs w:val="24"/>
                <w:lang w:eastAsia="sk-SK"/>
              </w:rPr>
            </w:pPr>
            <w:r w:rsidRPr="00F018BF">
              <w:rPr>
                <w:rFonts w:ascii="Times New Roman" w:eastAsia="Calibri" w:hAnsi="Times New Roman" w:cs="Times New Roman"/>
                <w:b/>
                <w:sz w:val="24"/>
                <w:szCs w:val="24"/>
                <w:lang w:eastAsia="sk-SK"/>
              </w:rPr>
              <w:t>Návrhom sa dosiahne finančná podpora pri úhrade výdavkov súvisiacich so zdravotným postihnutím u tejto skupiny ľudí.</w:t>
            </w:r>
          </w:p>
        </w:tc>
      </w:tr>
      <w:tr w:rsidR="00F018BF" w:rsidRPr="00CD4982" w:rsidTr="00F018BF">
        <w:tblPrEx>
          <w:tblBorders>
            <w:top w:val="none" w:sz="0" w:space="0" w:color="auto"/>
            <w:bottom w:val="none" w:sz="0" w:space="0" w:color="auto"/>
          </w:tblBorders>
        </w:tblPrEx>
        <w:trPr>
          <w:trHeight w:val="557"/>
          <w:jc w:val="center"/>
        </w:trPr>
        <w:tc>
          <w:tcPr>
            <w:tcW w:w="5000" w:type="pct"/>
            <w:gridSpan w:val="3"/>
            <w:tcBorders>
              <w:top w:val="single" w:sz="4" w:space="0" w:color="auto"/>
              <w:bottom w:val="single" w:sz="4" w:space="0" w:color="auto"/>
            </w:tcBorders>
            <w:shd w:val="clear" w:color="auto" w:fill="auto"/>
          </w:tcPr>
          <w:p w:rsidR="00F018BF" w:rsidRPr="00F018BF" w:rsidRDefault="00F018BF" w:rsidP="00F018BF">
            <w:pPr>
              <w:spacing w:after="0" w:line="240" w:lineRule="auto"/>
              <w:jc w:val="both"/>
              <w:rPr>
                <w:rFonts w:ascii="Times New Roman" w:hAnsi="Times New Roman" w:cs="Times New Roman"/>
                <w:i/>
                <w:sz w:val="24"/>
                <w:szCs w:val="24"/>
                <w:lang w:eastAsia="sk-SK"/>
              </w:rPr>
            </w:pPr>
            <w:r w:rsidRPr="00F018BF">
              <w:rPr>
                <w:rFonts w:ascii="Times New Roman" w:hAnsi="Times New Roman" w:cs="Times New Roman"/>
                <w:i/>
                <w:sz w:val="24"/>
                <w:szCs w:val="24"/>
                <w:lang w:eastAsia="sk-SK"/>
              </w:rPr>
              <w:t xml:space="preserve">Má návrh významný vplyv na niektorú zo zraniteľných skupín obyvateľstva alebo skupín v riziku chudoby alebo sociálneho vylúčenia? </w:t>
            </w:r>
          </w:p>
          <w:p w:rsidR="00F018BF" w:rsidRPr="00F018BF" w:rsidRDefault="00F018BF" w:rsidP="00F018BF">
            <w:pPr>
              <w:spacing w:after="0" w:line="240" w:lineRule="auto"/>
              <w:rPr>
                <w:rFonts w:ascii="Times New Roman" w:eastAsia="Calibri" w:hAnsi="Times New Roman" w:cs="Times New Roman"/>
                <w:sz w:val="24"/>
                <w:szCs w:val="24"/>
                <w:lang w:eastAsia="sk-SK"/>
              </w:rPr>
            </w:pPr>
            <w:r w:rsidRPr="00F018BF">
              <w:rPr>
                <w:rFonts w:ascii="Times New Roman" w:hAnsi="Times New Roman" w:cs="Times New Roman"/>
                <w:i/>
                <w:sz w:val="24"/>
                <w:szCs w:val="24"/>
                <w:lang w:eastAsia="sk-SK"/>
              </w:rPr>
              <w:t xml:space="preserve">Špecifikujte ovplyvnené skupiny v riziku chudoby a sociálneho vylúčenia a popíšte vplyv na </w:t>
            </w:r>
            <w:proofErr w:type="spellStart"/>
            <w:r w:rsidRPr="00F018BF">
              <w:rPr>
                <w:rFonts w:ascii="Times New Roman" w:hAnsi="Times New Roman" w:cs="Times New Roman"/>
                <w:i/>
                <w:sz w:val="24"/>
                <w:szCs w:val="24"/>
                <w:lang w:eastAsia="sk-SK"/>
              </w:rPr>
              <w:t>ne</w:t>
            </w:r>
            <w:proofErr w:type="spellEnd"/>
            <w:r w:rsidRPr="00F018BF">
              <w:rPr>
                <w:rFonts w:ascii="Times New Roman" w:hAnsi="Times New Roman" w:cs="Times New Roman"/>
                <w:i/>
                <w:sz w:val="24"/>
                <w:szCs w:val="24"/>
                <w:lang w:eastAsia="sk-SK"/>
              </w:rPr>
              <w:t>. Je tento vplyv väčší ako vplyv na iné skupiny či subjekty? Uveďte veľkosť jednotlivých ovplyvnených skupín.</w:t>
            </w:r>
          </w:p>
        </w:tc>
      </w:tr>
      <w:tr w:rsidR="00F018BF" w:rsidRPr="00CD4982" w:rsidTr="00F018BF">
        <w:tblPrEx>
          <w:tblBorders>
            <w:top w:val="none" w:sz="0" w:space="0" w:color="auto"/>
          </w:tblBorders>
        </w:tblPrEx>
        <w:trPr>
          <w:trHeight w:val="677"/>
          <w:jc w:val="center"/>
        </w:trPr>
        <w:tc>
          <w:tcPr>
            <w:tcW w:w="1993" w:type="pct"/>
            <w:shd w:val="clear" w:color="auto" w:fill="auto"/>
          </w:tcPr>
          <w:p w:rsidR="00F018BF" w:rsidRPr="00F018BF" w:rsidRDefault="00F018BF" w:rsidP="00D225C7">
            <w:p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Zraniteľné skupiny alebo skupiny v riziku chudoby alebo sociálneho vylúčenia sú napr.:</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nezamestnaní, najmä dlhodobo nezamestnaní, mladí nezamestnaní a nezamestnaní nad 50 rokov,</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deti (0 – 17),</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mladí ľudia (18 – 25 rokov),</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starší ľudia, napr. ľudia vo veku nad 65 rokov alebo dôchodcovia,</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ľudia so zdravotným postihnutím,</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 xml:space="preserve">marginalizované rómske komunity </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domácnosti s 3 a viac deťmi,</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jednorodičovské domácnosti s deťmi (neúplné rodiny, ktoré tvoria najmä osamelé matky s deťmi),</w:t>
            </w:r>
          </w:p>
          <w:p w:rsidR="00F018BF" w:rsidRPr="00F018BF"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F018BF">
              <w:rPr>
                <w:rFonts w:ascii="Times New Roman" w:eastAsia="Calibri" w:hAnsi="Times New Roman" w:cs="Times New Roman"/>
                <w:i/>
                <w:sz w:val="24"/>
                <w:szCs w:val="24"/>
                <w:lang w:eastAsia="sk-SK"/>
              </w:rPr>
              <w:t>príslušníci tretích krajín, azylanti, žiadatelia o azyl,</w:t>
            </w:r>
          </w:p>
          <w:p w:rsidR="00F018BF" w:rsidRPr="00F018BF" w:rsidRDefault="00F018BF" w:rsidP="00F018BF">
            <w:pPr>
              <w:numPr>
                <w:ilvl w:val="0"/>
                <w:numId w:val="30"/>
              </w:numPr>
              <w:spacing w:after="0" w:line="240" w:lineRule="auto"/>
              <w:jc w:val="both"/>
              <w:rPr>
                <w:rFonts w:ascii="Calibri" w:eastAsia="Calibri" w:hAnsi="Calibri" w:cs="Times New Roman"/>
                <w:i/>
                <w:sz w:val="24"/>
                <w:szCs w:val="24"/>
                <w:lang w:eastAsia="sk-SK"/>
              </w:rPr>
            </w:pPr>
            <w:r w:rsidRPr="00F018BF">
              <w:rPr>
                <w:rFonts w:ascii="Times New Roman" w:eastAsia="Calibri" w:hAnsi="Times New Roman" w:cs="Times New Roman"/>
                <w:i/>
                <w:sz w:val="24"/>
                <w:szCs w:val="24"/>
                <w:lang w:eastAsia="sk-SK"/>
              </w:rPr>
              <w:t>iné zraniteľné skupiny, ako sú napr. bezdomovci, ľudia opúšťajúci detské domovy alebo iné inštitucionálne zariadenia</w:t>
            </w:r>
          </w:p>
        </w:tc>
        <w:tc>
          <w:tcPr>
            <w:tcW w:w="3007" w:type="pct"/>
            <w:gridSpan w:val="2"/>
            <w:shd w:val="clear" w:color="auto" w:fill="auto"/>
          </w:tcPr>
          <w:p w:rsidR="00F018BF" w:rsidRPr="00F018BF" w:rsidRDefault="00F018BF" w:rsidP="00D225C7">
            <w:pPr>
              <w:spacing w:after="0" w:line="240" w:lineRule="auto"/>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 xml:space="preserve">Navrhované opatrenie bude mať vplyv na </w:t>
            </w:r>
          </w:p>
          <w:p w:rsidR="00F018BF" w:rsidRPr="00F018BF" w:rsidRDefault="00F018BF" w:rsidP="00D225C7">
            <w:pPr>
              <w:spacing w:after="0" w:line="240" w:lineRule="auto"/>
              <w:rPr>
                <w:rFonts w:ascii="Times New Roman" w:eastAsia="Calibri" w:hAnsi="Times New Roman" w:cs="Times New Roman"/>
                <w:b/>
                <w:sz w:val="24"/>
                <w:szCs w:val="24"/>
                <w:lang w:eastAsia="sk-SK"/>
              </w:rPr>
            </w:pPr>
          </w:p>
          <w:p w:rsidR="00F018BF" w:rsidRPr="00F018BF" w:rsidRDefault="00F018BF" w:rsidP="00D225C7">
            <w:pPr>
              <w:spacing w:after="0" w:line="240" w:lineRule="auto"/>
              <w:rPr>
                <w:rFonts w:ascii="Times New Roman" w:eastAsia="Calibri" w:hAnsi="Times New Roman" w:cs="Times New Roman"/>
                <w:b/>
                <w:color w:val="FF0000"/>
                <w:sz w:val="24"/>
                <w:szCs w:val="24"/>
                <w:lang w:eastAsia="sk-SK"/>
              </w:rPr>
            </w:pPr>
            <w:r w:rsidRPr="00F018BF">
              <w:rPr>
                <w:rFonts w:ascii="Times New Roman" w:eastAsia="Calibri" w:hAnsi="Times New Roman" w:cs="Times New Roman"/>
                <w:b/>
                <w:sz w:val="24"/>
                <w:szCs w:val="24"/>
                <w:lang w:eastAsia="sk-SK"/>
              </w:rPr>
              <w:t>- ľudí so zdravotným postihnutím, ktorým bolo vyplatené jednorazové vysporiadanie zo strany komerčnej poisťovne - prostredníctvom zvýšenia</w:t>
            </w:r>
            <w:r w:rsidRPr="00F018BF">
              <w:rPr>
                <w:b/>
                <w:sz w:val="24"/>
                <w:szCs w:val="24"/>
              </w:rPr>
              <w:t xml:space="preserve"> </w:t>
            </w:r>
            <w:r w:rsidRPr="00F018BF">
              <w:rPr>
                <w:rFonts w:ascii="Times New Roman" w:eastAsia="Calibri" w:hAnsi="Times New Roman" w:cs="Times New Roman"/>
                <w:b/>
                <w:sz w:val="24"/>
                <w:szCs w:val="24"/>
                <w:lang w:eastAsia="sk-SK"/>
              </w:rPr>
              <w:t>sumy oslobodenej od dane z príjmu vo výške nezdaniteľnej časti základu dane na daňovníka, na jej násobok v závislosti od počtu rokov, na ktoré sa jednorazové vysporiadanie poskytuje, najviac v sume 20 000 eur,</w:t>
            </w:r>
          </w:p>
          <w:p w:rsidR="00F018BF" w:rsidRPr="00F018BF" w:rsidRDefault="00F018BF" w:rsidP="00D225C7">
            <w:pPr>
              <w:spacing w:after="0" w:line="240" w:lineRule="auto"/>
              <w:rPr>
                <w:rFonts w:ascii="Times New Roman" w:eastAsia="Calibri" w:hAnsi="Times New Roman" w:cs="Times New Roman"/>
                <w:b/>
                <w:color w:val="FF0000"/>
                <w:sz w:val="24"/>
                <w:szCs w:val="24"/>
                <w:lang w:eastAsia="sk-SK"/>
              </w:rPr>
            </w:pPr>
          </w:p>
          <w:p w:rsidR="00F018BF" w:rsidRPr="00F018BF" w:rsidRDefault="00F018BF" w:rsidP="00D225C7">
            <w:pPr>
              <w:spacing w:after="0" w:line="240" w:lineRule="auto"/>
              <w:rPr>
                <w:rFonts w:ascii="Times New Roman" w:eastAsia="Calibri" w:hAnsi="Times New Roman" w:cs="Times New Roman"/>
                <w:b/>
                <w:sz w:val="24"/>
                <w:szCs w:val="24"/>
                <w:lang w:eastAsia="sk-SK"/>
              </w:rPr>
            </w:pPr>
            <w:r w:rsidRPr="00F018BF">
              <w:rPr>
                <w:rFonts w:ascii="Times New Roman" w:eastAsia="Calibri" w:hAnsi="Times New Roman" w:cs="Times New Roman"/>
                <w:b/>
                <w:sz w:val="24"/>
                <w:szCs w:val="24"/>
                <w:lang w:eastAsia="sk-SK"/>
              </w:rPr>
              <w:t>- sociálne slabšie skupiny ľudí, ktorí budú mať – bezodplatne -  prístup k potravinám, ktorým exspirovala doba použiteľnosti. Novela zákona umožňuje uznať do daňových výdavkov aj obstarávaciu cenu zásob potravín po dobe použiteľnosti aj daňovníkom nezaloženým alebo nezriadeným na podnikanie, ak jeho predmet činnosti zodpovedá účelu podľa § 50 ods. 5 zákona (napr. poskytovanie sociálnej pomoci). Návrh zákona daňovo motivuje obchodné reťazce k darovaniu takýchto potravín a zároveň nepriamo napomáha predchádzať plytvaniu potravinami, ktoré môžu pomôcť ľuďom v núdzi.</w:t>
            </w:r>
          </w:p>
          <w:p w:rsidR="00F018BF" w:rsidRPr="00F018BF" w:rsidRDefault="00F018BF" w:rsidP="00D225C7">
            <w:pPr>
              <w:spacing w:after="0" w:line="240" w:lineRule="auto"/>
              <w:rPr>
                <w:rFonts w:ascii="Times New Roman" w:eastAsia="Calibri" w:hAnsi="Times New Roman" w:cs="Times New Roman"/>
                <w:sz w:val="24"/>
                <w:szCs w:val="24"/>
                <w:lang w:eastAsia="sk-SK"/>
              </w:rPr>
            </w:pPr>
          </w:p>
        </w:tc>
      </w:tr>
      <w:tr w:rsidR="00F018BF" w:rsidRPr="00CD4982" w:rsidTr="00F018BF">
        <w:tblPrEx>
          <w:tblBorders>
            <w:top w:val="none" w:sz="0" w:space="0" w:color="auto"/>
          </w:tblBorders>
        </w:tblPrEx>
        <w:trPr>
          <w:trHeight w:val="677"/>
          <w:jc w:val="center"/>
        </w:trPr>
        <w:tc>
          <w:tcPr>
            <w:tcW w:w="5000" w:type="pct"/>
            <w:gridSpan w:val="3"/>
            <w:shd w:val="clear" w:color="auto" w:fill="auto"/>
          </w:tcPr>
          <w:p w:rsidR="00F018BF" w:rsidRPr="00A57582" w:rsidRDefault="00F018BF" w:rsidP="00F018BF">
            <w:pPr>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4.3 Identifikujte a popíšte vplyv na rovnosť príležitostí.</w:t>
            </w:r>
          </w:p>
          <w:p w:rsidR="00F018BF" w:rsidRPr="00A57582" w:rsidRDefault="00F018BF" w:rsidP="00F018BF">
            <w:pPr>
              <w:spacing w:after="0" w:line="240" w:lineRule="auto"/>
              <w:ind w:left="340"/>
              <w:jc w:val="both"/>
              <w:rPr>
                <w:rFonts w:ascii="Times New Roman" w:hAnsi="Times New Roman" w:cs="Times New Roman"/>
                <w:sz w:val="24"/>
                <w:szCs w:val="24"/>
                <w:lang w:eastAsia="sk-SK"/>
              </w:rPr>
            </w:pPr>
            <w:r w:rsidRPr="00A57582">
              <w:rPr>
                <w:rFonts w:ascii="Times New Roman" w:hAnsi="Times New Roman" w:cs="Times New Roman"/>
                <w:b/>
                <w:sz w:val="24"/>
                <w:szCs w:val="24"/>
                <w:lang w:eastAsia="sk-SK"/>
              </w:rPr>
              <w:t>Identifikujte, popíšte a kvantifikujte vplyv na rodovú rovnosť.</w:t>
            </w:r>
          </w:p>
        </w:tc>
      </w:tr>
      <w:tr w:rsidR="00F018BF" w:rsidRPr="00CD4982" w:rsidTr="00F018BF">
        <w:tblPrEx>
          <w:tblBorders>
            <w:top w:val="none" w:sz="0" w:space="0" w:color="auto"/>
          </w:tblBorders>
        </w:tblPrEx>
        <w:trPr>
          <w:trHeight w:val="677"/>
          <w:jc w:val="center"/>
        </w:trPr>
        <w:tc>
          <w:tcPr>
            <w:tcW w:w="5000" w:type="pct"/>
            <w:gridSpan w:val="3"/>
            <w:shd w:val="clear" w:color="auto" w:fill="auto"/>
          </w:tcPr>
          <w:p w:rsidR="00F018BF" w:rsidRPr="00A57582" w:rsidRDefault="00F018BF" w:rsidP="00F018BF">
            <w:pPr>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F018BF" w:rsidRPr="0040544D" w:rsidTr="00F018BF">
        <w:tblPrEx>
          <w:tblBorders>
            <w:top w:val="none" w:sz="0" w:space="0" w:color="auto"/>
          </w:tblBorders>
        </w:tblPrEx>
        <w:trPr>
          <w:trHeight w:val="6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018BF" w:rsidRPr="00BA0AB9" w:rsidRDefault="00F018BF" w:rsidP="00F018BF">
            <w:pPr>
              <w:spacing w:after="0" w:line="240" w:lineRule="auto"/>
              <w:jc w:val="both"/>
              <w:rPr>
                <w:rFonts w:ascii="Times New Roman" w:hAnsi="Times New Roman" w:cs="Times New Roman"/>
                <w:b/>
                <w:sz w:val="24"/>
                <w:szCs w:val="24"/>
                <w:lang w:eastAsia="sk-SK"/>
              </w:rPr>
            </w:pPr>
            <w:r w:rsidRPr="00BA0AB9">
              <w:rPr>
                <w:rFonts w:ascii="Times New Roman" w:hAnsi="Times New Roman" w:cs="Times New Roman"/>
                <w:b/>
                <w:sz w:val="24"/>
                <w:szCs w:val="24"/>
                <w:lang w:eastAsia="sk-SK"/>
              </w:rPr>
              <w:lastRenderedPageBreak/>
              <w:t>Bez vplyvu.</w:t>
            </w:r>
          </w:p>
          <w:p w:rsidR="00F018BF" w:rsidRPr="00F018BF" w:rsidRDefault="00F018BF" w:rsidP="00F018BF">
            <w:pPr>
              <w:spacing w:after="0" w:line="240" w:lineRule="auto"/>
              <w:jc w:val="both"/>
              <w:rPr>
                <w:rFonts w:ascii="Times New Roman" w:hAnsi="Times New Roman" w:cs="Times New Roman"/>
                <w:i/>
                <w:sz w:val="24"/>
                <w:szCs w:val="24"/>
                <w:lang w:eastAsia="sk-SK"/>
              </w:rPr>
            </w:pPr>
          </w:p>
          <w:p w:rsidR="00F018BF" w:rsidRPr="00F018BF" w:rsidRDefault="00F018BF" w:rsidP="00F018BF">
            <w:pPr>
              <w:spacing w:after="0" w:line="240" w:lineRule="auto"/>
              <w:jc w:val="both"/>
              <w:rPr>
                <w:rFonts w:ascii="Times New Roman" w:hAnsi="Times New Roman" w:cs="Times New Roman"/>
                <w:i/>
                <w:sz w:val="24"/>
                <w:szCs w:val="24"/>
                <w:lang w:eastAsia="sk-SK"/>
              </w:rPr>
            </w:pPr>
          </w:p>
        </w:tc>
      </w:tr>
      <w:tr w:rsidR="00F018BF" w:rsidRPr="0040544D" w:rsidTr="00F018BF">
        <w:tblPrEx>
          <w:tblBorders>
            <w:top w:val="none" w:sz="0" w:space="0" w:color="auto"/>
          </w:tblBorders>
        </w:tblPrEx>
        <w:trPr>
          <w:trHeight w:val="6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018BF" w:rsidRPr="00F018BF" w:rsidRDefault="00F018BF" w:rsidP="00F018BF">
            <w:pPr>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Môže mať návrh odlišný vplyv na ženy a mužov? Podporuje návrh rovnosť medzi ženami a mužmi alebo naopak bude viesť k zväčšovaniu rodových nerovností? Popíšte vplyvy.</w:t>
            </w:r>
          </w:p>
        </w:tc>
      </w:tr>
      <w:tr w:rsidR="00F018BF" w:rsidRPr="00CD4982" w:rsidTr="00F018BF">
        <w:tblPrEx>
          <w:tblBorders>
            <w:top w:val="none" w:sz="0" w:space="0" w:color="auto"/>
            <w:bottom w:val="none" w:sz="0" w:space="0" w:color="auto"/>
          </w:tblBorders>
        </w:tblPrEx>
        <w:trPr>
          <w:trHeight w:val="1235"/>
          <w:jc w:val="center"/>
        </w:trPr>
        <w:tc>
          <w:tcPr>
            <w:tcW w:w="1993" w:type="pct"/>
            <w:tcBorders>
              <w:top w:val="single" w:sz="4" w:space="0" w:color="auto"/>
              <w:bottom w:val="single" w:sz="4" w:space="0" w:color="auto"/>
            </w:tcBorders>
            <w:shd w:val="clear" w:color="auto" w:fill="auto"/>
          </w:tcPr>
          <w:p w:rsidR="00F018BF" w:rsidRPr="00BA0AB9" w:rsidRDefault="00F018BF" w:rsidP="00D225C7">
            <w:p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F018BF" w:rsidRPr="00BA0AB9"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 xml:space="preserve">podpora vyrovnávania ekonomickej nezávislosti, </w:t>
            </w:r>
          </w:p>
          <w:p w:rsidR="00F018BF" w:rsidRPr="00BA0AB9"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 xml:space="preserve">zosúladenie pracovného, súkromného a rodinného života, </w:t>
            </w:r>
          </w:p>
          <w:p w:rsidR="00F018BF" w:rsidRPr="00BA0AB9"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 xml:space="preserve">podpora rovnej participácie na rozhodovaní, </w:t>
            </w:r>
          </w:p>
          <w:p w:rsidR="00F018BF" w:rsidRPr="00BA0AB9"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 xml:space="preserve">boj proti rodovo podmienenému násiliu a obchodovaniu s ľuďmi, </w:t>
            </w:r>
          </w:p>
          <w:p w:rsidR="00F018BF" w:rsidRPr="00BA0AB9" w:rsidRDefault="00F018BF" w:rsidP="00F018BF">
            <w:pPr>
              <w:numPr>
                <w:ilvl w:val="0"/>
                <w:numId w:val="30"/>
              </w:numPr>
              <w:spacing w:after="0" w:line="240" w:lineRule="auto"/>
              <w:jc w:val="both"/>
              <w:rPr>
                <w:rFonts w:ascii="Times New Roman" w:eastAsia="Calibri" w:hAnsi="Times New Roman" w:cs="Times New Roman"/>
                <w:i/>
                <w:sz w:val="24"/>
                <w:szCs w:val="24"/>
                <w:lang w:eastAsia="sk-SK"/>
              </w:rPr>
            </w:pPr>
            <w:r w:rsidRPr="00BA0AB9">
              <w:rPr>
                <w:rFonts w:ascii="Times New Roman" w:eastAsia="Calibri" w:hAnsi="Times New Roman" w:cs="Times New Roman"/>
                <w:i/>
                <w:sz w:val="24"/>
                <w:szCs w:val="24"/>
                <w:lang w:eastAsia="sk-SK"/>
              </w:rPr>
              <w:t>eliminácia rodových stereotypov.</w:t>
            </w:r>
          </w:p>
        </w:tc>
        <w:tc>
          <w:tcPr>
            <w:tcW w:w="3007" w:type="pct"/>
            <w:gridSpan w:val="2"/>
            <w:tcBorders>
              <w:top w:val="single" w:sz="4" w:space="0" w:color="auto"/>
              <w:bottom w:val="single" w:sz="4" w:space="0" w:color="auto"/>
            </w:tcBorders>
            <w:shd w:val="clear" w:color="auto" w:fill="auto"/>
          </w:tcPr>
          <w:p w:rsidR="00F018BF" w:rsidRPr="00BA0AB9" w:rsidRDefault="00F018BF" w:rsidP="00D225C7">
            <w:pPr>
              <w:spacing w:after="0" w:line="240" w:lineRule="auto"/>
              <w:rPr>
                <w:rFonts w:ascii="Times New Roman" w:eastAsia="Calibri" w:hAnsi="Times New Roman" w:cs="Times New Roman"/>
                <w:b/>
                <w:sz w:val="24"/>
                <w:szCs w:val="24"/>
                <w:lang w:eastAsia="sk-SK"/>
              </w:rPr>
            </w:pPr>
            <w:r w:rsidRPr="00BA0AB9">
              <w:rPr>
                <w:rFonts w:ascii="Times New Roman" w:eastAsia="Calibri" w:hAnsi="Times New Roman" w:cs="Times New Roman"/>
                <w:b/>
                <w:sz w:val="24"/>
                <w:szCs w:val="24"/>
                <w:lang w:eastAsia="sk-SK"/>
              </w:rPr>
              <w:t>Bez vplyvu.</w:t>
            </w:r>
          </w:p>
          <w:p w:rsidR="00F018BF" w:rsidRPr="00BA0AB9" w:rsidRDefault="00F018BF" w:rsidP="00D225C7">
            <w:pPr>
              <w:spacing w:after="0" w:line="240" w:lineRule="auto"/>
              <w:rPr>
                <w:rFonts w:ascii="Times New Roman" w:eastAsia="Calibri" w:hAnsi="Times New Roman" w:cs="Times New Roman"/>
                <w:sz w:val="24"/>
                <w:szCs w:val="24"/>
                <w:lang w:eastAsia="sk-SK"/>
              </w:rPr>
            </w:pPr>
          </w:p>
          <w:p w:rsidR="00F018BF" w:rsidRPr="00BA0AB9" w:rsidRDefault="00F018BF" w:rsidP="00D225C7">
            <w:pPr>
              <w:spacing w:after="0" w:line="240" w:lineRule="auto"/>
              <w:rPr>
                <w:rFonts w:ascii="Times New Roman" w:eastAsia="Calibri" w:hAnsi="Times New Roman" w:cs="Times New Roman"/>
                <w:sz w:val="24"/>
                <w:szCs w:val="24"/>
                <w:lang w:eastAsia="sk-SK"/>
              </w:rPr>
            </w:pPr>
          </w:p>
          <w:p w:rsidR="00F018BF" w:rsidRPr="00BA0AB9" w:rsidRDefault="00F018BF" w:rsidP="00D225C7">
            <w:pPr>
              <w:spacing w:after="0" w:line="240" w:lineRule="auto"/>
              <w:rPr>
                <w:rFonts w:ascii="Times New Roman" w:eastAsia="Calibri" w:hAnsi="Times New Roman" w:cs="Times New Roman"/>
                <w:sz w:val="24"/>
                <w:szCs w:val="24"/>
                <w:lang w:eastAsia="sk-SK"/>
              </w:rPr>
            </w:pPr>
          </w:p>
          <w:p w:rsidR="00F018BF" w:rsidRPr="00BA0AB9" w:rsidRDefault="00F018BF" w:rsidP="00D225C7">
            <w:pPr>
              <w:spacing w:after="0" w:line="240" w:lineRule="auto"/>
              <w:rPr>
                <w:rFonts w:ascii="Times New Roman" w:eastAsia="Calibri" w:hAnsi="Times New Roman" w:cs="Times New Roman"/>
                <w:sz w:val="24"/>
                <w:szCs w:val="24"/>
                <w:lang w:eastAsia="sk-SK"/>
              </w:rPr>
            </w:pPr>
          </w:p>
        </w:tc>
      </w:tr>
      <w:tr w:rsidR="00F018BF" w:rsidRPr="00CD4982" w:rsidTr="00BA0AB9">
        <w:tblPrEx>
          <w:tblBorders>
            <w:top w:val="none" w:sz="0" w:space="0" w:color="auto"/>
            <w:bottom w:val="none" w:sz="0" w:space="0" w:color="auto"/>
          </w:tblBorders>
        </w:tblPrEx>
        <w:trPr>
          <w:trHeight w:val="913"/>
          <w:jc w:val="center"/>
        </w:trPr>
        <w:tc>
          <w:tcPr>
            <w:tcW w:w="5000" w:type="pct"/>
            <w:gridSpan w:val="3"/>
            <w:tcBorders>
              <w:top w:val="single" w:sz="4" w:space="0" w:color="auto"/>
              <w:bottom w:val="single" w:sz="4" w:space="0" w:color="auto"/>
            </w:tcBorders>
            <w:shd w:val="clear" w:color="auto" w:fill="auto"/>
          </w:tcPr>
          <w:p w:rsidR="00BA0AB9" w:rsidRPr="00BA0AB9" w:rsidRDefault="00BA0AB9" w:rsidP="00BA0AB9">
            <w:pPr>
              <w:spacing w:after="0" w:line="240" w:lineRule="auto"/>
              <w:rPr>
                <w:rFonts w:ascii="Times New Roman" w:hAnsi="Times New Roman" w:cs="Times New Roman"/>
                <w:b/>
                <w:sz w:val="24"/>
                <w:szCs w:val="24"/>
                <w:lang w:eastAsia="sk-SK"/>
              </w:rPr>
            </w:pPr>
            <w:r w:rsidRPr="00BA0AB9">
              <w:rPr>
                <w:rFonts w:ascii="Times New Roman" w:hAnsi="Times New Roman" w:cs="Times New Roman"/>
                <w:b/>
                <w:sz w:val="24"/>
                <w:szCs w:val="24"/>
                <w:lang w:eastAsia="sk-SK"/>
              </w:rPr>
              <w:t>4.4 Identifikujte, popíšte a kvantifikujte vplyvy na zamestnanosť a na trh práce.</w:t>
            </w:r>
          </w:p>
          <w:p w:rsidR="00F018BF" w:rsidRPr="00BA0AB9" w:rsidRDefault="00BA0AB9" w:rsidP="00BA0AB9">
            <w:pPr>
              <w:spacing w:after="0" w:line="240" w:lineRule="auto"/>
              <w:rPr>
                <w:rFonts w:ascii="Times New Roman" w:eastAsia="Calibri" w:hAnsi="Times New Roman" w:cs="Times New Roman"/>
                <w:sz w:val="24"/>
                <w:szCs w:val="24"/>
                <w:lang w:eastAsia="sk-SK"/>
              </w:rPr>
            </w:pPr>
            <w:r w:rsidRPr="00BA0AB9">
              <w:rPr>
                <w:rFonts w:ascii="Times New Roman" w:hAnsi="Times New Roman" w:cs="Times New Roman"/>
                <w:i/>
                <w:sz w:val="24"/>
                <w:szCs w:val="24"/>
                <w:lang w:eastAsia="sk-SK"/>
              </w:rPr>
              <w:t xml:space="preserve">V prípade kladnej odpovede pripojte </w:t>
            </w:r>
            <w:r w:rsidRPr="00BA0AB9">
              <w:rPr>
                <w:rFonts w:ascii="Times New Roman" w:hAnsi="Times New Roman" w:cs="Times New Roman"/>
                <w:b/>
                <w:i/>
                <w:sz w:val="24"/>
                <w:szCs w:val="24"/>
                <w:lang w:eastAsia="sk-SK"/>
              </w:rPr>
              <w:t>odôvodnenie</w:t>
            </w:r>
            <w:r w:rsidRPr="00BA0AB9">
              <w:rPr>
                <w:rFonts w:ascii="Times New Roman" w:hAnsi="Times New Roman" w:cs="Times New Roman"/>
                <w:i/>
                <w:sz w:val="24"/>
                <w:szCs w:val="24"/>
                <w:lang w:eastAsia="sk-SK"/>
              </w:rPr>
              <w:t xml:space="preserve"> v súlade s Metodickým postupom pre analýzu sociálnych vplyvov.</w:t>
            </w:r>
          </w:p>
        </w:tc>
      </w:tr>
      <w:tr w:rsidR="00BA0AB9" w:rsidRPr="00994C53" w:rsidTr="00BA0AB9">
        <w:tblPrEx>
          <w:tblBorders>
            <w:top w:val="none" w:sz="0" w:space="0" w:color="auto"/>
            <w:bottom w:val="none" w:sz="0" w:space="0" w:color="auto"/>
          </w:tblBorders>
        </w:tblPrEx>
        <w:trPr>
          <w:trHeight w:val="91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0AB9" w:rsidRPr="00BA0AB9" w:rsidRDefault="00BA0AB9" w:rsidP="00D225C7">
            <w:pPr>
              <w:spacing w:after="0" w:line="240" w:lineRule="auto"/>
              <w:rPr>
                <w:rFonts w:ascii="Times New Roman" w:hAnsi="Times New Roman" w:cs="Times New Roman"/>
                <w:b/>
                <w:sz w:val="24"/>
                <w:szCs w:val="24"/>
                <w:lang w:eastAsia="sk-SK"/>
              </w:rPr>
            </w:pPr>
            <w:r w:rsidRPr="00BA0AB9">
              <w:rPr>
                <w:rFonts w:ascii="Times New Roman" w:hAnsi="Times New Roman" w:cs="Times New Roman"/>
                <w:b/>
                <w:sz w:val="24"/>
                <w:szCs w:val="24"/>
                <w:lang w:eastAsia="sk-SK"/>
              </w:rPr>
              <w:t>Uľahčuje návrh vznik nových pracovných miest? Ak áno, ako? Ak je to možné, doplňte kvantifikáciu.</w:t>
            </w:r>
          </w:p>
        </w:tc>
      </w:tr>
      <w:tr w:rsidR="00BA0AB9" w:rsidRPr="00994C53" w:rsidTr="00BA0AB9">
        <w:trPr>
          <w:trHeight w:val="567"/>
          <w:jc w:val="center"/>
        </w:trPr>
        <w:tc>
          <w:tcPr>
            <w:tcW w:w="1993" w:type="pct"/>
            <w:tcBorders>
              <w:top w:val="nil"/>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 xml:space="preserve">Identifikujte, v ktorých sektoroch a odvetviach ekonomiky, v ktorých regiónoch, pre aké skupiny zamestnancov, o aké typy zamestnania /pracovných úväzkov pôjde a pod. </w:t>
            </w:r>
          </w:p>
        </w:tc>
        <w:tc>
          <w:tcPr>
            <w:tcW w:w="3006" w:type="pct"/>
            <w:gridSpan w:val="2"/>
            <w:tcBorders>
              <w:top w:val="nil"/>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t>Bez vplyvu.</w:t>
            </w:r>
          </w:p>
        </w:tc>
      </w:tr>
      <w:tr w:rsidR="00BA0AB9" w:rsidRPr="00994C53" w:rsidTr="00BA0AB9">
        <w:trPr>
          <w:trHeight w:val="270"/>
          <w:jc w:val="center"/>
        </w:trPr>
        <w:tc>
          <w:tcPr>
            <w:tcW w:w="4999" w:type="pct"/>
            <w:gridSpan w:val="3"/>
            <w:tcBorders>
              <w:bottom w:val="single" w:sz="4" w:space="0" w:color="auto"/>
            </w:tcBorders>
            <w:shd w:val="clear" w:color="auto" w:fill="F2F2F2"/>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Vedie návrh k zániku pracovných miest?</w:t>
            </w:r>
            <w:r w:rsidRPr="00BA0AB9">
              <w:rPr>
                <w:rFonts w:ascii="Times New Roman" w:eastAsia="Calibri" w:hAnsi="Times New Roman" w:cs="Times New Roman"/>
                <w:sz w:val="24"/>
                <w:szCs w:val="24"/>
              </w:rPr>
              <w:t xml:space="preserve"> </w:t>
            </w:r>
            <w:r w:rsidRPr="00BA0AB9">
              <w:rPr>
                <w:rFonts w:ascii="Times New Roman" w:eastAsia="Calibri" w:hAnsi="Times New Roman" w:cs="Times New Roman"/>
                <w:i/>
                <w:sz w:val="24"/>
                <w:szCs w:val="24"/>
              </w:rPr>
              <w:t>Ak áno, ako a akých? Ak je to možné, doplňte kvantifikáciu.</w:t>
            </w:r>
          </w:p>
        </w:tc>
      </w:tr>
      <w:tr w:rsidR="00BA0AB9" w:rsidRPr="00994C53" w:rsidTr="00BA0AB9">
        <w:trPr>
          <w:trHeight w:val="454"/>
          <w:jc w:val="center"/>
        </w:trPr>
        <w:tc>
          <w:tcPr>
            <w:tcW w:w="1993" w:type="pct"/>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 xml:space="preserve">Identifikujte, v ktorých sektoroch a odvetviach ekonomiky, v ktorých regiónoch, o aké typy zamestnania /pracovných úväzkov pôjde a pod. Identifikujte možné dôsledky, </w:t>
            </w:r>
            <w:r w:rsidRPr="00BA0AB9">
              <w:rPr>
                <w:rFonts w:ascii="Times New Roman" w:eastAsia="Calibri" w:hAnsi="Times New Roman" w:cs="Times New Roman"/>
                <w:i/>
                <w:sz w:val="24"/>
                <w:szCs w:val="24"/>
              </w:rPr>
              <w:lastRenderedPageBreak/>
              <w:t>skupiny zamestnancov, ktoré budú viac ovplyvnené a rozsah vplyvu.</w:t>
            </w:r>
          </w:p>
        </w:tc>
        <w:tc>
          <w:tcPr>
            <w:tcW w:w="3006" w:type="pct"/>
            <w:gridSpan w:val="2"/>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lastRenderedPageBreak/>
              <w:t>Bez vplyvu.</w:t>
            </w:r>
          </w:p>
        </w:tc>
      </w:tr>
      <w:tr w:rsidR="00BA0AB9" w:rsidRPr="00994C53" w:rsidTr="00BA0AB9">
        <w:trPr>
          <w:trHeight w:val="248"/>
          <w:jc w:val="center"/>
        </w:trPr>
        <w:tc>
          <w:tcPr>
            <w:tcW w:w="4999" w:type="pct"/>
            <w:gridSpan w:val="3"/>
            <w:tcBorders>
              <w:bottom w:val="single" w:sz="4" w:space="0" w:color="auto"/>
            </w:tcBorders>
            <w:shd w:val="clear" w:color="auto" w:fill="F2F2F2"/>
          </w:tcPr>
          <w:p w:rsidR="00BA0AB9" w:rsidRPr="00BA0AB9" w:rsidRDefault="00BA0AB9" w:rsidP="00D225C7">
            <w:pPr>
              <w:spacing w:after="0" w:line="240" w:lineRule="auto"/>
              <w:rPr>
                <w:rFonts w:ascii="Times New Roman" w:eastAsia="Calibri" w:hAnsi="Times New Roman" w:cs="Times New Roman"/>
                <w:sz w:val="24"/>
                <w:szCs w:val="24"/>
              </w:rPr>
            </w:pPr>
            <w:r w:rsidRPr="00BA0AB9">
              <w:rPr>
                <w:rFonts w:ascii="Times New Roman" w:eastAsia="Calibri" w:hAnsi="Times New Roman" w:cs="Times New Roman"/>
                <w:i/>
                <w:sz w:val="24"/>
                <w:szCs w:val="24"/>
              </w:rPr>
              <w:t>Ovplyvňuje návrh dopyt po práci?</w:t>
            </w:r>
            <w:r w:rsidRPr="00BA0AB9">
              <w:rPr>
                <w:rFonts w:ascii="Times New Roman" w:eastAsia="Calibri" w:hAnsi="Times New Roman" w:cs="Times New Roman"/>
                <w:sz w:val="24"/>
                <w:szCs w:val="24"/>
              </w:rPr>
              <w:t xml:space="preserve"> </w:t>
            </w:r>
            <w:r w:rsidRPr="00BA0AB9">
              <w:rPr>
                <w:rFonts w:ascii="Times New Roman" w:eastAsia="Calibri" w:hAnsi="Times New Roman" w:cs="Times New Roman"/>
                <w:i/>
                <w:sz w:val="24"/>
                <w:szCs w:val="24"/>
              </w:rPr>
              <w:t>Ak áno, ako?</w:t>
            </w:r>
          </w:p>
        </w:tc>
      </w:tr>
      <w:tr w:rsidR="00BA0AB9" w:rsidRPr="00994C53" w:rsidTr="00BA0AB9">
        <w:trPr>
          <w:trHeight w:val="209"/>
          <w:jc w:val="center"/>
        </w:trPr>
        <w:tc>
          <w:tcPr>
            <w:tcW w:w="1993" w:type="pct"/>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Dopyt po práci závisí na jednej strane na produkcii tovarov a služieb v ekonomike a na druhej strane na cene práce.</w:t>
            </w:r>
          </w:p>
        </w:tc>
        <w:tc>
          <w:tcPr>
            <w:tcW w:w="3006" w:type="pct"/>
            <w:gridSpan w:val="2"/>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t>Bez vplyvu.</w:t>
            </w:r>
          </w:p>
        </w:tc>
      </w:tr>
      <w:tr w:rsidR="00BA0AB9" w:rsidRPr="00994C53" w:rsidTr="00BA0AB9">
        <w:trPr>
          <w:trHeight w:val="208"/>
          <w:jc w:val="center"/>
        </w:trPr>
        <w:tc>
          <w:tcPr>
            <w:tcW w:w="4999" w:type="pct"/>
            <w:gridSpan w:val="3"/>
            <w:tcBorders>
              <w:bottom w:val="single" w:sz="4" w:space="0" w:color="auto"/>
            </w:tcBorders>
            <w:shd w:val="clear" w:color="auto" w:fill="F2F2F2"/>
          </w:tcPr>
          <w:p w:rsidR="00BA0AB9" w:rsidRPr="00BA0AB9" w:rsidRDefault="00BA0AB9" w:rsidP="00D225C7">
            <w:pPr>
              <w:spacing w:after="0" w:line="240" w:lineRule="auto"/>
              <w:rPr>
                <w:rFonts w:ascii="Times New Roman" w:eastAsia="Calibri" w:hAnsi="Times New Roman" w:cs="Times New Roman"/>
                <w:sz w:val="24"/>
                <w:szCs w:val="24"/>
              </w:rPr>
            </w:pPr>
            <w:r w:rsidRPr="00BA0AB9">
              <w:rPr>
                <w:rFonts w:ascii="Times New Roman" w:eastAsia="Calibri" w:hAnsi="Times New Roman" w:cs="Times New Roman"/>
                <w:i/>
                <w:sz w:val="24"/>
                <w:szCs w:val="24"/>
              </w:rPr>
              <w:t>Má návrh dosah na fungovanie trhu práce?</w:t>
            </w:r>
            <w:r w:rsidRPr="00BA0AB9">
              <w:rPr>
                <w:rFonts w:ascii="Times New Roman" w:eastAsia="Calibri" w:hAnsi="Times New Roman" w:cs="Times New Roman"/>
                <w:sz w:val="24"/>
                <w:szCs w:val="24"/>
              </w:rPr>
              <w:t xml:space="preserve"> </w:t>
            </w:r>
            <w:r w:rsidRPr="00BA0AB9">
              <w:rPr>
                <w:rFonts w:ascii="Times New Roman" w:eastAsia="Calibri" w:hAnsi="Times New Roman" w:cs="Times New Roman"/>
                <w:i/>
                <w:sz w:val="24"/>
                <w:szCs w:val="24"/>
              </w:rPr>
              <w:t>Ak áno, aký?</w:t>
            </w:r>
          </w:p>
        </w:tc>
      </w:tr>
      <w:tr w:rsidR="00BA0AB9" w:rsidRPr="00994C53" w:rsidTr="00BA0AB9">
        <w:trPr>
          <w:trHeight w:val="794"/>
          <w:jc w:val="center"/>
        </w:trPr>
        <w:tc>
          <w:tcPr>
            <w:tcW w:w="1993" w:type="pct"/>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Týka sa makroekonomických dosahov ako je napr. participácia na trhu práce, dlhodobá nezamestnanosť, regionálne rozdiely v mierach zamestnanosti.</w:t>
            </w:r>
            <w:r w:rsidRPr="00BA0AB9">
              <w:rPr>
                <w:rFonts w:ascii="Times New Roman" w:eastAsia="Calibri" w:hAnsi="Times New Roman" w:cs="Times New Roman"/>
                <w:sz w:val="24"/>
                <w:szCs w:val="24"/>
              </w:rPr>
              <w:t xml:space="preserve"> </w:t>
            </w:r>
            <w:r w:rsidRPr="00BA0AB9">
              <w:rPr>
                <w:rFonts w:ascii="Times New Roman" w:eastAsia="Calibri" w:hAnsi="Times New Roman"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3006" w:type="pct"/>
            <w:gridSpan w:val="2"/>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t>Bez vplyvu.</w:t>
            </w:r>
          </w:p>
        </w:tc>
      </w:tr>
      <w:tr w:rsidR="00BA0AB9" w:rsidRPr="00994C53" w:rsidTr="00BA0AB9">
        <w:trPr>
          <w:trHeight w:val="324"/>
          <w:jc w:val="center"/>
        </w:trPr>
        <w:tc>
          <w:tcPr>
            <w:tcW w:w="4999" w:type="pct"/>
            <w:gridSpan w:val="3"/>
            <w:tcBorders>
              <w:bottom w:val="single" w:sz="4" w:space="0" w:color="auto"/>
            </w:tcBorders>
            <w:shd w:val="clear" w:color="auto" w:fill="F2F2F2"/>
          </w:tcPr>
          <w:p w:rsidR="00BA0AB9" w:rsidRPr="00BA0AB9" w:rsidRDefault="00BA0AB9" w:rsidP="00D225C7">
            <w:pPr>
              <w:spacing w:after="0" w:line="240" w:lineRule="auto"/>
              <w:rPr>
                <w:rFonts w:ascii="Times New Roman" w:eastAsia="Calibri" w:hAnsi="Times New Roman" w:cs="Times New Roman"/>
                <w:sz w:val="24"/>
                <w:szCs w:val="24"/>
              </w:rPr>
            </w:pPr>
            <w:r w:rsidRPr="00BA0AB9">
              <w:rPr>
                <w:rFonts w:ascii="Times New Roman" w:eastAsia="Calibri" w:hAnsi="Times New Roman" w:cs="Times New Roman"/>
                <w:i/>
                <w:sz w:val="24"/>
                <w:szCs w:val="24"/>
              </w:rPr>
              <w:t>Má návrh špecifické negatívne dôsledky pre isté skupiny profesií, skupín zamestnancov či živnostníkov?</w:t>
            </w:r>
            <w:r w:rsidRPr="00BA0AB9">
              <w:rPr>
                <w:rFonts w:ascii="Times New Roman" w:eastAsia="Calibri" w:hAnsi="Times New Roman" w:cs="Times New Roman"/>
                <w:sz w:val="24"/>
                <w:szCs w:val="24"/>
              </w:rPr>
              <w:t xml:space="preserve"> </w:t>
            </w:r>
            <w:r w:rsidRPr="00BA0AB9">
              <w:rPr>
                <w:rFonts w:ascii="Times New Roman" w:eastAsia="Calibri" w:hAnsi="Times New Roman" w:cs="Times New Roman"/>
                <w:i/>
                <w:sz w:val="24"/>
                <w:szCs w:val="24"/>
              </w:rPr>
              <w:t>Ak áno, aké a pre ktoré skupiny?</w:t>
            </w:r>
          </w:p>
        </w:tc>
      </w:tr>
      <w:tr w:rsidR="00BA0AB9" w:rsidRPr="00994C53" w:rsidTr="00BA0AB9">
        <w:trPr>
          <w:trHeight w:val="216"/>
          <w:jc w:val="center"/>
        </w:trPr>
        <w:tc>
          <w:tcPr>
            <w:tcW w:w="1993" w:type="pct"/>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Návrh môže ohrozovať napr. pracovníkov istých profesií favorizovaním špecifických aktivít či technológií.</w:t>
            </w:r>
          </w:p>
        </w:tc>
        <w:tc>
          <w:tcPr>
            <w:tcW w:w="3006" w:type="pct"/>
            <w:gridSpan w:val="2"/>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t>Bez vplyvu.</w:t>
            </w:r>
          </w:p>
        </w:tc>
      </w:tr>
      <w:tr w:rsidR="00BA0AB9" w:rsidRPr="00994C53" w:rsidTr="00BA0AB9">
        <w:trPr>
          <w:trHeight w:val="219"/>
          <w:jc w:val="center"/>
        </w:trPr>
        <w:tc>
          <w:tcPr>
            <w:tcW w:w="4999" w:type="pct"/>
            <w:gridSpan w:val="3"/>
            <w:tcBorders>
              <w:bottom w:val="single" w:sz="4" w:space="0" w:color="auto"/>
            </w:tcBorders>
            <w:shd w:val="clear" w:color="auto" w:fill="F2F2F2"/>
          </w:tcPr>
          <w:p w:rsidR="00BA0AB9" w:rsidRPr="00BA0AB9" w:rsidRDefault="00BA0AB9" w:rsidP="00D225C7">
            <w:pPr>
              <w:spacing w:after="0" w:line="240" w:lineRule="auto"/>
              <w:rPr>
                <w:rFonts w:ascii="Times New Roman" w:eastAsia="Calibri" w:hAnsi="Times New Roman" w:cs="Times New Roman"/>
                <w:sz w:val="24"/>
                <w:szCs w:val="24"/>
              </w:rPr>
            </w:pPr>
            <w:r w:rsidRPr="00BA0AB9">
              <w:rPr>
                <w:rFonts w:ascii="Times New Roman" w:eastAsia="Calibri" w:hAnsi="Times New Roman" w:cs="Times New Roman"/>
                <w:i/>
                <w:sz w:val="24"/>
                <w:szCs w:val="24"/>
              </w:rPr>
              <w:t>Ovplyvňuje návrh špecifické vekové skupiny zamestnancov? Ak áno, aké? Akým spôsobom?</w:t>
            </w:r>
          </w:p>
        </w:tc>
      </w:tr>
      <w:tr w:rsidR="00BA0AB9" w:rsidRPr="00994C53" w:rsidTr="00BA0AB9">
        <w:trPr>
          <w:trHeight w:val="497"/>
          <w:jc w:val="center"/>
        </w:trPr>
        <w:tc>
          <w:tcPr>
            <w:tcW w:w="1993" w:type="pct"/>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i/>
                <w:sz w:val="24"/>
                <w:szCs w:val="24"/>
              </w:rPr>
            </w:pPr>
            <w:r w:rsidRPr="00BA0AB9">
              <w:rPr>
                <w:rFonts w:ascii="Times New Roman" w:eastAsia="Calibri" w:hAnsi="Times New Roman" w:cs="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3006" w:type="pct"/>
            <w:gridSpan w:val="2"/>
            <w:tcBorders>
              <w:bottom w:val="single" w:sz="4" w:space="0" w:color="auto"/>
            </w:tcBorders>
            <w:shd w:val="clear" w:color="auto" w:fill="FFFFFF"/>
          </w:tcPr>
          <w:p w:rsidR="00BA0AB9" w:rsidRPr="00BA0AB9" w:rsidRDefault="00BA0AB9" w:rsidP="00D225C7">
            <w:pPr>
              <w:spacing w:after="0" w:line="240" w:lineRule="auto"/>
              <w:rPr>
                <w:rFonts w:ascii="Times New Roman" w:eastAsia="Calibri" w:hAnsi="Times New Roman" w:cs="Times New Roman"/>
                <w:b/>
                <w:sz w:val="24"/>
                <w:szCs w:val="24"/>
              </w:rPr>
            </w:pPr>
            <w:r w:rsidRPr="00BA0AB9">
              <w:rPr>
                <w:rFonts w:ascii="Times New Roman" w:eastAsia="Calibri" w:hAnsi="Times New Roman" w:cs="Times New Roman"/>
                <w:b/>
                <w:sz w:val="24"/>
                <w:szCs w:val="24"/>
              </w:rPr>
              <w:t>Bez vplyvu.</w:t>
            </w:r>
          </w:p>
        </w:tc>
      </w:tr>
    </w:tbl>
    <w:p w:rsidR="007A5B13" w:rsidRDefault="007A5B13"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0AB9" w:rsidRPr="00BA0AB9" w:rsidTr="00D225C7">
        <w:trPr>
          <w:trHeight w:val="566"/>
        </w:trPr>
        <w:tc>
          <w:tcPr>
            <w:tcW w:w="9212" w:type="dxa"/>
            <w:shd w:val="clear" w:color="auto" w:fill="D9D9D9"/>
            <w:vAlign w:val="center"/>
            <w:hideMark/>
          </w:tcPr>
          <w:p w:rsidR="00BA0AB9" w:rsidRPr="00BA0AB9" w:rsidRDefault="00BA0AB9" w:rsidP="00D225C7">
            <w:pPr>
              <w:jc w:val="center"/>
              <w:rPr>
                <w:rFonts w:ascii="Times New Roman" w:hAnsi="Times New Roman" w:cs="Times New Roman"/>
                <w:sz w:val="24"/>
                <w:szCs w:val="24"/>
              </w:rPr>
            </w:pPr>
            <w:r w:rsidRPr="00BA0AB9">
              <w:rPr>
                <w:rFonts w:ascii="Times New Roman" w:hAnsi="Times New Roman" w:cs="Times New Roman"/>
                <w:b/>
                <w:sz w:val="24"/>
                <w:szCs w:val="24"/>
              </w:rPr>
              <w:t>Analýza vplyvov na životné prostredie</w:t>
            </w:r>
          </w:p>
        </w:tc>
      </w:tr>
      <w:tr w:rsidR="00BA0AB9" w:rsidRPr="00BA0AB9" w:rsidTr="00D225C7">
        <w:trPr>
          <w:trHeight w:val="688"/>
        </w:trPr>
        <w:tc>
          <w:tcPr>
            <w:tcW w:w="9212" w:type="dxa"/>
            <w:shd w:val="clear" w:color="auto" w:fill="D9D9D9"/>
            <w:vAlign w:val="center"/>
            <w:hideMark/>
          </w:tcPr>
          <w:p w:rsidR="00BA0AB9" w:rsidRPr="00BA0AB9" w:rsidRDefault="00BA0AB9" w:rsidP="00D225C7">
            <w:pPr>
              <w:rPr>
                <w:rFonts w:ascii="Times New Roman" w:hAnsi="Times New Roman" w:cs="Times New Roman"/>
                <w:i/>
                <w:sz w:val="24"/>
                <w:szCs w:val="24"/>
              </w:rPr>
            </w:pPr>
            <w:r w:rsidRPr="00BA0AB9">
              <w:rPr>
                <w:rFonts w:ascii="Times New Roman" w:hAnsi="Times New Roman" w:cs="Times New Roman"/>
                <w:b/>
                <w:sz w:val="24"/>
                <w:szCs w:val="24"/>
              </w:rPr>
              <w:t>5.1 Ktoré zložky životného prostredia (najmä ovzdušie, voda, horniny, pôda, organizmy) budú predkladaným materiálom ovplyvnené a aký bude ich vplyv ?</w:t>
            </w:r>
          </w:p>
        </w:tc>
      </w:tr>
      <w:tr w:rsidR="00BA0AB9" w:rsidRPr="00BA0AB9" w:rsidTr="00D225C7">
        <w:trPr>
          <w:trHeight w:val="995"/>
        </w:trPr>
        <w:tc>
          <w:tcPr>
            <w:tcW w:w="9212" w:type="dxa"/>
          </w:tcPr>
          <w:p w:rsidR="00BA0AB9" w:rsidRPr="00BA0AB9" w:rsidRDefault="00BA0AB9" w:rsidP="00D225C7">
            <w:pPr>
              <w:jc w:val="both"/>
              <w:rPr>
                <w:rFonts w:ascii="Times New Roman" w:hAnsi="Times New Roman" w:cs="Times New Roman"/>
                <w:sz w:val="24"/>
                <w:szCs w:val="24"/>
              </w:rPr>
            </w:pPr>
            <w:r w:rsidRPr="00BA0AB9">
              <w:rPr>
                <w:rFonts w:ascii="Times New Roman" w:hAnsi="Times New Roman" w:cs="Times New Roman"/>
                <w:sz w:val="24"/>
                <w:szCs w:val="24"/>
              </w:rPr>
              <w:t xml:space="preserve">Zavedenie zvýhodneného spôsobu odpisovania pre elektromobily má za cieľ podporiť rozvoj trhu alternatívnych palív v odvetví dopravy. </w:t>
            </w:r>
            <w:proofErr w:type="spellStart"/>
            <w:r w:rsidRPr="00BA0AB9">
              <w:rPr>
                <w:rFonts w:ascii="Times New Roman" w:hAnsi="Times New Roman" w:cs="Times New Roman"/>
                <w:sz w:val="24"/>
                <w:szCs w:val="24"/>
              </w:rPr>
              <w:t>Elektromobilita</w:t>
            </w:r>
            <w:proofErr w:type="spellEnd"/>
            <w:r w:rsidRPr="00BA0AB9">
              <w:rPr>
                <w:rFonts w:ascii="Times New Roman" w:hAnsi="Times New Roman" w:cs="Times New Roman"/>
                <w:sz w:val="24"/>
                <w:szCs w:val="24"/>
              </w:rPr>
              <w:t xml:space="preserve"> má pozitívny vplyv na kvalitu životného prostredia, vďaka úspore emisií zdraviu škodlivých látok, pevných častíc a skleníkových plynov ako aj k zníženiu hladín hluku z dopravy. </w:t>
            </w:r>
          </w:p>
          <w:p w:rsidR="00BA0AB9" w:rsidRPr="00BA0AB9" w:rsidRDefault="00BA0AB9" w:rsidP="00D225C7">
            <w:pPr>
              <w:jc w:val="both"/>
              <w:rPr>
                <w:rFonts w:ascii="Times New Roman" w:hAnsi="Times New Roman" w:cs="Times New Roman"/>
                <w:sz w:val="24"/>
                <w:szCs w:val="24"/>
              </w:rPr>
            </w:pPr>
            <w:r w:rsidRPr="00BA0AB9">
              <w:rPr>
                <w:rFonts w:ascii="Times New Roman" w:hAnsi="Times New Roman" w:cs="Times New Roman"/>
                <w:sz w:val="24"/>
                <w:szCs w:val="24"/>
              </w:rPr>
              <w:t xml:space="preserve">Pozitívne vplyvy na životné prostredie z titulu zavedenia novej odpisovej skupiny pre elektromobily odhadujeme na približne 890 tis. eur v roku 2019 až 2,7 mil. eur v roku 2022. Uvedený vplyv je výsledkom zníženia emisií CO2, </w:t>
            </w:r>
            <w:proofErr w:type="spellStart"/>
            <w:r w:rsidRPr="00BA0AB9">
              <w:rPr>
                <w:rFonts w:ascii="Times New Roman" w:hAnsi="Times New Roman" w:cs="Times New Roman"/>
                <w:sz w:val="24"/>
                <w:szCs w:val="24"/>
              </w:rPr>
              <w:t>NOx</w:t>
            </w:r>
            <w:proofErr w:type="spellEnd"/>
            <w:r w:rsidRPr="00BA0AB9">
              <w:rPr>
                <w:rFonts w:ascii="Times New Roman" w:hAnsi="Times New Roman" w:cs="Times New Roman"/>
                <w:sz w:val="24"/>
                <w:szCs w:val="24"/>
              </w:rPr>
              <w:t xml:space="preserve"> a PM2,5 u elektromobilov a </w:t>
            </w:r>
            <w:proofErr w:type="spellStart"/>
            <w:r w:rsidRPr="00BA0AB9">
              <w:rPr>
                <w:rFonts w:ascii="Times New Roman" w:hAnsi="Times New Roman" w:cs="Times New Roman"/>
                <w:sz w:val="24"/>
                <w:szCs w:val="24"/>
              </w:rPr>
              <w:t>plug</w:t>
            </w:r>
            <w:proofErr w:type="spellEnd"/>
            <w:r w:rsidRPr="00BA0AB9">
              <w:rPr>
                <w:rFonts w:ascii="Times New Roman" w:hAnsi="Times New Roman" w:cs="Times New Roman"/>
                <w:sz w:val="24"/>
                <w:szCs w:val="24"/>
              </w:rPr>
              <w:t xml:space="preserve">-in hybridov v porovnaní s benzínovými a dieselovými motormi. Odhad pozitívneho vplyvu predpokladá nahradenie automobilov s benzínovým a naftovým pohonom </w:t>
            </w:r>
            <w:proofErr w:type="spellStart"/>
            <w:r w:rsidRPr="00BA0AB9">
              <w:rPr>
                <w:rFonts w:ascii="Times New Roman" w:hAnsi="Times New Roman" w:cs="Times New Roman"/>
                <w:sz w:val="24"/>
                <w:szCs w:val="24"/>
              </w:rPr>
              <w:t>elektromobilmy</w:t>
            </w:r>
            <w:proofErr w:type="spellEnd"/>
            <w:r w:rsidRPr="00BA0AB9">
              <w:rPr>
                <w:rFonts w:ascii="Times New Roman" w:hAnsi="Times New Roman" w:cs="Times New Roman"/>
                <w:sz w:val="24"/>
                <w:szCs w:val="24"/>
              </w:rPr>
              <w:t xml:space="preserve"> a </w:t>
            </w:r>
            <w:proofErr w:type="spellStart"/>
            <w:r w:rsidRPr="00BA0AB9">
              <w:rPr>
                <w:rFonts w:ascii="Times New Roman" w:hAnsi="Times New Roman" w:cs="Times New Roman"/>
                <w:sz w:val="24"/>
                <w:szCs w:val="24"/>
              </w:rPr>
              <w:t>plug</w:t>
            </w:r>
            <w:proofErr w:type="spellEnd"/>
            <w:r w:rsidRPr="00BA0AB9">
              <w:rPr>
                <w:rFonts w:ascii="Times New Roman" w:hAnsi="Times New Roman" w:cs="Times New Roman"/>
                <w:sz w:val="24"/>
                <w:szCs w:val="24"/>
              </w:rPr>
              <w:t xml:space="preserve">-in hybridmi v súlade s projekciou Ministerstva Hospodárstva upravenou podľa skutočného vývoja za roky 2016 a 2018. </w:t>
            </w:r>
          </w:p>
        </w:tc>
      </w:tr>
      <w:tr w:rsidR="00BA0AB9" w:rsidRPr="00BA0AB9" w:rsidTr="00D225C7">
        <w:trPr>
          <w:trHeight w:val="404"/>
        </w:trPr>
        <w:tc>
          <w:tcPr>
            <w:tcW w:w="9212" w:type="dxa"/>
            <w:shd w:val="clear" w:color="auto" w:fill="D9D9D9"/>
            <w:vAlign w:val="center"/>
            <w:hideMark/>
          </w:tcPr>
          <w:p w:rsidR="00BA0AB9" w:rsidRPr="00BA0AB9" w:rsidRDefault="00BA0AB9" w:rsidP="00D225C7">
            <w:pPr>
              <w:rPr>
                <w:rFonts w:ascii="Times New Roman" w:hAnsi="Times New Roman" w:cs="Times New Roman"/>
                <w:b/>
                <w:sz w:val="24"/>
                <w:szCs w:val="24"/>
              </w:rPr>
            </w:pPr>
            <w:r w:rsidRPr="00BA0AB9">
              <w:rPr>
                <w:rFonts w:ascii="Times New Roman" w:hAnsi="Times New Roman" w:cs="Times New Roman"/>
                <w:b/>
                <w:sz w:val="24"/>
                <w:szCs w:val="24"/>
              </w:rPr>
              <w:t xml:space="preserve">5.2 Bude mať predkladaný materiál vplyv na chránené územia a ak áno, aký? </w:t>
            </w:r>
          </w:p>
        </w:tc>
      </w:tr>
      <w:tr w:rsidR="00BA0AB9" w:rsidRPr="00BA0AB9" w:rsidTr="00D225C7">
        <w:trPr>
          <w:trHeight w:val="987"/>
        </w:trPr>
        <w:tc>
          <w:tcPr>
            <w:tcW w:w="9212" w:type="dxa"/>
          </w:tcPr>
          <w:p w:rsidR="00BA0AB9" w:rsidRPr="00BA0AB9" w:rsidRDefault="00BA0AB9" w:rsidP="00D225C7">
            <w:pPr>
              <w:jc w:val="both"/>
              <w:rPr>
                <w:rFonts w:ascii="Times New Roman" w:hAnsi="Times New Roman" w:cs="Times New Roman"/>
                <w:i/>
                <w:sz w:val="24"/>
                <w:szCs w:val="24"/>
              </w:rPr>
            </w:pPr>
            <w:r w:rsidRPr="00BA0AB9">
              <w:rPr>
                <w:rFonts w:ascii="Times New Roman" w:hAnsi="Times New Roman" w:cs="Times New Roman"/>
                <w:i/>
                <w:sz w:val="24"/>
                <w:szCs w:val="24"/>
              </w:rPr>
              <w:t>Nie</w:t>
            </w:r>
          </w:p>
        </w:tc>
      </w:tr>
      <w:tr w:rsidR="00BA0AB9" w:rsidRPr="00BA0AB9" w:rsidTr="00D225C7">
        <w:trPr>
          <w:trHeight w:val="698"/>
        </w:trPr>
        <w:tc>
          <w:tcPr>
            <w:tcW w:w="9212" w:type="dxa"/>
            <w:shd w:val="clear" w:color="auto" w:fill="D9D9D9"/>
            <w:vAlign w:val="center"/>
          </w:tcPr>
          <w:p w:rsidR="00BA0AB9" w:rsidRPr="00BA0AB9" w:rsidRDefault="00BA0AB9" w:rsidP="00D225C7">
            <w:pPr>
              <w:rPr>
                <w:rFonts w:ascii="Times New Roman" w:hAnsi="Times New Roman" w:cs="Times New Roman"/>
                <w:b/>
                <w:sz w:val="24"/>
                <w:szCs w:val="24"/>
              </w:rPr>
            </w:pPr>
            <w:r w:rsidRPr="00BA0AB9">
              <w:rPr>
                <w:rFonts w:ascii="Times New Roman" w:hAnsi="Times New Roman" w:cs="Times New Roman"/>
                <w:b/>
                <w:sz w:val="24"/>
                <w:szCs w:val="24"/>
              </w:rPr>
              <w:t>5.3 Bude mať predkladaný materiál vplyvy na životné prostredie presahujúce štátne hranice? (ktoré zložky a ako budú najviac ovplyvnené)?</w:t>
            </w:r>
          </w:p>
        </w:tc>
      </w:tr>
      <w:tr w:rsidR="00BA0AB9" w:rsidRPr="00BA0AB9" w:rsidTr="00D225C7">
        <w:trPr>
          <w:trHeight w:val="969"/>
        </w:trPr>
        <w:tc>
          <w:tcPr>
            <w:tcW w:w="9212" w:type="dxa"/>
          </w:tcPr>
          <w:p w:rsidR="00BA0AB9" w:rsidRPr="00BA0AB9" w:rsidRDefault="00BA0AB9" w:rsidP="00D225C7">
            <w:pPr>
              <w:jc w:val="both"/>
              <w:rPr>
                <w:rFonts w:ascii="Times New Roman" w:hAnsi="Times New Roman" w:cs="Times New Roman"/>
                <w:b/>
                <w:sz w:val="24"/>
                <w:szCs w:val="24"/>
              </w:rPr>
            </w:pPr>
            <w:r w:rsidRPr="00BA0AB9">
              <w:rPr>
                <w:rFonts w:ascii="Times New Roman" w:hAnsi="Times New Roman" w:cs="Times New Roman"/>
                <w:i/>
                <w:sz w:val="24"/>
                <w:szCs w:val="24"/>
              </w:rPr>
              <w:t>Nie</w:t>
            </w:r>
          </w:p>
        </w:tc>
      </w:tr>
      <w:tr w:rsidR="00BA0AB9" w:rsidRPr="00BA0AB9" w:rsidTr="00D225C7">
        <w:trPr>
          <w:trHeight w:val="713"/>
        </w:trPr>
        <w:tc>
          <w:tcPr>
            <w:tcW w:w="9212" w:type="dxa"/>
            <w:shd w:val="clear" w:color="auto" w:fill="D9D9D9"/>
            <w:vAlign w:val="center"/>
          </w:tcPr>
          <w:p w:rsidR="00BA0AB9" w:rsidRPr="00BA0AB9" w:rsidRDefault="00BA0AB9" w:rsidP="00D225C7">
            <w:pPr>
              <w:rPr>
                <w:rFonts w:ascii="Times New Roman" w:hAnsi="Times New Roman" w:cs="Times New Roman"/>
                <w:b/>
                <w:sz w:val="24"/>
                <w:szCs w:val="24"/>
              </w:rPr>
            </w:pPr>
            <w:r w:rsidRPr="00BA0AB9">
              <w:rPr>
                <w:rFonts w:ascii="Times New Roman" w:hAnsi="Times New Roman" w:cs="Times New Roman"/>
                <w:b/>
                <w:sz w:val="24"/>
                <w:szCs w:val="24"/>
              </w:rPr>
              <w:t>5.4 Aké opatrenia budú prijaté na zmiernenie negatívneho vplyvu na životné prostredie?</w:t>
            </w:r>
          </w:p>
        </w:tc>
      </w:tr>
      <w:tr w:rsidR="00BA0AB9" w:rsidRPr="00BA0AB9" w:rsidTr="00D225C7">
        <w:trPr>
          <w:trHeight w:val="979"/>
        </w:trPr>
        <w:tc>
          <w:tcPr>
            <w:tcW w:w="9212" w:type="dxa"/>
            <w:shd w:val="clear" w:color="auto" w:fill="FFFFFF"/>
          </w:tcPr>
          <w:p w:rsidR="00BA0AB9" w:rsidRPr="00BA0AB9" w:rsidRDefault="00BA0AB9" w:rsidP="00D225C7">
            <w:pPr>
              <w:jc w:val="both"/>
              <w:rPr>
                <w:rFonts w:ascii="Times New Roman" w:hAnsi="Times New Roman" w:cs="Times New Roman"/>
                <w:sz w:val="24"/>
                <w:szCs w:val="24"/>
              </w:rPr>
            </w:pPr>
            <w:r w:rsidRPr="00BA0AB9">
              <w:rPr>
                <w:rFonts w:ascii="Times New Roman" w:hAnsi="Times New Roman" w:cs="Times New Roman"/>
                <w:sz w:val="24"/>
                <w:szCs w:val="24"/>
              </w:rPr>
              <w:t>Zavedenie zvýhodneného spôsobu odpisovania nepredpokladajú negatívne vplyvy na životné prostredie.</w:t>
            </w:r>
          </w:p>
        </w:tc>
      </w:tr>
    </w:tbl>
    <w:p w:rsidR="00EA543A" w:rsidRDefault="00EA543A"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Pr="00BA0AB9" w:rsidRDefault="00BA0AB9" w:rsidP="00BA0AB9">
      <w:pPr>
        <w:jc w:val="center"/>
        <w:rPr>
          <w:rFonts w:ascii="Times New Roman" w:hAnsi="Times New Roman" w:cs="Times New Roman"/>
          <w:b/>
          <w:bCs/>
          <w:sz w:val="24"/>
          <w:szCs w:val="24"/>
        </w:rPr>
      </w:pPr>
      <w:r w:rsidRPr="00BA0AB9">
        <w:rPr>
          <w:rFonts w:ascii="Times New Roman" w:hAnsi="Times New Roman" w:cs="Times New Roman"/>
          <w:b/>
          <w:bCs/>
          <w:sz w:val="24"/>
          <w:szCs w:val="24"/>
        </w:rPr>
        <w:lastRenderedPageBreak/>
        <w:t>DOLOŽKA ZLUČITEĽNOSTI</w:t>
      </w:r>
    </w:p>
    <w:p w:rsidR="00BA0AB9" w:rsidRPr="00BA0AB9" w:rsidRDefault="00BA0AB9" w:rsidP="00BA0AB9">
      <w:pPr>
        <w:pBdr>
          <w:bottom w:val="single" w:sz="6" w:space="1" w:color="auto"/>
        </w:pBdr>
        <w:jc w:val="center"/>
        <w:rPr>
          <w:rFonts w:ascii="Times New Roman" w:hAnsi="Times New Roman" w:cs="Times New Roman"/>
          <w:b/>
          <w:bCs/>
          <w:sz w:val="24"/>
          <w:szCs w:val="24"/>
        </w:rPr>
      </w:pPr>
      <w:r w:rsidRPr="00BA0AB9">
        <w:rPr>
          <w:rFonts w:ascii="Times New Roman" w:hAnsi="Times New Roman" w:cs="Times New Roman"/>
          <w:b/>
          <w:bCs/>
          <w:sz w:val="24"/>
          <w:szCs w:val="24"/>
        </w:rPr>
        <w:t>návrhu zákona, ktorým sa mení a dopĺňa zákon č. 595/2003 Z. z. o dani z príjmov v znení neskorších predpisov s právom Európskej únie</w:t>
      </w:r>
    </w:p>
    <w:p w:rsidR="00BA0AB9" w:rsidRPr="00BA0AB9" w:rsidRDefault="00BA0AB9" w:rsidP="00BA0AB9">
      <w:pPr>
        <w:rPr>
          <w:rFonts w:ascii="Times New Roman" w:hAnsi="Times New Roman" w:cs="Times New Roman"/>
          <w:b/>
          <w:bCs/>
          <w:sz w:val="24"/>
          <w:szCs w:val="24"/>
        </w:rPr>
      </w:pPr>
    </w:p>
    <w:p w:rsidR="00BA0AB9" w:rsidRPr="00BA0AB9" w:rsidRDefault="00BA0AB9" w:rsidP="00BA0AB9">
      <w:pPr>
        <w:numPr>
          <w:ilvl w:val="0"/>
          <w:numId w:val="31"/>
        </w:numPr>
        <w:spacing w:after="120" w:line="240" w:lineRule="auto"/>
        <w:jc w:val="both"/>
        <w:rPr>
          <w:rFonts w:ascii="Times New Roman" w:hAnsi="Times New Roman" w:cs="Times New Roman"/>
          <w:sz w:val="24"/>
          <w:szCs w:val="24"/>
        </w:rPr>
      </w:pPr>
      <w:r w:rsidRPr="00BA0AB9">
        <w:rPr>
          <w:rFonts w:ascii="Times New Roman" w:hAnsi="Times New Roman" w:cs="Times New Roman"/>
          <w:b/>
          <w:bCs/>
          <w:sz w:val="24"/>
          <w:szCs w:val="24"/>
        </w:rPr>
        <w:t>Navrhovateľ zákona:</w:t>
      </w:r>
    </w:p>
    <w:p w:rsidR="00BA0AB9" w:rsidRPr="00BA0AB9" w:rsidRDefault="00BA0AB9" w:rsidP="00BA0AB9">
      <w:pPr>
        <w:ind w:firstLine="425"/>
        <w:jc w:val="both"/>
        <w:rPr>
          <w:rFonts w:ascii="Times New Roman" w:hAnsi="Times New Roman" w:cs="Times New Roman"/>
          <w:sz w:val="24"/>
          <w:szCs w:val="24"/>
        </w:rPr>
      </w:pPr>
      <w:r w:rsidRPr="00BA0AB9">
        <w:rPr>
          <w:rFonts w:ascii="Times New Roman" w:hAnsi="Times New Roman" w:cs="Times New Roman"/>
          <w:sz w:val="24"/>
          <w:szCs w:val="24"/>
        </w:rPr>
        <w:t xml:space="preserve">Vláda Slovenskej republiky. </w:t>
      </w:r>
    </w:p>
    <w:p w:rsidR="00BA0AB9" w:rsidRPr="00BA0AB9" w:rsidRDefault="00BA0AB9" w:rsidP="00BA0AB9">
      <w:pPr>
        <w:numPr>
          <w:ilvl w:val="0"/>
          <w:numId w:val="31"/>
        </w:numPr>
        <w:spacing w:after="120" w:line="240" w:lineRule="auto"/>
        <w:jc w:val="both"/>
        <w:rPr>
          <w:rFonts w:ascii="Times New Roman" w:hAnsi="Times New Roman" w:cs="Times New Roman"/>
          <w:b/>
          <w:bCs/>
          <w:sz w:val="24"/>
          <w:szCs w:val="24"/>
        </w:rPr>
      </w:pPr>
      <w:r w:rsidRPr="00BA0AB9">
        <w:rPr>
          <w:rFonts w:ascii="Times New Roman" w:hAnsi="Times New Roman" w:cs="Times New Roman"/>
          <w:b/>
          <w:bCs/>
          <w:sz w:val="24"/>
          <w:szCs w:val="24"/>
        </w:rPr>
        <w:t>Názov návrhu zákona:</w:t>
      </w:r>
    </w:p>
    <w:p w:rsidR="00BA0AB9" w:rsidRPr="00BA0AB9" w:rsidRDefault="00BA0AB9" w:rsidP="00BA0AB9">
      <w:pPr>
        <w:ind w:left="425"/>
        <w:jc w:val="both"/>
        <w:rPr>
          <w:rFonts w:ascii="Times New Roman" w:hAnsi="Times New Roman" w:cs="Times New Roman"/>
          <w:bCs/>
          <w:sz w:val="24"/>
          <w:szCs w:val="24"/>
        </w:rPr>
      </w:pPr>
      <w:r w:rsidRPr="00BA0AB9">
        <w:rPr>
          <w:rFonts w:ascii="Times New Roman" w:hAnsi="Times New Roman" w:cs="Times New Roman"/>
          <w:sz w:val="24"/>
          <w:szCs w:val="24"/>
        </w:rPr>
        <w:t xml:space="preserve">Návrh zákona, ktorým sa mení a dopĺňa zákon č. 595/2003 Z. z. o dani z príjmov v znení neskorších predpisov. </w:t>
      </w:r>
    </w:p>
    <w:p w:rsidR="00BA0AB9" w:rsidRPr="00BA0AB9" w:rsidRDefault="00BA0AB9" w:rsidP="00BA0AB9">
      <w:pPr>
        <w:numPr>
          <w:ilvl w:val="0"/>
          <w:numId w:val="31"/>
        </w:numPr>
        <w:spacing w:after="120" w:line="240" w:lineRule="auto"/>
        <w:jc w:val="both"/>
        <w:rPr>
          <w:rFonts w:ascii="Times New Roman" w:hAnsi="Times New Roman" w:cs="Times New Roman"/>
          <w:b/>
          <w:bCs/>
          <w:sz w:val="24"/>
          <w:szCs w:val="24"/>
        </w:rPr>
      </w:pPr>
      <w:r w:rsidRPr="00BA0AB9">
        <w:rPr>
          <w:rFonts w:ascii="Times New Roman" w:hAnsi="Times New Roman" w:cs="Times New Roman"/>
          <w:b/>
          <w:bCs/>
          <w:sz w:val="24"/>
          <w:szCs w:val="24"/>
        </w:rPr>
        <w:t xml:space="preserve">Predmet návrhu zákona </w:t>
      </w:r>
      <w:r w:rsidRPr="00BA0AB9">
        <w:rPr>
          <w:rFonts w:ascii="Times New Roman" w:hAnsi="Times New Roman" w:cs="Times New Roman"/>
          <w:b/>
          <w:sz w:val="24"/>
          <w:szCs w:val="24"/>
          <w:lang w:eastAsia="cs-CZ"/>
        </w:rPr>
        <w:t>je upravený v práve Európskej únie:</w:t>
      </w:r>
    </w:p>
    <w:p w:rsidR="00BA0AB9" w:rsidRPr="00BA0AB9" w:rsidRDefault="00BA0AB9" w:rsidP="00BA0AB9">
      <w:pPr>
        <w:numPr>
          <w:ilvl w:val="1"/>
          <w:numId w:val="31"/>
        </w:numPr>
        <w:spacing w:after="120" w:line="240" w:lineRule="auto"/>
        <w:rPr>
          <w:rFonts w:ascii="Times New Roman" w:hAnsi="Times New Roman" w:cs="Times New Roman"/>
          <w:sz w:val="24"/>
          <w:szCs w:val="24"/>
          <w:lang w:eastAsia="cs-CZ"/>
        </w:rPr>
      </w:pPr>
      <w:r w:rsidRPr="00BA0AB9">
        <w:rPr>
          <w:rFonts w:ascii="Times New Roman" w:hAnsi="Times New Roman" w:cs="Times New Roman"/>
          <w:b/>
          <w:bCs/>
          <w:iCs/>
          <w:sz w:val="24"/>
          <w:szCs w:val="24"/>
          <w:lang w:eastAsia="cs-CZ"/>
        </w:rPr>
        <w:t>Primárne právo:</w:t>
      </w:r>
    </w:p>
    <w:p w:rsidR="00BA0AB9" w:rsidRPr="00BA0AB9" w:rsidRDefault="00BA0AB9" w:rsidP="00BA0AB9">
      <w:pPr>
        <w:pStyle w:val="Odsekzoznamu"/>
        <w:numPr>
          <w:ilvl w:val="0"/>
          <w:numId w:val="36"/>
        </w:numPr>
        <w:spacing w:after="120" w:line="276" w:lineRule="auto"/>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t>čl. 110 až 112 a čl. 115 Zmluvy o fungovaní Európskej únie.</w:t>
      </w:r>
    </w:p>
    <w:p w:rsidR="00BA0AB9" w:rsidRPr="00BA0AB9" w:rsidRDefault="00BA0AB9" w:rsidP="00BA0AB9">
      <w:pPr>
        <w:numPr>
          <w:ilvl w:val="1"/>
          <w:numId w:val="31"/>
        </w:numPr>
        <w:spacing w:after="120" w:line="240" w:lineRule="auto"/>
        <w:rPr>
          <w:rFonts w:ascii="Times New Roman" w:hAnsi="Times New Roman" w:cs="Times New Roman"/>
          <w:sz w:val="24"/>
          <w:szCs w:val="24"/>
          <w:lang w:eastAsia="cs-CZ"/>
        </w:rPr>
      </w:pPr>
      <w:r w:rsidRPr="00BA0AB9">
        <w:rPr>
          <w:rFonts w:ascii="Times New Roman" w:hAnsi="Times New Roman" w:cs="Times New Roman"/>
          <w:b/>
          <w:bCs/>
          <w:iCs/>
          <w:sz w:val="24"/>
          <w:szCs w:val="24"/>
        </w:rPr>
        <w:t>Sekundárne právo:</w:t>
      </w:r>
    </w:p>
    <w:p w:rsidR="00BA0AB9" w:rsidRPr="00BA0AB9" w:rsidRDefault="00BA0AB9" w:rsidP="00BA0AB9">
      <w:pPr>
        <w:pStyle w:val="Odsekzoznamu"/>
        <w:numPr>
          <w:ilvl w:val="0"/>
          <w:numId w:val="32"/>
        </w:numPr>
        <w:autoSpaceDE w:val="0"/>
        <w:autoSpaceDN w:val="0"/>
        <w:adjustRightInd w:val="0"/>
        <w:spacing w:before="120" w:after="240" w:line="240" w:lineRule="auto"/>
        <w:ind w:left="901" w:hanging="391"/>
        <w:jc w:val="both"/>
        <w:rPr>
          <w:rFonts w:ascii="Times New Roman" w:hAnsi="Times New Roman" w:cs="Times New Roman"/>
          <w:bCs/>
          <w:iCs/>
          <w:sz w:val="24"/>
          <w:szCs w:val="24"/>
          <w:u w:val="single"/>
        </w:rPr>
      </w:pPr>
      <w:r w:rsidRPr="00BA0AB9">
        <w:rPr>
          <w:rFonts w:ascii="Times New Roman" w:hAnsi="Times New Roman" w:cs="Times New Roman"/>
          <w:bCs/>
          <w:iCs/>
          <w:sz w:val="24"/>
          <w:szCs w:val="24"/>
        </w:rPr>
        <w:t>smernica Rady (EÚ)</w:t>
      </w:r>
      <w:r w:rsidRPr="00BA0AB9">
        <w:rPr>
          <w:rFonts w:ascii="Times New Roman" w:hAnsi="Times New Roman" w:cs="Times New Roman"/>
          <w:bCs/>
          <w:iCs/>
          <w:sz w:val="24"/>
          <w:szCs w:val="24"/>
          <w:u w:val="single"/>
        </w:rPr>
        <w:t xml:space="preserve"> 2017/952</w:t>
      </w:r>
      <w:r w:rsidRPr="00BA0AB9">
        <w:rPr>
          <w:rFonts w:ascii="Times New Roman" w:hAnsi="Times New Roman" w:cs="Times New Roman"/>
          <w:bCs/>
          <w:iCs/>
          <w:sz w:val="24"/>
          <w:szCs w:val="24"/>
        </w:rPr>
        <w:t xml:space="preserve"> z 29. mája 2017, ktorou sa mení smernica (EÚ) 2016/1164, pokiaľ ide o hybridné nesúlady s tretími krajinami (Ú. v. EÚ L 144, 7.6.2017), gestor: MF SR,</w:t>
      </w:r>
    </w:p>
    <w:p w:rsidR="00BA0AB9" w:rsidRPr="00BA0AB9" w:rsidRDefault="00BA0AB9" w:rsidP="00BA0AB9">
      <w:pPr>
        <w:numPr>
          <w:ilvl w:val="0"/>
          <w:numId w:val="32"/>
        </w:numPr>
        <w:autoSpaceDE w:val="0"/>
        <w:autoSpaceDN w:val="0"/>
        <w:adjustRightInd w:val="0"/>
        <w:spacing w:before="120" w:after="0" w:line="240" w:lineRule="auto"/>
        <w:ind w:left="901" w:hanging="391"/>
        <w:jc w:val="both"/>
        <w:rPr>
          <w:rFonts w:ascii="Times New Roman" w:hAnsi="Times New Roman" w:cs="Times New Roman"/>
          <w:bCs/>
          <w:sz w:val="24"/>
          <w:szCs w:val="24"/>
        </w:rPr>
      </w:pPr>
      <w:r w:rsidRPr="00BA0AB9">
        <w:rPr>
          <w:rFonts w:ascii="Times New Roman" w:hAnsi="Times New Roman" w:cs="Times New Roman"/>
          <w:bCs/>
          <w:sz w:val="24"/>
          <w:szCs w:val="24"/>
          <w:bdr w:val="none" w:sz="0" w:space="0" w:color="auto" w:frame="1"/>
          <w:shd w:val="clear" w:color="auto" w:fill="FFFFFF"/>
        </w:rPr>
        <w:t xml:space="preserve">smernica Rady (EÚ) </w:t>
      </w:r>
      <w:r w:rsidRPr="00BA0AB9">
        <w:rPr>
          <w:rFonts w:ascii="Times New Roman" w:hAnsi="Times New Roman" w:cs="Times New Roman"/>
          <w:bCs/>
          <w:sz w:val="24"/>
          <w:szCs w:val="24"/>
          <w:u w:val="single"/>
          <w:bdr w:val="none" w:sz="0" w:space="0" w:color="auto" w:frame="1"/>
          <w:shd w:val="clear" w:color="auto" w:fill="FFFFFF"/>
        </w:rPr>
        <w:t>2016/1164</w:t>
      </w:r>
      <w:r w:rsidRPr="00BA0AB9">
        <w:rPr>
          <w:rFonts w:ascii="Times New Roman" w:hAnsi="Times New Roman" w:cs="Times New Roman"/>
          <w:bCs/>
          <w:sz w:val="24"/>
          <w:szCs w:val="24"/>
          <w:bdr w:val="none" w:sz="0" w:space="0" w:color="auto" w:frame="1"/>
          <w:shd w:val="clear" w:color="auto" w:fill="FFFFFF"/>
        </w:rPr>
        <w:t xml:space="preserve"> z 12. júla 2016, ktorou sa stanovujú pravidlá proti praktikám vyhýbania sa daňovým povinnostiam, ktoré majú priamy vplyv na fungovanie vnútorného trhu (</w:t>
      </w:r>
      <w:r w:rsidRPr="00BA0AB9">
        <w:rPr>
          <w:rFonts w:ascii="Times New Roman" w:hAnsi="Times New Roman" w:cs="Times New Roman"/>
          <w:iCs/>
          <w:sz w:val="24"/>
          <w:szCs w:val="24"/>
        </w:rPr>
        <w:t xml:space="preserve">Ú. v. EÚ L 193, 19.7.2016), </w:t>
      </w:r>
      <w:r w:rsidRPr="00BA0AB9">
        <w:rPr>
          <w:rFonts w:ascii="Times New Roman" w:hAnsi="Times New Roman" w:cs="Times New Roman"/>
          <w:sz w:val="24"/>
          <w:szCs w:val="24"/>
        </w:rPr>
        <w:t>v platnom znení</w:t>
      </w:r>
      <w:r w:rsidRPr="00BA0AB9">
        <w:rPr>
          <w:rFonts w:ascii="Times New Roman" w:hAnsi="Times New Roman" w:cs="Times New Roman"/>
          <w:bCs/>
          <w:iCs/>
          <w:sz w:val="24"/>
          <w:szCs w:val="24"/>
        </w:rPr>
        <w:t>, gestor: MF SR,</w:t>
      </w:r>
    </w:p>
    <w:p w:rsidR="00BA0AB9" w:rsidRPr="00BA0AB9" w:rsidRDefault="00BA0AB9" w:rsidP="00BA0AB9">
      <w:pPr>
        <w:numPr>
          <w:ilvl w:val="0"/>
          <w:numId w:val="32"/>
        </w:numPr>
        <w:autoSpaceDE w:val="0"/>
        <w:autoSpaceDN w:val="0"/>
        <w:adjustRightInd w:val="0"/>
        <w:spacing w:before="120" w:after="120" w:line="240" w:lineRule="auto"/>
        <w:ind w:left="901" w:hanging="391"/>
        <w:jc w:val="both"/>
        <w:rPr>
          <w:rFonts w:ascii="Times New Roman" w:hAnsi="Times New Roman" w:cs="Times New Roman"/>
          <w:bCs/>
          <w:sz w:val="24"/>
          <w:szCs w:val="24"/>
        </w:rPr>
      </w:pPr>
      <w:r w:rsidRPr="00BA0AB9">
        <w:rPr>
          <w:rFonts w:ascii="Times New Roman" w:hAnsi="Times New Roman" w:cs="Times New Roman"/>
          <w:bCs/>
          <w:iCs/>
          <w:sz w:val="24"/>
          <w:szCs w:val="24"/>
        </w:rPr>
        <w:t xml:space="preserve">smernica </w:t>
      </w:r>
      <w:r w:rsidRPr="00BA0AB9">
        <w:rPr>
          <w:rFonts w:ascii="Times New Roman" w:hAnsi="Times New Roman" w:cs="Times New Roman"/>
          <w:bCs/>
          <w:sz w:val="24"/>
          <w:szCs w:val="24"/>
        </w:rPr>
        <w:t xml:space="preserve">Rady </w:t>
      </w:r>
      <w:r w:rsidRPr="00BA0AB9">
        <w:rPr>
          <w:rFonts w:ascii="Times New Roman" w:hAnsi="Times New Roman" w:cs="Times New Roman"/>
          <w:bCs/>
          <w:sz w:val="24"/>
          <w:szCs w:val="24"/>
          <w:u w:val="single"/>
        </w:rPr>
        <w:t>2011/96/EÚ</w:t>
      </w:r>
      <w:r w:rsidRPr="00BA0AB9">
        <w:rPr>
          <w:rFonts w:ascii="Times New Roman" w:hAnsi="Times New Roman" w:cs="Times New Roman"/>
          <w:bCs/>
          <w:sz w:val="24"/>
          <w:szCs w:val="24"/>
        </w:rPr>
        <w:t xml:space="preserve"> z 30. novembra 2011 o spoločnom systéme zdaňovania uplatňovanom v prípade materských spoločností a dcérskych spoločností v rozličných členských štátoch (prepracované znenie) (</w:t>
      </w:r>
      <w:r w:rsidRPr="00BA0AB9">
        <w:rPr>
          <w:rStyle w:val="Zvraznenie"/>
          <w:rFonts w:ascii="Times New Roman" w:hAnsi="Times New Roman"/>
          <w:sz w:val="24"/>
          <w:szCs w:val="24"/>
        </w:rPr>
        <w:t>Ú. v. EÚ L 345, 29.12.2011)</w:t>
      </w:r>
      <w:r w:rsidRPr="00BA0AB9">
        <w:rPr>
          <w:rFonts w:ascii="Times New Roman" w:hAnsi="Times New Roman" w:cs="Times New Roman"/>
          <w:sz w:val="24"/>
          <w:szCs w:val="24"/>
        </w:rPr>
        <w:t xml:space="preserve"> v platnom znení, </w:t>
      </w:r>
      <w:r w:rsidRPr="00BA0AB9">
        <w:rPr>
          <w:rFonts w:ascii="Times New Roman" w:hAnsi="Times New Roman" w:cs="Times New Roman"/>
          <w:bCs/>
          <w:iCs/>
          <w:sz w:val="24"/>
          <w:szCs w:val="24"/>
        </w:rPr>
        <w:t>gestor: MF SR,</w:t>
      </w:r>
    </w:p>
    <w:p w:rsidR="00BA0AB9" w:rsidRPr="00BA0AB9" w:rsidRDefault="00BA0AB9" w:rsidP="00BA0AB9">
      <w:pPr>
        <w:numPr>
          <w:ilvl w:val="0"/>
          <w:numId w:val="32"/>
        </w:numPr>
        <w:autoSpaceDE w:val="0"/>
        <w:autoSpaceDN w:val="0"/>
        <w:adjustRightInd w:val="0"/>
        <w:spacing w:before="120" w:after="0" w:line="240" w:lineRule="auto"/>
        <w:ind w:left="901" w:hanging="391"/>
        <w:jc w:val="both"/>
        <w:rPr>
          <w:rFonts w:ascii="Times New Roman" w:hAnsi="Times New Roman" w:cs="Times New Roman"/>
          <w:bCs/>
          <w:sz w:val="24"/>
          <w:szCs w:val="24"/>
        </w:rPr>
      </w:pPr>
      <w:r w:rsidRPr="00BA0AB9">
        <w:rPr>
          <w:rFonts w:ascii="Times New Roman" w:hAnsi="Times New Roman" w:cs="Times New Roman"/>
          <w:sz w:val="24"/>
          <w:szCs w:val="24"/>
        </w:rPr>
        <w:t xml:space="preserve">smernica Rady </w:t>
      </w:r>
      <w:r w:rsidRPr="00BA0AB9">
        <w:rPr>
          <w:rFonts w:ascii="Times New Roman" w:hAnsi="Times New Roman" w:cs="Times New Roman"/>
          <w:sz w:val="24"/>
          <w:szCs w:val="24"/>
          <w:u w:val="single"/>
        </w:rPr>
        <w:t>2009/133/ES</w:t>
      </w:r>
      <w:r w:rsidRPr="00BA0AB9">
        <w:rPr>
          <w:rFonts w:ascii="Times New Roman" w:hAnsi="Times New Roman" w:cs="Times New Roman"/>
          <w:sz w:val="24"/>
          <w:szCs w:val="24"/>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v platnom znení, </w:t>
      </w:r>
      <w:r w:rsidRPr="00BA0AB9">
        <w:rPr>
          <w:rFonts w:ascii="Times New Roman" w:hAnsi="Times New Roman" w:cs="Times New Roman"/>
          <w:bCs/>
          <w:iCs/>
          <w:sz w:val="24"/>
          <w:szCs w:val="24"/>
        </w:rPr>
        <w:t>gestor: MF SR,</w:t>
      </w:r>
    </w:p>
    <w:p w:rsidR="00BA0AB9" w:rsidRPr="00BA0AB9" w:rsidRDefault="00BA0AB9" w:rsidP="00BA0AB9">
      <w:pPr>
        <w:numPr>
          <w:ilvl w:val="0"/>
          <w:numId w:val="33"/>
        </w:numPr>
        <w:adjustRightInd w:val="0"/>
        <w:spacing w:after="120" w:line="240" w:lineRule="auto"/>
        <w:jc w:val="both"/>
        <w:rPr>
          <w:rFonts w:ascii="Times New Roman" w:hAnsi="Times New Roman" w:cs="Times New Roman"/>
          <w:sz w:val="24"/>
          <w:szCs w:val="24"/>
        </w:rPr>
      </w:pPr>
      <w:r w:rsidRPr="00BA0AB9">
        <w:rPr>
          <w:rFonts w:ascii="Times New Roman" w:hAnsi="Times New Roman" w:cs="Times New Roman"/>
          <w:bCs/>
          <w:sz w:val="24"/>
          <w:szCs w:val="24"/>
        </w:rPr>
        <w:t xml:space="preserve">smernica Rady </w:t>
      </w:r>
      <w:r w:rsidRPr="00BA0AB9">
        <w:rPr>
          <w:rFonts w:ascii="Times New Roman" w:hAnsi="Times New Roman" w:cs="Times New Roman"/>
          <w:bCs/>
          <w:sz w:val="24"/>
          <w:szCs w:val="24"/>
          <w:u w:val="single"/>
        </w:rPr>
        <w:t>2003/49/ES</w:t>
      </w:r>
      <w:r w:rsidRPr="00BA0AB9">
        <w:rPr>
          <w:rFonts w:ascii="Times New Roman" w:hAnsi="Times New Roman" w:cs="Times New Roman"/>
          <w:bCs/>
          <w:sz w:val="24"/>
          <w:szCs w:val="24"/>
        </w:rPr>
        <w:t xml:space="preserve"> z 3. júna 2003 o spoločnom systéme zdaňovania uplatňovanom na výplaty úrokov a licenčných poplatkov medzi združenými spoločnosťami rôznych členských štátov  </w:t>
      </w:r>
      <w:r w:rsidRPr="00BA0AB9">
        <w:rPr>
          <w:rFonts w:ascii="Times New Roman" w:hAnsi="Times New Roman" w:cs="Times New Roman"/>
          <w:snapToGrid w:val="0"/>
          <w:color w:val="000000"/>
          <w:sz w:val="24"/>
          <w:szCs w:val="24"/>
        </w:rPr>
        <w:t>(</w:t>
      </w:r>
      <w:r w:rsidRPr="00BA0AB9">
        <w:rPr>
          <w:rFonts w:ascii="Times New Roman" w:hAnsi="Times New Roman" w:cs="Times New Roman"/>
          <w:sz w:val="24"/>
          <w:szCs w:val="24"/>
        </w:rPr>
        <w:t xml:space="preserve">Mimoriadne vydanie </w:t>
      </w:r>
      <w:r w:rsidRPr="00BA0AB9">
        <w:rPr>
          <w:rFonts w:ascii="Times New Roman" w:hAnsi="Times New Roman" w:cs="Times New Roman"/>
          <w:snapToGrid w:val="0"/>
          <w:color w:val="000000"/>
          <w:sz w:val="24"/>
          <w:szCs w:val="24"/>
        </w:rPr>
        <w:t>Ú. v.</w:t>
      </w:r>
      <w:r w:rsidRPr="00BA0AB9">
        <w:rPr>
          <w:rFonts w:ascii="Times New Roman" w:hAnsi="Times New Roman" w:cs="Times New Roman"/>
          <w:i/>
          <w:iCs/>
          <w:snapToGrid w:val="0"/>
          <w:color w:val="000000"/>
          <w:sz w:val="24"/>
          <w:szCs w:val="24"/>
        </w:rPr>
        <w:t xml:space="preserve"> </w:t>
      </w:r>
      <w:r w:rsidRPr="00BA0AB9">
        <w:rPr>
          <w:rFonts w:ascii="Times New Roman" w:hAnsi="Times New Roman" w:cs="Times New Roman"/>
          <w:sz w:val="24"/>
          <w:szCs w:val="24"/>
        </w:rPr>
        <w:t xml:space="preserve">EÚ, kap. 9/ zv. 1, </w:t>
      </w:r>
      <w:r w:rsidRPr="00BA0AB9">
        <w:rPr>
          <w:rFonts w:ascii="Times New Roman" w:hAnsi="Times New Roman" w:cs="Times New Roman"/>
          <w:iCs/>
          <w:sz w:val="24"/>
          <w:szCs w:val="24"/>
        </w:rPr>
        <w:t>Ú. v. EÚ L 157, 26.6.2003</w:t>
      </w:r>
      <w:r w:rsidRPr="00BA0AB9">
        <w:rPr>
          <w:rFonts w:ascii="Times New Roman" w:hAnsi="Times New Roman" w:cs="Times New Roman"/>
          <w:sz w:val="24"/>
          <w:szCs w:val="24"/>
        </w:rPr>
        <w:t>) v platnom znení,</w:t>
      </w:r>
      <w:r w:rsidRPr="00BA0AB9">
        <w:rPr>
          <w:rFonts w:ascii="Times New Roman" w:hAnsi="Times New Roman" w:cs="Times New Roman"/>
          <w:bCs/>
          <w:iCs/>
          <w:sz w:val="24"/>
          <w:szCs w:val="24"/>
        </w:rPr>
        <w:t xml:space="preserve"> gestor: MF SR</w:t>
      </w:r>
      <w:r w:rsidRPr="00BA0AB9">
        <w:rPr>
          <w:rFonts w:ascii="Times New Roman" w:hAnsi="Times New Roman" w:cs="Times New Roman"/>
          <w:sz w:val="24"/>
          <w:szCs w:val="24"/>
        </w:rPr>
        <w:t>.</w:t>
      </w:r>
    </w:p>
    <w:p w:rsidR="00BA0AB9" w:rsidRPr="00BA0AB9" w:rsidRDefault="00BA0AB9" w:rsidP="00BA0AB9">
      <w:pPr>
        <w:numPr>
          <w:ilvl w:val="1"/>
          <w:numId w:val="31"/>
        </w:numPr>
        <w:spacing w:after="120" w:line="240" w:lineRule="auto"/>
        <w:rPr>
          <w:rFonts w:ascii="Times New Roman" w:hAnsi="Times New Roman" w:cs="Times New Roman"/>
          <w:sz w:val="24"/>
          <w:szCs w:val="24"/>
          <w:lang w:eastAsia="cs-CZ"/>
        </w:rPr>
      </w:pPr>
      <w:r w:rsidRPr="00BA0AB9">
        <w:rPr>
          <w:rFonts w:ascii="Times New Roman" w:hAnsi="Times New Roman" w:cs="Times New Roman"/>
          <w:sz w:val="24"/>
          <w:szCs w:val="24"/>
          <w:lang w:eastAsia="cs-CZ"/>
        </w:rPr>
        <w:t>je obsiahnutá v judikatúre Súdneho dvora Európskej únie:</w:t>
      </w:r>
    </w:p>
    <w:p w:rsidR="00BA0AB9" w:rsidRPr="00BA0AB9" w:rsidRDefault="00BA0AB9" w:rsidP="00BA0AB9">
      <w:pPr>
        <w:numPr>
          <w:ilvl w:val="0"/>
          <w:numId w:val="34"/>
        </w:numPr>
        <w:spacing w:after="120" w:line="240" w:lineRule="auto"/>
        <w:jc w:val="both"/>
        <w:rPr>
          <w:rFonts w:ascii="Times New Roman" w:hAnsi="Times New Roman" w:cs="Times New Roman"/>
          <w:sz w:val="24"/>
          <w:szCs w:val="24"/>
          <w:lang w:eastAsia="cs-CZ"/>
        </w:rPr>
      </w:pPr>
      <w:r w:rsidRPr="00BA0AB9">
        <w:rPr>
          <w:rFonts w:ascii="Times New Roman" w:hAnsi="Times New Roman" w:cs="Times New Roman"/>
          <w:sz w:val="24"/>
          <w:szCs w:val="24"/>
        </w:rPr>
        <w:t>rozhodnutie Súdneho dvora v s</w:t>
      </w:r>
      <w:r w:rsidRPr="00BA0AB9">
        <w:rPr>
          <w:rFonts w:ascii="Times New Roman" w:hAnsi="Times New Roman" w:cs="Times New Roman"/>
          <w:bCs/>
          <w:sz w:val="24"/>
          <w:szCs w:val="24"/>
        </w:rPr>
        <w:t>pojených veciach C - 53/13 a C - 80/13</w:t>
      </w:r>
      <w:r w:rsidRPr="00BA0AB9">
        <w:rPr>
          <w:rFonts w:ascii="Times New Roman" w:hAnsi="Times New Roman" w:cs="Times New Roman"/>
          <w:sz w:val="24"/>
          <w:szCs w:val="24"/>
        </w:rPr>
        <w:t xml:space="preserve">, </w:t>
      </w:r>
      <w:proofErr w:type="spellStart"/>
      <w:r w:rsidRPr="00BA0AB9">
        <w:rPr>
          <w:rFonts w:ascii="Times New Roman" w:hAnsi="Times New Roman" w:cs="Times New Roman"/>
          <w:bCs/>
          <w:sz w:val="24"/>
          <w:szCs w:val="24"/>
        </w:rPr>
        <w:t>Strojírny</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Prostějov</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a.s</w:t>
      </w:r>
      <w:proofErr w:type="spellEnd"/>
      <w:r w:rsidRPr="00BA0AB9">
        <w:rPr>
          <w:rFonts w:ascii="Times New Roman" w:hAnsi="Times New Roman" w:cs="Times New Roman"/>
          <w:bCs/>
          <w:sz w:val="24"/>
          <w:szCs w:val="24"/>
        </w:rPr>
        <w:t xml:space="preserve">., ACO </w:t>
      </w:r>
      <w:proofErr w:type="spellStart"/>
      <w:r w:rsidRPr="00BA0AB9">
        <w:rPr>
          <w:rFonts w:ascii="Times New Roman" w:hAnsi="Times New Roman" w:cs="Times New Roman"/>
          <w:bCs/>
          <w:sz w:val="24"/>
          <w:szCs w:val="24"/>
        </w:rPr>
        <w:t>Industries</w:t>
      </w:r>
      <w:proofErr w:type="spellEnd"/>
      <w:r w:rsidRPr="00BA0AB9">
        <w:rPr>
          <w:rFonts w:ascii="Times New Roman" w:hAnsi="Times New Roman" w:cs="Times New Roman"/>
          <w:bCs/>
          <w:sz w:val="24"/>
          <w:szCs w:val="24"/>
        </w:rPr>
        <w:t xml:space="preserve"> Tábor proti </w:t>
      </w:r>
      <w:proofErr w:type="spellStart"/>
      <w:r w:rsidRPr="00BA0AB9">
        <w:rPr>
          <w:rFonts w:ascii="Times New Roman" w:hAnsi="Times New Roman" w:cs="Times New Roman"/>
          <w:bCs/>
          <w:sz w:val="24"/>
          <w:szCs w:val="24"/>
        </w:rPr>
        <w:t>Odvolacímu</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finančnímu</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ředitelství</w:t>
      </w:r>
      <w:proofErr w:type="spellEnd"/>
      <w:r w:rsidRPr="00BA0AB9">
        <w:rPr>
          <w:rFonts w:ascii="Times New Roman" w:hAnsi="Times New Roman" w:cs="Times New Roman"/>
          <w:bCs/>
          <w:sz w:val="24"/>
          <w:szCs w:val="24"/>
        </w:rPr>
        <w:t>, [2014].</w:t>
      </w:r>
    </w:p>
    <w:p w:rsidR="00BA0AB9" w:rsidRPr="00BA0AB9" w:rsidRDefault="00BA0AB9" w:rsidP="00BA0AB9">
      <w:pPr>
        <w:spacing w:after="120"/>
        <w:ind w:left="870"/>
        <w:jc w:val="both"/>
        <w:rPr>
          <w:rFonts w:ascii="Times New Roman" w:hAnsi="Times New Roman" w:cs="Times New Roman"/>
          <w:bCs/>
          <w:sz w:val="24"/>
          <w:szCs w:val="24"/>
        </w:rPr>
      </w:pPr>
      <w:r w:rsidRPr="00BA0AB9">
        <w:rPr>
          <w:rFonts w:ascii="Times New Roman" w:hAnsi="Times New Roman" w:cs="Times New Roman"/>
          <w:bCs/>
          <w:sz w:val="24"/>
          <w:szCs w:val="24"/>
        </w:rPr>
        <w:t>Výrok rozhodnutia:</w:t>
      </w:r>
    </w:p>
    <w:p w:rsidR="00BA0AB9" w:rsidRPr="00BA0AB9" w:rsidRDefault="00BA0AB9" w:rsidP="00BA0AB9">
      <w:pPr>
        <w:spacing w:after="120"/>
        <w:ind w:left="870"/>
        <w:jc w:val="both"/>
        <w:rPr>
          <w:rFonts w:ascii="Times New Roman" w:hAnsi="Times New Roman" w:cs="Times New Roman"/>
          <w:bCs/>
          <w:sz w:val="24"/>
          <w:szCs w:val="24"/>
        </w:rPr>
      </w:pPr>
      <w:r w:rsidRPr="00BA0AB9">
        <w:rPr>
          <w:rFonts w:ascii="Times New Roman" w:hAnsi="Times New Roman" w:cs="Times New Roman"/>
          <w:bCs/>
          <w:sz w:val="24"/>
          <w:szCs w:val="24"/>
        </w:rPr>
        <w:t xml:space="preserve">Článok 56 ZFEÚ bráni právnej úprave, o akú ide vo veci samej, podľa ktorej spoločnosti usadené v prvom členskom štáte, ktoré využívajú pracovníkov zamestnaných a pridelených agentúrami dočasného zamestnávania usadenými </w:t>
      </w:r>
      <w:r w:rsidRPr="00BA0AB9">
        <w:rPr>
          <w:rFonts w:ascii="Times New Roman" w:hAnsi="Times New Roman" w:cs="Times New Roman"/>
          <w:bCs/>
          <w:sz w:val="24"/>
          <w:szCs w:val="24"/>
        </w:rPr>
        <w:lastRenderedPageBreak/>
        <w:t>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BA0AB9" w:rsidRPr="00BA0AB9" w:rsidRDefault="00BA0AB9" w:rsidP="00BA0AB9">
      <w:pPr>
        <w:numPr>
          <w:ilvl w:val="0"/>
          <w:numId w:val="34"/>
        </w:numPr>
        <w:spacing w:after="120" w:line="240" w:lineRule="auto"/>
        <w:jc w:val="both"/>
        <w:rPr>
          <w:rFonts w:ascii="Times New Roman" w:hAnsi="Times New Roman" w:cs="Times New Roman"/>
          <w:sz w:val="24"/>
          <w:szCs w:val="24"/>
          <w:lang w:eastAsia="cs-CZ"/>
        </w:rPr>
      </w:pPr>
      <w:r w:rsidRPr="00BA0AB9">
        <w:rPr>
          <w:rFonts w:ascii="Times New Roman" w:hAnsi="Times New Roman" w:cs="Times New Roman"/>
          <w:sz w:val="24"/>
          <w:szCs w:val="24"/>
        </w:rPr>
        <w:t xml:space="preserve">rozhodnutie Súdneho dvora vo veci </w:t>
      </w:r>
      <w:r w:rsidRPr="00BA0AB9">
        <w:rPr>
          <w:rFonts w:ascii="Times New Roman" w:hAnsi="Times New Roman" w:cs="Times New Roman"/>
          <w:bCs/>
          <w:sz w:val="24"/>
          <w:szCs w:val="24"/>
        </w:rPr>
        <w:t>C - 650/16, A/S </w:t>
      </w:r>
      <w:proofErr w:type="spellStart"/>
      <w:r w:rsidRPr="00BA0AB9">
        <w:rPr>
          <w:rFonts w:ascii="Times New Roman" w:hAnsi="Times New Roman" w:cs="Times New Roman"/>
          <w:bCs/>
          <w:sz w:val="24"/>
          <w:szCs w:val="24"/>
        </w:rPr>
        <w:t>Bevola</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Jens</w:t>
      </w:r>
      <w:proofErr w:type="spellEnd"/>
      <w:r w:rsidRPr="00BA0AB9">
        <w:rPr>
          <w:rFonts w:ascii="Times New Roman" w:hAnsi="Times New Roman" w:cs="Times New Roman"/>
          <w:bCs/>
          <w:sz w:val="24"/>
          <w:szCs w:val="24"/>
        </w:rPr>
        <w:t xml:space="preserve"> W. </w:t>
      </w:r>
      <w:proofErr w:type="spellStart"/>
      <w:r w:rsidRPr="00BA0AB9">
        <w:rPr>
          <w:rFonts w:ascii="Times New Roman" w:hAnsi="Times New Roman" w:cs="Times New Roman"/>
          <w:bCs/>
          <w:sz w:val="24"/>
          <w:szCs w:val="24"/>
        </w:rPr>
        <w:t>Trock</w:t>
      </w:r>
      <w:proofErr w:type="spellEnd"/>
      <w:r w:rsidRPr="00BA0AB9">
        <w:rPr>
          <w:rFonts w:ascii="Times New Roman" w:hAnsi="Times New Roman" w:cs="Times New Roman"/>
          <w:bCs/>
          <w:sz w:val="24"/>
          <w:szCs w:val="24"/>
        </w:rPr>
        <w:t xml:space="preserve"> </w:t>
      </w:r>
      <w:proofErr w:type="spellStart"/>
      <w:r w:rsidRPr="00BA0AB9">
        <w:rPr>
          <w:rFonts w:ascii="Times New Roman" w:hAnsi="Times New Roman" w:cs="Times New Roman"/>
          <w:bCs/>
          <w:sz w:val="24"/>
          <w:szCs w:val="24"/>
        </w:rPr>
        <w:t>ApS</w:t>
      </w:r>
      <w:proofErr w:type="spellEnd"/>
      <w:r w:rsidRPr="00BA0AB9">
        <w:rPr>
          <w:rFonts w:ascii="Times New Roman" w:hAnsi="Times New Roman" w:cs="Times New Roman"/>
          <w:bCs/>
          <w:sz w:val="24"/>
          <w:szCs w:val="24"/>
        </w:rPr>
        <w:t xml:space="preserve"> proti </w:t>
      </w:r>
      <w:proofErr w:type="spellStart"/>
      <w:r w:rsidRPr="00BA0AB9">
        <w:rPr>
          <w:rFonts w:ascii="Times New Roman" w:hAnsi="Times New Roman" w:cs="Times New Roman"/>
          <w:bCs/>
          <w:sz w:val="24"/>
          <w:szCs w:val="24"/>
        </w:rPr>
        <w:t>Skatteministeriet</w:t>
      </w:r>
      <w:proofErr w:type="spellEnd"/>
      <w:r w:rsidRPr="00BA0AB9">
        <w:rPr>
          <w:rFonts w:ascii="Times New Roman" w:hAnsi="Times New Roman" w:cs="Times New Roman"/>
          <w:bCs/>
          <w:sz w:val="24"/>
          <w:szCs w:val="24"/>
        </w:rPr>
        <w:t>, [2018].</w:t>
      </w:r>
    </w:p>
    <w:p w:rsidR="00BA0AB9" w:rsidRPr="00BA0AB9" w:rsidRDefault="00BA0AB9" w:rsidP="00BA0AB9">
      <w:pPr>
        <w:pStyle w:val="Odsekzoznamu"/>
        <w:spacing w:after="120"/>
        <w:ind w:left="870"/>
        <w:jc w:val="both"/>
        <w:rPr>
          <w:rFonts w:ascii="Times New Roman" w:hAnsi="Times New Roman" w:cs="Times New Roman"/>
          <w:bCs/>
          <w:sz w:val="24"/>
          <w:szCs w:val="24"/>
        </w:rPr>
      </w:pPr>
      <w:r w:rsidRPr="00BA0AB9">
        <w:rPr>
          <w:rFonts w:ascii="Times New Roman" w:hAnsi="Times New Roman" w:cs="Times New Roman"/>
          <w:bCs/>
          <w:sz w:val="24"/>
          <w:szCs w:val="24"/>
        </w:rPr>
        <w:t>Výrok rozhodnutia:</w:t>
      </w:r>
    </w:p>
    <w:p w:rsidR="00BA0AB9" w:rsidRPr="00BA0AB9" w:rsidRDefault="00BA0AB9" w:rsidP="00BA0AB9">
      <w:pPr>
        <w:spacing w:after="120"/>
        <w:ind w:left="870"/>
        <w:jc w:val="both"/>
        <w:rPr>
          <w:rFonts w:ascii="Times New Roman" w:hAnsi="Times New Roman" w:cs="Times New Roman"/>
          <w:bCs/>
          <w:sz w:val="24"/>
          <w:szCs w:val="24"/>
        </w:rPr>
      </w:pPr>
      <w:r w:rsidRPr="00BA0AB9">
        <w:rPr>
          <w:rFonts w:ascii="Times New Roman" w:hAnsi="Times New Roman" w:cs="Times New Roman"/>
          <w:bCs/>
          <w:sz w:val="24"/>
          <w:szCs w:val="24"/>
        </w:rPr>
        <w:t>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BA0AB9" w:rsidRPr="00BA0AB9" w:rsidRDefault="00BA0AB9" w:rsidP="00BA0AB9">
      <w:pPr>
        <w:numPr>
          <w:ilvl w:val="0"/>
          <w:numId w:val="34"/>
        </w:numPr>
        <w:spacing w:after="120" w:line="240" w:lineRule="auto"/>
        <w:jc w:val="both"/>
        <w:rPr>
          <w:rFonts w:ascii="Times New Roman" w:hAnsi="Times New Roman" w:cs="Times New Roman"/>
          <w:sz w:val="24"/>
          <w:szCs w:val="24"/>
          <w:lang w:eastAsia="cs-CZ"/>
        </w:rPr>
      </w:pPr>
      <w:r w:rsidRPr="00BA0AB9">
        <w:rPr>
          <w:rFonts w:ascii="Times New Roman" w:hAnsi="Times New Roman" w:cs="Times New Roman"/>
          <w:sz w:val="24"/>
          <w:szCs w:val="24"/>
        </w:rPr>
        <w:t>rozhodnutie Súdneho dvora v s</w:t>
      </w:r>
      <w:r w:rsidRPr="00BA0AB9">
        <w:rPr>
          <w:rFonts w:ascii="Times New Roman" w:hAnsi="Times New Roman" w:cs="Times New Roman"/>
          <w:bCs/>
          <w:sz w:val="24"/>
          <w:szCs w:val="24"/>
        </w:rPr>
        <w:t xml:space="preserve">pojených veciach </w:t>
      </w:r>
      <w:r w:rsidRPr="00BA0AB9">
        <w:rPr>
          <w:rFonts w:ascii="Times New Roman" w:hAnsi="Times New Roman" w:cs="Times New Roman"/>
          <w:sz w:val="24"/>
          <w:szCs w:val="24"/>
        </w:rPr>
        <w:t xml:space="preserve">C </w:t>
      </w:r>
      <w:r w:rsidRPr="00BA0AB9">
        <w:rPr>
          <w:rFonts w:ascii="Times New Roman" w:hAnsi="Times New Roman" w:cs="Times New Roman"/>
          <w:sz w:val="24"/>
          <w:szCs w:val="24"/>
        </w:rPr>
        <w:noBreakHyphen/>
        <w:t xml:space="preserve"> 398/16 a C </w:t>
      </w:r>
      <w:r w:rsidRPr="00BA0AB9">
        <w:rPr>
          <w:rFonts w:ascii="Times New Roman" w:hAnsi="Times New Roman" w:cs="Times New Roman"/>
          <w:sz w:val="24"/>
          <w:szCs w:val="24"/>
        </w:rPr>
        <w:noBreakHyphen/>
        <w:t xml:space="preserve"> 399/16, </w:t>
      </w:r>
      <w:r w:rsidRPr="00BA0AB9">
        <w:rPr>
          <w:rFonts w:ascii="Times New Roman" w:hAnsi="Times New Roman" w:cs="Times New Roman"/>
          <w:bCs/>
          <w:sz w:val="24"/>
          <w:szCs w:val="24"/>
        </w:rPr>
        <w:t xml:space="preserve">X BV, X NV proti </w:t>
      </w:r>
      <w:proofErr w:type="spellStart"/>
      <w:r w:rsidRPr="00BA0AB9">
        <w:rPr>
          <w:rFonts w:ascii="Times New Roman" w:hAnsi="Times New Roman" w:cs="Times New Roman"/>
          <w:bCs/>
          <w:sz w:val="24"/>
          <w:szCs w:val="24"/>
        </w:rPr>
        <w:t>Staatssecretaris</w:t>
      </w:r>
      <w:proofErr w:type="spellEnd"/>
      <w:r w:rsidRPr="00BA0AB9">
        <w:rPr>
          <w:rFonts w:ascii="Times New Roman" w:hAnsi="Times New Roman" w:cs="Times New Roman"/>
          <w:bCs/>
          <w:sz w:val="24"/>
          <w:szCs w:val="24"/>
        </w:rPr>
        <w:t xml:space="preserve"> van </w:t>
      </w:r>
      <w:proofErr w:type="spellStart"/>
      <w:r w:rsidRPr="00BA0AB9">
        <w:rPr>
          <w:rFonts w:ascii="Times New Roman" w:hAnsi="Times New Roman" w:cs="Times New Roman"/>
          <w:bCs/>
          <w:sz w:val="24"/>
          <w:szCs w:val="24"/>
        </w:rPr>
        <w:t>Financiën</w:t>
      </w:r>
      <w:proofErr w:type="spellEnd"/>
      <w:r w:rsidRPr="00BA0AB9">
        <w:rPr>
          <w:rFonts w:ascii="Times New Roman" w:hAnsi="Times New Roman" w:cs="Times New Roman"/>
          <w:bCs/>
          <w:sz w:val="24"/>
          <w:szCs w:val="24"/>
        </w:rPr>
        <w:t>, [2018].</w:t>
      </w:r>
    </w:p>
    <w:p w:rsidR="00BA0AB9" w:rsidRPr="00BA0AB9" w:rsidRDefault="00BA0AB9" w:rsidP="00BA0AB9">
      <w:pPr>
        <w:pStyle w:val="Odsekzoznamu"/>
        <w:spacing w:after="120"/>
        <w:ind w:left="870"/>
        <w:jc w:val="both"/>
        <w:rPr>
          <w:rFonts w:ascii="Times New Roman" w:hAnsi="Times New Roman" w:cs="Times New Roman"/>
          <w:bCs/>
          <w:sz w:val="24"/>
          <w:szCs w:val="24"/>
        </w:rPr>
      </w:pPr>
      <w:r w:rsidRPr="00BA0AB9">
        <w:rPr>
          <w:rFonts w:ascii="Times New Roman" w:hAnsi="Times New Roman" w:cs="Times New Roman"/>
          <w:bCs/>
          <w:sz w:val="24"/>
          <w:szCs w:val="24"/>
        </w:rPr>
        <w:t>Výrok rozhodnutia:</w:t>
      </w:r>
    </w:p>
    <w:p w:rsidR="00BA0AB9" w:rsidRPr="00BA0AB9" w:rsidRDefault="00BA0AB9" w:rsidP="00BA0AB9">
      <w:pPr>
        <w:pStyle w:val="c08dispositif"/>
        <w:ind w:left="851" w:firstLine="0"/>
        <w:rPr>
          <w:b w:val="0"/>
        </w:rPr>
      </w:pPr>
      <w:r w:rsidRPr="00BA0AB9">
        <w:rPr>
          <w:b w:val="0"/>
        </w:rPr>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BA0AB9" w:rsidRPr="00BA0AB9" w:rsidRDefault="00BA0AB9" w:rsidP="00BA0AB9">
      <w:pPr>
        <w:pStyle w:val="c08dispositif"/>
        <w:ind w:left="851" w:firstLine="0"/>
        <w:rPr>
          <w:b w:val="0"/>
        </w:rPr>
      </w:pPr>
      <w:r w:rsidRPr="00BA0AB9">
        <w:rPr>
          <w:b w:val="0"/>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BA0AB9" w:rsidRPr="00BA0AB9" w:rsidRDefault="00BA0AB9" w:rsidP="00BA0AB9">
      <w:pPr>
        <w:numPr>
          <w:ilvl w:val="0"/>
          <w:numId w:val="31"/>
        </w:numPr>
        <w:spacing w:after="120" w:line="240" w:lineRule="auto"/>
        <w:jc w:val="both"/>
        <w:rPr>
          <w:rFonts w:ascii="Times New Roman" w:hAnsi="Times New Roman" w:cs="Times New Roman"/>
          <w:b/>
          <w:bCs/>
          <w:sz w:val="24"/>
          <w:szCs w:val="24"/>
        </w:rPr>
      </w:pPr>
      <w:r w:rsidRPr="00BA0AB9">
        <w:rPr>
          <w:rFonts w:ascii="Times New Roman" w:hAnsi="Times New Roman" w:cs="Times New Roman"/>
          <w:b/>
          <w:bCs/>
          <w:sz w:val="24"/>
          <w:szCs w:val="24"/>
        </w:rPr>
        <w:t>Záväzky Slovenskej republiky vo vzťahu k Európskej únii:</w:t>
      </w:r>
    </w:p>
    <w:p w:rsidR="00BA0AB9" w:rsidRPr="00BA0AB9" w:rsidRDefault="00BA0AB9" w:rsidP="00BA0AB9">
      <w:pPr>
        <w:numPr>
          <w:ilvl w:val="0"/>
          <w:numId w:val="35"/>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t xml:space="preserve">Lehota na prebratie smernice (EÚ) 2017/952 bola stanovená do 31.12.2019 okrem čl. 2 ods. 3, u ktorého je lehota na prebratie stanovená do 31.12.2021. </w:t>
      </w:r>
    </w:p>
    <w:p w:rsidR="00BA0AB9" w:rsidRPr="00BA0AB9" w:rsidRDefault="00BA0AB9" w:rsidP="00BA0AB9">
      <w:pPr>
        <w:numPr>
          <w:ilvl w:val="0"/>
          <w:numId w:val="35"/>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t xml:space="preserve">Proti SR nebolo </w:t>
      </w:r>
      <w:r w:rsidRPr="00BA0AB9">
        <w:rPr>
          <w:rFonts w:ascii="Times New Roman" w:hAnsi="Times New Roman" w:cs="Times New Roman"/>
          <w:sz w:val="24"/>
          <w:szCs w:val="24"/>
        </w:rPr>
        <w:t xml:space="preserve">začaté konanie v rámci „EÚ Pilot“, ani nebol začatý postup EK ako aj nebolo </w:t>
      </w:r>
      <w:r w:rsidRPr="00BA0AB9">
        <w:rPr>
          <w:rFonts w:ascii="Times New Roman" w:hAnsi="Times New Roman" w:cs="Times New Roman"/>
          <w:sz w:val="24"/>
          <w:szCs w:val="24"/>
          <w:lang w:eastAsia="cs-CZ"/>
        </w:rPr>
        <w:t>začaté konanie o porušení Zmluvy o fungovaní Európskej únie podľa čl. 258 až 260.</w:t>
      </w:r>
    </w:p>
    <w:p w:rsidR="00BA0AB9" w:rsidRPr="00BA0AB9" w:rsidRDefault="00BA0AB9" w:rsidP="00BA0AB9">
      <w:pPr>
        <w:numPr>
          <w:ilvl w:val="0"/>
          <w:numId w:val="35"/>
        </w:numPr>
        <w:tabs>
          <w:tab w:val="clear" w:pos="720"/>
          <w:tab w:val="left" w:pos="425"/>
        </w:tabs>
        <w:spacing w:after="120" w:line="240" w:lineRule="auto"/>
        <w:ind w:left="425" w:hanging="425"/>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t xml:space="preserve">Smernica </w:t>
      </w:r>
      <w:r w:rsidRPr="00BA0AB9">
        <w:rPr>
          <w:rFonts w:ascii="Times New Roman" w:hAnsi="Times New Roman" w:cs="Times New Roman"/>
          <w:sz w:val="24"/>
          <w:szCs w:val="24"/>
        </w:rPr>
        <w:t>2009/133/ES</w:t>
      </w:r>
      <w:r w:rsidRPr="00BA0AB9">
        <w:rPr>
          <w:rFonts w:ascii="Times New Roman" w:hAnsi="Times New Roman" w:cs="Times New Roman"/>
          <w:sz w:val="24"/>
          <w:szCs w:val="24"/>
          <w:lang w:eastAsia="cs-CZ"/>
        </w:rPr>
        <w:t xml:space="preserve"> bola prebratá do zákona č. </w:t>
      </w:r>
      <w:r w:rsidRPr="00BA0AB9">
        <w:rPr>
          <w:rFonts w:ascii="Times New Roman" w:hAnsi="Times New Roman" w:cs="Times New Roman"/>
          <w:sz w:val="24"/>
          <w:szCs w:val="24"/>
        </w:rPr>
        <w:t>595/2003 Z. z. o dani z príjmov v znení neskorších predpisov.</w:t>
      </w:r>
    </w:p>
    <w:p w:rsidR="00BA0AB9" w:rsidRPr="00BA0AB9" w:rsidRDefault="00BA0AB9" w:rsidP="00BA0AB9">
      <w:pPr>
        <w:tabs>
          <w:tab w:val="left" w:pos="425"/>
        </w:tabs>
        <w:spacing w:after="120"/>
        <w:ind w:left="425"/>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lastRenderedPageBreak/>
        <w:t>Smernica Rady 2003/49/ES bola prebratá do zákona č. 595/2003 Z. z. o dani z príjmov v znení neskorších predpisov.</w:t>
      </w:r>
    </w:p>
    <w:p w:rsidR="00BA0AB9" w:rsidRPr="00BA0AB9" w:rsidRDefault="00BA0AB9" w:rsidP="00BA0AB9">
      <w:pPr>
        <w:tabs>
          <w:tab w:val="left" w:pos="425"/>
        </w:tabs>
        <w:ind w:left="426"/>
        <w:jc w:val="both"/>
        <w:rPr>
          <w:rFonts w:ascii="Times New Roman" w:hAnsi="Times New Roman" w:cs="Times New Roman"/>
          <w:sz w:val="24"/>
          <w:szCs w:val="24"/>
          <w:lang w:eastAsia="cs-CZ"/>
        </w:rPr>
      </w:pPr>
      <w:r w:rsidRPr="00BA0AB9">
        <w:rPr>
          <w:rFonts w:ascii="Times New Roman" w:hAnsi="Times New Roman" w:cs="Times New Roman"/>
          <w:sz w:val="24"/>
          <w:szCs w:val="24"/>
          <w:lang w:eastAsia="cs-CZ"/>
        </w:rPr>
        <w:t>Smernica Rady 2011/96/EÚ bola prebratá do zákona č. 595/2003 Z. z. o dani z príjmov  v znení neskorších predpisov.</w:t>
      </w:r>
    </w:p>
    <w:p w:rsidR="00BA0AB9" w:rsidRPr="00BA0AB9" w:rsidRDefault="00BA0AB9" w:rsidP="00BA0AB9">
      <w:pPr>
        <w:numPr>
          <w:ilvl w:val="0"/>
          <w:numId w:val="31"/>
        </w:numPr>
        <w:spacing w:after="120" w:line="240" w:lineRule="auto"/>
        <w:jc w:val="both"/>
        <w:rPr>
          <w:rFonts w:ascii="Times New Roman" w:hAnsi="Times New Roman" w:cs="Times New Roman"/>
          <w:b/>
          <w:bCs/>
          <w:sz w:val="24"/>
          <w:szCs w:val="24"/>
        </w:rPr>
      </w:pPr>
      <w:r w:rsidRPr="00BA0AB9">
        <w:rPr>
          <w:rFonts w:ascii="Times New Roman" w:hAnsi="Times New Roman" w:cs="Times New Roman"/>
          <w:b/>
          <w:bCs/>
          <w:sz w:val="24"/>
          <w:szCs w:val="24"/>
        </w:rPr>
        <w:t>Návrh zákona je zlučiteľný s právom Európskej únie:</w:t>
      </w:r>
    </w:p>
    <w:p w:rsidR="00BA0AB9" w:rsidRPr="00BA0AB9" w:rsidRDefault="00BA0AB9" w:rsidP="00BA0AB9">
      <w:pPr>
        <w:spacing w:after="120"/>
        <w:ind w:left="425"/>
        <w:jc w:val="both"/>
        <w:rPr>
          <w:rFonts w:ascii="Times New Roman" w:hAnsi="Times New Roman" w:cs="Times New Roman"/>
          <w:sz w:val="24"/>
          <w:szCs w:val="24"/>
        </w:rPr>
      </w:pPr>
      <w:r w:rsidRPr="00BA0AB9">
        <w:rPr>
          <w:rFonts w:ascii="Times New Roman" w:hAnsi="Times New Roman" w:cs="Times New Roman"/>
          <w:sz w:val="24"/>
          <w:szCs w:val="24"/>
        </w:rPr>
        <w:t>Úplne.</w:t>
      </w:r>
    </w:p>
    <w:p w:rsidR="00BA0AB9" w:rsidRDefault="00BA0AB9" w:rsidP="00EA543A">
      <w:pPr>
        <w:spacing w:after="0" w:line="240" w:lineRule="auto"/>
        <w:jc w:val="both"/>
        <w:rPr>
          <w:rFonts w:ascii="Times New Roman" w:hAnsi="Times New Roman" w:cs="Times New Roman"/>
          <w:b/>
          <w:sz w:val="24"/>
          <w:szCs w:val="24"/>
        </w:rPr>
      </w:pPr>
    </w:p>
    <w:p w:rsidR="00EA543A" w:rsidRDefault="00EA543A"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Default="00BA0AB9" w:rsidP="00EA543A">
      <w:pPr>
        <w:spacing w:after="0" w:line="240" w:lineRule="auto"/>
        <w:jc w:val="both"/>
        <w:rPr>
          <w:rFonts w:ascii="Times New Roman" w:hAnsi="Times New Roman" w:cs="Times New Roman"/>
          <w:b/>
          <w:sz w:val="24"/>
          <w:szCs w:val="24"/>
        </w:rPr>
      </w:pPr>
    </w:p>
    <w:p w:rsidR="00BA0AB9" w:rsidRPr="00EA543A" w:rsidRDefault="00BA0AB9" w:rsidP="00EA543A">
      <w:pPr>
        <w:spacing w:after="0" w:line="240" w:lineRule="auto"/>
        <w:jc w:val="both"/>
        <w:rPr>
          <w:rFonts w:ascii="Times New Roman" w:hAnsi="Times New Roman" w:cs="Times New Roman"/>
          <w:b/>
          <w:sz w:val="24"/>
          <w:szCs w:val="24"/>
        </w:rPr>
      </w:pPr>
    </w:p>
    <w:p w:rsidR="00EA543A" w:rsidRPr="00EA543A" w:rsidRDefault="00EA543A" w:rsidP="00EA543A">
      <w:pPr>
        <w:spacing w:after="0" w:line="240" w:lineRule="auto"/>
        <w:jc w:val="both"/>
        <w:rPr>
          <w:rFonts w:ascii="Times New Roman" w:hAnsi="Times New Roman" w:cs="Times New Roman"/>
          <w:b/>
          <w:sz w:val="24"/>
          <w:szCs w:val="24"/>
        </w:rPr>
      </w:pPr>
    </w:p>
    <w:p w:rsidR="00C1049C" w:rsidRPr="00EA543A" w:rsidRDefault="0071616E" w:rsidP="00EA543A">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B. Osobitná časť</w:t>
      </w:r>
    </w:p>
    <w:p w:rsidR="00580AE9" w:rsidRPr="00EA543A" w:rsidRDefault="00580AE9" w:rsidP="00EA543A">
      <w:pPr>
        <w:spacing w:after="0" w:line="240" w:lineRule="auto"/>
        <w:ind w:left="66"/>
        <w:jc w:val="both"/>
        <w:rPr>
          <w:rFonts w:ascii="Times New Roman" w:hAnsi="Times New Roman" w:cs="Times New Roman"/>
          <w:b/>
          <w:sz w:val="24"/>
          <w:szCs w:val="24"/>
        </w:rPr>
      </w:pPr>
    </w:p>
    <w:p w:rsidR="00E7599B" w:rsidRPr="00EA543A" w:rsidRDefault="00E7599B" w:rsidP="00EA543A">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K bodu 1 - § 2 písm. w)</w:t>
      </w:r>
    </w:p>
    <w:p w:rsidR="00E7599B" w:rsidRPr="00EA543A" w:rsidRDefault="00E7599B" w:rsidP="00EA543A">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V nadväznosti na analýzu zjednodušenia výpočtu základu dane pre malé a stredné podniky sa za účelom podpory rozvoja malých daňovníkov zavádza pojem „</w:t>
      </w:r>
      <w:proofErr w:type="spellStart"/>
      <w:r w:rsidRPr="00EA543A">
        <w:rPr>
          <w:rFonts w:ascii="Times New Roman" w:hAnsi="Times New Roman" w:cs="Times New Roman"/>
          <w:sz w:val="24"/>
          <w:szCs w:val="24"/>
        </w:rPr>
        <w:t>mikrodaňovník</w:t>
      </w:r>
      <w:proofErr w:type="spellEnd"/>
      <w:r w:rsidRPr="00EA543A">
        <w:rPr>
          <w:rFonts w:ascii="Times New Roman" w:hAnsi="Times New Roman" w:cs="Times New Roman"/>
          <w:sz w:val="24"/>
          <w:szCs w:val="24"/>
        </w:rPr>
        <w:t xml:space="preserve">“. </w:t>
      </w:r>
      <w:proofErr w:type="spellStart"/>
      <w:r w:rsidRPr="00EA543A">
        <w:rPr>
          <w:rFonts w:ascii="Times New Roman" w:hAnsi="Times New Roman" w:cs="Times New Roman"/>
          <w:sz w:val="24"/>
          <w:szCs w:val="24"/>
        </w:rPr>
        <w:t>Mikrodaňovníkom</w:t>
      </w:r>
      <w:proofErr w:type="spellEnd"/>
      <w:r w:rsidRPr="00EA543A">
        <w:rPr>
          <w:rFonts w:ascii="Times New Roman" w:hAnsi="Times New Roman" w:cs="Times New Roman"/>
          <w:sz w:val="24"/>
          <w:szCs w:val="24"/>
        </w:rPr>
        <w:t xml:space="preserve"> je daňovník – fyzická osoba, ktorá dosahuje príjmy z podnikania a z inej samostatnej zárobkovej činnosti a za zdaňovacie obdobie výška týchto</w:t>
      </w:r>
      <w:r w:rsidR="007B79E4" w:rsidRPr="00EA543A">
        <w:rPr>
          <w:rFonts w:ascii="Times New Roman" w:hAnsi="Times New Roman" w:cs="Times New Roman"/>
          <w:sz w:val="24"/>
          <w:szCs w:val="24"/>
        </w:rPr>
        <w:t xml:space="preserve"> </w:t>
      </w:r>
      <w:r w:rsidRPr="00EA543A">
        <w:rPr>
          <w:rFonts w:ascii="Times New Roman" w:hAnsi="Times New Roman" w:cs="Times New Roman"/>
          <w:sz w:val="24"/>
          <w:szCs w:val="24"/>
        </w:rPr>
        <w:t xml:space="preserve">príjmov </w:t>
      </w:r>
      <w:r w:rsidR="007B79E4" w:rsidRPr="00EA543A">
        <w:rPr>
          <w:rFonts w:ascii="Times New Roman" w:hAnsi="Times New Roman" w:cs="Times New Roman"/>
          <w:sz w:val="24"/>
          <w:szCs w:val="24"/>
        </w:rPr>
        <w:t xml:space="preserve">(ak účtuje v sústave jednoduchého účtovníctva alebo vedie evidenciu podľa § 6 ods. 11) alebo  </w:t>
      </w:r>
      <w:r w:rsidRPr="00EA543A">
        <w:rPr>
          <w:rFonts w:ascii="Times New Roman" w:hAnsi="Times New Roman" w:cs="Times New Roman"/>
          <w:sz w:val="24"/>
          <w:szCs w:val="24"/>
        </w:rPr>
        <w:t>výnosov</w:t>
      </w:r>
      <w:r w:rsidR="007B79E4" w:rsidRPr="00EA543A">
        <w:rPr>
          <w:rFonts w:ascii="Times New Roman" w:hAnsi="Times New Roman" w:cs="Times New Roman"/>
          <w:sz w:val="24"/>
          <w:szCs w:val="24"/>
        </w:rPr>
        <w:t xml:space="preserve"> (ak daňovník účtuje v sústave podvojného účtovníctve)</w:t>
      </w:r>
      <w:r w:rsidRPr="00EA543A">
        <w:rPr>
          <w:rFonts w:ascii="Times New Roman" w:hAnsi="Times New Roman" w:cs="Times New Roman"/>
          <w:sz w:val="24"/>
          <w:szCs w:val="24"/>
        </w:rPr>
        <w:t xml:space="preserve">  je maximálne vo výške sumy stanovenej na účely registrácie na daň z pridanej hodnoty, t.j. v súčasnosti 49 790 eur. Rovnako sa za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považuje aj daňovník právnická osoba, ktorej všetky výnosy dosiahnuté za príslušné zdaňovacie obdobie sú maximálne vo výške 49 790 eur vrátane. Za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nie je možné považovať daňovníka – fyzickú alebo právnickú osobu, ktorá síce spĺňa podmienku dosiahnutia príjmov (výnosov) do 49 790 eur, ale je závislou osobou podľa § 2 písm. n) zákona. </w:t>
      </w:r>
    </w:p>
    <w:p w:rsidR="00E7599B" w:rsidRPr="00EA543A" w:rsidRDefault="00E7599B" w:rsidP="00BA62B0">
      <w:pPr>
        <w:pStyle w:val="Odsekzoznamu"/>
        <w:spacing w:after="0" w:line="240" w:lineRule="auto"/>
        <w:ind w:left="0"/>
        <w:jc w:val="both"/>
        <w:rPr>
          <w:rFonts w:ascii="Times New Roman" w:hAnsi="Times New Roman" w:cs="Times New Roman"/>
          <w:sz w:val="24"/>
          <w:szCs w:val="24"/>
        </w:rPr>
      </w:pPr>
    </w:p>
    <w:p w:rsidR="00580AE9" w:rsidRPr="00EA543A" w:rsidRDefault="00172760" w:rsidP="00BA62B0">
      <w:pPr>
        <w:spacing w:after="0" w:line="240" w:lineRule="auto"/>
        <w:rPr>
          <w:rFonts w:ascii="Times New Roman" w:hAnsi="Times New Roman" w:cs="Times New Roman"/>
          <w:b/>
          <w:sz w:val="24"/>
          <w:szCs w:val="24"/>
        </w:rPr>
      </w:pPr>
      <w:r w:rsidRPr="00EA543A">
        <w:rPr>
          <w:rFonts w:ascii="Times New Roman" w:hAnsi="Times New Roman" w:cs="Times New Roman"/>
          <w:b/>
          <w:sz w:val="24"/>
          <w:szCs w:val="24"/>
        </w:rPr>
        <w:t xml:space="preserve">K bodu 2 - § </w:t>
      </w:r>
      <w:r w:rsidR="00B2271E" w:rsidRPr="00EA543A">
        <w:rPr>
          <w:rFonts w:ascii="Times New Roman" w:hAnsi="Times New Roman" w:cs="Times New Roman"/>
          <w:b/>
          <w:sz w:val="24"/>
          <w:szCs w:val="24"/>
        </w:rPr>
        <w:t>2 písm. x)</w:t>
      </w:r>
    </w:p>
    <w:p w:rsidR="00580AE9" w:rsidRPr="00EA543A" w:rsidRDefault="00580AE9"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Ustanovenie písmena x) sa upravuje vzhľadom na potrebu zapracovania EÚ zoznamu štátov a jurisdikcií, ktoré nespolupracujú v daňovej oblasti (tzv. čierny zoznam EÚ). Nadväzne na zapracovanie tohto zoznamu sa mení názov nezmluvného štátu na nespolupracujúci štát. Zároveň sa v ustanovení upravuje, že Ministerstvo financií SR uverejní zoznam na webovom sídle, do ktorého zahrnie príslušné štáty a jurisdikcie, ktoré spĺňajú kritériá uvedené v ustanovení. </w:t>
      </w:r>
    </w:p>
    <w:p w:rsidR="00B2271E" w:rsidRPr="00EA543A" w:rsidRDefault="00B2271E" w:rsidP="00BA62B0">
      <w:pPr>
        <w:spacing w:after="0" w:line="240" w:lineRule="auto"/>
        <w:jc w:val="both"/>
        <w:rPr>
          <w:rFonts w:ascii="Times New Roman" w:hAnsi="Times New Roman" w:cs="Times New Roman"/>
          <w:sz w:val="24"/>
          <w:szCs w:val="24"/>
          <w:lang w:eastAsia="sk-SK"/>
        </w:rPr>
      </w:pPr>
    </w:p>
    <w:p w:rsidR="00405D59" w:rsidRPr="00EA543A" w:rsidRDefault="00405D59" w:rsidP="00BA62B0">
      <w:pPr>
        <w:tabs>
          <w:tab w:val="left" w:pos="142"/>
        </w:tabs>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3 -§ 2 písm. </w:t>
      </w:r>
      <w:proofErr w:type="spellStart"/>
      <w:r w:rsidRPr="00EA543A">
        <w:rPr>
          <w:rFonts w:ascii="Times New Roman" w:hAnsi="Times New Roman" w:cs="Times New Roman"/>
          <w:b/>
          <w:sz w:val="24"/>
          <w:szCs w:val="24"/>
        </w:rPr>
        <w:t>ac</w:t>
      </w:r>
      <w:proofErr w:type="spellEnd"/>
      <w:r w:rsidRPr="00EA543A">
        <w:rPr>
          <w:rFonts w:ascii="Times New Roman" w:hAnsi="Times New Roman" w:cs="Times New Roman"/>
          <w:b/>
          <w:sz w:val="24"/>
          <w:szCs w:val="24"/>
        </w:rPr>
        <w:t>) tretí bod</w:t>
      </w:r>
    </w:p>
    <w:p w:rsidR="00405D59" w:rsidRPr="00EA543A" w:rsidRDefault="00405D59" w:rsidP="00BA62B0">
      <w:pPr>
        <w:tabs>
          <w:tab w:val="left" w:pos="142"/>
        </w:tabs>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Do § 2 písmena </w:t>
      </w:r>
      <w:proofErr w:type="spellStart"/>
      <w:r w:rsidRPr="00EA543A">
        <w:rPr>
          <w:rFonts w:ascii="Times New Roman" w:hAnsi="Times New Roman" w:cs="Times New Roman"/>
          <w:sz w:val="24"/>
          <w:szCs w:val="24"/>
        </w:rPr>
        <w:t>ac</w:t>
      </w:r>
      <w:proofErr w:type="spellEnd"/>
      <w:r w:rsidRPr="00EA543A">
        <w:rPr>
          <w:rFonts w:ascii="Times New Roman" w:hAnsi="Times New Roman" w:cs="Times New Roman"/>
          <w:sz w:val="24"/>
          <w:szCs w:val="24"/>
        </w:rPr>
        <w:t>) sa dopĺňa, že za vklad sa považuje aj akcionárom splatený príplatok do rezervného fondu,  ktorý je povinná spoločnosť vytvoriť pri založení spoločnosti podľa § 217  Obchodného zákonníka, ako aj ďalšie príplatky splatené priamo daňovníkom do rezervného fondu, ktoré mu vyplývajú zo spoločenskej zmluvy alebo Obchodného zákonníka. Ak je emisný kurz akcie vyšší ako jej menovitá hodnota, suma prevyšujúca menovitú hodnotu akcie je emisné ážio. Rovnako po splatení daňovníkom sa emisné ážio považuje za vklad splatený daňovníkom. Obdobne to platí aj u spoločníka s.r.o., ktorý vkladá vklad do rezervného fondu podľa § 67 Obchodného zákonníka, resp. člena družstva, ktorý vkladá vklad do nedeliteľného fondu družstva podľa § 235 Obchodného zákonníka. Za vklad sa nepovažuje zvýšenie rezervného fondu resp. nedeliteľného fondu družstva z nerozdelených ziskov, ktoré nie sú daňovým výdavkom podľa § 21 ods. 2 písm. d) zákona o dani z príjmov.</w:t>
      </w:r>
    </w:p>
    <w:p w:rsidR="00405D59" w:rsidRPr="00EA543A" w:rsidRDefault="00405D59" w:rsidP="00BA62B0">
      <w:pPr>
        <w:spacing w:after="0" w:line="240" w:lineRule="auto"/>
        <w:ind w:left="66"/>
        <w:jc w:val="both"/>
        <w:rPr>
          <w:rFonts w:ascii="Times New Roman" w:eastAsia="Times New Roman" w:hAnsi="Times New Roman" w:cs="Times New Roman"/>
          <w:sz w:val="24"/>
          <w:szCs w:val="24"/>
          <w:lang w:eastAsia="sk-SK"/>
        </w:rPr>
      </w:pPr>
    </w:p>
    <w:p w:rsidR="007A6509" w:rsidRPr="00EA543A" w:rsidRDefault="007A6509" w:rsidP="00BA62B0">
      <w:pPr>
        <w:spacing w:after="0" w:line="240" w:lineRule="auto"/>
        <w:jc w:val="both"/>
        <w:rPr>
          <w:rFonts w:ascii="Times New Roman" w:hAnsi="Times New Roman" w:cs="Times New Roman"/>
          <w:b/>
          <w:bCs/>
          <w:sz w:val="24"/>
          <w:szCs w:val="24"/>
          <w:lang w:eastAsia="sk-SK"/>
        </w:rPr>
      </w:pPr>
      <w:r w:rsidRPr="00EA543A">
        <w:rPr>
          <w:rFonts w:ascii="Times New Roman" w:hAnsi="Times New Roman" w:cs="Times New Roman"/>
          <w:b/>
          <w:bCs/>
          <w:sz w:val="24"/>
          <w:szCs w:val="24"/>
          <w:lang w:eastAsia="sk-SK"/>
        </w:rPr>
        <w:t xml:space="preserve">K bodom </w:t>
      </w:r>
      <w:r w:rsidR="00E7599B" w:rsidRPr="00EA543A">
        <w:rPr>
          <w:rFonts w:ascii="Times New Roman" w:hAnsi="Times New Roman" w:cs="Times New Roman"/>
          <w:b/>
          <w:bCs/>
          <w:sz w:val="24"/>
          <w:szCs w:val="24"/>
          <w:lang w:eastAsia="sk-SK"/>
        </w:rPr>
        <w:t>4 a 3</w:t>
      </w:r>
      <w:r w:rsidR="005D6F7D" w:rsidRPr="00EA543A">
        <w:rPr>
          <w:rFonts w:ascii="Times New Roman" w:hAnsi="Times New Roman" w:cs="Times New Roman"/>
          <w:b/>
          <w:bCs/>
          <w:sz w:val="24"/>
          <w:szCs w:val="24"/>
          <w:lang w:eastAsia="sk-SK"/>
        </w:rPr>
        <w:t>1</w:t>
      </w:r>
      <w:r w:rsidRPr="00EA543A">
        <w:rPr>
          <w:rFonts w:ascii="Times New Roman" w:hAnsi="Times New Roman" w:cs="Times New Roman"/>
          <w:b/>
          <w:bCs/>
          <w:sz w:val="24"/>
          <w:szCs w:val="24"/>
          <w:lang w:eastAsia="sk-SK"/>
        </w:rPr>
        <w:t xml:space="preserve"> - § 3 ods. 1 písm. e) a § 16 ods. 1 písm. e) 9. bod</w:t>
      </w:r>
    </w:p>
    <w:p w:rsidR="007A6509" w:rsidRPr="00EA543A" w:rsidRDefault="007A6509" w:rsidP="00BA62B0">
      <w:pPr>
        <w:spacing w:after="0" w:line="240" w:lineRule="auto"/>
        <w:jc w:val="both"/>
        <w:rPr>
          <w:rFonts w:ascii="Times New Roman" w:hAnsi="Times New Roman" w:cs="Times New Roman"/>
          <w:sz w:val="24"/>
          <w:szCs w:val="24"/>
          <w:lang w:eastAsia="sk-SK"/>
        </w:rPr>
      </w:pPr>
      <w:r w:rsidRPr="00EA543A">
        <w:rPr>
          <w:rFonts w:ascii="Times New Roman" w:hAnsi="Times New Roman" w:cs="Times New Roman"/>
          <w:sz w:val="24"/>
          <w:szCs w:val="24"/>
          <w:lang w:eastAsia="sk-SK"/>
        </w:rPr>
        <w:t xml:space="preserve">Ustanovenie § 3 ods. 1 písm. e) vymedzuje, čo sa považuje za podiel na zisku (dividendu). Podľa § 217a Obchodného zákonníka môže spoločnosť vytvoriť kapitálový fond z príspevkov akcionárov resp. spoločníkov, pričom príspevky sa za kapitálový fond považujú okamihom splatenia. Ak sa spoločnosť rozhodne použiť nerozdelený zisk po zdanení na tvorbu kapitálového fondu z príspevkov, aby bola splnená podmienka splatenia akcionárom resp. spoločníkom, považuje sa takéto použitie nerozdeleného zisku po zdanení za vyplatený podiel na zisku (dividendu). Až potom je možné tieto prostriedky považovať za príspevok splatený akcionárom resp. spoločníkom podľa § 217a Obchodného zákonníka. Zároveň sa dopĺňa, že za podiel na zisku (dividendu) sa považuje aj rozdelenie prostriedkov z rezervného fondu medzi spoločníkov (akcionárov), v časti, v akej bol tvorený z nerozdeleného zisku po zdanení. V nadväznosti na tieto zmeny v § 3 ods. 1 písm. e) sa spresňuje aj rozsah podielov na zisku </w:t>
      </w:r>
      <w:r w:rsidRPr="00EA543A">
        <w:rPr>
          <w:rFonts w:ascii="Times New Roman" w:hAnsi="Times New Roman" w:cs="Times New Roman"/>
          <w:sz w:val="24"/>
          <w:szCs w:val="24"/>
          <w:lang w:eastAsia="sk-SK"/>
        </w:rPr>
        <w:lastRenderedPageBreak/>
        <w:t>(dividend) považovaných za príjem zo zdroja na území Slovenskej republiky nerezidenta v § 16 ods. 1 písm. e) 9. bode.</w:t>
      </w:r>
    </w:p>
    <w:p w:rsidR="00B96F7D" w:rsidRPr="00EA543A" w:rsidRDefault="00B96F7D" w:rsidP="00BA62B0">
      <w:pPr>
        <w:spacing w:after="0" w:line="240" w:lineRule="auto"/>
        <w:jc w:val="both"/>
        <w:rPr>
          <w:rFonts w:ascii="Times New Roman" w:hAnsi="Times New Roman" w:cs="Times New Roman"/>
          <w:sz w:val="24"/>
          <w:szCs w:val="24"/>
        </w:rPr>
      </w:pPr>
    </w:p>
    <w:p w:rsidR="002B5634" w:rsidRPr="00EA543A" w:rsidRDefault="002B5634" w:rsidP="00BA62B0">
      <w:pPr>
        <w:spacing w:after="0"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 xml:space="preserve">K bodom </w:t>
      </w:r>
      <w:r w:rsidR="007D1101" w:rsidRPr="00EA543A">
        <w:rPr>
          <w:rFonts w:ascii="Times New Roman" w:hAnsi="Times New Roman" w:cs="Times New Roman"/>
          <w:b/>
          <w:bCs/>
          <w:sz w:val="24"/>
          <w:szCs w:val="24"/>
        </w:rPr>
        <w:t>5</w:t>
      </w:r>
      <w:r w:rsidRPr="00EA543A">
        <w:rPr>
          <w:rFonts w:ascii="Times New Roman" w:hAnsi="Times New Roman" w:cs="Times New Roman"/>
          <w:b/>
          <w:bCs/>
          <w:sz w:val="24"/>
          <w:szCs w:val="24"/>
        </w:rPr>
        <w:t xml:space="preserve">, </w:t>
      </w:r>
      <w:r w:rsidR="00E7599B" w:rsidRPr="00EA543A">
        <w:rPr>
          <w:rFonts w:ascii="Times New Roman" w:hAnsi="Times New Roman" w:cs="Times New Roman"/>
          <w:b/>
          <w:bCs/>
          <w:sz w:val="24"/>
          <w:szCs w:val="24"/>
        </w:rPr>
        <w:t>8</w:t>
      </w:r>
      <w:r w:rsidR="005D6F7D" w:rsidRPr="00EA543A">
        <w:rPr>
          <w:rFonts w:ascii="Times New Roman" w:hAnsi="Times New Roman" w:cs="Times New Roman"/>
          <w:b/>
          <w:bCs/>
          <w:sz w:val="24"/>
          <w:szCs w:val="24"/>
        </w:rPr>
        <w:t>8</w:t>
      </w:r>
      <w:r w:rsidRPr="00EA543A">
        <w:rPr>
          <w:rFonts w:ascii="Times New Roman" w:hAnsi="Times New Roman" w:cs="Times New Roman"/>
          <w:b/>
          <w:bCs/>
          <w:sz w:val="24"/>
          <w:szCs w:val="24"/>
        </w:rPr>
        <w:t xml:space="preserve"> a </w:t>
      </w:r>
      <w:r w:rsidR="003C265B" w:rsidRPr="00EA543A">
        <w:rPr>
          <w:rFonts w:ascii="Times New Roman" w:hAnsi="Times New Roman" w:cs="Times New Roman"/>
          <w:b/>
          <w:bCs/>
          <w:sz w:val="24"/>
          <w:szCs w:val="24"/>
        </w:rPr>
        <w:t>1</w:t>
      </w:r>
      <w:r w:rsidR="00B96F7D" w:rsidRPr="00EA543A">
        <w:rPr>
          <w:rFonts w:ascii="Times New Roman" w:hAnsi="Times New Roman" w:cs="Times New Roman"/>
          <w:b/>
          <w:bCs/>
          <w:sz w:val="24"/>
          <w:szCs w:val="24"/>
        </w:rPr>
        <w:t>3</w:t>
      </w:r>
      <w:r w:rsidR="00C71E1F" w:rsidRPr="00EA543A">
        <w:rPr>
          <w:rFonts w:ascii="Times New Roman" w:hAnsi="Times New Roman" w:cs="Times New Roman"/>
          <w:b/>
          <w:bCs/>
          <w:sz w:val="24"/>
          <w:szCs w:val="24"/>
        </w:rPr>
        <w:t>9</w:t>
      </w:r>
      <w:r w:rsidRPr="00EA543A">
        <w:rPr>
          <w:rFonts w:ascii="Times New Roman" w:hAnsi="Times New Roman" w:cs="Times New Roman"/>
          <w:b/>
          <w:bCs/>
          <w:sz w:val="24"/>
          <w:szCs w:val="24"/>
        </w:rPr>
        <w:t xml:space="preserve"> - § 5 ods. 3 písm. d), § 35 ods. 3 písm. a) a Príloha č. 6</w:t>
      </w:r>
    </w:p>
    <w:p w:rsidR="00FE49C0" w:rsidRPr="00EA543A" w:rsidRDefault="00FE49C0"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Na základe poznatkov z aplikačnej praxe sa navrhuje vypustenie Prílohy č. 6. Postup navyšovania nepeňažného plnenia sa ponecháva na zamestnávateľovi. Z dôvodu nadbytočnosti sa zo zákona </w:t>
      </w:r>
      <w:r w:rsidR="00BC1A64" w:rsidRPr="00EA543A">
        <w:rPr>
          <w:rFonts w:ascii="Times New Roman" w:hAnsi="Times New Roman" w:cs="Times New Roman"/>
          <w:sz w:val="24"/>
          <w:szCs w:val="24"/>
        </w:rPr>
        <w:t xml:space="preserve">vypúšťa </w:t>
      </w:r>
      <w:r w:rsidRPr="00EA543A">
        <w:rPr>
          <w:rFonts w:ascii="Times New Roman" w:hAnsi="Times New Roman" w:cs="Times New Roman"/>
          <w:sz w:val="24"/>
          <w:szCs w:val="24"/>
        </w:rPr>
        <w:t xml:space="preserve">nemožnosť </w:t>
      </w:r>
      <w:proofErr w:type="spellStart"/>
      <w:r w:rsidRPr="00EA543A">
        <w:rPr>
          <w:rFonts w:ascii="Times New Roman" w:hAnsi="Times New Roman" w:cs="Times New Roman"/>
          <w:sz w:val="24"/>
          <w:szCs w:val="24"/>
        </w:rPr>
        <w:t>brutácie</w:t>
      </w:r>
      <w:proofErr w:type="spellEnd"/>
      <w:r w:rsidRPr="00EA543A">
        <w:rPr>
          <w:rFonts w:ascii="Times New Roman" w:hAnsi="Times New Roman" w:cs="Times New Roman"/>
          <w:sz w:val="24"/>
          <w:szCs w:val="24"/>
        </w:rPr>
        <w:t xml:space="preserve"> zdaniteľných príjmov podľa § 5 ods. 1 písm. j)</w:t>
      </w:r>
      <w:r w:rsidR="00BC1A64" w:rsidRPr="00EA543A">
        <w:rPr>
          <w:rFonts w:ascii="Times New Roman" w:hAnsi="Times New Roman" w:cs="Times New Roman"/>
          <w:sz w:val="24"/>
          <w:szCs w:val="24"/>
        </w:rPr>
        <w:t xml:space="preserve"> a to z dôvodu, že ide o príjmy napr. členov volebných komisií, ktoré sú oslobodené od dane a aj od odvodov</w:t>
      </w:r>
      <w:r w:rsidRPr="00EA543A">
        <w:rPr>
          <w:rFonts w:ascii="Times New Roman" w:hAnsi="Times New Roman" w:cs="Times New Roman"/>
          <w:sz w:val="24"/>
          <w:szCs w:val="24"/>
        </w:rPr>
        <w:t xml:space="preserve"> a</w:t>
      </w:r>
      <w:r w:rsidR="00BC1A64" w:rsidRPr="00EA543A">
        <w:rPr>
          <w:rFonts w:ascii="Times New Roman" w:hAnsi="Times New Roman" w:cs="Times New Roman"/>
          <w:sz w:val="24"/>
          <w:szCs w:val="24"/>
        </w:rPr>
        <w:t xml:space="preserve"> vypúšťajú sa aj príjmy podľa § 5 ods. 1 písm. </w:t>
      </w:r>
      <w:r w:rsidRPr="00EA543A">
        <w:rPr>
          <w:rFonts w:ascii="Times New Roman" w:hAnsi="Times New Roman" w:cs="Times New Roman"/>
          <w:sz w:val="24"/>
          <w:szCs w:val="24"/>
        </w:rPr>
        <w:t>k)</w:t>
      </w:r>
      <w:r w:rsidR="00BC1A64" w:rsidRPr="00EA543A">
        <w:rPr>
          <w:rFonts w:ascii="Times New Roman" w:hAnsi="Times New Roman" w:cs="Times New Roman"/>
          <w:sz w:val="24"/>
          <w:szCs w:val="24"/>
        </w:rPr>
        <w:t>, ktorými sú príjmy dôchodcov od bývalého zamestnávateľa</w:t>
      </w:r>
      <w:r w:rsidRPr="00EA543A">
        <w:rPr>
          <w:rFonts w:ascii="Times New Roman" w:hAnsi="Times New Roman" w:cs="Times New Roman"/>
          <w:sz w:val="24"/>
          <w:szCs w:val="24"/>
        </w:rPr>
        <w:t>.</w:t>
      </w:r>
    </w:p>
    <w:p w:rsidR="00FE49C0" w:rsidRPr="00EA543A" w:rsidRDefault="00FE49C0" w:rsidP="00BA62B0">
      <w:pPr>
        <w:pStyle w:val="Odsekzoznamu"/>
        <w:spacing w:after="0" w:line="240" w:lineRule="auto"/>
        <w:ind w:left="0"/>
        <w:jc w:val="both"/>
        <w:rPr>
          <w:rFonts w:ascii="Times New Roman" w:hAnsi="Times New Roman" w:cs="Times New Roman"/>
          <w:sz w:val="24"/>
          <w:szCs w:val="24"/>
        </w:rPr>
      </w:pPr>
    </w:p>
    <w:p w:rsidR="00FE49C0" w:rsidRPr="00EA543A" w:rsidRDefault="00FE49C0"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7D1101" w:rsidRPr="00EA543A">
        <w:rPr>
          <w:rFonts w:ascii="Times New Roman" w:hAnsi="Times New Roman" w:cs="Times New Roman"/>
          <w:b/>
          <w:sz w:val="24"/>
          <w:szCs w:val="24"/>
        </w:rPr>
        <w:t>6</w:t>
      </w:r>
      <w:r w:rsidR="00E774EC" w:rsidRPr="00EA543A">
        <w:rPr>
          <w:rFonts w:ascii="Times New Roman" w:hAnsi="Times New Roman" w:cs="Times New Roman"/>
          <w:b/>
          <w:sz w:val="24"/>
          <w:szCs w:val="24"/>
        </w:rPr>
        <w:t xml:space="preserve"> a 4</w:t>
      </w:r>
      <w:r w:rsidR="005D6F7D" w:rsidRPr="00EA543A">
        <w:rPr>
          <w:rFonts w:ascii="Times New Roman" w:hAnsi="Times New Roman" w:cs="Times New Roman"/>
          <w:b/>
          <w:sz w:val="24"/>
          <w:szCs w:val="24"/>
        </w:rPr>
        <w:t>8</w:t>
      </w:r>
      <w:r w:rsidRPr="00EA543A">
        <w:rPr>
          <w:rFonts w:ascii="Times New Roman" w:hAnsi="Times New Roman" w:cs="Times New Roman"/>
          <w:b/>
          <w:sz w:val="24"/>
          <w:szCs w:val="24"/>
        </w:rPr>
        <w:t xml:space="preserve"> - § 5 ods. 7 písm. a)</w:t>
      </w:r>
      <w:r w:rsidR="00E774EC" w:rsidRPr="00EA543A">
        <w:rPr>
          <w:rFonts w:ascii="Times New Roman" w:hAnsi="Times New Roman" w:cs="Times New Roman"/>
          <w:b/>
          <w:sz w:val="24"/>
          <w:szCs w:val="24"/>
        </w:rPr>
        <w:t xml:space="preserve"> a § 19 ods. 2 písm. c) tretí bod</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Z dôvodu zvýšenia potreby dosiahnutia vyššej a lepšej kvalifikácie zamestnancov potrebnej pre činnosť zamestnávateľa sa navrhuje spresnenie a rozšírenie oslobodenia „benefitov“ poskytnutých zamestnávateľom a to formou ním zabezpečeného vzdelávania, ktoré je zadefinované napríklad v ustanoveniach Zákonníka práce, zákona o štátnej službe profesionálnych vojakov, a aj v zákone o štátnej službe, pričom ide tak o prehlbovanie kvalifikácie, rekvalifikáciu ako aj zvyšovania kvalifikácie. </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Od dane z príjmov je však oslobodený výlučne nepeňažný príjem zamestnanca od zamestnávateľa vo forme zabezpečenia a poskytovania vzdelávania vtedy, ak sú tieto vzdelávacie aktivity predpokladom pre vykonávanie podnikateľskej činnosti zamestnávateľa. </w:t>
      </w:r>
      <w:r w:rsidR="00C872DF" w:rsidRPr="00EA543A">
        <w:rPr>
          <w:rFonts w:ascii="Times New Roman" w:hAnsi="Times New Roman" w:cs="Times New Roman"/>
          <w:sz w:val="24"/>
          <w:szCs w:val="24"/>
        </w:rPr>
        <w:t xml:space="preserve">Ak ide o aktivity v rámci celoživotného vzdelávania hradené zamestnávateľom, ktoré nesúvisia s podnikateľskou činnosťou zamestnávateľa, nebude sa jednať o príjem oslobodený od dane zo závislej činnosti na strane zamestnanca a na strane zamestnávateľa nepôjde o daňovo uznaný výdavok. </w:t>
      </w:r>
      <w:r w:rsidRPr="00EA543A">
        <w:rPr>
          <w:rFonts w:ascii="Times New Roman" w:hAnsi="Times New Roman" w:cs="Times New Roman"/>
          <w:sz w:val="24"/>
          <w:szCs w:val="24"/>
        </w:rPr>
        <w:t>V nadväznosti na ustanovenia ZP a iné osobitné predpisy bude oslobodené od dane z príjmov vzdelávanie zabezpečované zamestnávateľom, ktorým sa rozumie aj zvyšovanie kvalifikácie zamestnanca formou absolvovania (dodatočného) komplexného študijného programu na niektorej zo stredných príp. vysokých škôl, pričom u zamestnanca dochádza k zvýšeniu dosiahnutého stupňa vzdelania (napr.  získanie maturity, absolvovanie vysokoškolského štúdia a pod.). Ide o tie prípady vzdelávania zamestnancov, ktorých potrebu a nevyhnutnosť vie zamestnávateľ odôvodniť. Z toho dôvodu a aj na podporu prezieravosti a strategického zmýšľania zamestnávateľa sa ustanovuje, že pokiaľ ide o zvyšovanie stupňa vzdelania na vysokoškolské vzdelanie 1. alebo 2. stupňa, musí byť splnená podmienka trvania pracovnoprávneho  alebo štátnozamestnaneckého vzťahu zamestnanca u zamestnávateľa k začiatku príslušného akademického roka nepretržite aspoň 24 mesiacov. Napr. študent práv s ukončeným prvým stupňom právnickej fakulty je zamestnaný v komerčnej kancelárii, pričom zamestnávateľ, aby ho mohol vyslať aj na samostatné zastupovanie v právnych konaniach musí mať dokončený druhý stupeň vysokoškolského štúdia. Potrebu zvýšenia kvalifikácie tohto svojho zamestnanca by zamestnávateľ preukázal aj zvýšeným počtom klientov, ktoré je potrebné zastupovať v právnych konaniach, pričom nemá potrebu zamestnať iného zamestnanca s ukončeným vysokoškolským vzdelaním, ale má záujem podporiť a vyučiť si už svojho zamestnanca. V tejto súvislosti sa upravuje aj ustanovenie § 19 ods. 2 písm. c) tretí bod zákona.</w:t>
      </w:r>
    </w:p>
    <w:p w:rsidR="00743AFA" w:rsidRPr="00EA543A" w:rsidRDefault="00743AFA" w:rsidP="00BA62B0">
      <w:pPr>
        <w:spacing w:after="0" w:line="240" w:lineRule="auto"/>
        <w:jc w:val="both"/>
        <w:rPr>
          <w:rFonts w:ascii="Times New Roman" w:hAnsi="Times New Roman" w:cs="Times New Roman"/>
          <w:sz w:val="24"/>
          <w:szCs w:val="24"/>
        </w:rPr>
      </w:pPr>
    </w:p>
    <w:p w:rsidR="00743AFA" w:rsidRPr="00EA543A" w:rsidRDefault="00743AFA"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7D1101" w:rsidRPr="00EA543A">
        <w:rPr>
          <w:rFonts w:ascii="Times New Roman" w:hAnsi="Times New Roman" w:cs="Times New Roman"/>
          <w:b/>
          <w:sz w:val="24"/>
          <w:szCs w:val="24"/>
        </w:rPr>
        <w:t>7</w:t>
      </w:r>
      <w:r w:rsidRPr="00EA543A">
        <w:rPr>
          <w:rFonts w:ascii="Times New Roman" w:hAnsi="Times New Roman" w:cs="Times New Roman"/>
          <w:b/>
          <w:sz w:val="24"/>
          <w:szCs w:val="24"/>
        </w:rPr>
        <w:t xml:space="preserve"> - § 5 ods. 7 písm. e)</w:t>
      </w:r>
    </w:p>
    <w:p w:rsidR="00743AFA" w:rsidRPr="00EA543A" w:rsidRDefault="00743AFA"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Ide </w:t>
      </w:r>
      <w:r w:rsidR="00C96F8F" w:rsidRPr="00EA543A">
        <w:rPr>
          <w:rFonts w:ascii="Times New Roman" w:hAnsi="Times New Roman" w:cs="Times New Roman"/>
          <w:sz w:val="24"/>
          <w:szCs w:val="24"/>
        </w:rPr>
        <w:t>o legislatívno-technickú úpravu.</w:t>
      </w:r>
    </w:p>
    <w:p w:rsidR="00C96F8F" w:rsidRPr="00EA543A" w:rsidRDefault="00C96F8F" w:rsidP="00BA62B0">
      <w:pPr>
        <w:spacing w:after="0" w:line="240" w:lineRule="auto"/>
        <w:jc w:val="both"/>
        <w:rPr>
          <w:rFonts w:ascii="Times New Roman" w:hAnsi="Times New Roman" w:cs="Times New Roman"/>
          <w:sz w:val="24"/>
          <w:szCs w:val="24"/>
        </w:rPr>
      </w:pPr>
    </w:p>
    <w:p w:rsidR="00FE49C0" w:rsidRPr="00EA543A" w:rsidRDefault="00FE49C0"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7D1101" w:rsidRPr="00EA543A">
        <w:rPr>
          <w:rFonts w:ascii="Times New Roman" w:hAnsi="Times New Roman" w:cs="Times New Roman"/>
          <w:b/>
          <w:sz w:val="24"/>
          <w:szCs w:val="24"/>
        </w:rPr>
        <w:t>8</w:t>
      </w:r>
      <w:r w:rsidRPr="00EA543A">
        <w:rPr>
          <w:rFonts w:ascii="Times New Roman" w:hAnsi="Times New Roman" w:cs="Times New Roman"/>
          <w:b/>
          <w:sz w:val="24"/>
          <w:szCs w:val="24"/>
        </w:rPr>
        <w:t xml:space="preserve"> - § 5 ods. 7 písm. h)</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Vzhľadom na </w:t>
      </w:r>
      <w:proofErr w:type="spellStart"/>
      <w:r w:rsidRPr="00EA543A">
        <w:rPr>
          <w:rFonts w:ascii="Times New Roman" w:hAnsi="Times New Roman" w:cs="Times New Roman"/>
          <w:sz w:val="24"/>
          <w:szCs w:val="24"/>
        </w:rPr>
        <w:t>obsolentnosť</w:t>
      </w:r>
      <w:proofErr w:type="spellEnd"/>
      <w:r w:rsidRPr="00EA543A">
        <w:rPr>
          <w:rFonts w:ascii="Times New Roman" w:hAnsi="Times New Roman" w:cs="Times New Roman"/>
          <w:sz w:val="24"/>
          <w:szCs w:val="24"/>
        </w:rPr>
        <w:t xml:space="preserve"> právnej úpravy pôvodne uvádzanej v § 5 ods. 7 písm. h) zákona, navrhujeme znenie nahradiť novým oslobodeným druhom príjmu, ktorým sú príspevky zo </w:t>
      </w:r>
      <w:r w:rsidRPr="00EA543A">
        <w:rPr>
          <w:rFonts w:ascii="Times New Roman" w:hAnsi="Times New Roman" w:cs="Times New Roman"/>
          <w:sz w:val="24"/>
          <w:szCs w:val="24"/>
        </w:rPr>
        <w:lastRenderedPageBreak/>
        <w:t>sociálneho fondu na lekársku preventívnu prehliadku, poskytovanú nad rámec zákona č. 355/2007 Z. z. o ochrane, podpore a rozvoji verejného zdravia a o zmene a doplnení niektorých zákonov. Ide o pozitívne vnímané opatrenie, ktorým zamestnávateľ podporí účasť zamestnancov na lekárskych preventívnych prehliadkach a efektívnym a účinným spôsobom bude u zamestnancov podporovať ochranu ich zdravia a prevenciu pred rôznymi civilizačnými ochoreniami (môže ísť napr. o preventívne vyšetrenie zamestnancov určitého veku alebo zamestnania na srdcovo-cievne alebo iné ochorenia ohrozujúce túto skupinu zamestnancov, onkologické prehliadky, mamografické a sonografické vyšetrenia napr. u žien, vyšetrenie zraku zamestnancov pracujúcich s počítačmi a pod.) Zo sociálneho fondu nie je možné uhrádzať prípadné náklady na preventívne lekárske prehliadky skupín zamestnancov, ktoré je zamestnávateľ povinný vykonávať podľa osobitných predpisov na zaistenie bezpečnosti a ochrany zdravia pri práci.</w:t>
      </w:r>
    </w:p>
    <w:p w:rsidR="00717394" w:rsidRPr="00EA543A" w:rsidRDefault="00717394" w:rsidP="00BA62B0">
      <w:pPr>
        <w:spacing w:after="0" w:line="240" w:lineRule="auto"/>
        <w:jc w:val="both"/>
        <w:rPr>
          <w:rFonts w:ascii="Times New Roman" w:hAnsi="Times New Roman" w:cs="Times New Roman"/>
          <w:sz w:val="24"/>
          <w:szCs w:val="24"/>
        </w:rPr>
      </w:pPr>
    </w:p>
    <w:p w:rsidR="00BB7DCA" w:rsidRPr="00EA543A" w:rsidRDefault="00BB7DCA" w:rsidP="00BA62B0">
      <w:pPr>
        <w:spacing w:after="0"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 xml:space="preserve">K bodom </w:t>
      </w:r>
      <w:r w:rsidR="007D1101" w:rsidRPr="00EA543A">
        <w:rPr>
          <w:rFonts w:ascii="Times New Roman" w:hAnsi="Times New Roman" w:cs="Times New Roman"/>
          <w:b/>
          <w:bCs/>
          <w:sz w:val="24"/>
          <w:szCs w:val="24"/>
        </w:rPr>
        <w:t>9</w:t>
      </w:r>
      <w:r w:rsidRPr="00EA543A">
        <w:rPr>
          <w:rFonts w:ascii="Times New Roman" w:hAnsi="Times New Roman" w:cs="Times New Roman"/>
          <w:b/>
          <w:bCs/>
          <w:sz w:val="24"/>
          <w:szCs w:val="24"/>
        </w:rPr>
        <w:t xml:space="preserve"> a </w:t>
      </w:r>
      <w:r w:rsidR="00E7599B" w:rsidRPr="00EA543A">
        <w:rPr>
          <w:rFonts w:ascii="Times New Roman" w:hAnsi="Times New Roman" w:cs="Times New Roman"/>
          <w:b/>
          <w:bCs/>
          <w:sz w:val="24"/>
          <w:szCs w:val="24"/>
        </w:rPr>
        <w:t>13</w:t>
      </w:r>
      <w:r w:rsidR="007F2B8C" w:rsidRPr="00EA543A">
        <w:rPr>
          <w:rFonts w:ascii="Times New Roman" w:hAnsi="Times New Roman" w:cs="Times New Roman"/>
          <w:b/>
          <w:bCs/>
          <w:sz w:val="24"/>
          <w:szCs w:val="24"/>
        </w:rPr>
        <w:t>6</w:t>
      </w:r>
      <w:r w:rsidR="00E7599B" w:rsidRPr="00EA543A">
        <w:rPr>
          <w:rFonts w:ascii="Times New Roman" w:hAnsi="Times New Roman" w:cs="Times New Roman"/>
          <w:b/>
          <w:bCs/>
          <w:sz w:val="24"/>
          <w:szCs w:val="24"/>
        </w:rPr>
        <w:t xml:space="preserve"> - § 5 ods. 7 písm. m)</w:t>
      </w:r>
      <w:r w:rsidRPr="00EA543A">
        <w:rPr>
          <w:rFonts w:ascii="Times New Roman" w:hAnsi="Times New Roman" w:cs="Times New Roman"/>
          <w:b/>
          <w:bCs/>
          <w:sz w:val="24"/>
          <w:szCs w:val="24"/>
        </w:rPr>
        <w:t xml:space="preserve"> a § 52zz</w:t>
      </w:r>
      <w:r w:rsidR="00E7599B" w:rsidRPr="00EA543A">
        <w:rPr>
          <w:rFonts w:ascii="Times New Roman" w:hAnsi="Times New Roman" w:cs="Times New Roman"/>
          <w:b/>
          <w:bCs/>
          <w:sz w:val="24"/>
          <w:szCs w:val="24"/>
        </w:rPr>
        <w:t>a</w:t>
      </w:r>
      <w:r w:rsidRPr="00EA543A">
        <w:rPr>
          <w:rFonts w:ascii="Times New Roman" w:hAnsi="Times New Roman" w:cs="Times New Roman"/>
          <w:b/>
          <w:bCs/>
          <w:sz w:val="24"/>
          <w:szCs w:val="24"/>
        </w:rPr>
        <w:t xml:space="preserve"> ods. </w:t>
      </w:r>
      <w:r w:rsidR="003C265B" w:rsidRPr="00EA543A">
        <w:rPr>
          <w:rFonts w:ascii="Times New Roman" w:hAnsi="Times New Roman" w:cs="Times New Roman"/>
          <w:b/>
          <w:bCs/>
          <w:sz w:val="24"/>
          <w:szCs w:val="24"/>
        </w:rPr>
        <w:t>2</w:t>
      </w:r>
    </w:p>
    <w:p w:rsidR="00FE49C0" w:rsidRPr="00EA543A" w:rsidRDefault="00B96916" w:rsidP="00BA62B0">
      <w:pPr>
        <w:spacing w:after="0" w:line="240" w:lineRule="auto"/>
        <w:jc w:val="both"/>
        <w:rPr>
          <w:rFonts w:ascii="Times New Roman" w:hAnsi="Times New Roman" w:cs="Times New Roman"/>
          <w:strike/>
          <w:sz w:val="24"/>
          <w:szCs w:val="24"/>
        </w:rPr>
      </w:pPr>
      <w:r w:rsidRPr="00EA543A">
        <w:rPr>
          <w:rFonts w:ascii="Times New Roman" w:hAnsi="Times New Roman" w:cs="Times New Roman"/>
          <w:sz w:val="24"/>
          <w:szCs w:val="24"/>
        </w:rPr>
        <w:t>Navrhovanou zmenou sa mení prepočet nepeňažného plnenia poskytnutého zamestnancovi od zamestnávateľa z titulu zabezpečenia dopravy na miesto výkonu práce a späť.</w:t>
      </w:r>
      <w:r w:rsidR="00FE49C0" w:rsidRPr="00EA543A">
        <w:rPr>
          <w:rFonts w:ascii="Times New Roman" w:hAnsi="Times New Roman" w:cs="Times New Roman"/>
          <w:sz w:val="24"/>
          <w:szCs w:val="24"/>
        </w:rPr>
        <w:t xml:space="preserve"> Z návrhu vyplýva, že od dane môže byť oslobodené plnenie v úhrnnej sume najviac 60 eur mesačne, pričom ak toto plnenie zamestnanca presiahne túto sumu, do </w:t>
      </w:r>
      <w:r w:rsidR="00717394" w:rsidRPr="00EA543A">
        <w:rPr>
          <w:rFonts w:ascii="Times New Roman" w:hAnsi="Times New Roman" w:cs="Times New Roman"/>
          <w:sz w:val="24"/>
          <w:szCs w:val="24"/>
        </w:rPr>
        <w:t>základu dane (čiastkového základu dane)</w:t>
      </w:r>
      <w:r w:rsidR="00FE49C0" w:rsidRPr="00EA543A">
        <w:rPr>
          <w:rFonts w:ascii="Times New Roman" w:hAnsi="Times New Roman" w:cs="Times New Roman"/>
          <w:sz w:val="24"/>
          <w:szCs w:val="24"/>
        </w:rPr>
        <w:t xml:space="preserve"> sa zahrnie plnenie nad 60 eur vypočítané z preukázateľne vynaložených prostriedkov zamestnávateľa, prepočítaných na jedno miesto v motorovom vozidle, ktoré sa zníži o prípadný príspevok zamestnanca. Uvedený návrh reflektuje na situácie ktoré vzišli z praxe a to v prípadoch, kedy motorové vozidlá pri doprave neboli plne obsadené, pričom zamestnanci bez svojho pričinenia znášali náklady aj za takéto neobsadené miesta. </w:t>
      </w:r>
    </w:p>
    <w:p w:rsidR="00BB7DCA" w:rsidRPr="00EA543A" w:rsidRDefault="00BB7DCA"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Podľa prechodného ustanovenia sa úpravy navrhnuté v § 5 ods. 7 písm. m) </w:t>
      </w:r>
      <w:r w:rsidRPr="00EA543A">
        <w:rPr>
          <w:rFonts w:ascii="Times New Roman" w:hAnsi="Times New Roman" w:cs="Times New Roman"/>
          <w:sz w:val="24"/>
          <w:szCs w:val="24"/>
          <w:lang w:eastAsia="sk-SK"/>
        </w:rPr>
        <w:t>použije prvýkrát pri poskytnutí dopravy na miesto výkonu práce a späť po 31. decembri 20</w:t>
      </w:r>
      <w:r w:rsidR="00C96F8F" w:rsidRPr="00EA543A">
        <w:rPr>
          <w:rFonts w:ascii="Times New Roman" w:hAnsi="Times New Roman" w:cs="Times New Roman"/>
          <w:sz w:val="24"/>
          <w:szCs w:val="24"/>
          <w:lang w:eastAsia="sk-SK"/>
        </w:rPr>
        <w:t>20</w:t>
      </w:r>
      <w:r w:rsidRPr="00EA543A">
        <w:rPr>
          <w:rFonts w:ascii="Times New Roman" w:hAnsi="Times New Roman" w:cs="Times New Roman"/>
          <w:sz w:val="24"/>
          <w:szCs w:val="24"/>
          <w:lang w:eastAsia="sk-SK"/>
        </w:rPr>
        <w:t>.</w:t>
      </w:r>
    </w:p>
    <w:p w:rsidR="00BB7DCA" w:rsidRPr="00EA543A" w:rsidRDefault="00BB7DCA" w:rsidP="00BA62B0">
      <w:pPr>
        <w:spacing w:after="0" w:line="240" w:lineRule="auto"/>
        <w:jc w:val="both"/>
        <w:rPr>
          <w:rFonts w:ascii="Times New Roman" w:hAnsi="Times New Roman" w:cs="Times New Roman"/>
          <w:b/>
          <w:sz w:val="24"/>
          <w:szCs w:val="24"/>
        </w:rPr>
      </w:pPr>
    </w:p>
    <w:p w:rsidR="002B5634" w:rsidRPr="00EA543A" w:rsidRDefault="002B5634" w:rsidP="00BA62B0">
      <w:pPr>
        <w:spacing w:after="0" w:line="240" w:lineRule="auto"/>
        <w:jc w:val="both"/>
        <w:rPr>
          <w:rFonts w:ascii="Times New Roman" w:hAnsi="Times New Roman" w:cs="Times New Roman"/>
          <w:b/>
          <w:bCs/>
          <w:sz w:val="24"/>
          <w:szCs w:val="24"/>
        </w:rPr>
      </w:pPr>
      <w:r w:rsidRPr="00EA543A">
        <w:rPr>
          <w:rFonts w:ascii="Times New Roman" w:hAnsi="Times New Roman" w:cs="Times New Roman"/>
          <w:b/>
          <w:bCs/>
          <w:sz w:val="24"/>
          <w:szCs w:val="24"/>
        </w:rPr>
        <w:t>K bod</w:t>
      </w:r>
      <w:r w:rsidR="00DA3CAB" w:rsidRPr="00EA543A">
        <w:rPr>
          <w:rFonts w:ascii="Times New Roman" w:hAnsi="Times New Roman" w:cs="Times New Roman"/>
          <w:b/>
          <w:bCs/>
          <w:sz w:val="24"/>
          <w:szCs w:val="24"/>
        </w:rPr>
        <w:t>om</w:t>
      </w:r>
      <w:r w:rsidRPr="00EA543A">
        <w:rPr>
          <w:rFonts w:ascii="Times New Roman" w:hAnsi="Times New Roman" w:cs="Times New Roman"/>
          <w:b/>
          <w:bCs/>
          <w:sz w:val="24"/>
          <w:szCs w:val="24"/>
        </w:rPr>
        <w:t xml:space="preserve"> 1</w:t>
      </w:r>
      <w:r w:rsidR="007D1101" w:rsidRPr="00EA543A">
        <w:rPr>
          <w:rFonts w:ascii="Times New Roman" w:hAnsi="Times New Roman" w:cs="Times New Roman"/>
          <w:b/>
          <w:bCs/>
          <w:sz w:val="24"/>
          <w:szCs w:val="24"/>
        </w:rPr>
        <w:t>0</w:t>
      </w:r>
      <w:r w:rsidRPr="00EA543A">
        <w:rPr>
          <w:rFonts w:ascii="Times New Roman" w:hAnsi="Times New Roman" w:cs="Times New Roman"/>
          <w:b/>
          <w:bCs/>
          <w:sz w:val="24"/>
          <w:szCs w:val="24"/>
        </w:rPr>
        <w:t xml:space="preserve"> a</w:t>
      </w:r>
      <w:r w:rsidR="002309CB" w:rsidRPr="00EA543A">
        <w:rPr>
          <w:rFonts w:ascii="Times New Roman" w:hAnsi="Times New Roman" w:cs="Times New Roman"/>
          <w:b/>
          <w:bCs/>
          <w:sz w:val="24"/>
          <w:szCs w:val="24"/>
        </w:rPr>
        <w:t> </w:t>
      </w:r>
      <w:r w:rsidR="00E7599B" w:rsidRPr="00EA543A">
        <w:rPr>
          <w:rFonts w:ascii="Times New Roman" w:hAnsi="Times New Roman" w:cs="Times New Roman"/>
          <w:b/>
          <w:bCs/>
          <w:sz w:val="24"/>
          <w:szCs w:val="24"/>
        </w:rPr>
        <w:t>13</w:t>
      </w:r>
      <w:r w:rsidR="005B2651" w:rsidRPr="00EA543A">
        <w:rPr>
          <w:rFonts w:ascii="Times New Roman" w:hAnsi="Times New Roman" w:cs="Times New Roman"/>
          <w:b/>
          <w:bCs/>
          <w:sz w:val="24"/>
          <w:szCs w:val="24"/>
        </w:rPr>
        <w:t>4</w:t>
      </w:r>
      <w:r w:rsidRPr="00EA543A">
        <w:rPr>
          <w:rFonts w:ascii="Times New Roman" w:hAnsi="Times New Roman" w:cs="Times New Roman"/>
          <w:b/>
          <w:bCs/>
          <w:sz w:val="24"/>
          <w:szCs w:val="24"/>
        </w:rPr>
        <w:t xml:space="preserve"> - § 5 ods. 7 písm. p) a § 52zz ods. </w:t>
      </w:r>
      <w:r w:rsidR="004F068C" w:rsidRPr="00EA543A">
        <w:rPr>
          <w:rFonts w:ascii="Times New Roman" w:hAnsi="Times New Roman" w:cs="Times New Roman"/>
          <w:b/>
          <w:bCs/>
          <w:sz w:val="24"/>
          <w:szCs w:val="24"/>
        </w:rPr>
        <w:t>1</w:t>
      </w:r>
    </w:p>
    <w:p w:rsidR="002B5634" w:rsidRPr="00EA543A" w:rsidRDefault="002B5634"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Navrhovanou úpravou sa zvyšuje suma oslobodenia nepeňažného plnenia poskytnutého zamestnávateľom zamestnancovi na ubytovanie. Podľa prechodného ustanovenia sa oslobodenie tohto typu nepeňažného príjmu zamestnancov v sume najviac 100 eur použije prvýkrát pri poskytnutí ubytovania po 31. decembri 20</w:t>
      </w:r>
      <w:r w:rsidR="00C96F8F" w:rsidRPr="00EA543A">
        <w:rPr>
          <w:rFonts w:ascii="Times New Roman" w:hAnsi="Times New Roman" w:cs="Times New Roman"/>
          <w:sz w:val="24"/>
          <w:szCs w:val="24"/>
        </w:rPr>
        <w:t>19</w:t>
      </w:r>
      <w:r w:rsidRPr="00EA543A">
        <w:rPr>
          <w:rFonts w:ascii="Times New Roman" w:hAnsi="Times New Roman" w:cs="Times New Roman"/>
          <w:sz w:val="24"/>
          <w:szCs w:val="24"/>
        </w:rPr>
        <w:t>.</w:t>
      </w:r>
    </w:p>
    <w:p w:rsidR="00FE49C0" w:rsidRPr="00EA543A" w:rsidRDefault="00FE49C0" w:rsidP="00BA62B0">
      <w:pPr>
        <w:spacing w:after="0" w:line="240" w:lineRule="auto"/>
        <w:jc w:val="both"/>
        <w:rPr>
          <w:rFonts w:ascii="Times New Roman" w:hAnsi="Times New Roman" w:cs="Times New Roman"/>
          <w:sz w:val="24"/>
          <w:szCs w:val="24"/>
        </w:rPr>
      </w:pPr>
    </w:p>
    <w:p w:rsidR="00B1315E" w:rsidRPr="00EA543A" w:rsidRDefault="00B1315E"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E86E7E" w:rsidRPr="00EA543A">
        <w:rPr>
          <w:rFonts w:ascii="Times New Roman" w:hAnsi="Times New Roman" w:cs="Times New Roman"/>
          <w:b/>
          <w:sz w:val="24"/>
          <w:szCs w:val="24"/>
        </w:rPr>
        <w:t>1</w:t>
      </w:r>
      <w:r w:rsidR="007D1101" w:rsidRPr="00EA543A">
        <w:rPr>
          <w:rFonts w:ascii="Times New Roman" w:hAnsi="Times New Roman" w:cs="Times New Roman"/>
          <w:b/>
          <w:sz w:val="24"/>
          <w:szCs w:val="24"/>
        </w:rPr>
        <w:t>1</w:t>
      </w:r>
      <w:r w:rsidRPr="00EA543A">
        <w:rPr>
          <w:rFonts w:ascii="Times New Roman" w:hAnsi="Times New Roman" w:cs="Times New Roman"/>
          <w:b/>
          <w:sz w:val="24"/>
          <w:szCs w:val="24"/>
        </w:rPr>
        <w:t xml:space="preserve"> - § 5 ods. 7 písm. r)</w:t>
      </w:r>
      <w:r w:rsidR="00E86E7E" w:rsidRPr="00EA543A">
        <w:rPr>
          <w:rFonts w:ascii="Times New Roman" w:hAnsi="Times New Roman" w:cs="Times New Roman"/>
          <w:b/>
          <w:sz w:val="24"/>
          <w:szCs w:val="24"/>
        </w:rPr>
        <w:t xml:space="preserve"> </w:t>
      </w:r>
    </w:p>
    <w:p w:rsidR="001B409B" w:rsidRPr="00EA543A" w:rsidRDefault="001B409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Navrhuje sa u zamestnávateľa oslobodiť od dane nepeňažné plnenie poskytnuté zamestnancovi, ak na strane zamestnávateľa nie je uznaným daňovým výdavkom (napr. parkovné na pozemku zamestnávateľa, </w:t>
      </w:r>
      <w:proofErr w:type="spellStart"/>
      <w:r w:rsidRPr="00EA543A">
        <w:rPr>
          <w:rFonts w:ascii="Times New Roman" w:hAnsi="Times New Roman" w:cs="Times New Roman"/>
          <w:sz w:val="24"/>
          <w:szCs w:val="24"/>
        </w:rPr>
        <w:t>teambuildingové</w:t>
      </w:r>
      <w:proofErr w:type="spellEnd"/>
      <w:r w:rsidRPr="00EA543A">
        <w:rPr>
          <w:rFonts w:ascii="Times New Roman" w:hAnsi="Times New Roman" w:cs="Times New Roman"/>
          <w:sz w:val="24"/>
          <w:szCs w:val="24"/>
        </w:rPr>
        <w:t xml:space="preserve"> akcie, firemné večierky). Navrhované oslobodenie od dane vo výške najviac 500 eur v úhrne od všetkých zamestnávateľov za zdaňovacie obdobie sa nepoužije na príjmy, ktoré sú od dane oslobodené podľa iných ustanovení [napr. podľa § 5 ods. 3 písm. c), § 5 ods. 7 písm. k)].   Oslobodenie od dane sa uplatní aj u zamestnanca zamestnávateľa, ktorý nie je založený alebo zriadený na podnikanie.</w:t>
      </w:r>
    </w:p>
    <w:p w:rsidR="00B1315E" w:rsidRPr="00EA543A" w:rsidRDefault="00B1315E" w:rsidP="00BA62B0">
      <w:pPr>
        <w:spacing w:after="0" w:line="240" w:lineRule="auto"/>
        <w:jc w:val="both"/>
        <w:rPr>
          <w:rFonts w:ascii="Times New Roman" w:hAnsi="Times New Roman" w:cs="Times New Roman"/>
          <w:sz w:val="24"/>
          <w:szCs w:val="24"/>
        </w:rPr>
      </w:pPr>
    </w:p>
    <w:p w:rsidR="005015EF" w:rsidRPr="00EA543A" w:rsidRDefault="005015EF"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E86E7E" w:rsidRPr="00EA543A">
        <w:rPr>
          <w:rFonts w:ascii="Times New Roman" w:hAnsi="Times New Roman" w:cs="Times New Roman"/>
          <w:b/>
          <w:sz w:val="24"/>
          <w:szCs w:val="24"/>
        </w:rPr>
        <w:t>1</w:t>
      </w:r>
      <w:r w:rsidR="007D1101" w:rsidRPr="00EA543A">
        <w:rPr>
          <w:rFonts w:ascii="Times New Roman" w:hAnsi="Times New Roman" w:cs="Times New Roman"/>
          <w:b/>
          <w:sz w:val="24"/>
          <w:szCs w:val="24"/>
        </w:rPr>
        <w:t>2</w:t>
      </w:r>
      <w:r w:rsidRPr="00EA543A">
        <w:rPr>
          <w:rFonts w:ascii="Times New Roman" w:hAnsi="Times New Roman" w:cs="Times New Roman"/>
          <w:b/>
          <w:sz w:val="24"/>
          <w:szCs w:val="24"/>
        </w:rPr>
        <w:t xml:space="preserve"> – poznámka pod čiarou k odkazu 37af  </w:t>
      </w:r>
    </w:p>
    <w:p w:rsidR="005015EF" w:rsidRPr="00EA543A" w:rsidRDefault="005015EF"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w:t>
      </w:r>
    </w:p>
    <w:p w:rsidR="005015EF" w:rsidRPr="00EA543A" w:rsidRDefault="005015EF" w:rsidP="00BA62B0">
      <w:pPr>
        <w:pStyle w:val="Odsekzoznamu"/>
        <w:spacing w:after="0" w:line="240" w:lineRule="auto"/>
        <w:contextualSpacing w:val="0"/>
        <w:jc w:val="both"/>
        <w:rPr>
          <w:rFonts w:ascii="Times New Roman" w:hAnsi="Times New Roman" w:cs="Times New Roman"/>
          <w:sz w:val="24"/>
          <w:szCs w:val="24"/>
        </w:rPr>
      </w:pPr>
    </w:p>
    <w:p w:rsidR="005015EF" w:rsidRPr="00EA543A" w:rsidRDefault="005015EF"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K</w:t>
      </w:r>
      <w:r w:rsidR="00D06207" w:rsidRPr="00EA543A">
        <w:rPr>
          <w:rFonts w:ascii="Times New Roman" w:hAnsi="Times New Roman" w:cs="Times New Roman"/>
          <w:b/>
          <w:sz w:val="24"/>
          <w:szCs w:val="24"/>
        </w:rPr>
        <w:t> </w:t>
      </w:r>
      <w:r w:rsidRPr="00EA543A">
        <w:rPr>
          <w:rFonts w:ascii="Times New Roman" w:hAnsi="Times New Roman" w:cs="Times New Roman"/>
          <w:b/>
          <w:sz w:val="24"/>
          <w:szCs w:val="24"/>
        </w:rPr>
        <w:t>bodu</w:t>
      </w:r>
      <w:r w:rsidR="00D06207" w:rsidRPr="00EA543A">
        <w:rPr>
          <w:rFonts w:ascii="Times New Roman" w:hAnsi="Times New Roman" w:cs="Times New Roman"/>
          <w:b/>
          <w:sz w:val="24"/>
          <w:szCs w:val="24"/>
        </w:rPr>
        <w:t xml:space="preserve"> 1</w:t>
      </w:r>
      <w:r w:rsidR="007D1101" w:rsidRPr="00EA543A">
        <w:rPr>
          <w:rFonts w:ascii="Times New Roman" w:hAnsi="Times New Roman" w:cs="Times New Roman"/>
          <w:b/>
          <w:sz w:val="24"/>
          <w:szCs w:val="24"/>
        </w:rPr>
        <w:t>3</w:t>
      </w:r>
      <w:r w:rsidRPr="00EA543A">
        <w:rPr>
          <w:rFonts w:ascii="Times New Roman" w:hAnsi="Times New Roman" w:cs="Times New Roman"/>
          <w:b/>
          <w:sz w:val="24"/>
          <w:szCs w:val="24"/>
        </w:rPr>
        <w:t xml:space="preserve"> – § 8 ods. 14 a § 9 ods. 1 písm. l) </w:t>
      </w:r>
    </w:p>
    <w:p w:rsidR="005015EF" w:rsidRPr="00EA543A" w:rsidRDefault="005015EF"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w:t>
      </w:r>
    </w:p>
    <w:p w:rsidR="00540DE4" w:rsidRPr="00EA543A" w:rsidRDefault="00540DE4" w:rsidP="00BA62B0">
      <w:pPr>
        <w:pStyle w:val="Odsekzoznamu"/>
        <w:spacing w:after="0" w:line="240" w:lineRule="auto"/>
        <w:ind w:left="0"/>
        <w:jc w:val="both"/>
        <w:rPr>
          <w:rFonts w:ascii="Times New Roman" w:hAnsi="Times New Roman" w:cs="Times New Roman"/>
          <w:sz w:val="24"/>
          <w:szCs w:val="24"/>
        </w:rPr>
      </w:pPr>
    </w:p>
    <w:p w:rsidR="00540DE4" w:rsidRPr="00EA543A" w:rsidRDefault="00540DE4"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 bodu 1</w:t>
      </w:r>
      <w:r w:rsidR="007D1101" w:rsidRPr="00EA543A">
        <w:rPr>
          <w:rFonts w:ascii="Times New Roman" w:hAnsi="Times New Roman" w:cs="Times New Roman"/>
          <w:b/>
          <w:sz w:val="24"/>
          <w:szCs w:val="24"/>
        </w:rPr>
        <w:t>4</w:t>
      </w:r>
      <w:r w:rsidRPr="00EA543A">
        <w:rPr>
          <w:rFonts w:ascii="Times New Roman" w:hAnsi="Times New Roman" w:cs="Times New Roman"/>
          <w:b/>
          <w:sz w:val="24"/>
          <w:szCs w:val="24"/>
        </w:rPr>
        <w:t xml:space="preserve"> - §</w:t>
      </w:r>
      <w:r w:rsidR="00E774EC" w:rsidRPr="00EA543A">
        <w:rPr>
          <w:rFonts w:ascii="Times New Roman" w:hAnsi="Times New Roman" w:cs="Times New Roman"/>
          <w:b/>
          <w:sz w:val="24"/>
          <w:szCs w:val="24"/>
        </w:rPr>
        <w:t xml:space="preserve"> </w:t>
      </w:r>
      <w:r w:rsidRPr="00EA543A">
        <w:rPr>
          <w:rFonts w:ascii="Times New Roman" w:hAnsi="Times New Roman" w:cs="Times New Roman"/>
          <w:b/>
          <w:sz w:val="24"/>
          <w:szCs w:val="24"/>
        </w:rPr>
        <w:t>8 ods. 17</w:t>
      </w:r>
    </w:p>
    <w:p w:rsidR="00E774EC" w:rsidRPr="00EA543A" w:rsidRDefault="00E774EC"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w:t>
      </w:r>
    </w:p>
    <w:p w:rsidR="00E774EC" w:rsidRPr="00EA543A" w:rsidRDefault="00E774EC" w:rsidP="00BA62B0">
      <w:pPr>
        <w:pStyle w:val="Odsekzoznamu"/>
        <w:spacing w:after="0" w:line="240" w:lineRule="auto"/>
        <w:ind w:left="0"/>
        <w:jc w:val="both"/>
        <w:rPr>
          <w:rFonts w:ascii="Times New Roman" w:hAnsi="Times New Roman" w:cs="Times New Roman"/>
          <w:b/>
          <w:sz w:val="24"/>
          <w:szCs w:val="24"/>
        </w:rPr>
      </w:pPr>
    </w:p>
    <w:p w:rsidR="00B1315E" w:rsidRPr="00EA543A" w:rsidRDefault="00540DE4"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lastRenderedPageBreak/>
        <w:t>K bodu 1</w:t>
      </w:r>
      <w:r w:rsidR="007D1101" w:rsidRPr="00EA543A">
        <w:rPr>
          <w:rFonts w:ascii="Times New Roman" w:hAnsi="Times New Roman" w:cs="Times New Roman"/>
          <w:b/>
          <w:sz w:val="24"/>
          <w:szCs w:val="24"/>
        </w:rPr>
        <w:t>5</w:t>
      </w:r>
      <w:r w:rsidRPr="00EA543A">
        <w:rPr>
          <w:rFonts w:ascii="Times New Roman" w:hAnsi="Times New Roman" w:cs="Times New Roman"/>
          <w:b/>
          <w:sz w:val="24"/>
          <w:szCs w:val="24"/>
        </w:rPr>
        <w:t xml:space="preserve"> - § 9 ods. 1 písm. k)</w:t>
      </w:r>
    </w:p>
    <w:p w:rsidR="00540DE4" w:rsidRPr="00EA543A" w:rsidRDefault="00540DE4"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Navrhovanou úpravou sa spresňujú podmienky pre oslobodenie príjmu z predaja cenných papierov prijatých na regulovaný trh tak, aby bolo obchodovanie na regulovanom trhu podporené vo väčšej miere. Rovnako sa navrhovaná úprava zavádza aj z dôvodu zamedzenia daňovým špekuláciám systémom vkladania cenných papierov pred predajom na regulovaný trh, aby sa mohli následne predať s oslobodením </w:t>
      </w:r>
      <w:r w:rsidR="008A5BAB" w:rsidRPr="00EA543A">
        <w:rPr>
          <w:rFonts w:ascii="Times New Roman" w:hAnsi="Times New Roman" w:cs="Times New Roman"/>
          <w:sz w:val="24"/>
          <w:szCs w:val="24"/>
        </w:rPr>
        <w:t xml:space="preserve">od </w:t>
      </w:r>
      <w:r w:rsidRPr="00EA543A">
        <w:rPr>
          <w:rFonts w:ascii="Times New Roman" w:hAnsi="Times New Roman" w:cs="Times New Roman"/>
          <w:sz w:val="24"/>
          <w:szCs w:val="24"/>
        </w:rPr>
        <w:t>dane, nakoľko ročná doba od nadobudnutia uplynula.</w:t>
      </w:r>
    </w:p>
    <w:p w:rsidR="00540DE4" w:rsidRPr="00EA543A" w:rsidRDefault="00540DE4" w:rsidP="00BA62B0">
      <w:pPr>
        <w:pStyle w:val="Odsekzoznamu"/>
        <w:spacing w:after="0" w:line="240" w:lineRule="auto"/>
        <w:ind w:left="0"/>
        <w:jc w:val="both"/>
        <w:rPr>
          <w:rFonts w:ascii="Times New Roman" w:hAnsi="Times New Roman" w:cs="Times New Roman"/>
          <w:b/>
          <w:sz w:val="24"/>
          <w:szCs w:val="24"/>
        </w:rPr>
      </w:pPr>
    </w:p>
    <w:p w:rsidR="00B1315E" w:rsidRPr="00EA543A" w:rsidRDefault="00B1315E"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540DE4" w:rsidRPr="00EA543A">
        <w:rPr>
          <w:rFonts w:ascii="Times New Roman" w:hAnsi="Times New Roman" w:cs="Times New Roman"/>
          <w:b/>
          <w:sz w:val="24"/>
          <w:szCs w:val="24"/>
        </w:rPr>
        <w:t xml:space="preserve"> 1</w:t>
      </w:r>
      <w:r w:rsidR="007D1101" w:rsidRPr="00EA543A">
        <w:rPr>
          <w:rFonts w:ascii="Times New Roman" w:hAnsi="Times New Roman" w:cs="Times New Roman"/>
          <w:b/>
          <w:sz w:val="24"/>
          <w:szCs w:val="24"/>
        </w:rPr>
        <w:t>6</w:t>
      </w:r>
      <w:r w:rsidR="00540DE4" w:rsidRPr="00EA543A">
        <w:rPr>
          <w:rFonts w:ascii="Times New Roman" w:hAnsi="Times New Roman" w:cs="Times New Roman"/>
          <w:b/>
          <w:sz w:val="24"/>
          <w:szCs w:val="24"/>
        </w:rPr>
        <w:t xml:space="preserve"> </w:t>
      </w:r>
      <w:r w:rsidRPr="00EA543A">
        <w:rPr>
          <w:rFonts w:ascii="Times New Roman" w:hAnsi="Times New Roman" w:cs="Times New Roman"/>
          <w:b/>
          <w:sz w:val="24"/>
          <w:szCs w:val="24"/>
        </w:rPr>
        <w:t>- § 9 ods. 2 písm. i)</w:t>
      </w:r>
    </w:p>
    <w:p w:rsidR="00B1315E" w:rsidRPr="00EA543A" w:rsidRDefault="00B131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Navrhuje sa, aby plnenia z poistenia majetku a plnenia z poistenia zodpovednosti za škodu poskytnuté daňovníkovi ako náhrada škody resp. náhrada za stratu na zárobku po skončení pracovnej neschopnosti od poisťovne boli u tohto daňovníka, ktorého schopnosť vykonávať doterajšiu činnosť v dôsledku úrazu klesla o viac ako 40 %, od dane z príjmov oslobodené v závislosti od obdobia, na ktoré sa toto poistné plnenie vypláca. Na základe získaných informácií a praktických zistení či už zo strany poškodených daňovníkov ako aj zo strany Slovenskej asociácie poisťovní vyplýva, že jednorazové vysporiadanie odškodnenia budúcich poistných nárokov, poškodení daňovníci uprednostňujú pred pravidelným vyplácaním mesačnej úrazovej renty. Dohoda o jednorazovom odškodnení sa javí ako výhodná nie len pre poisťovne, pre ktoré je administratívne jednoduchšia, ale najmä pre poškodených daňovníkov. V prípade jednorazového odškodnenia má poškodený daňovník k dispozícii významnú sumu prostriedkov, ktoré spravidla použije na finančne náročné investície do nevyhnutných predovšetkým stavebných úprav, spojených s bezbariérovým prístupom v rámci svojho obydlia. Títo zdravotne hendikepovaní ľudia častokrát nemajú inú možnosť, ako inak by mohli získať peniaze na tento účel. Skôr sa uskromnia a vzdajú časti pravidelných mesačných príjmov (úrazovej renty), aby mohli žiť dôstojne a bez obťažovania okolia. Z toho dôvodu navrhujeme, aby sa zvýšila hranica oslobodenia uvedeného druhu príjmu u tejto skupiny daňovníkov z pôvodnej maximálnej sumy vo výške nezdaniteľnej časti základu dane na daňovníka platnej v danom zdaňovacom období na sumu jej násobku podľa počtu rokov, na</w:t>
      </w:r>
      <w:r w:rsidR="00947E97" w:rsidRPr="00EA543A">
        <w:rPr>
          <w:rFonts w:ascii="Times New Roman" w:hAnsi="Times New Roman" w:cs="Times New Roman"/>
          <w:sz w:val="24"/>
          <w:szCs w:val="24"/>
        </w:rPr>
        <w:t xml:space="preserve"> </w:t>
      </w:r>
      <w:r w:rsidRPr="00EA543A">
        <w:rPr>
          <w:rFonts w:ascii="Times New Roman" w:hAnsi="Times New Roman" w:cs="Times New Roman"/>
          <w:sz w:val="24"/>
          <w:szCs w:val="24"/>
        </w:rPr>
        <w:t xml:space="preserve">ktoré sa poistné plnenie ako náhrada za stratu na zárobku daňovníkovi vypláca, maximálne do výšky 20 000 eur za zdaňovacie obdobie. Oslobodenie od dane si daňovník môže uplatniť výlučne v roku </w:t>
      </w:r>
      <w:r w:rsidR="00947E97" w:rsidRPr="00EA543A">
        <w:rPr>
          <w:rFonts w:ascii="Times New Roman" w:hAnsi="Times New Roman" w:cs="Times New Roman"/>
          <w:sz w:val="24"/>
          <w:szCs w:val="24"/>
        </w:rPr>
        <w:t>vyplatenia</w:t>
      </w:r>
      <w:r w:rsidRPr="00EA543A">
        <w:rPr>
          <w:rFonts w:ascii="Times New Roman" w:hAnsi="Times New Roman" w:cs="Times New Roman"/>
          <w:sz w:val="24"/>
          <w:szCs w:val="24"/>
        </w:rPr>
        <w:t xml:space="preserve"> plnenia komerčnou poisťovňou. Rok, v ktorom bolo plnenie daňovníkovi vyplatené sa započítava do počtu rokov na tento účel.</w:t>
      </w:r>
    </w:p>
    <w:p w:rsidR="006459F1" w:rsidRPr="00EA543A" w:rsidRDefault="006459F1" w:rsidP="00BA62B0">
      <w:pPr>
        <w:pStyle w:val="Odsekzoznamu"/>
        <w:spacing w:after="0" w:line="240" w:lineRule="auto"/>
        <w:ind w:left="0"/>
        <w:jc w:val="both"/>
        <w:rPr>
          <w:rFonts w:ascii="Times New Roman" w:hAnsi="Times New Roman" w:cs="Times New Roman"/>
          <w:sz w:val="24"/>
          <w:szCs w:val="24"/>
        </w:rPr>
      </w:pPr>
    </w:p>
    <w:p w:rsidR="006459F1" w:rsidRPr="00EA543A" w:rsidRDefault="006459F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bodom </w:t>
      </w:r>
      <w:r w:rsidR="00540DE4" w:rsidRPr="00EA543A">
        <w:rPr>
          <w:rFonts w:ascii="Times New Roman" w:hAnsi="Times New Roman" w:cs="Times New Roman"/>
          <w:b/>
          <w:sz w:val="24"/>
          <w:szCs w:val="24"/>
        </w:rPr>
        <w:t>1</w:t>
      </w:r>
      <w:r w:rsidR="007D1101" w:rsidRPr="00EA543A">
        <w:rPr>
          <w:rFonts w:ascii="Times New Roman" w:hAnsi="Times New Roman" w:cs="Times New Roman"/>
          <w:b/>
          <w:sz w:val="24"/>
          <w:szCs w:val="24"/>
        </w:rPr>
        <w:t>7</w:t>
      </w:r>
      <w:r w:rsidR="00540DE4" w:rsidRPr="00EA543A">
        <w:rPr>
          <w:rFonts w:ascii="Times New Roman" w:hAnsi="Times New Roman" w:cs="Times New Roman"/>
          <w:b/>
          <w:sz w:val="24"/>
          <w:szCs w:val="24"/>
        </w:rPr>
        <w:t xml:space="preserve"> až </w:t>
      </w:r>
      <w:r w:rsidR="001A308A" w:rsidRPr="00EA543A">
        <w:rPr>
          <w:rFonts w:ascii="Times New Roman" w:hAnsi="Times New Roman" w:cs="Times New Roman"/>
          <w:b/>
          <w:sz w:val="24"/>
          <w:szCs w:val="24"/>
        </w:rPr>
        <w:t>2</w:t>
      </w:r>
      <w:r w:rsidR="009118B1" w:rsidRPr="00EA543A">
        <w:rPr>
          <w:rFonts w:ascii="Times New Roman" w:hAnsi="Times New Roman" w:cs="Times New Roman"/>
          <w:b/>
          <w:sz w:val="24"/>
          <w:szCs w:val="24"/>
        </w:rPr>
        <w:t>1</w:t>
      </w:r>
      <w:r w:rsidR="00F36BA1" w:rsidRPr="00EA543A">
        <w:rPr>
          <w:rFonts w:ascii="Times New Roman" w:hAnsi="Times New Roman" w:cs="Times New Roman"/>
          <w:b/>
          <w:sz w:val="24"/>
          <w:szCs w:val="24"/>
        </w:rPr>
        <w:t>, 79, 80, 87, 9</w:t>
      </w:r>
      <w:r w:rsidR="00226F05" w:rsidRPr="00EA543A">
        <w:rPr>
          <w:rFonts w:ascii="Times New Roman" w:hAnsi="Times New Roman" w:cs="Times New Roman"/>
          <w:b/>
          <w:sz w:val="24"/>
          <w:szCs w:val="24"/>
        </w:rPr>
        <w:t>5</w:t>
      </w:r>
      <w:r w:rsidR="00F36BA1" w:rsidRPr="00EA543A">
        <w:rPr>
          <w:rFonts w:ascii="Times New Roman" w:hAnsi="Times New Roman" w:cs="Times New Roman"/>
          <w:b/>
          <w:sz w:val="24"/>
          <w:szCs w:val="24"/>
        </w:rPr>
        <w:t>, 9</w:t>
      </w:r>
      <w:r w:rsidR="00226F05" w:rsidRPr="00EA543A">
        <w:rPr>
          <w:rFonts w:ascii="Times New Roman" w:hAnsi="Times New Roman" w:cs="Times New Roman"/>
          <w:b/>
          <w:sz w:val="24"/>
          <w:szCs w:val="24"/>
        </w:rPr>
        <w:t>6</w:t>
      </w:r>
      <w:r w:rsidR="001A308A" w:rsidRPr="00EA543A">
        <w:rPr>
          <w:rFonts w:ascii="Times New Roman" w:hAnsi="Times New Roman" w:cs="Times New Roman"/>
          <w:b/>
          <w:sz w:val="24"/>
          <w:szCs w:val="24"/>
        </w:rPr>
        <w:t xml:space="preserve"> </w:t>
      </w:r>
      <w:r w:rsidR="007C1C4D" w:rsidRPr="00EA543A">
        <w:rPr>
          <w:rFonts w:ascii="Times New Roman" w:hAnsi="Times New Roman" w:cs="Times New Roman"/>
          <w:b/>
          <w:sz w:val="24"/>
          <w:szCs w:val="24"/>
        </w:rPr>
        <w:t>a 1</w:t>
      </w:r>
      <w:r w:rsidR="009118B1" w:rsidRPr="00EA543A">
        <w:rPr>
          <w:rFonts w:ascii="Times New Roman" w:hAnsi="Times New Roman" w:cs="Times New Roman"/>
          <w:b/>
          <w:sz w:val="24"/>
          <w:szCs w:val="24"/>
        </w:rPr>
        <w:t>3</w:t>
      </w:r>
      <w:r w:rsidR="005B2651" w:rsidRPr="00EA543A">
        <w:rPr>
          <w:rFonts w:ascii="Times New Roman" w:hAnsi="Times New Roman" w:cs="Times New Roman"/>
          <w:b/>
          <w:sz w:val="24"/>
          <w:szCs w:val="24"/>
        </w:rPr>
        <w:t>4</w:t>
      </w:r>
      <w:r w:rsidR="007C1C4D" w:rsidRPr="00EA543A">
        <w:rPr>
          <w:rFonts w:ascii="Times New Roman" w:hAnsi="Times New Roman" w:cs="Times New Roman"/>
          <w:b/>
          <w:sz w:val="24"/>
          <w:szCs w:val="24"/>
        </w:rPr>
        <w:t xml:space="preserve"> </w:t>
      </w:r>
      <w:r w:rsidRPr="00EA543A">
        <w:rPr>
          <w:rFonts w:ascii="Times New Roman" w:hAnsi="Times New Roman" w:cs="Times New Roman"/>
          <w:b/>
          <w:sz w:val="24"/>
          <w:szCs w:val="24"/>
        </w:rPr>
        <w:t>- § 11 ods. 1, ods. 7 a odseky 9 až 12</w:t>
      </w:r>
      <w:r w:rsidR="00F36BA1" w:rsidRPr="00EA543A">
        <w:rPr>
          <w:rFonts w:ascii="Times New Roman" w:hAnsi="Times New Roman" w:cs="Times New Roman"/>
          <w:b/>
          <w:sz w:val="24"/>
          <w:szCs w:val="24"/>
        </w:rPr>
        <w:t>, § 32 ods. 2 písm. d), § 32 ods. 3 písm. b), § 32 ods. 6 písm. d), § 35 ods. 1 písm. b), § 38 ods. 4,</w:t>
      </w:r>
      <w:r w:rsidR="00BD7B51" w:rsidRPr="00EA543A">
        <w:rPr>
          <w:rFonts w:ascii="Times New Roman" w:hAnsi="Times New Roman" w:cs="Times New Roman"/>
          <w:b/>
          <w:sz w:val="24"/>
          <w:szCs w:val="24"/>
        </w:rPr>
        <w:t xml:space="preserve"> </w:t>
      </w:r>
      <w:r w:rsidR="00F36BA1" w:rsidRPr="00EA543A">
        <w:rPr>
          <w:rFonts w:ascii="Times New Roman" w:hAnsi="Times New Roman" w:cs="Times New Roman"/>
          <w:b/>
          <w:sz w:val="24"/>
          <w:szCs w:val="24"/>
        </w:rPr>
        <w:t xml:space="preserve">§ 37 ods. 1 písm. c) a d) </w:t>
      </w:r>
      <w:r w:rsidR="00BD7B51" w:rsidRPr="00EA543A">
        <w:rPr>
          <w:rFonts w:ascii="Times New Roman" w:hAnsi="Times New Roman" w:cs="Times New Roman"/>
          <w:b/>
          <w:sz w:val="24"/>
          <w:szCs w:val="24"/>
        </w:rPr>
        <w:t xml:space="preserve">a § 52zz ods. </w:t>
      </w:r>
      <w:r w:rsidR="00226F05" w:rsidRPr="00EA543A">
        <w:rPr>
          <w:rFonts w:ascii="Times New Roman" w:hAnsi="Times New Roman" w:cs="Times New Roman"/>
          <w:b/>
          <w:sz w:val="24"/>
          <w:szCs w:val="24"/>
        </w:rPr>
        <w:t>2</w:t>
      </w:r>
    </w:p>
    <w:p w:rsidR="00BD7B51" w:rsidRPr="00EA543A" w:rsidRDefault="006459F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Navrhovanými úpravami sa vypúšťajú odseky týkajúce sa dobrovoľných príspevkov do tzv. II. piliera dôchodkového sporenia</w:t>
      </w:r>
      <w:r w:rsidR="00BD7B51" w:rsidRPr="00EA543A">
        <w:rPr>
          <w:rFonts w:ascii="Times New Roman" w:hAnsi="Times New Roman" w:cs="Times New Roman"/>
          <w:sz w:val="24"/>
          <w:szCs w:val="24"/>
        </w:rPr>
        <w:t>, pričom však v prípade, ak došlo k porušeniu podmienok podľa § 11 ods. 9 predpisu platného do 31.12.2019, musí byť dodržaný postup určený v tomto ustanovení</w:t>
      </w:r>
      <w:r w:rsidR="00947E97" w:rsidRPr="00EA543A">
        <w:rPr>
          <w:rFonts w:ascii="Times New Roman" w:hAnsi="Times New Roman" w:cs="Times New Roman"/>
          <w:sz w:val="24"/>
          <w:szCs w:val="24"/>
        </w:rPr>
        <w:t xml:space="preserve"> (§ 52zz ods. 3)</w:t>
      </w:r>
      <w:r w:rsidR="00BD7B51" w:rsidRPr="00EA543A">
        <w:rPr>
          <w:rFonts w:ascii="Times New Roman" w:hAnsi="Times New Roman" w:cs="Times New Roman"/>
          <w:sz w:val="24"/>
          <w:szCs w:val="24"/>
        </w:rPr>
        <w:t>.</w:t>
      </w:r>
    </w:p>
    <w:p w:rsidR="006459F1" w:rsidRPr="00EA543A" w:rsidRDefault="00BD7B5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S</w:t>
      </w:r>
      <w:r w:rsidR="006459F1" w:rsidRPr="00EA543A">
        <w:rPr>
          <w:rFonts w:ascii="Times New Roman" w:hAnsi="Times New Roman" w:cs="Times New Roman"/>
          <w:sz w:val="24"/>
          <w:szCs w:val="24"/>
        </w:rPr>
        <w:t xml:space="preserve">presňuje sa </w:t>
      </w:r>
      <w:r w:rsidRPr="00EA543A">
        <w:rPr>
          <w:rFonts w:ascii="Times New Roman" w:hAnsi="Times New Roman" w:cs="Times New Roman"/>
          <w:sz w:val="24"/>
          <w:szCs w:val="24"/>
        </w:rPr>
        <w:t xml:space="preserve">aj </w:t>
      </w:r>
      <w:r w:rsidR="006459F1" w:rsidRPr="00EA543A">
        <w:rPr>
          <w:rFonts w:ascii="Times New Roman" w:hAnsi="Times New Roman" w:cs="Times New Roman"/>
          <w:sz w:val="24"/>
          <w:szCs w:val="24"/>
        </w:rPr>
        <w:t>spôsob odpočítania nez</w:t>
      </w:r>
      <w:r w:rsidRPr="00EA543A">
        <w:rPr>
          <w:rFonts w:ascii="Times New Roman" w:hAnsi="Times New Roman" w:cs="Times New Roman"/>
          <w:sz w:val="24"/>
          <w:szCs w:val="24"/>
        </w:rPr>
        <w:t>daniteľnej časti na kúpeľníctvo, kde v prípade, ak manželia idú do kúpeľov, kde im je poskytnutá kúpeľná starostlivosť, uplatní si nezdaniteľnú časť základu dane vo výške maxi</w:t>
      </w:r>
      <w:r w:rsidR="007C1C4D" w:rsidRPr="00EA543A">
        <w:rPr>
          <w:rFonts w:ascii="Times New Roman" w:hAnsi="Times New Roman" w:cs="Times New Roman"/>
          <w:sz w:val="24"/>
          <w:szCs w:val="24"/>
        </w:rPr>
        <w:t>málne 50 eur každý sám n</w:t>
      </w:r>
      <w:r w:rsidRPr="00EA543A">
        <w:rPr>
          <w:rFonts w:ascii="Times New Roman" w:hAnsi="Times New Roman" w:cs="Times New Roman"/>
          <w:sz w:val="24"/>
          <w:szCs w:val="24"/>
        </w:rPr>
        <w:t>a seba. Až v prípade, ak by napr. manželka nedosahovala príjmy podľa § 5 alebo § 6 ods. 1 a 2, t.j. nemala si od čoho túto nezdaniteľnú časť uplatniť, môže si ju odpočítať manžel za ňu.</w:t>
      </w:r>
    </w:p>
    <w:p w:rsidR="005F380C" w:rsidRPr="00EA543A" w:rsidRDefault="005F380C" w:rsidP="00BA62B0">
      <w:pPr>
        <w:pStyle w:val="Odsekzoznamu"/>
        <w:spacing w:after="0" w:line="240" w:lineRule="auto"/>
        <w:ind w:left="0"/>
        <w:jc w:val="both"/>
        <w:rPr>
          <w:rFonts w:ascii="Times New Roman" w:hAnsi="Times New Roman" w:cs="Times New Roman"/>
          <w:sz w:val="24"/>
          <w:szCs w:val="24"/>
        </w:rPr>
      </w:pPr>
    </w:p>
    <w:p w:rsidR="005F380C" w:rsidRPr="00EA543A" w:rsidRDefault="005F380C"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 bod</w:t>
      </w:r>
      <w:r w:rsidR="002309CB" w:rsidRPr="00EA543A">
        <w:rPr>
          <w:rFonts w:ascii="Times New Roman" w:hAnsi="Times New Roman" w:cs="Times New Roman"/>
          <w:b/>
          <w:sz w:val="24"/>
          <w:szCs w:val="24"/>
        </w:rPr>
        <w:t>om</w:t>
      </w:r>
      <w:r w:rsidRPr="00EA543A">
        <w:rPr>
          <w:rFonts w:ascii="Times New Roman" w:hAnsi="Times New Roman" w:cs="Times New Roman"/>
          <w:b/>
          <w:sz w:val="24"/>
          <w:szCs w:val="24"/>
        </w:rPr>
        <w:t xml:space="preserve"> </w:t>
      </w:r>
      <w:r w:rsidR="003C265B" w:rsidRPr="00EA543A">
        <w:rPr>
          <w:rFonts w:ascii="Times New Roman" w:hAnsi="Times New Roman" w:cs="Times New Roman"/>
          <w:b/>
          <w:sz w:val="24"/>
          <w:szCs w:val="24"/>
        </w:rPr>
        <w:t>22</w:t>
      </w:r>
      <w:r w:rsidR="007329DA" w:rsidRPr="00EA543A">
        <w:rPr>
          <w:rFonts w:ascii="Times New Roman" w:hAnsi="Times New Roman" w:cs="Times New Roman"/>
          <w:b/>
          <w:sz w:val="24"/>
          <w:szCs w:val="24"/>
        </w:rPr>
        <w:t>, 12</w:t>
      </w:r>
      <w:r w:rsidR="005B2651" w:rsidRPr="00EA543A">
        <w:rPr>
          <w:rFonts w:ascii="Times New Roman" w:hAnsi="Times New Roman" w:cs="Times New Roman"/>
          <w:b/>
          <w:sz w:val="24"/>
          <w:szCs w:val="24"/>
        </w:rPr>
        <w:t>1</w:t>
      </w:r>
      <w:r w:rsidR="002309CB" w:rsidRPr="00EA543A">
        <w:rPr>
          <w:rFonts w:ascii="Times New Roman" w:hAnsi="Times New Roman" w:cs="Times New Roman"/>
          <w:b/>
          <w:sz w:val="24"/>
          <w:szCs w:val="24"/>
        </w:rPr>
        <w:t xml:space="preserve"> a 1</w:t>
      </w:r>
      <w:r w:rsidR="007329DA" w:rsidRPr="00EA543A">
        <w:rPr>
          <w:rFonts w:ascii="Times New Roman" w:hAnsi="Times New Roman" w:cs="Times New Roman"/>
          <w:b/>
          <w:sz w:val="24"/>
          <w:szCs w:val="24"/>
        </w:rPr>
        <w:t>3</w:t>
      </w:r>
      <w:r w:rsidR="005B2651" w:rsidRPr="00EA543A">
        <w:rPr>
          <w:rFonts w:ascii="Times New Roman" w:hAnsi="Times New Roman" w:cs="Times New Roman"/>
          <w:b/>
          <w:sz w:val="24"/>
          <w:szCs w:val="24"/>
        </w:rPr>
        <w:t>4</w:t>
      </w:r>
      <w:r w:rsidRPr="00EA543A">
        <w:rPr>
          <w:rFonts w:ascii="Times New Roman" w:hAnsi="Times New Roman" w:cs="Times New Roman"/>
          <w:b/>
          <w:sz w:val="24"/>
          <w:szCs w:val="24"/>
        </w:rPr>
        <w:t xml:space="preserve"> - §13 ods. 3</w:t>
      </w:r>
      <w:r w:rsidR="007329DA" w:rsidRPr="00EA543A">
        <w:rPr>
          <w:rFonts w:ascii="Times New Roman" w:hAnsi="Times New Roman" w:cs="Times New Roman"/>
          <w:b/>
          <w:sz w:val="24"/>
          <w:szCs w:val="24"/>
        </w:rPr>
        <w:t>,</w:t>
      </w:r>
      <w:r w:rsidRPr="00EA543A">
        <w:rPr>
          <w:rFonts w:ascii="Times New Roman" w:hAnsi="Times New Roman" w:cs="Times New Roman"/>
          <w:b/>
          <w:sz w:val="24"/>
          <w:szCs w:val="24"/>
        </w:rPr>
        <w:t xml:space="preserve"> § 43 ods. 2</w:t>
      </w:r>
      <w:r w:rsidR="003C265B" w:rsidRPr="00EA543A">
        <w:rPr>
          <w:rFonts w:ascii="Times New Roman" w:hAnsi="Times New Roman" w:cs="Times New Roman"/>
          <w:b/>
          <w:sz w:val="24"/>
          <w:szCs w:val="24"/>
        </w:rPr>
        <w:t>1</w:t>
      </w:r>
      <w:r w:rsidR="007329DA" w:rsidRPr="00EA543A">
        <w:rPr>
          <w:rFonts w:ascii="Times New Roman" w:hAnsi="Times New Roman" w:cs="Times New Roman"/>
          <w:b/>
          <w:sz w:val="24"/>
          <w:szCs w:val="24"/>
        </w:rPr>
        <w:t xml:space="preserve"> a § 55zz ods. 3</w:t>
      </w:r>
    </w:p>
    <w:p w:rsidR="005F380C" w:rsidRPr="00EA543A" w:rsidRDefault="005F380C"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Pri výplate príjmov uvedených v § 13 ods. 2 písm. f) a </w:t>
      </w:r>
      <w:r w:rsidR="00D826B1" w:rsidRPr="00EA543A">
        <w:rPr>
          <w:rFonts w:ascii="Times New Roman" w:hAnsi="Times New Roman" w:cs="Times New Roman"/>
          <w:sz w:val="24"/>
          <w:szCs w:val="24"/>
        </w:rPr>
        <w:t>h</w:t>
      </w:r>
      <w:r w:rsidRPr="00EA543A">
        <w:rPr>
          <w:rFonts w:ascii="Times New Roman" w:hAnsi="Times New Roman" w:cs="Times New Roman"/>
          <w:sz w:val="24"/>
          <w:szCs w:val="24"/>
        </w:rPr>
        <w:t xml:space="preserve">) sa v § 13 ods. 3 a v § 43 ods. </w:t>
      </w:r>
      <w:r w:rsidR="00D826B1" w:rsidRPr="00EA543A">
        <w:rPr>
          <w:rFonts w:ascii="Times New Roman" w:hAnsi="Times New Roman" w:cs="Times New Roman"/>
          <w:sz w:val="24"/>
          <w:szCs w:val="24"/>
        </w:rPr>
        <w:t>21</w:t>
      </w:r>
      <w:r w:rsidRPr="00EA543A">
        <w:rPr>
          <w:rFonts w:ascii="Times New Roman" w:hAnsi="Times New Roman" w:cs="Times New Roman"/>
          <w:sz w:val="24"/>
          <w:szCs w:val="24"/>
        </w:rPr>
        <w:t xml:space="preserve"> zavádza aj </w:t>
      </w:r>
      <w:proofErr w:type="spellStart"/>
      <w:r w:rsidRPr="00EA543A">
        <w:rPr>
          <w:rFonts w:ascii="Times New Roman" w:hAnsi="Times New Roman" w:cs="Times New Roman"/>
          <w:sz w:val="24"/>
          <w:szCs w:val="24"/>
        </w:rPr>
        <w:t>prospektívne</w:t>
      </w:r>
      <w:proofErr w:type="spellEnd"/>
      <w:r w:rsidRPr="00EA543A">
        <w:rPr>
          <w:rFonts w:ascii="Times New Roman" w:hAnsi="Times New Roman" w:cs="Times New Roman"/>
          <w:sz w:val="24"/>
          <w:szCs w:val="24"/>
        </w:rPr>
        <w:t xml:space="preserve"> splnenie časového obdobia pre držbu podielu na základnom imaní. V prípade, že minimálna časová lehota pre nepretržitú držbu podielu na základnom imaní bude </w:t>
      </w:r>
      <w:r w:rsidRPr="00EA543A">
        <w:rPr>
          <w:rFonts w:ascii="Times New Roman" w:hAnsi="Times New Roman" w:cs="Times New Roman"/>
          <w:sz w:val="24"/>
          <w:szCs w:val="24"/>
        </w:rPr>
        <w:lastRenderedPageBreak/>
        <w:t xml:space="preserve">splnená po dni, v ktorom platiteľ dane vyplatil príjem daňovníkovi, daňovník môže požiadať správcu dane o vrátenie tejto zrazenej dane. </w:t>
      </w:r>
    </w:p>
    <w:p w:rsidR="005F380C" w:rsidRPr="00EA543A" w:rsidRDefault="005F380C" w:rsidP="00BA62B0">
      <w:pPr>
        <w:pStyle w:val="Odsekzoznamu"/>
        <w:spacing w:after="0" w:line="240" w:lineRule="auto"/>
        <w:ind w:left="0"/>
        <w:jc w:val="both"/>
        <w:rPr>
          <w:rFonts w:ascii="Times New Roman" w:hAnsi="Times New Roman" w:cs="Times New Roman"/>
          <w:sz w:val="24"/>
          <w:szCs w:val="24"/>
        </w:rPr>
      </w:pPr>
    </w:p>
    <w:p w:rsidR="00DE73E5" w:rsidRPr="00EA543A" w:rsidRDefault="00E87295"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bodom 2</w:t>
      </w:r>
      <w:r w:rsidR="007D1101" w:rsidRPr="00EA543A">
        <w:rPr>
          <w:rFonts w:ascii="Times New Roman" w:eastAsia="Times New Roman" w:hAnsi="Times New Roman" w:cs="Times New Roman"/>
          <w:b/>
          <w:sz w:val="24"/>
          <w:szCs w:val="24"/>
          <w:lang w:eastAsia="sk-SK"/>
        </w:rPr>
        <w:t>3</w:t>
      </w:r>
      <w:r w:rsidRPr="00EA543A">
        <w:rPr>
          <w:rFonts w:ascii="Times New Roman" w:eastAsia="Times New Roman" w:hAnsi="Times New Roman" w:cs="Times New Roman"/>
          <w:b/>
          <w:sz w:val="24"/>
          <w:szCs w:val="24"/>
          <w:lang w:eastAsia="sk-SK"/>
        </w:rPr>
        <w:t xml:space="preserve"> až 2</w:t>
      </w:r>
      <w:r w:rsidR="007D1101" w:rsidRPr="00EA543A">
        <w:rPr>
          <w:rFonts w:ascii="Times New Roman" w:eastAsia="Times New Roman" w:hAnsi="Times New Roman" w:cs="Times New Roman"/>
          <w:b/>
          <w:sz w:val="24"/>
          <w:szCs w:val="24"/>
          <w:lang w:eastAsia="sk-SK"/>
        </w:rPr>
        <w:t>6</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13c ods. 1, § 13c ods. 2 písm. a) a b)</w:t>
      </w:r>
      <w:r w:rsidRPr="00EA543A">
        <w:rPr>
          <w:rFonts w:ascii="Times New Roman" w:eastAsia="Times New Roman" w:hAnsi="Times New Roman" w:cs="Times New Roman"/>
          <w:b/>
          <w:sz w:val="24"/>
          <w:szCs w:val="24"/>
          <w:lang w:eastAsia="sk-SK"/>
        </w:rPr>
        <w:t xml:space="preserve"> a</w:t>
      </w:r>
      <w:r w:rsidR="00DE73E5" w:rsidRPr="00EA543A">
        <w:rPr>
          <w:rFonts w:ascii="Times New Roman" w:eastAsia="Times New Roman" w:hAnsi="Times New Roman" w:cs="Times New Roman"/>
          <w:b/>
          <w:sz w:val="24"/>
          <w:szCs w:val="24"/>
          <w:lang w:eastAsia="sk-SK"/>
        </w:rPr>
        <w:t xml:space="preserve"> § 13c ods. 3</w:t>
      </w:r>
    </w:p>
    <w:p w:rsidR="00405D59" w:rsidRPr="00EA543A" w:rsidRDefault="00405D59"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Podľa § 155 Obchodného zákonníka môže akciová spoločnosť vydávať okrem kmeňových akcií aj iné akcie. Oslobodenie podľa § 13c zákona o dani z príjmov je možné uplatniť na príjem (výnos) z predaja tých akcií, u ktorých budú splnené podmienky pre oslobodenie uvedené v § 13c ods. 2 resp. 3 zákona o dani z príjmov. Podľa § 220i ods. 3 Obchodného zákonníka môže jednoduchá spoločnosť na akcie vydávať iba kmeňové akcie a akcie s osobitnými právami. Do odseku 1 sa preto dopĺňa, že od dane sa oslobodzuje aj príjem z predaja kmeňových akcií alebo akcií s osobitnými právami akcionára jednoduchej spoločnosti na akcie. Toto oslobodenie je však možné uplatniť rovnako iba v prípade, ak budú splnené podmienky uvedené v odseku 2. Zároveň sa spresňujú aj odseky 2 a 3. </w:t>
      </w:r>
    </w:p>
    <w:p w:rsidR="00DE73E5" w:rsidRPr="00EA543A" w:rsidRDefault="00DE73E5" w:rsidP="00BA62B0">
      <w:pPr>
        <w:spacing w:after="0" w:line="240" w:lineRule="auto"/>
        <w:ind w:left="66"/>
        <w:jc w:val="both"/>
        <w:rPr>
          <w:rFonts w:ascii="Times New Roman" w:eastAsia="Times New Roman" w:hAnsi="Times New Roman" w:cs="Times New Roman"/>
          <w:b/>
          <w:sz w:val="24"/>
          <w:szCs w:val="24"/>
          <w:lang w:eastAsia="sk-SK"/>
        </w:rPr>
      </w:pPr>
    </w:p>
    <w:p w:rsidR="00DE73E5" w:rsidRPr="00EA543A" w:rsidRDefault="00E87295"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bodom 2</w:t>
      </w:r>
      <w:r w:rsidR="007D1101" w:rsidRPr="00EA543A">
        <w:rPr>
          <w:rFonts w:ascii="Times New Roman" w:eastAsia="Times New Roman" w:hAnsi="Times New Roman" w:cs="Times New Roman"/>
          <w:b/>
          <w:sz w:val="24"/>
          <w:szCs w:val="24"/>
          <w:lang w:eastAsia="sk-SK"/>
        </w:rPr>
        <w:t>6</w:t>
      </w:r>
      <w:r w:rsidRPr="00EA543A">
        <w:rPr>
          <w:rFonts w:ascii="Times New Roman" w:eastAsia="Times New Roman" w:hAnsi="Times New Roman" w:cs="Times New Roman"/>
          <w:b/>
          <w:sz w:val="24"/>
          <w:szCs w:val="24"/>
          <w:lang w:eastAsia="sk-SK"/>
        </w:rPr>
        <w:t xml:space="preserve"> a 2</w:t>
      </w:r>
      <w:r w:rsidR="007D1101" w:rsidRPr="00EA543A">
        <w:rPr>
          <w:rFonts w:ascii="Times New Roman" w:eastAsia="Times New Roman" w:hAnsi="Times New Roman" w:cs="Times New Roman"/>
          <w:b/>
          <w:sz w:val="24"/>
          <w:szCs w:val="24"/>
          <w:lang w:eastAsia="sk-SK"/>
        </w:rPr>
        <w:t>7</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13c ods. 3 písm. c), § 13c ods. 4</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 § 13c ods. 3 sa spresňuje, že oslobodenie sa nevzťahuje na príjem (výnos) z predaja vlastných akcií podľa  </w:t>
      </w:r>
      <w:r w:rsidR="00947E97" w:rsidRPr="00EA543A">
        <w:rPr>
          <w:rFonts w:ascii="Times New Roman" w:eastAsia="Times New Roman" w:hAnsi="Times New Roman" w:cs="Times New Roman"/>
          <w:sz w:val="24"/>
          <w:szCs w:val="24"/>
          <w:lang w:eastAsia="sk-SK"/>
        </w:rPr>
        <w:t>§</w:t>
      </w:r>
      <w:r w:rsidRPr="00EA543A">
        <w:rPr>
          <w:rFonts w:ascii="Times New Roman" w:eastAsia="Times New Roman" w:hAnsi="Times New Roman" w:cs="Times New Roman"/>
          <w:sz w:val="24"/>
          <w:szCs w:val="24"/>
          <w:lang w:eastAsia="sk-SK"/>
        </w:rPr>
        <w:t xml:space="preserve"> 161a a § 161b Obchodného zákonníka. V ods. 4 písmene a) sa spresňuje, že za deň splatenia peňažného vkladu sa rozumie až deň úplného splatenia peňažného vkladu po zápise do Obchodného registra.</w:t>
      </w:r>
    </w:p>
    <w:p w:rsidR="005015EF" w:rsidRPr="00EA543A" w:rsidRDefault="005015EF" w:rsidP="00BA62B0">
      <w:pPr>
        <w:spacing w:after="0" w:line="240" w:lineRule="auto"/>
        <w:ind w:left="66"/>
        <w:jc w:val="both"/>
        <w:rPr>
          <w:rFonts w:ascii="Times New Roman" w:eastAsia="Times New Roman" w:hAnsi="Times New Roman" w:cs="Times New Roman"/>
          <w:sz w:val="24"/>
          <w:szCs w:val="24"/>
          <w:lang w:eastAsia="sk-SK"/>
        </w:rPr>
      </w:pPr>
    </w:p>
    <w:p w:rsidR="005C049C" w:rsidRPr="00EA543A" w:rsidRDefault="005015EF" w:rsidP="00BA62B0">
      <w:pPr>
        <w:spacing w:after="0" w:line="240" w:lineRule="auto"/>
        <w:ind w:left="66"/>
        <w:jc w:val="both"/>
        <w:rPr>
          <w:rFonts w:ascii="Times New Roman" w:hAnsi="Times New Roman" w:cs="Times New Roman"/>
          <w:b/>
          <w:sz w:val="24"/>
          <w:szCs w:val="24"/>
        </w:rPr>
      </w:pPr>
      <w:r w:rsidRPr="00EA543A">
        <w:rPr>
          <w:rFonts w:ascii="Times New Roman" w:hAnsi="Times New Roman" w:cs="Times New Roman"/>
          <w:b/>
          <w:sz w:val="24"/>
          <w:szCs w:val="24"/>
        </w:rPr>
        <w:t>K</w:t>
      </w:r>
      <w:r w:rsidR="005C049C" w:rsidRPr="00EA543A">
        <w:rPr>
          <w:rFonts w:ascii="Times New Roman" w:hAnsi="Times New Roman" w:cs="Times New Roman"/>
          <w:b/>
          <w:sz w:val="24"/>
          <w:szCs w:val="24"/>
        </w:rPr>
        <w:t> </w:t>
      </w:r>
      <w:r w:rsidRPr="00EA543A">
        <w:rPr>
          <w:rFonts w:ascii="Times New Roman" w:hAnsi="Times New Roman" w:cs="Times New Roman"/>
          <w:b/>
          <w:sz w:val="24"/>
          <w:szCs w:val="24"/>
        </w:rPr>
        <w:t>bodom</w:t>
      </w:r>
      <w:r w:rsidR="005C049C" w:rsidRPr="00EA543A">
        <w:rPr>
          <w:rFonts w:ascii="Times New Roman" w:hAnsi="Times New Roman" w:cs="Times New Roman"/>
          <w:b/>
          <w:sz w:val="24"/>
          <w:szCs w:val="24"/>
        </w:rPr>
        <w:t xml:space="preserve"> 2</w:t>
      </w:r>
      <w:r w:rsidR="007D1101" w:rsidRPr="00EA543A">
        <w:rPr>
          <w:rFonts w:ascii="Times New Roman" w:hAnsi="Times New Roman" w:cs="Times New Roman"/>
          <w:b/>
          <w:sz w:val="24"/>
          <w:szCs w:val="24"/>
        </w:rPr>
        <w:t>8</w:t>
      </w:r>
      <w:r w:rsidR="005C049C" w:rsidRPr="00EA543A">
        <w:rPr>
          <w:rFonts w:ascii="Times New Roman" w:hAnsi="Times New Roman" w:cs="Times New Roman"/>
          <w:b/>
          <w:sz w:val="24"/>
          <w:szCs w:val="24"/>
        </w:rPr>
        <w:t xml:space="preserve">, </w:t>
      </w:r>
      <w:r w:rsidR="002309CB" w:rsidRPr="00EA543A">
        <w:rPr>
          <w:rFonts w:ascii="Times New Roman" w:hAnsi="Times New Roman" w:cs="Times New Roman"/>
          <w:b/>
          <w:sz w:val="24"/>
          <w:szCs w:val="24"/>
        </w:rPr>
        <w:t>70, 82,</w:t>
      </w:r>
      <w:r w:rsidR="005C049C" w:rsidRPr="00EA543A">
        <w:rPr>
          <w:rFonts w:ascii="Times New Roman" w:hAnsi="Times New Roman" w:cs="Times New Roman"/>
          <w:b/>
          <w:sz w:val="24"/>
          <w:szCs w:val="24"/>
        </w:rPr>
        <w:t xml:space="preserve"> </w:t>
      </w:r>
      <w:r w:rsidR="00226F05" w:rsidRPr="00EA543A">
        <w:rPr>
          <w:rFonts w:ascii="Times New Roman" w:hAnsi="Times New Roman" w:cs="Times New Roman"/>
          <w:b/>
          <w:sz w:val="24"/>
          <w:szCs w:val="24"/>
        </w:rPr>
        <w:t>12</w:t>
      </w:r>
      <w:r w:rsidR="005B2651" w:rsidRPr="00EA543A">
        <w:rPr>
          <w:rFonts w:ascii="Times New Roman" w:hAnsi="Times New Roman" w:cs="Times New Roman"/>
          <w:b/>
          <w:sz w:val="24"/>
          <w:szCs w:val="24"/>
        </w:rPr>
        <w:t>3</w:t>
      </w:r>
      <w:r w:rsidR="005C049C" w:rsidRPr="00EA543A">
        <w:rPr>
          <w:rFonts w:ascii="Times New Roman" w:hAnsi="Times New Roman" w:cs="Times New Roman"/>
          <w:b/>
          <w:sz w:val="24"/>
          <w:szCs w:val="24"/>
        </w:rPr>
        <w:t xml:space="preserve"> a 1</w:t>
      </w:r>
      <w:r w:rsidR="005B2651" w:rsidRPr="00EA543A">
        <w:rPr>
          <w:rFonts w:ascii="Times New Roman" w:hAnsi="Times New Roman" w:cs="Times New Roman"/>
          <w:b/>
          <w:sz w:val="24"/>
          <w:szCs w:val="24"/>
        </w:rPr>
        <w:t>28</w:t>
      </w:r>
      <w:r w:rsidR="005C049C" w:rsidRPr="00EA543A">
        <w:rPr>
          <w:rFonts w:ascii="Times New Roman" w:hAnsi="Times New Roman" w:cs="Times New Roman"/>
          <w:b/>
          <w:sz w:val="24"/>
          <w:szCs w:val="24"/>
        </w:rPr>
        <w:t xml:space="preserve"> - § 15a, § 26 ods. 10, § 27 ods. 3, § 28 ods. 5,  § 32a ods. 3 a</w:t>
      </w:r>
      <w:r w:rsidR="002309CB" w:rsidRPr="00EA543A">
        <w:rPr>
          <w:rFonts w:ascii="Times New Roman" w:hAnsi="Times New Roman" w:cs="Times New Roman"/>
          <w:b/>
          <w:sz w:val="24"/>
          <w:szCs w:val="24"/>
        </w:rPr>
        <w:t> </w:t>
      </w:r>
      <w:r w:rsidR="005C049C" w:rsidRPr="00EA543A">
        <w:rPr>
          <w:rFonts w:ascii="Times New Roman" w:hAnsi="Times New Roman" w:cs="Times New Roman"/>
          <w:b/>
          <w:sz w:val="24"/>
          <w:szCs w:val="24"/>
        </w:rPr>
        <w:t>4</w:t>
      </w:r>
      <w:r w:rsidR="002309CB" w:rsidRPr="00EA543A">
        <w:rPr>
          <w:rFonts w:ascii="Times New Roman" w:hAnsi="Times New Roman" w:cs="Times New Roman"/>
          <w:b/>
          <w:sz w:val="24"/>
          <w:szCs w:val="24"/>
        </w:rPr>
        <w:t>, § 45 ods. 1</w:t>
      </w:r>
      <w:r w:rsidR="005C049C" w:rsidRPr="00EA543A">
        <w:rPr>
          <w:rFonts w:ascii="Times New Roman" w:hAnsi="Times New Roman" w:cs="Times New Roman"/>
          <w:b/>
          <w:sz w:val="24"/>
          <w:szCs w:val="24"/>
        </w:rPr>
        <w:t xml:space="preserve"> a § 50 ods. 2</w:t>
      </w:r>
    </w:p>
    <w:p w:rsidR="005015EF" w:rsidRPr="00EA543A" w:rsidRDefault="005015EF" w:rsidP="00BA62B0">
      <w:pPr>
        <w:spacing w:after="0" w:line="240" w:lineRule="auto"/>
        <w:ind w:left="66"/>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v nadväznosti na zmenu spôsobu zaokrúhľovania v § 47. </w:t>
      </w:r>
    </w:p>
    <w:p w:rsidR="005015EF" w:rsidRPr="00EA543A" w:rsidRDefault="005015EF" w:rsidP="00BA62B0">
      <w:pPr>
        <w:spacing w:after="0" w:line="240" w:lineRule="auto"/>
        <w:ind w:left="66"/>
        <w:jc w:val="both"/>
        <w:rPr>
          <w:rFonts w:ascii="Times New Roman" w:eastAsia="Times New Roman" w:hAnsi="Times New Roman" w:cs="Times New Roman"/>
          <w:sz w:val="24"/>
          <w:szCs w:val="24"/>
          <w:lang w:eastAsia="sk-SK"/>
        </w:rPr>
      </w:pPr>
    </w:p>
    <w:p w:rsidR="00405D59" w:rsidRPr="00EA543A" w:rsidRDefault="00405D59"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bodu </w:t>
      </w:r>
      <w:r w:rsidR="002309CB" w:rsidRPr="00EA543A">
        <w:rPr>
          <w:rFonts w:ascii="Times New Roman" w:eastAsia="Times New Roman" w:hAnsi="Times New Roman" w:cs="Times New Roman"/>
          <w:b/>
          <w:sz w:val="24"/>
          <w:szCs w:val="24"/>
          <w:lang w:eastAsia="sk-SK"/>
        </w:rPr>
        <w:t>29</w:t>
      </w:r>
      <w:r w:rsidRPr="00EA543A">
        <w:rPr>
          <w:rFonts w:ascii="Times New Roman" w:eastAsia="Times New Roman" w:hAnsi="Times New Roman" w:cs="Times New Roman"/>
          <w:b/>
          <w:sz w:val="24"/>
          <w:szCs w:val="24"/>
          <w:lang w:eastAsia="sk-SK"/>
        </w:rPr>
        <w:t xml:space="preserve"> - § 16 ods. 1 písm. a)</w:t>
      </w:r>
    </w:p>
    <w:p w:rsidR="00405D59" w:rsidRPr="00EA543A" w:rsidRDefault="00405D59"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 nadväznosti na zavedenie </w:t>
      </w:r>
      <w:proofErr w:type="spellStart"/>
      <w:r w:rsidRPr="00EA543A">
        <w:rPr>
          <w:rFonts w:ascii="Times New Roman" w:eastAsia="Times New Roman" w:hAnsi="Times New Roman" w:cs="Times New Roman"/>
          <w:sz w:val="24"/>
          <w:szCs w:val="24"/>
          <w:lang w:eastAsia="sk-SK"/>
        </w:rPr>
        <w:t>exit</w:t>
      </w:r>
      <w:proofErr w:type="spellEnd"/>
      <w:r w:rsidRPr="00EA543A">
        <w:rPr>
          <w:rFonts w:ascii="Times New Roman" w:eastAsia="Times New Roman" w:hAnsi="Times New Roman" w:cs="Times New Roman"/>
          <w:sz w:val="24"/>
          <w:szCs w:val="24"/>
          <w:lang w:eastAsia="sk-SK"/>
        </w:rPr>
        <w:t xml:space="preserve"> </w:t>
      </w:r>
      <w:proofErr w:type="spellStart"/>
      <w:r w:rsidRPr="00EA543A">
        <w:rPr>
          <w:rFonts w:ascii="Times New Roman" w:eastAsia="Times New Roman" w:hAnsi="Times New Roman" w:cs="Times New Roman"/>
          <w:sz w:val="24"/>
          <w:szCs w:val="24"/>
          <w:lang w:eastAsia="sk-SK"/>
        </w:rPr>
        <w:t>tax</w:t>
      </w:r>
      <w:proofErr w:type="spellEnd"/>
      <w:r w:rsidRPr="00EA543A">
        <w:rPr>
          <w:rFonts w:ascii="Times New Roman" w:eastAsia="Times New Roman" w:hAnsi="Times New Roman" w:cs="Times New Roman"/>
          <w:sz w:val="24"/>
          <w:szCs w:val="24"/>
          <w:lang w:eastAsia="sk-SK"/>
        </w:rPr>
        <w:t xml:space="preserve"> v § 17f zákona o dani z príjmov sa za účelom zamedzenia nejednoznačnému výkladu dopĺňa tento nerealizovaný príjem medzi príjmy plynúce zo zdroja na území Slovenskej republiky. Ide o príjmy z presunu majetku stálej prevádzkarne do zahraničia ako aj príjmy z presunu podnikateľskej činnosti stálej prevádzkarne do zahraničia.</w:t>
      </w:r>
    </w:p>
    <w:p w:rsidR="00405D59" w:rsidRPr="00EA543A" w:rsidRDefault="00405D59" w:rsidP="00BA62B0">
      <w:pPr>
        <w:spacing w:after="0" w:line="240" w:lineRule="auto"/>
        <w:ind w:left="66"/>
        <w:jc w:val="both"/>
        <w:rPr>
          <w:rFonts w:ascii="Times New Roman" w:hAnsi="Times New Roman" w:cs="Times New Roman"/>
          <w:b/>
          <w:sz w:val="24"/>
          <w:szCs w:val="24"/>
        </w:rPr>
      </w:pPr>
    </w:p>
    <w:p w:rsidR="005015EF" w:rsidRPr="00EA543A" w:rsidRDefault="005015EF" w:rsidP="00BA62B0">
      <w:pPr>
        <w:spacing w:after="0" w:line="240" w:lineRule="auto"/>
        <w:ind w:left="66"/>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2309CB" w:rsidRPr="00EA543A">
        <w:rPr>
          <w:rFonts w:ascii="Times New Roman" w:hAnsi="Times New Roman" w:cs="Times New Roman"/>
          <w:b/>
          <w:sz w:val="24"/>
          <w:szCs w:val="24"/>
        </w:rPr>
        <w:t>30</w:t>
      </w:r>
      <w:r w:rsidRPr="00EA543A">
        <w:rPr>
          <w:rFonts w:ascii="Times New Roman" w:hAnsi="Times New Roman" w:cs="Times New Roman"/>
          <w:b/>
          <w:sz w:val="24"/>
          <w:szCs w:val="24"/>
        </w:rPr>
        <w:t xml:space="preserve"> – poznámka pod čiarou k odkazu 76  </w:t>
      </w:r>
    </w:p>
    <w:p w:rsidR="005015EF" w:rsidRPr="00EA543A" w:rsidRDefault="005015EF"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Ide o legislatívno-technickú úpravu</w:t>
      </w:r>
      <w:r w:rsidR="005C049C" w:rsidRPr="00EA543A">
        <w:rPr>
          <w:rFonts w:ascii="Times New Roman" w:hAnsi="Times New Roman" w:cs="Times New Roman"/>
          <w:sz w:val="24"/>
          <w:szCs w:val="24"/>
        </w:rPr>
        <w:t>.</w:t>
      </w:r>
    </w:p>
    <w:p w:rsidR="005C049C" w:rsidRPr="00EA543A" w:rsidRDefault="005C049C" w:rsidP="00BA62B0">
      <w:pPr>
        <w:spacing w:after="0" w:line="240" w:lineRule="auto"/>
        <w:ind w:left="66"/>
        <w:jc w:val="both"/>
        <w:rPr>
          <w:rFonts w:ascii="Times New Roman" w:eastAsia="Times New Roman" w:hAnsi="Times New Roman" w:cs="Times New Roman"/>
          <w:b/>
          <w:sz w:val="24"/>
          <w:szCs w:val="24"/>
          <w:lang w:eastAsia="sk-SK"/>
        </w:rPr>
      </w:pPr>
    </w:p>
    <w:p w:rsidR="00DE73E5" w:rsidRPr="00EA543A" w:rsidRDefault="005C049C" w:rsidP="00BA62B0">
      <w:pPr>
        <w:spacing w:after="0" w:line="240" w:lineRule="auto"/>
        <w:ind w:left="66"/>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bodu 3</w:t>
      </w:r>
      <w:r w:rsidR="002309CB" w:rsidRPr="00EA543A">
        <w:rPr>
          <w:rFonts w:ascii="Times New Roman" w:eastAsia="Times New Roman" w:hAnsi="Times New Roman" w:cs="Times New Roman"/>
          <w:b/>
          <w:sz w:val="24"/>
          <w:szCs w:val="24"/>
          <w:lang w:eastAsia="sk-SK"/>
        </w:rPr>
        <w:t>1</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16 ods. 1 písm. e) 9. bod</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Spresnenie podielu na zisku (dividendy) považovanej za príjem zo zdroja na území Slovenskej republiky v nadväznosti na § 3 ods. 1 písm. e) zákona o dani z príjmov.</w:t>
      </w:r>
    </w:p>
    <w:p w:rsidR="00580AE9" w:rsidRPr="00EA543A" w:rsidRDefault="00580AE9" w:rsidP="00BA62B0">
      <w:pPr>
        <w:spacing w:after="0" w:line="240" w:lineRule="auto"/>
        <w:ind w:left="66"/>
        <w:jc w:val="both"/>
        <w:rPr>
          <w:rFonts w:ascii="Times New Roman" w:eastAsia="Times New Roman" w:hAnsi="Times New Roman" w:cs="Times New Roman"/>
          <w:sz w:val="24"/>
          <w:szCs w:val="24"/>
          <w:lang w:eastAsia="sk-SK"/>
        </w:rPr>
      </w:pPr>
    </w:p>
    <w:p w:rsidR="00580AE9" w:rsidRPr="00EA543A"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bodu 3</w:t>
      </w:r>
      <w:r w:rsidR="002309CB" w:rsidRPr="00EA543A">
        <w:rPr>
          <w:rFonts w:ascii="Times New Roman" w:eastAsia="Times New Roman" w:hAnsi="Times New Roman" w:cs="Times New Roman"/>
          <w:b/>
          <w:sz w:val="24"/>
          <w:szCs w:val="24"/>
          <w:lang w:eastAsia="sk-SK"/>
        </w:rPr>
        <w:t>2</w:t>
      </w:r>
      <w:r w:rsidRPr="00EA543A">
        <w:rPr>
          <w:rFonts w:ascii="Times New Roman" w:eastAsia="Times New Roman" w:hAnsi="Times New Roman" w:cs="Times New Roman"/>
          <w:b/>
          <w:sz w:val="24"/>
          <w:szCs w:val="24"/>
          <w:lang w:eastAsia="sk-SK"/>
        </w:rPr>
        <w:t xml:space="preserve"> - </w:t>
      </w:r>
      <w:r w:rsidR="00580AE9" w:rsidRPr="00EA543A">
        <w:rPr>
          <w:rFonts w:ascii="Times New Roman" w:eastAsia="Times New Roman" w:hAnsi="Times New Roman" w:cs="Times New Roman"/>
          <w:b/>
          <w:sz w:val="24"/>
          <w:szCs w:val="24"/>
          <w:lang w:eastAsia="sk-SK"/>
        </w:rPr>
        <w:t>§ 16 ods. 1 písm. e) 10. bod</w:t>
      </w:r>
    </w:p>
    <w:p w:rsidR="007329DA" w:rsidRPr="00EA543A" w:rsidRDefault="007329DA" w:rsidP="00BA62B0">
      <w:pPr>
        <w:tabs>
          <w:tab w:val="left" w:pos="142"/>
        </w:tabs>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Príjmom daňovníka s obmedzenou daňovou povinnosťou zo zdrojov na území SR sú odplaty za poskytnutie služieb vymedzených v § 16 ods. 1 písm. e) 10. bod zákona vo výške</w:t>
      </w:r>
      <w:r w:rsidRPr="00EA543A">
        <w:rPr>
          <w:rFonts w:ascii="Times New Roman" w:eastAsia="Times New Roman" w:hAnsi="Times New Roman" w:cs="Times New Roman"/>
          <w:sz w:val="24"/>
          <w:szCs w:val="24"/>
          <w:lang w:eastAsia="sk-SK"/>
        </w:rPr>
        <w:t xml:space="preserve">, v akej je táto odplata súčasne uplatnená ako daňový výdavok. V záujme zníženia bariér v oblasti exportu, vyplývajúcich z aplikačnej praxe, sa zavádza </w:t>
      </w:r>
      <w:r w:rsidRPr="00EA543A">
        <w:rPr>
          <w:rFonts w:ascii="Times New Roman" w:hAnsi="Times New Roman" w:cs="Times New Roman"/>
          <w:sz w:val="24"/>
          <w:szCs w:val="24"/>
        </w:rPr>
        <w:t>úprava, ktorá sa uplatní na situácie predaja tovaru v zahraničí, s ktorým sú spojené náklady preukázateľne vynaložené na poskytnutie marketingových a sprostredkovateľských služieb v tomto štáte. V takýchto situáciách nebudú odplaty za poskytnutie marketingových služieb a služieb sprostredkovateľskej činnosti považované za príjmy zo zdrojov na území SR.</w:t>
      </w:r>
    </w:p>
    <w:p w:rsidR="00580AE9" w:rsidRPr="00EA543A" w:rsidRDefault="00580AE9" w:rsidP="00BA62B0">
      <w:pPr>
        <w:spacing w:after="0" w:line="240" w:lineRule="auto"/>
        <w:ind w:left="66"/>
        <w:jc w:val="both"/>
        <w:rPr>
          <w:rFonts w:ascii="Times New Roman" w:eastAsia="Times New Roman" w:hAnsi="Times New Roman" w:cs="Times New Roman"/>
          <w:sz w:val="24"/>
          <w:szCs w:val="24"/>
          <w:lang w:eastAsia="sk-SK"/>
        </w:rPr>
      </w:pPr>
    </w:p>
    <w:p w:rsidR="006310C9" w:rsidRPr="00EA543A" w:rsidRDefault="006310C9"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bodom 3</w:t>
      </w:r>
      <w:r w:rsidR="002309CB" w:rsidRPr="00EA543A">
        <w:rPr>
          <w:rFonts w:ascii="Times New Roman" w:eastAsia="Times New Roman" w:hAnsi="Times New Roman" w:cs="Times New Roman"/>
          <w:b/>
          <w:sz w:val="24"/>
          <w:szCs w:val="24"/>
          <w:lang w:eastAsia="sk-SK"/>
        </w:rPr>
        <w:t>3</w:t>
      </w:r>
      <w:r w:rsidR="005B2651" w:rsidRPr="00EA543A">
        <w:rPr>
          <w:rFonts w:ascii="Times New Roman" w:eastAsia="Times New Roman" w:hAnsi="Times New Roman" w:cs="Times New Roman"/>
          <w:b/>
          <w:sz w:val="24"/>
          <w:szCs w:val="24"/>
          <w:lang w:eastAsia="sk-SK"/>
        </w:rPr>
        <w:t>,</w:t>
      </w:r>
      <w:r w:rsidR="002309CB" w:rsidRPr="00EA543A">
        <w:rPr>
          <w:rFonts w:ascii="Times New Roman" w:eastAsia="Times New Roman" w:hAnsi="Times New Roman" w:cs="Times New Roman"/>
          <w:b/>
          <w:sz w:val="24"/>
          <w:szCs w:val="24"/>
          <w:lang w:eastAsia="sk-SK"/>
        </w:rPr>
        <w:t> 11</w:t>
      </w:r>
      <w:r w:rsidR="005B2651" w:rsidRPr="00EA543A">
        <w:rPr>
          <w:rFonts w:ascii="Times New Roman" w:eastAsia="Times New Roman" w:hAnsi="Times New Roman" w:cs="Times New Roman"/>
          <w:b/>
          <w:sz w:val="24"/>
          <w:szCs w:val="24"/>
          <w:lang w:eastAsia="sk-SK"/>
        </w:rPr>
        <w:t>1</w:t>
      </w:r>
      <w:r w:rsidR="002309CB" w:rsidRPr="00EA543A">
        <w:rPr>
          <w:rFonts w:ascii="Times New Roman" w:eastAsia="Times New Roman" w:hAnsi="Times New Roman" w:cs="Times New Roman"/>
          <w:b/>
          <w:sz w:val="24"/>
          <w:szCs w:val="24"/>
          <w:lang w:eastAsia="sk-SK"/>
        </w:rPr>
        <w:t>, 11</w:t>
      </w:r>
      <w:r w:rsidR="005B2651" w:rsidRPr="00EA543A">
        <w:rPr>
          <w:rFonts w:ascii="Times New Roman" w:eastAsia="Times New Roman" w:hAnsi="Times New Roman" w:cs="Times New Roman"/>
          <w:b/>
          <w:sz w:val="24"/>
          <w:szCs w:val="24"/>
          <w:lang w:eastAsia="sk-SK"/>
        </w:rPr>
        <w:t>3</w:t>
      </w:r>
      <w:r w:rsidR="002309CB" w:rsidRPr="00EA543A">
        <w:rPr>
          <w:rFonts w:ascii="Times New Roman" w:eastAsia="Times New Roman" w:hAnsi="Times New Roman" w:cs="Times New Roman"/>
          <w:b/>
          <w:sz w:val="24"/>
          <w:szCs w:val="24"/>
          <w:lang w:eastAsia="sk-SK"/>
        </w:rPr>
        <w:t xml:space="preserve"> a 11</w:t>
      </w:r>
      <w:r w:rsidR="005B2651" w:rsidRPr="00EA543A">
        <w:rPr>
          <w:rFonts w:ascii="Times New Roman" w:eastAsia="Times New Roman" w:hAnsi="Times New Roman" w:cs="Times New Roman"/>
          <w:b/>
          <w:sz w:val="24"/>
          <w:szCs w:val="24"/>
          <w:lang w:eastAsia="sk-SK"/>
        </w:rPr>
        <w:t>4</w:t>
      </w:r>
      <w:r w:rsidRPr="00EA543A">
        <w:rPr>
          <w:rFonts w:ascii="Times New Roman" w:eastAsia="Times New Roman" w:hAnsi="Times New Roman" w:cs="Times New Roman"/>
          <w:b/>
          <w:sz w:val="24"/>
          <w:szCs w:val="24"/>
          <w:lang w:eastAsia="sk-SK"/>
        </w:rPr>
        <w:t xml:space="preserve"> - § 16 ods. 1 písm. e) 12. bod, § 43 ods. 2, § 43 ods. 5 a § 43 ods. 6 písm. b)</w:t>
      </w:r>
    </w:p>
    <w:p w:rsidR="006310C9" w:rsidRPr="00EA543A" w:rsidRDefault="006310C9"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lastRenderedPageBreak/>
        <w:t>Do zdroja príjmu plynúceho zo zdrojov na území Slovenskej republiky sa dopĺňa aj príjem plynúci z prerozdelenia kapitálového fondu z príspevkov. Za takýto príjem sa považuje aj príjem plynúci zo zníženia základného imania obchodnej spoločnosti, ak bolo predtým zvyšované z prostriedkov kapitálového fondu tvoreného z príspevkov spoločníkov. Tento príjem sa bude u daňovníka s obmedzenou daňovou povinnosťou zdaňovať podľa § 43 ods. 2 daňou vyberanou zrážkou, pričom vyplatený príjem je možné znížiť podľa § 43 ods. 5 písm. e) o hodnotu príspevku do kapitálového fondu z príspevkov splateného priamo daňovníkom. Takto vybranú daň je možné považovať za preddavok na daň podľa § 43 ods. 6 písm. b).</w:t>
      </w:r>
    </w:p>
    <w:p w:rsidR="00DE73E5" w:rsidRPr="00EA543A" w:rsidRDefault="00DE73E5" w:rsidP="00BA62B0">
      <w:pPr>
        <w:spacing w:after="0" w:line="240" w:lineRule="auto"/>
        <w:ind w:left="66"/>
        <w:jc w:val="both"/>
        <w:rPr>
          <w:rFonts w:ascii="Times New Roman" w:eastAsia="Times New Roman" w:hAnsi="Times New Roman" w:cs="Times New Roman"/>
          <w:b/>
          <w:sz w:val="24"/>
          <w:szCs w:val="24"/>
          <w:lang w:eastAsia="sk-SK"/>
        </w:rPr>
      </w:pPr>
    </w:p>
    <w:p w:rsidR="00DE73E5" w:rsidRPr="00EA543A"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bodu </w:t>
      </w:r>
      <w:r w:rsidR="002309CB" w:rsidRPr="00EA543A">
        <w:rPr>
          <w:rFonts w:ascii="Times New Roman" w:eastAsia="Times New Roman" w:hAnsi="Times New Roman" w:cs="Times New Roman"/>
          <w:b/>
          <w:sz w:val="24"/>
          <w:szCs w:val="24"/>
          <w:lang w:eastAsia="sk-SK"/>
        </w:rPr>
        <w:t>34</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16 ods. 1 písm. i)</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 § 16 ods. 1 písm. i) sa spresňuje v nadväznosti na definíciu vkladu v § 2 písm. </w:t>
      </w:r>
      <w:proofErr w:type="spellStart"/>
      <w:r w:rsidRPr="00EA543A">
        <w:rPr>
          <w:rFonts w:ascii="Times New Roman" w:eastAsia="Times New Roman" w:hAnsi="Times New Roman" w:cs="Times New Roman"/>
          <w:sz w:val="24"/>
          <w:szCs w:val="24"/>
          <w:lang w:eastAsia="sk-SK"/>
        </w:rPr>
        <w:t>ac</w:t>
      </w:r>
      <w:proofErr w:type="spellEnd"/>
      <w:r w:rsidRPr="00EA543A">
        <w:rPr>
          <w:rFonts w:ascii="Times New Roman" w:eastAsia="Times New Roman" w:hAnsi="Times New Roman" w:cs="Times New Roman"/>
          <w:sz w:val="24"/>
          <w:szCs w:val="24"/>
          <w:lang w:eastAsia="sk-SK"/>
        </w:rPr>
        <w:t>), že príjmom daňovníka s obmedzenou daňovou povinnosťou zo zdroja na území Slovenskej republiky je rozdiel medzi hodnotou majetku započítanou na vklad spoločníka a jeho účtovnou hodnotou aj v prípade, ak sa tento majetok nevkladá do základného imania, ale použije sa na splatenie iných fondov.</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p>
    <w:p w:rsidR="007A6509" w:rsidRPr="00EA543A" w:rsidRDefault="007A6509"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bodu </w:t>
      </w:r>
      <w:r w:rsidR="002309CB" w:rsidRPr="00EA543A">
        <w:rPr>
          <w:rFonts w:ascii="Times New Roman" w:eastAsia="Times New Roman" w:hAnsi="Times New Roman" w:cs="Times New Roman"/>
          <w:b/>
          <w:sz w:val="24"/>
          <w:szCs w:val="24"/>
          <w:lang w:eastAsia="sk-SK"/>
        </w:rPr>
        <w:t>35</w:t>
      </w:r>
      <w:r w:rsidRPr="00EA543A">
        <w:rPr>
          <w:rFonts w:ascii="Times New Roman" w:eastAsia="Times New Roman" w:hAnsi="Times New Roman" w:cs="Times New Roman"/>
          <w:b/>
          <w:sz w:val="24"/>
          <w:szCs w:val="24"/>
          <w:lang w:eastAsia="sk-SK"/>
        </w:rPr>
        <w:t xml:space="preserve"> - § 16 ods. 1 písm. k) </w:t>
      </w:r>
    </w:p>
    <w:p w:rsidR="007A6509" w:rsidRPr="00EA543A" w:rsidRDefault="007A6509"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V nadväznosti na zdaňovanie výplaty oceňovacích rozdielov z precenenia pri zlúčení, splynutí alebo rozdelení obchodných spoločností alebo družstiev podľa § 17e ods. 14 daňou vyberanou zrážkou podľa § 43 ods. 3 písm. t), sa tento príjem dopĺňa aj do príjmov daňovníka s obmedzenou daňovou povinnosťou, ako plynúci zo zdroja na území SR.</w:t>
      </w:r>
    </w:p>
    <w:p w:rsidR="00C05C9F" w:rsidRPr="00EA543A" w:rsidRDefault="00C05C9F" w:rsidP="00BA62B0">
      <w:pPr>
        <w:spacing w:after="0" w:line="240" w:lineRule="auto"/>
        <w:jc w:val="both"/>
        <w:rPr>
          <w:rFonts w:ascii="Times New Roman" w:eastAsia="Times New Roman" w:hAnsi="Times New Roman" w:cs="Times New Roman"/>
          <w:sz w:val="24"/>
          <w:szCs w:val="24"/>
          <w:lang w:eastAsia="sk-SK"/>
        </w:rPr>
      </w:pPr>
    </w:p>
    <w:p w:rsidR="00C05C9F" w:rsidRPr="00EA543A" w:rsidRDefault="00C05C9F"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w:t>
      </w:r>
      <w:r w:rsidR="002309CB" w:rsidRPr="00EA543A">
        <w:rPr>
          <w:rFonts w:ascii="Times New Roman" w:eastAsia="Times New Roman" w:hAnsi="Times New Roman" w:cs="Times New Roman"/>
          <w:b/>
          <w:sz w:val="24"/>
          <w:szCs w:val="24"/>
          <w:lang w:eastAsia="sk-SK"/>
        </w:rPr>
        <w:t> </w:t>
      </w:r>
      <w:r w:rsidRPr="00EA543A">
        <w:rPr>
          <w:rFonts w:ascii="Times New Roman" w:eastAsia="Times New Roman" w:hAnsi="Times New Roman" w:cs="Times New Roman"/>
          <w:b/>
          <w:sz w:val="24"/>
          <w:szCs w:val="24"/>
          <w:lang w:eastAsia="sk-SK"/>
        </w:rPr>
        <w:t>bodu</w:t>
      </w:r>
      <w:r w:rsidR="002309CB" w:rsidRPr="00EA543A">
        <w:rPr>
          <w:rFonts w:ascii="Times New Roman" w:eastAsia="Times New Roman" w:hAnsi="Times New Roman" w:cs="Times New Roman"/>
          <w:b/>
          <w:sz w:val="24"/>
          <w:szCs w:val="24"/>
          <w:lang w:eastAsia="sk-SK"/>
        </w:rPr>
        <w:t xml:space="preserve"> 36</w:t>
      </w:r>
      <w:r w:rsidRPr="00EA543A">
        <w:rPr>
          <w:rFonts w:ascii="Times New Roman" w:eastAsia="Times New Roman" w:hAnsi="Times New Roman" w:cs="Times New Roman"/>
          <w:b/>
          <w:sz w:val="24"/>
          <w:szCs w:val="24"/>
          <w:lang w:eastAsia="sk-SK"/>
        </w:rPr>
        <w:t xml:space="preserve"> - § 17 ods. 6</w:t>
      </w:r>
    </w:p>
    <w:p w:rsidR="00C05C9F" w:rsidRPr="00EA543A" w:rsidRDefault="00C05C9F" w:rsidP="00BA62B0">
      <w:pPr>
        <w:tabs>
          <w:tab w:val="left" w:pos="142"/>
        </w:tabs>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Úprava sa vykonáva z dôvodu jasného a jednoznačného špecifikovania požadovaných údajov v § 17 ods. 6 zákona o dani z príjmov.</w:t>
      </w:r>
    </w:p>
    <w:p w:rsidR="00C05C9F" w:rsidRPr="00EA543A" w:rsidRDefault="00C05C9F" w:rsidP="00BA62B0">
      <w:pPr>
        <w:spacing w:after="0" w:line="240" w:lineRule="auto"/>
        <w:jc w:val="both"/>
        <w:rPr>
          <w:rFonts w:ascii="Times New Roman" w:eastAsia="Times New Roman" w:hAnsi="Times New Roman" w:cs="Times New Roman"/>
          <w:sz w:val="24"/>
          <w:szCs w:val="24"/>
          <w:lang w:eastAsia="sk-SK"/>
        </w:rPr>
      </w:pPr>
    </w:p>
    <w:p w:rsidR="00DE73E5" w:rsidRPr="00EA543A"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bodu 3</w:t>
      </w:r>
      <w:r w:rsidR="002309CB" w:rsidRPr="00EA543A">
        <w:rPr>
          <w:rFonts w:ascii="Times New Roman" w:eastAsia="Times New Roman" w:hAnsi="Times New Roman" w:cs="Times New Roman"/>
          <w:b/>
          <w:sz w:val="24"/>
          <w:szCs w:val="24"/>
          <w:lang w:eastAsia="sk-SK"/>
        </w:rPr>
        <w:t>7</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17 ods. 19</w:t>
      </w:r>
    </w:p>
    <w:p w:rsidR="002A55E1" w:rsidRPr="00EA543A" w:rsidRDefault="007A6509"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Navrhovanou úpravou sa upravuje rozsah výdavkov, ako aj ich výška, ktoré sú považované za daňový výdavok až po zaplatení. Ustanovenie sa spresňuje v tom význame, že podmienka zaplatenia sa nedotýka tých výdavkov (nákladov), ktoré sa stávajú súčasťou obstarávacej ceny majetku resp. súčasťou vlastných nákladov napr. v prípade zásob. </w:t>
      </w:r>
      <w:r w:rsidR="002A55E1" w:rsidRPr="00EA543A">
        <w:rPr>
          <w:rFonts w:ascii="Times New Roman" w:eastAsia="Times New Roman" w:hAnsi="Times New Roman" w:cs="Times New Roman"/>
          <w:sz w:val="24"/>
          <w:szCs w:val="24"/>
          <w:lang w:eastAsia="sk-SK"/>
        </w:rPr>
        <w:t>Tieto neuhradené výdavky (náklady) podliehajú ustanoveniu § 17 ods. 27 zákona. Pri výdavkoch (nákladoch) je potrebné skúmať, či ide o výdavky (náklady) na ktoré sa uplatňuje § 17 ods. 19, alebo výdavky (náklady), na ktoré sa uplatní postup podľa § 17 ods. 27 a § 17 ods. 32. U výdavkov vymedzených v § 17 ods. 19 ustanovení sa bude sledovať už iba podmienka zaplatenia (vypustenie dodatočných limitácií).</w:t>
      </w:r>
    </w:p>
    <w:p w:rsidR="002A55E1" w:rsidRPr="00EA543A" w:rsidRDefault="007A6509"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 písmene c) sa vypúšťa možnosť zahrnutia príjmov (výnosov) z marketingových a iných štúdií a prieskumov trhu u veriteľa až po prijatí úhrady. Uvedené príjmy (výnosy) budú súčasťou základu dane v súlade s účtovníctvom. Ustanovenie § 17 ods. 19 sa tak bude vzťahovať iba na výdavky po zaplatení u dlžníka.  </w:t>
      </w:r>
    </w:p>
    <w:p w:rsidR="007A6509" w:rsidRPr="00EA543A" w:rsidRDefault="007A6509"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Z písmena d) sa vypúšťa 20 % limitácia odplát (provízií) za sprostredkovanie na výdavky (náklady), ktoré</w:t>
      </w:r>
      <w:r w:rsidRPr="00EA543A">
        <w:rPr>
          <w:rFonts w:ascii="Times New Roman" w:hAnsi="Times New Roman" w:cs="Times New Roman"/>
          <w:sz w:val="24"/>
          <w:szCs w:val="24"/>
        </w:rPr>
        <w:t xml:space="preserve"> </w:t>
      </w:r>
      <w:r w:rsidRPr="00EA543A">
        <w:rPr>
          <w:rFonts w:ascii="Times New Roman" w:eastAsia="Times New Roman" w:hAnsi="Times New Roman" w:cs="Times New Roman"/>
          <w:sz w:val="24"/>
          <w:szCs w:val="24"/>
          <w:lang w:eastAsia="sk-SK"/>
        </w:rPr>
        <w:t xml:space="preserve">boli zaevidované v evidencii podľa § 6 ods. 11 alebo boli zaúčtované v zdaňovacom období, ktoré sa začína po 31.12.2019. V písmene f) sa rozsah výdavkov (nákladov) po zaplatení rozširuje aj o služby týkajúce sa vedenia firiem a poradenské služby podľa kódu 70.1. a 70.22 Klasifikácie produktov podľa činností. Od 1. januára 2019 už nebude daňovník musieť sledovať podmienku zaplatenia pri výdavkoch (nákladoch) na získanie noriem a certifikátov, ani ich postupne zahrňovať do výdavkov podľa doby ich platnosti. Uvedené sa vzťahuje na výdavky (náklady) na získanie noriem a certifikátov zaúčtované po 31. decembri 2019, v prípade kalendárneho roka. Na výdavky (náklady) na získanie noriem a certifikátov, ktoré boli zaúčtované do účinnosti nového zákona sa naďalej uplatňuje </w:t>
      </w:r>
      <w:r w:rsidRPr="00EA543A">
        <w:rPr>
          <w:rFonts w:ascii="Times New Roman" w:eastAsia="Times New Roman" w:hAnsi="Times New Roman" w:cs="Times New Roman"/>
          <w:sz w:val="24"/>
          <w:szCs w:val="24"/>
          <w:lang w:eastAsia="sk-SK"/>
        </w:rPr>
        <w:lastRenderedPageBreak/>
        <w:t>podmienka zaplatenia aj časové zahrňovanie výdavkov (nákladov). Podľa nového znenia písmena g) sa za daňový výdavok po zaplatení budú považovať zmluvné pokuty, poplatky z omeškania, úroky z omeškania, paušálne náhrady nákladov spojené s uplatnením pohľadávky u dlžníka ako aj odstupné u oprávnenej osoby podľa § 355 Obchodného zákonníka. Zároveň sa dopĺňa poznámka pod čiarou k odkazu 79ba) odkazujúca sa na odstupné podľa § 355 Obchodného zákonníka.</w:t>
      </w:r>
      <w:r w:rsidRPr="00EA543A">
        <w:rPr>
          <w:rFonts w:ascii="Times New Roman" w:hAnsi="Times New Roman" w:cs="Times New Roman"/>
          <w:sz w:val="24"/>
          <w:szCs w:val="24"/>
        </w:rPr>
        <w:t xml:space="preserve"> </w:t>
      </w:r>
      <w:r w:rsidRPr="00EA543A">
        <w:rPr>
          <w:rFonts w:ascii="Times New Roman" w:eastAsia="Times New Roman" w:hAnsi="Times New Roman" w:cs="Times New Roman"/>
          <w:sz w:val="24"/>
          <w:szCs w:val="24"/>
          <w:lang w:eastAsia="sk-SK"/>
        </w:rPr>
        <w:t>Zmluvné pokuty, poplatky z omeškania, úroky z omeškania, paušálne náhrady nákladov spojené s uplatnením pohľadávky u dlžníka, ktoré boli zaúčtované do 31. decembra 2019, budú naďalej považované za nedaňový výdavok podľa § 21 ods. 2 písm. m), aj keď budú uhradené po 31. decembri 2019 (ak ide o daňovníka, ktorého zdaňovacím obdobím je kalendárny rok).</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p>
    <w:p w:rsidR="000D3D5E" w:rsidRPr="00EA543A" w:rsidRDefault="000D3D5E" w:rsidP="00BA62B0">
      <w:pPr>
        <w:spacing w:after="0" w:line="240" w:lineRule="auto"/>
        <w:rPr>
          <w:rFonts w:ascii="Times New Roman" w:hAnsi="Times New Roman" w:cs="Times New Roman"/>
          <w:b/>
          <w:bCs/>
          <w:sz w:val="24"/>
          <w:szCs w:val="24"/>
        </w:rPr>
      </w:pPr>
      <w:r w:rsidRPr="00EA543A">
        <w:rPr>
          <w:rFonts w:ascii="Times New Roman" w:hAnsi="Times New Roman" w:cs="Times New Roman"/>
          <w:b/>
          <w:bCs/>
          <w:sz w:val="24"/>
          <w:szCs w:val="24"/>
        </w:rPr>
        <w:t xml:space="preserve">K bodom </w:t>
      </w:r>
      <w:r w:rsidR="002309CB" w:rsidRPr="00EA543A">
        <w:rPr>
          <w:rFonts w:ascii="Times New Roman" w:hAnsi="Times New Roman" w:cs="Times New Roman"/>
          <w:b/>
          <w:bCs/>
          <w:sz w:val="24"/>
          <w:szCs w:val="24"/>
        </w:rPr>
        <w:t>38, 57</w:t>
      </w:r>
      <w:r w:rsidRPr="00EA543A">
        <w:rPr>
          <w:rFonts w:ascii="Times New Roman" w:hAnsi="Times New Roman" w:cs="Times New Roman"/>
          <w:b/>
          <w:bCs/>
          <w:sz w:val="24"/>
          <w:szCs w:val="24"/>
        </w:rPr>
        <w:t xml:space="preserve"> a</w:t>
      </w:r>
      <w:r w:rsidR="005B2651" w:rsidRPr="00EA543A">
        <w:rPr>
          <w:rFonts w:ascii="Times New Roman" w:hAnsi="Times New Roman" w:cs="Times New Roman"/>
          <w:b/>
          <w:bCs/>
          <w:sz w:val="24"/>
          <w:szCs w:val="24"/>
        </w:rPr>
        <w:t> </w:t>
      </w:r>
      <w:r w:rsidR="002309CB" w:rsidRPr="00EA543A">
        <w:rPr>
          <w:rFonts w:ascii="Times New Roman" w:hAnsi="Times New Roman" w:cs="Times New Roman"/>
          <w:b/>
          <w:bCs/>
          <w:sz w:val="24"/>
          <w:szCs w:val="24"/>
        </w:rPr>
        <w:t>13</w:t>
      </w:r>
      <w:r w:rsidR="005B2651" w:rsidRPr="00EA543A">
        <w:rPr>
          <w:rFonts w:ascii="Times New Roman" w:hAnsi="Times New Roman" w:cs="Times New Roman"/>
          <w:b/>
          <w:bCs/>
          <w:sz w:val="24"/>
          <w:szCs w:val="24"/>
        </w:rPr>
        <w:t xml:space="preserve">4 </w:t>
      </w:r>
      <w:r w:rsidRPr="00EA543A">
        <w:rPr>
          <w:rFonts w:ascii="Times New Roman" w:hAnsi="Times New Roman" w:cs="Times New Roman"/>
          <w:b/>
          <w:bCs/>
          <w:sz w:val="24"/>
          <w:szCs w:val="24"/>
        </w:rPr>
        <w:t xml:space="preserve">- poznámka pod čiarou 80, § 21 ods. 1 písm. l) a § 52zz ods. </w:t>
      </w:r>
      <w:r w:rsidR="002309CB" w:rsidRPr="00EA543A">
        <w:rPr>
          <w:rFonts w:ascii="Times New Roman" w:hAnsi="Times New Roman" w:cs="Times New Roman"/>
          <w:b/>
          <w:bCs/>
          <w:sz w:val="24"/>
          <w:szCs w:val="24"/>
        </w:rPr>
        <w:t>1</w:t>
      </w:r>
      <w:r w:rsidR="00226F05" w:rsidRPr="00EA543A">
        <w:rPr>
          <w:rFonts w:ascii="Times New Roman" w:hAnsi="Times New Roman" w:cs="Times New Roman"/>
          <w:b/>
          <w:bCs/>
          <w:sz w:val="24"/>
          <w:szCs w:val="24"/>
        </w:rPr>
        <w:t>3</w:t>
      </w:r>
    </w:p>
    <w:p w:rsidR="000D3D5E" w:rsidRPr="00EA543A" w:rsidRDefault="000D3D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Zmluvou o výpožičke vzniká vypožičiavateľovi právo po dohodnutú dobu užívať vypožičanú vec bezodplatne. Aj napriek bezodplatnému charakteru výpožičky dochádza k situáciám, a to predovšetkým vo výrobnom procese, kedy sa na vypožičanom majetku vykonajú opravy alebo technické zhodnotenie. </w:t>
      </w:r>
      <w:r w:rsidRPr="00EA543A">
        <w:rPr>
          <w:rFonts w:ascii="Times New Roman" w:hAnsi="Times New Roman" w:cs="Times New Roman"/>
          <w:sz w:val="24"/>
          <w:szCs w:val="24"/>
          <w:lang w:eastAsia="sk-SK"/>
        </w:rPr>
        <w:t>V § 17 ods. 20 a 21 sa poznámka pod čiarou k odkazu 80 dopĺňa aj o   § 659 až  662 Občianskeho zákonníka upravujúceho zmluvy o výpožičke. Ak pri vypožičaní odpisované majetku dôjde aj k jeho technickému zhodnoteniu, potom zákon o dani z príjmov považuje toto zhodnotenie za nepeňažný príjem požičiavateľa, ktorý o túto sumu zhodnotenia zvýši vstupnú (zostatkovú) cenu svojho majetku a odpisuje ho, avšak až v tom zdaňovacom období, v ktorom ho využíva na dosiahnutie, zabezpečenie a udržanie príjmov. Ak sa však požičiavateľ písomne dohodne s vypožičiavateľom, môže toto technické zhodnotenie odpisovať aj vypožičiavateľ a u požičiavateľa je nepeňažným príjmom technické zhodnotenie po skočení zmluvy o výpožičke vo výške zostatkovej ceny, ktorú by malo technické zhodnotenie pri použití rovnomerného odpisovania § 27. V prípade prevodu vlastníckeho práva k hmotného majetku z dôvodu zabezpečenia záväzku dlžníka voči veriteľovi na základe zabezpečovacieho prevodu práva podľa § 553 Občianskeho zákonníka a následného vypožičania toho majetku dlžníkom na základe zmluvy o výpožičke, zostáva skutočným ekonomickým vlastníkom a užívateľom  hmotného majetku dlžník. Tento majetok preto môže odpisovať podľa § 24 ods. 1 písm. a) a uplatňuje si k nemu výdavky ako skutočný vlastník. Zároveň sa z § 21 ods. 1 vypúšťa písmeno l) a daňovým výdavkom sú výdavky vynaložené na vypožičaný majetok v rozsahu  uplatňovanom obdobne ako pri prenájme majetku. Podľa prechodného ustanovenia sa § 21 ods. 1 písm. l) posledný krát uplatní na výdavky (náklady) súvisiace výpožičkou za zdaňovacie obdobia roka 2019 resp. v prípade zdaňovacieho obdobia, ktorým je hospodársky rok, ktorý začal najneskôr v roku 2019 a skončí po 31. decembri 2019.</w:t>
      </w:r>
    </w:p>
    <w:p w:rsidR="000D3D5E" w:rsidRPr="00EA543A" w:rsidRDefault="000D3D5E" w:rsidP="00BA62B0">
      <w:pPr>
        <w:spacing w:after="0" w:line="240" w:lineRule="auto"/>
        <w:ind w:left="66"/>
        <w:jc w:val="both"/>
        <w:rPr>
          <w:rFonts w:ascii="Times New Roman" w:eastAsia="Times New Roman" w:hAnsi="Times New Roman" w:cs="Times New Roman"/>
          <w:sz w:val="24"/>
          <w:szCs w:val="24"/>
          <w:lang w:eastAsia="sk-SK"/>
        </w:rPr>
      </w:pPr>
    </w:p>
    <w:p w:rsidR="00DE73E5" w:rsidRPr="00EA543A" w:rsidRDefault="005C049C"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bodom 3</w:t>
      </w:r>
      <w:r w:rsidR="002309CB" w:rsidRPr="00EA543A">
        <w:rPr>
          <w:rFonts w:ascii="Times New Roman" w:eastAsia="Times New Roman" w:hAnsi="Times New Roman" w:cs="Times New Roman"/>
          <w:b/>
          <w:sz w:val="24"/>
          <w:szCs w:val="24"/>
          <w:lang w:eastAsia="sk-SK"/>
        </w:rPr>
        <w:t>9</w:t>
      </w:r>
      <w:r w:rsidRPr="00EA543A">
        <w:rPr>
          <w:rFonts w:ascii="Times New Roman" w:eastAsia="Times New Roman" w:hAnsi="Times New Roman" w:cs="Times New Roman"/>
          <w:b/>
          <w:sz w:val="24"/>
          <w:szCs w:val="24"/>
          <w:lang w:eastAsia="sk-SK"/>
        </w:rPr>
        <w:t>, 4</w:t>
      </w:r>
      <w:r w:rsidR="002309CB" w:rsidRPr="00EA543A">
        <w:rPr>
          <w:rFonts w:ascii="Times New Roman" w:eastAsia="Times New Roman" w:hAnsi="Times New Roman" w:cs="Times New Roman"/>
          <w:b/>
          <w:sz w:val="24"/>
          <w:szCs w:val="24"/>
          <w:lang w:eastAsia="sk-SK"/>
        </w:rPr>
        <w:t>3</w:t>
      </w:r>
      <w:r w:rsidRPr="00EA543A">
        <w:rPr>
          <w:rFonts w:ascii="Times New Roman" w:eastAsia="Times New Roman" w:hAnsi="Times New Roman" w:cs="Times New Roman"/>
          <w:b/>
          <w:sz w:val="24"/>
          <w:szCs w:val="24"/>
          <w:lang w:eastAsia="sk-SK"/>
        </w:rPr>
        <w:t xml:space="preserve"> až 4</w:t>
      </w:r>
      <w:r w:rsidR="002309CB" w:rsidRPr="00EA543A">
        <w:rPr>
          <w:rFonts w:ascii="Times New Roman" w:eastAsia="Times New Roman" w:hAnsi="Times New Roman" w:cs="Times New Roman"/>
          <w:b/>
          <w:sz w:val="24"/>
          <w:szCs w:val="24"/>
          <w:lang w:eastAsia="sk-SK"/>
        </w:rPr>
        <w:t>5</w:t>
      </w:r>
      <w:r w:rsidRPr="00EA543A">
        <w:rPr>
          <w:rFonts w:ascii="Times New Roman" w:eastAsia="Times New Roman" w:hAnsi="Times New Roman" w:cs="Times New Roman"/>
          <w:b/>
          <w:sz w:val="24"/>
          <w:szCs w:val="24"/>
          <w:lang w:eastAsia="sk-SK"/>
        </w:rPr>
        <w:t xml:space="preserve">, </w:t>
      </w:r>
      <w:r w:rsidR="002309CB" w:rsidRPr="00EA543A">
        <w:rPr>
          <w:rFonts w:ascii="Times New Roman" w:eastAsia="Times New Roman" w:hAnsi="Times New Roman" w:cs="Times New Roman"/>
          <w:b/>
          <w:sz w:val="24"/>
          <w:szCs w:val="24"/>
          <w:lang w:eastAsia="sk-SK"/>
        </w:rPr>
        <w:t>51</w:t>
      </w:r>
      <w:r w:rsidRPr="00EA543A">
        <w:rPr>
          <w:rFonts w:ascii="Times New Roman" w:eastAsia="Times New Roman" w:hAnsi="Times New Roman" w:cs="Times New Roman"/>
          <w:b/>
          <w:sz w:val="24"/>
          <w:szCs w:val="24"/>
          <w:lang w:eastAsia="sk-SK"/>
        </w:rPr>
        <w:t xml:space="preserve"> a </w:t>
      </w:r>
      <w:r w:rsidR="002309CB" w:rsidRPr="00EA543A">
        <w:rPr>
          <w:rFonts w:ascii="Times New Roman" w:eastAsia="Times New Roman" w:hAnsi="Times New Roman" w:cs="Times New Roman"/>
          <w:b/>
          <w:sz w:val="24"/>
          <w:szCs w:val="24"/>
          <w:lang w:eastAsia="sk-SK"/>
        </w:rPr>
        <w:t>54</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17 ods. 28, § 17a ods. 7, § 17b ods. 6 písm. a) a b), § 17c ods. 4 písm. a) a b), §  20 ods. 3, § 20 ods. 10</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Podľa zákona o dani z príjmov je možné až na vymedzené výnimky (napr. istinu z nesplateného úveru u bánk a u daňovníka, ktorý vykonáva obchodnú činnosť spočívajúcu v poskytovaní spotrebiteľských úverov) tvoriť daňovo uznanú opravnú položku iba k pohľadávke, ktorá bola zahrnutá do zdaniteľných príjmov a zároveň bola táto pohľadávka nepremlčaná. Od </w:t>
      </w:r>
      <w:proofErr w:type="spellStart"/>
      <w:r w:rsidRPr="00EA543A">
        <w:rPr>
          <w:rFonts w:ascii="Times New Roman" w:eastAsia="Times New Roman" w:hAnsi="Times New Roman" w:cs="Times New Roman"/>
          <w:sz w:val="24"/>
          <w:szCs w:val="24"/>
          <w:lang w:eastAsia="sk-SK"/>
        </w:rPr>
        <w:t>nepremlčanosti</w:t>
      </w:r>
      <w:proofErr w:type="spellEnd"/>
      <w:r w:rsidRPr="00EA543A">
        <w:rPr>
          <w:rFonts w:ascii="Times New Roman" w:eastAsia="Times New Roman" w:hAnsi="Times New Roman" w:cs="Times New Roman"/>
          <w:sz w:val="24"/>
          <w:szCs w:val="24"/>
          <w:lang w:eastAsia="sk-SK"/>
        </w:rPr>
        <w:t xml:space="preserve"> pohľadávky sa zároveň odvíja aj možnosť uplatnenia daňového výdavku pri odpise alebo postúpení pohľadávky. Vzhľadom na praktické problémy pri uplatnení daňového výdavku pri odpise pohľadávky resp. pri tvorbe opravnej položky k pohľadávke sa navrhuje posudzovať </w:t>
      </w:r>
      <w:proofErr w:type="spellStart"/>
      <w:r w:rsidRPr="00EA543A">
        <w:rPr>
          <w:rFonts w:ascii="Times New Roman" w:eastAsia="Times New Roman" w:hAnsi="Times New Roman" w:cs="Times New Roman"/>
          <w:sz w:val="24"/>
          <w:szCs w:val="24"/>
          <w:lang w:eastAsia="sk-SK"/>
        </w:rPr>
        <w:t>nepremlčanosť</w:t>
      </w:r>
      <w:proofErr w:type="spellEnd"/>
      <w:r w:rsidRPr="00EA543A">
        <w:rPr>
          <w:rFonts w:ascii="Times New Roman" w:eastAsia="Times New Roman" w:hAnsi="Times New Roman" w:cs="Times New Roman"/>
          <w:sz w:val="24"/>
          <w:szCs w:val="24"/>
          <w:lang w:eastAsia="sk-SK"/>
        </w:rPr>
        <w:t xml:space="preserve"> nie ku dňu tvorby opravnej položky, alebo ku dňu odpisu alebo postúpenia pohľadávky, ale k poslednému dňu zdaňovacieho obdobia, v ktorom dochádza k tvorbe opravnej položky, postúpeniu pohľadávky alebo odpisu pohľadávky. Pohľadávka sa v tomto prípade považuje za nepremlčanú, ak v príslušnom zdaňovacom období bola pohľadávka aspoň 1 kalendárny deň nepremlčaná. </w:t>
      </w:r>
    </w:p>
    <w:p w:rsidR="00DE73E5" w:rsidRPr="00EA543A" w:rsidRDefault="00DE73E5" w:rsidP="00BA62B0">
      <w:pPr>
        <w:spacing w:after="0" w:line="240" w:lineRule="auto"/>
        <w:ind w:left="66"/>
        <w:jc w:val="both"/>
        <w:rPr>
          <w:rFonts w:ascii="Times New Roman" w:eastAsia="Times New Roman" w:hAnsi="Times New Roman" w:cs="Times New Roman"/>
          <w:sz w:val="24"/>
          <w:szCs w:val="24"/>
          <w:u w:val="single"/>
          <w:lang w:eastAsia="sk-SK"/>
        </w:rPr>
      </w:pPr>
      <w:r w:rsidRPr="00EA543A">
        <w:rPr>
          <w:rFonts w:ascii="Times New Roman" w:eastAsia="Times New Roman" w:hAnsi="Times New Roman" w:cs="Times New Roman"/>
          <w:sz w:val="24"/>
          <w:szCs w:val="24"/>
          <w:u w:val="single"/>
          <w:lang w:eastAsia="sk-SK"/>
        </w:rPr>
        <w:lastRenderedPageBreak/>
        <w:t>Príklad</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Daňovník, ktorého zdaňovacím obdobím je kalendárny rok, zaúčtuje  31.12.2020 opravnú položku k pohľadávke zahrnutej do zdaniteľných príjmov vo výške 100 % menovitej hodnoty pohľadávky. Od splatnosti pohľadávky uplynulo viac ako 1 080 dní, avšak pohľadávka je podľa Občianskeho zákonníka od 1.10.2020 premlčaná. Podľa § 20 ods. 3 zákona o dani z príjmov sa však doplneným znením ustanovuje, že za dané zdaňovacie obdobie sa pohľadávka považuje stále za nepremlčanú, nakoľko bola splnená podmienka, t. j. pohľadávka bola aspoň 1 kalendárny deň v zdaňovacom období nepremlčaná. Opravná položka k pohľadávke zaúčtovaná 31.12.2020, kedy je pohľadávka podľa Občianskeho zákonníka už premlčaná, je stále podľa zákona o dani z príjmov považovaná za daňový výdavok.</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V § 17 ods. 28 zákona o dani z príjmov sa zároveň spresňuje výška daňového výdavku pri odpise resp. postúpení pohľadávky, ku ktorej mal daňovník zaúčtovanú opravnú položku, avšak neuplatnil si ju do daňových výdavkov v čase, keď pohľadávka bola nepremlčaná. Ak daňovník odpisuje takúto pohľadávku alebo ju postupuje až v čase, kedy je pohľadávka aj podľa zákona o dani z príjmov premlčaná, potom si môže uplatniť za daňový výdavok sumu najviac do výšky takej opravnej položky, ktorú mal zaúčtovanú a zároveň uplatnenú v daňových výdavkoch v čase, keď pohľadávka ešte nebola premlčaná.</w:t>
      </w:r>
    </w:p>
    <w:p w:rsidR="00DE73E5" w:rsidRPr="00EA543A" w:rsidRDefault="00DE73E5" w:rsidP="00BA62B0">
      <w:pPr>
        <w:spacing w:after="0" w:line="240" w:lineRule="auto"/>
        <w:ind w:left="66"/>
        <w:jc w:val="both"/>
        <w:rPr>
          <w:rFonts w:ascii="Times New Roman" w:eastAsia="Times New Roman" w:hAnsi="Times New Roman" w:cs="Times New Roman"/>
          <w:sz w:val="24"/>
          <w:szCs w:val="24"/>
          <w:u w:val="single"/>
          <w:lang w:eastAsia="sk-SK"/>
        </w:rPr>
      </w:pPr>
      <w:r w:rsidRPr="00EA543A">
        <w:rPr>
          <w:rFonts w:ascii="Times New Roman" w:eastAsia="Times New Roman" w:hAnsi="Times New Roman" w:cs="Times New Roman"/>
          <w:sz w:val="24"/>
          <w:szCs w:val="24"/>
          <w:u w:val="single"/>
          <w:lang w:eastAsia="sk-SK"/>
        </w:rPr>
        <w:t>Príklad</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Daňovník, ktorého zdaňovacím obdobím je kalendárny rok, si zaúčtoval v roku 2017 opravnú položku vo výške  100 % menovitej hodnoty pohľadávky. V roku 2019 bola pohľadávka viac ako 1080 dní po lehote splatnosti, avšak daňovník si uplatnil daňový výdavok iba vo výške 20 % opravnej položky k pohľadávke. V roku 2020, v ktorom pohľadávka nebola ani jeden kalendárny deň nepremlčaná sa rozhodol pohľadávku odpísať. Podľa § 17 ods. 28 písm. b) daňovník zvýši základ dane o sumu daňovo uznanej opravnej položky, ktorú si uplatnil za daňový výdavok podľa § 20, t.j. o 20 % menovitej hodnoty pohľadávky. Základ si môže znížiť o sumu opravnej položky, ktorú by si mohol uplatniť v čase odpisu pohľadávky. Keďže v čase odpisu je pohľadávka už premlčaná (celé zdaňovacie obdobie), nemôže si k nej uplatniť daňový výdavok vo výške 100 % menovitej hodnoty pohľadávky. Zákon o dani  z príjmov mu však umožňuje uplatniť si výdavok najviac do výšky, v akej si uplatnil opravnú položku za daňový výdavok v čase, keď ešte nebola pohľadávka premlčaná. Keďže si zo zaúčtovanej opravnej položky 100 % uplatnil za daňový výdavok v čase </w:t>
      </w:r>
      <w:proofErr w:type="spellStart"/>
      <w:r w:rsidRPr="00EA543A">
        <w:rPr>
          <w:rFonts w:ascii="Times New Roman" w:eastAsia="Times New Roman" w:hAnsi="Times New Roman" w:cs="Times New Roman"/>
          <w:sz w:val="24"/>
          <w:szCs w:val="24"/>
          <w:lang w:eastAsia="sk-SK"/>
        </w:rPr>
        <w:t>nepremlčanosti</w:t>
      </w:r>
      <w:proofErr w:type="spellEnd"/>
      <w:r w:rsidRPr="00EA543A">
        <w:rPr>
          <w:rFonts w:ascii="Times New Roman" w:eastAsia="Times New Roman" w:hAnsi="Times New Roman" w:cs="Times New Roman"/>
          <w:sz w:val="24"/>
          <w:szCs w:val="24"/>
          <w:lang w:eastAsia="sk-SK"/>
        </w:rPr>
        <w:t xml:space="preserve"> pohľadávky iba 20 % jej menovitej hodnoty, môže si základ dane zníži iba o sumu týchto 20 % menovitej hodnoty pohľadávky.</w:t>
      </w:r>
    </w:p>
    <w:p w:rsidR="00226F05" w:rsidRPr="00EA543A" w:rsidRDefault="00226F05" w:rsidP="00BA62B0">
      <w:pPr>
        <w:spacing w:after="0" w:line="240" w:lineRule="auto"/>
        <w:ind w:left="66"/>
        <w:jc w:val="both"/>
        <w:rPr>
          <w:rFonts w:ascii="Times New Roman" w:eastAsia="Times New Roman" w:hAnsi="Times New Roman" w:cs="Times New Roman"/>
          <w:sz w:val="24"/>
          <w:szCs w:val="24"/>
          <w:lang w:eastAsia="sk-SK"/>
        </w:rPr>
      </w:pPr>
    </w:p>
    <w:p w:rsidR="00226F05" w:rsidRPr="00EA543A" w:rsidRDefault="00226F05"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 bodom 40, 62, 64</w:t>
      </w:r>
      <w:r w:rsidR="00DD7092" w:rsidRPr="00EA543A">
        <w:rPr>
          <w:rFonts w:ascii="Times New Roman" w:hAnsi="Times New Roman" w:cs="Times New Roman"/>
          <w:b/>
          <w:sz w:val="24"/>
          <w:szCs w:val="24"/>
        </w:rPr>
        <w:t>,</w:t>
      </w:r>
      <w:r w:rsidRPr="00EA543A">
        <w:rPr>
          <w:rFonts w:ascii="Times New Roman" w:hAnsi="Times New Roman" w:cs="Times New Roman"/>
          <w:b/>
          <w:sz w:val="24"/>
          <w:szCs w:val="24"/>
        </w:rPr>
        <w:t xml:space="preserve"> 71</w:t>
      </w:r>
      <w:r w:rsidR="00DD7092" w:rsidRPr="00EA543A">
        <w:rPr>
          <w:rFonts w:ascii="Times New Roman" w:hAnsi="Times New Roman" w:cs="Times New Roman"/>
          <w:b/>
          <w:sz w:val="24"/>
          <w:szCs w:val="24"/>
        </w:rPr>
        <w:t xml:space="preserve"> a 133</w:t>
      </w:r>
      <w:r w:rsidRPr="00EA543A">
        <w:rPr>
          <w:rFonts w:ascii="Times New Roman" w:hAnsi="Times New Roman" w:cs="Times New Roman"/>
          <w:b/>
          <w:sz w:val="24"/>
          <w:szCs w:val="24"/>
        </w:rPr>
        <w:t xml:space="preserve"> - § 17 ods. 31, § 22 ods. 9, § 25 ods. 3</w:t>
      </w:r>
      <w:r w:rsidR="00DD7092" w:rsidRPr="00EA543A">
        <w:rPr>
          <w:rFonts w:ascii="Times New Roman" w:hAnsi="Times New Roman" w:cs="Times New Roman"/>
          <w:b/>
          <w:sz w:val="24"/>
          <w:szCs w:val="24"/>
        </w:rPr>
        <w:t>,</w:t>
      </w:r>
      <w:r w:rsidRPr="00EA543A">
        <w:rPr>
          <w:rFonts w:ascii="Times New Roman" w:hAnsi="Times New Roman" w:cs="Times New Roman"/>
          <w:b/>
          <w:sz w:val="24"/>
          <w:szCs w:val="24"/>
        </w:rPr>
        <w:t xml:space="preserve"> § 26 ods. 13</w:t>
      </w:r>
      <w:r w:rsidR="00DD7092" w:rsidRPr="00EA543A">
        <w:rPr>
          <w:rFonts w:ascii="Times New Roman" w:hAnsi="Times New Roman" w:cs="Times New Roman"/>
          <w:b/>
          <w:sz w:val="24"/>
          <w:szCs w:val="24"/>
        </w:rPr>
        <w:t xml:space="preserve"> a § 51f</w:t>
      </w:r>
    </w:p>
    <w:p w:rsidR="00226F05" w:rsidRPr="00EA543A" w:rsidRDefault="00226F05"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Ustanovenie § 26 ods. 13 umožňuje uplatniť u daňovníka, ktorý je </w:t>
      </w:r>
      <w:proofErr w:type="spellStart"/>
      <w:r w:rsidRPr="00EA543A">
        <w:rPr>
          <w:rFonts w:ascii="Times New Roman" w:hAnsi="Times New Roman" w:cs="Times New Roman"/>
          <w:sz w:val="24"/>
          <w:szCs w:val="24"/>
        </w:rPr>
        <w:t>mikrodaňovníkom</w:t>
      </w:r>
      <w:proofErr w:type="spellEnd"/>
      <w:r w:rsidRPr="00EA543A">
        <w:rPr>
          <w:rFonts w:ascii="Times New Roman" w:hAnsi="Times New Roman" w:cs="Times New Roman"/>
          <w:sz w:val="24"/>
          <w:szCs w:val="24"/>
        </w:rPr>
        <w:t xml:space="preserve"> pri majetku zaradenom v odpisových skupinách 0 až 4 (hnuteľný majetok) s výnimkou osobných automobilov, ktorých vstupná cena je 48 000 a viac, daňové odpisy najdlhšie  počas doby odpisovania stanovenej pre príslušnú odpisovú skupinu, do ktorej je majetok zaradený. To znamená, že </w:t>
      </w:r>
      <w:proofErr w:type="spellStart"/>
      <w:r w:rsidRPr="00EA543A">
        <w:rPr>
          <w:rFonts w:ascii="Times New Roman" w:hAnsi="Times New Roman" w:cs="Times New Roman"/>
          <w:sz w:val="24"/>
          <w:szCs w:val="24"/>
        </w:rPr>
        <w:t>mikrodaňovník</w:t>
      </w:r>
      <w:proofErr w:type="spellEnd"/>
      <w:r w:rsidRPr="00EA543A">
        <w:rPr>
          <w:rFonts w:ascii="Times New Roman" w:hAnsi="Times New Roman" w:cs="Times New Roman"/>
          <w:sz w:val="24"/>
          <w:szCs w:val="24"/>
        </w:rPr>
        <w:t xml:space="preserve"> má možnosť uplatniť si daňové odpisy najviac počas počtu zdaňovacích období, ktoré zodpovedajú dobe odpisovania stanovenej pre príslušnú odpisovú skupinu, pričom výška daňového odpisu je v tomto prípade na dobrovoľnom rozhodnutí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Navrhovaný spôsob daňových odpisov umožňuje uplatnenie vstupnej ceny, resp. vstupnej ceny zvýšenej o technické zhodnotenie majetku aj v jednom zdaňovacom období, pričom daňovník je povinný aplikovať ostatné ustanovenia týkajúce sa uplatňovania daňových výdavkov hmotného majetku ako je napr. ustanovenie § 24 ods. 5, § 19 ods. 3 písm. b), . Zákon o dani z príjmov v § 22 ods. 9 jednoznačne stanovuje, že </w:t>
      </w:r>
      <w:proofErr w:type="spellStart"/>
      <w:r w:rsidRPr="00EA543A">
        <w:rPr>
          <w:rFonts w:ascii="Times New Roman" w:hAnsi="Times New Roman" w:cs="Times New Roman"/>
          <w:sz w:val="24"/>
          <w:szCs w:val="24"/>
        </w:rPr>
        <w:t>mikrodaňovník</w:t>
      </w:r>
      <w:proofErr w:type="spellEnd"/>
      <w:r w:rsidRPr="00EA543A">
        <w:rPr>
          <w:rFonts w:ascii="Times New Roman" w:hAnsi="Times New Roman" w:cs="Times New Roman"/>
          <w:sz w:val="24"/>
          <w:szCs w:val="24"/>
        </w:rPr>
        <w:t xml:space="preserve">, ktorý bude uplatňovať zvýhodnený spôsob odpisovania stanovený v § 26 ods. 13, nemôže uplatniť ustanovenie o prerušení odpisovania. Navrhovaný spôsob odpisovania je možné použiť na hmotný majetok, ktorý je zaradený do užívania alebo u fyzickej osoby zaradený do obchodného </w:t>
      </w:r>
      <w:r w:rsidRPr="00EA543A">
        <w:rPr>
          <w:rFonts w:ascii="Times New Roman" w:hAnsi="Times New Roman" w:cs="Times New Roman"/>
          <w:sz w:val="24"/>
          <w:szCs w:val="24"/>
        </w:rPr>
        <w:lastRenderedPageBreak/>
        <w:t xml:space="preserve">majetku v zdaňovacom období, v ktorom je daňovník považovaný za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a uplatňuje uvedený spôsob daňových odpisov aj v nasledujúcich zdaňovacích obdobiach bez ohľadu na skutočnosť, či v týchto zdaňovacích obdobiach má alebo nemá status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V prípade vyradenia majetku pred uplynutím doby odpisovania alebo predlženej doby odpisovania, je daňovník povinný zvýšiť základ dane o kladný rozdiel medzi sumou už uplatnených odpisov do daňových výdavkov a sumou odpisov, ktoré by boli vyčíslené podľa § 27 alebo § 28 (v prípade majetku zaradeného do odpisovej skupiny 2 alebo 3) a má možnosť uplatniť si daňovú zostatkovú cenu podľa § 25 ods. 3 zákona o dani z príjmov.</w:t>
      </w:r>
    </w:p>
    <w:p w:rsidR="00DE73E5" w:rsidRPr="00EA543A" w:rsidRDefault="00DE73E5" w:rsidP="00BA62B0">
      <w:pPr>
        <w:spacing w:after="0" w:line="240" w:lineRule="auto"/>
        <w:jc w:val="both"/>
        <w:rPr>
          <w:rFonts w:ascii="Times New Roman" w:eastAsia="Times New Roman" w:hAnsi="Times New Roman" w:cs="Times New Roman"/>
          <w:b/>
          <w:sz w:val="24"/>
          <w:szCs w:val="24"/>
          <w:lang w:eastAsia="sk-SK"/>
        </w:rPr>
      </w:pPr>
    </w:p>
    <w:p w:rsidR="00DE73E5" w:rsidRPr="00EA543A" w:rsidRDefault="005C049C"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bodu </w:t>
      </w:r>
      <w:r w:rsidR="002309CB" w:rsidRPr="00EA543A">
        <w:rPr>
          <w:rFonts w:ascii="Times New Roman" w:eastAsia="Times New Roman" w:hAnsi="Times New Roman" w:cs="Times New Roman"/>
          <w:b/>
          <w:sz w:val="24"/>
          <w:szCs w:val="24"/>
          <w:lang w:eastAsia="sk-SK"/>
        </w:rPr>
        <w:t>41</w:t>
      </w:r>
      <w:r w:rsidRPr="00EA543A">
        <w:rPr>
          <w:rFonts w:ascii="Times New Roman" w:eastAsia="Times New Roman" w:hAnsi="Times New Roman" w:cs="Times New Roman"/>
          <w:b/>
          <w:sz w:val="24"/>
          <w:szCs w:val="24"/>
          <w:lang w:eastAsia="sk-SK"/>
        </w:rPr>
        <w:t xml:space="preserve"> -</w:t>
      </w:r>
      <w:r w:rsidR="00DE73E5" w:rsidRPr="00EA543A">
        <w:rPr>
          <w:rFonts w:ascii="Times New Roman" w:eastAsia="Times New Roman" w:hAnsi="Times New Roman" w:cs="Times New Roman"/>
          <w:b/>
          <w:sz w:val="24"/>
          <w:szCs w:val="24"/>
          <w:lang w:eastAsia="sk-SK"/>
        </w:rPr>
        <w:t xml:space="preserve"> § 17 ods. 32</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Ustanovenie § 17 ods. 32 zákona o dani z príjmov upravuje situáciu, kedy dochádza k zníženiu základu dane, ak daňovník zvyšoval základ dane o neuhradené záväzky podľa § 17 ods. 27. </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V písmene a) sa spresňuje, že za úhradu záväzku sa nepovažuje nahradenie pôvodného záväzku novým zmenkovým záväzkom.</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V písmene b) sa spresňuje, že pri odpise záväzku pri jeho zániku alebo premlčaní zaúčtovaný do výnosov sa základ dane zníži v závislosti od toho, či daňovník zvyšoval základ dane podľa § 17 ods. 27.</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 písmene c) sa ustanovuje, že v prípade tzv. </w:t>
      </w:r>
      <w:proofErr w:type="spellStart"/>
      <w:r w:rsidRPr="00EA543A">
        <w:rPr>
          <w:rFonts w:ascii="Times New Roman" w:eastAsia="Times New Roman" w:hAnsi="Times New Roman" w:cs="Times New Roman"/>
          <w:sz w:val="24"/>
          <w:szCs w:val="24"/>
          <w:lang w:eastAsia="sk-SK"/>
        </w:rPr>
        <w:t>novácie</w:t>
      </w:r>
      <w:proofErr w:type="spellEnd"/>
      <w:r w:rsidRPr="00EA543A">
        <w:rPr>
          <w:rFonts w:ascii="Times New Roman" w:eastAsia="Times New Roman" w:hAnsi="Times New Roman" w:cs="Times New Roman"/>
          <w:sz w:val="24"/>
          <w:szCs w:val="24"/>
          <w:lang w:eastAsia="sk-SK"/>
        </w:rPr>
        <w:t xml:space="preserve"> záväzku podľa §  570 až  574 Občianskeho zákonníka, kedy dochádza aj k zmene výšky záväzku sa o rozdiel medzi pôvodnou výškou záväzku a novou výšku záväzku môže znížiť základ dane, avšak súčasne musí byť splnená podmienka podľa § 17 ods. 27 na novú výšku záväzku, nakoľko splatnosť pôvodného záväzku sa novým záväzkom na daňové účely nemení.</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Pôvodné písmeno c) sa označuje ako písmeno d) a obsahuje úpravu základu dane pri vyhlásení konkurzu alebo pri potvrdení reštrukturalizačného plánu súdom.</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p>
    <w:p w:rsidR="00DE73E5" w:rsidRPr="00EA543A" w:rsidRDefault="005C049C"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bodu </w:t>
      </w:r>
      <w:r w:rsidR="002309CB" w:rsidRPr="00EA543A">
        <w:rPr>
          <w:rFonts w:ascii="Times New Roman" w:eastAsia="Times New Roman" w:hAnsi="Times New Roman" w:cs="Times New Roman"/>
          <w:b/>
          <w:sz w:val="24"/>
          <w:szCs w:val="24"/>
          <w:lang w:eastAsia="sk-SK"/>
        </w:rPr>
        <w:t>42</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17 ods. 33</w:t>
      </w:r>
    </w:p>
    <w:p w:rsidR="00DE73E5" w:rsidRPr="00EA543A" w:rsidRDefault="00DE73E5"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zákone o dani z príjmov sa spresňuje, že súčasťou základu dane je aj precenenie cenných papierov určených na obchodovanie na reálnu hodnotu účtované ako náklad alebo výnos</w:t>
      </w:r>
      <w:r w:rsidR="00752AC3" w:rsidRPr="00EA543A">
        <w:rPr>
          <w:rFonts w:ascii="Times New Roman" w:hAnsi="Times New Roman" w:cs="Times New Roman"/>
          <w:sz w:val="24"/>
          <w:szCs w:val="24"/>
        </w:rPr>
        <w:t xml:space="preserve"> prostredníctvom účtov 564 resp. 664, alebo 566 resp. 666 postupov účtovania.</w:t>
      </w:r>
    </w:p>
    <w:p w:rsidR="00DE73E5" w:rsidRPr="00EA543A" w:rsidRDefault="00DE73E5" w:rsidP="00BA62B0">
      <w:pPr>
        <w:pStyle w:val="Odsekzoznamu"/>
        <w:spacing w:after="0" w:line="240" w:lineRule="auto"/>
        <w:ind w:left="0"/>
        <w:jc w:val="both"/>
        <w:rPr>
          <w:rFonts w:ascii="Times New Roman" w:hAnsi="Times New Roman" w:cs="Times New Roman"/>
          <w:sz w:val="24"/>
          <w:szCs w:val="24"/>
        </w:rPr>
      </w:pPr>
    </w:p>
    <w:p w:rsidR="00DE73E5" w:rsidRPr="00EA543A" w:rsidRDefault="00B7414E"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bodu 4</w:t>
      </w:r>
      <w:r w:rsidR="00C95BCF" w:rsidRPr="00EA543A">
        <w:rPr>
          <w:rFonts w:ascii="Times New Roman" w:eastAsia="Times New Roman" w:hAnsi="Times New Roman" w:cs="Times New Roman"/>
          <w:b/>
          <w:sz w:val="24"/>
          <w:szCs w:val="24"/>
          <w:lang w:eastAsia="sk-SK"/>
        </w:rPr>
        <w:t>6</w:t>
      </w:r>
      <w:r w:rsidRPr="00EA543A">
        <w:rPr>
          <w:rFonts w:ascii="Times New Roman" w:eastAsia="Times New Roman" w:hAnsi="Times New Roman" w:cs="Times New Roman"/>
          <w:b/>
          <w:sz w:val="24"/>
          <w:szCs w:val="24"/>
          <w:lang w:eastAsia="sk-SK"/>
        </w:rPr>
        <w:t xml:space="preserve"> -</w:t>
      </w:r>
      <w:r w:rsidR="00DE73E5" w:rsidRPr="00EA543A">
        <w:rPr>
          <w:rFonts w:ascii="Times New Roman" w:eastAsia="Times New Roman" w:hAnsi="Times New Roman" w:cs="Times New Roman"/>
          <w:b/>
          <w:sz w:val="24"/>
          <w:szCs w:val="24"/>
          <w:lang w:eastAsia="sk-SK"/>
        </w:rPr>
        <w:t xml:space="preserve"> § 17e ods. 14:</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Odsek 14 upravuje povinnosť právneho nástupcu zdaniť príjem vyplatený z oceňovacích rozdielov z precenenia pri zlúčení, splynutí alebo rozdelení obchodných spoločností alebo družstiev, ak je vyplácaný príjem v sume vyššej ako je súčin podielu sumy vykázaných oceňovacích rozdielov a najdlhšej doby odpisovania u majetku nadobudnutého pri zlúčení, splynutí alebo rozdelení a počtu zdaňovacích období odpisovania tohto majetku. Suma vyplatených oceňovacích rozdielov prevyšujúca tento podiel sa zdaní daňou vyberanou zrážkou. Ak sa oceňovacie rozdiely z precenenia pri zlúčení, splynutí alebo rozdelení obchodných spoločností alebo družstiev vzťahujú iba k neodpisovanému majetku, potom sa celá vyplatená suma zdaní daňou vyberanou zrážkou. Rovnako sa bude postupovať, ak sa suma oceňovacích rozdielov použila na zvýšenie základného imania a následne dochádza pri znížení základného imania k výplate týchto prostriedkov.</w:t>
      </w:r>
    </w:p>
    <w:p w:rsidR="00DE73E5" w:rsidRPr="00EA543A" w:rsidRDefault="00DE73E5" w:rsidP="00BA62B0">
      <w:pPr>
        <w:pStyle w:val="Odsekzoznamu"/>
        <w:spacing w:after="0" w:line="240" w:lineRule="auto"/>
        <w:ind w:left="0"/>
        <w:jc w:val="both"/>
        <w:rPr>
          <w:rFonts w:ascii="Times New Roman" w:hAnsi="Times New Roman" w:cs="Times New Roman"/>
          <w:sz w:val="24"/>
          <w:szCs w:val="24"/>
        </w:rPr>
      </w:pPr>
    </w:p>
    <w:p w:rsidR="00DE73E5" w:rsidRPr="00EA543A" w:rsidRDefault="00B7414E"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bodom 4</w:t>
      </w:r>
      <w:r w:rsidR="00C95BCF" w:rsidRPr="00EA543A">
        <w:rPr>
          <w:rFonts w:ascii="Times New Roman" w:eastAsia="Times New Roman" w:hAnsi="Times New Roman" w:cs="Times New Roman"/>
          <w:b/>
          <w:sz w:val="24"/>
          <w:szCs w:val="24"/>
          <w:lang w:eastAsia="sk-SK"/>
        </w:rPr>
        <w:t>7</w:t>
      </w:r>
      <w:r w:rsidRPr="00EA543A">
        <w:rPr>
          <w:rFonts w:ascii="Times New Roman" w:eastAsia="Times New Roman" w:hAnsi="Times New Roman" w:cs="Times New Roman"/>
          <w:b/>
          <w:sz w:val="24"/>
          <w:szCs w:val="24"/>
          <w:lang w:eastAsia="sk-SK"/>
        </w:rPr>
        <w:t xml:space="preserve">, </w:t>
      </w:r>
      <w:r w:rsidR="00C95BCF" w:rsidRPr="00EA543A">
        <w:rPr>
          <w:rFonts w:ascii="Times New Roman" w:eastAsia="Times New Roman" w:hAnsi="Times New Roman" w:cs="Times New Roman"/>
          <w:b/>
          <w:sz w:val="24"/>
          <w:szCs w:val="24"/>
          <w:lang w:eastAsia="sk-SK"/>
        </w:rPr>
        <w:t>12</w:t>
      </w:r>
      <w:r w:rsidR="005B2651" w:rsidRPr="00EA543A">
        <w:rPr>
          <w:rFonts w:ascii="Times New Roman" w:eastAsia="Times New Roman" w:hAnsi="Times New Roman" w:cs="Times New Roman"/>
          <w:b/>
          <w:sz w:val="24"/>
          <w:szCs w:val="24"/>
          <w:lang w:eastAsia="sk-SK"/>
        </w:rPr>
        <w:t>5</w:t>
      </w:r>
      <w:r w:rsidR="006A4540" w:rsidRPr="00EA543A">
        <w:rPr>
          <w:rFonts w:ascii="Times New Roman" w:eastAsia="Times New Roman" w:hAnsi="Times New Roman" w:cs="Times New Roman"/>
          <w:b/>
          <w:sz w:val="24"/>
          <w:szCs w:val="24"/>
          <w:lang w:eastAsia="sk-SK"/>
        </w:rPr>
        <w:t xml:space="preserve"> </w:t>
      </w:r>
      <w:r w:rsidRPr="00EA543A">
        <w:rPr>
          <w:rFonts w:ascii="Times New Roman" w:eastAsia="Times New Roman" w:hAnsi="Times New Roman" w:cs="Times New Roman"/>
          <w:b/>
          <w:sz w:val="24"/>
          <w:szCs w:val="24"/>
          <w:lang w:eastAsia="sk-SK"/>
        </w:rPr>
        <w:t>a 1</w:t>
      </w:r>
      <w:r w:rsidR="007F2B8C" w:rsidRPr="00EA543A">
        <w:rPr>
          <w:rFonts w:ascii="Times New Roman" w:eastAsia="Times New Roman" w:hAnsi="Times New Roman" w:cs="Times New Roman"/>
          <w:b/>
          <w:sz w:val="24"/>
          <w:szCs w:val="24"/>
          <w:lang w:eastAsia="sk-SK"/>
        </w:rPr>
        <w:t>3</w:t>
      </w:r>
      <w:r w:rsidR="006A4540" w:rsidRPr="00EA543A">
        <w:rPr>
          <w:rFonts w:ascii="Times New Roman" w:eastAsia="Times New Roman" w:hAnsi="Times New Roman" w:cs="Times New Roman"/>
          <w:b/>
          <w:sz w:val="24"/>
          <w:szCs w:val="24"/>
          <w:lang w:eastAsia="sk-SK"/>
        </w:rPr>
        <w:t>8</w:t>
      </w:r>
      <w:r w:rsidRPr="00EA543A">
        <w:rPr>
          <w:rFonts w:ascii="Times New Roman" w:eastAsia="Times New Roman" w:hAnsi="Times New Roman" w:cs="Times New Roman"/>
          <w:b/>
          <w:sz w:val="24"/>
          <w:szCs w:val="24"/>
          <w:lang w:eastAsia="sk-SK"/>
        </w:rPr>
        <w:t xml:space="preserve"> - </w:t>
      </w:r>
      <w:r w:rsidR="006A4540" w:rsidRPr="00EA543A">
        <w:rPr>
          <w:rFonts w:ascii="Times New Roman" w:eastAsia="Times New Roman" w:hAnsi="Times New Roman" w:cs="Times New Roman"/>
          <w:b/>
          <w:sz w:val="24"/>
          <w:szCs w:val="24"/>
          <w:lang w:eastAsia="sk-SK"/>
        </w:rPr>
        <w:t>§ 17i, § 45 ods. 5 a</w:t>
      </w:r>
      <w:r w:rsidR="00DE73E5" w:rsidRPr="00EA543A">
        <w:rPr>
          <w:rFonts w:ascii="Times New Roman" w:eastAsia="Times New Roman" w:hAnsi="Times New Roman" w:cs="Times New Roman"/>
          <w:b/>
          <w:sz w:val="24"/>
          <w:szCs w:val="24"/>
          <w:lang w:eastAsia="sk-SK"/>
        </w:rPr>
        <w:t xml:space="preserve"> Príloha č. 2</w:t>
      </w:r>
    </w:p>
    <w:p w:rsidR="002A55E1" w:rsidRPr="00EA543A" w:rsidRDefault="002A55E1"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Ustanovenie § 17i obsahuje implementáciu opatrení zo smernice Rady (EU) 2017/952 z 29. mája 2017, ktorou sa mení smernica (EÚ) 2016/1164, pokiaľ ide o hybridné nesúlady s tretími krajinami (ďalej len „ATAD 2“). Smernica (EÚ) 2016/1164 obsahovala iba pravidlá týkajúce sa hybridných nesúladov medzi členskými štátmi. Smernica ATAD 2 obsahuje pravidlá týkajúce sa hybridných nesúladov s tretími krajinami, ak aspoň jedna zo zúčastnených strán je právnickou osobou, ktorá je daňovníkom alebo v prípade reverzných hybridov subjektom v </w:t>
      </w:r>
      <w:r w:rsidRPr="00EA543A">
        <w:rPr>
          <w:rFonts w:ascii="Times New Roman" w:hAnsi="Times New Roman" w:cs="Times New Roman"/>
          <w:sz w:val="24"/>
          <w:szCs w:val="24"/>
        </w:rPr>
        <w:lastRenderedPageBreak/>
        <w:t>členskom štáte. Implementácia tejto smernice sa zároveň dopĺňa do Prílohy č. 2 do zoznamu právne záväzných aktov Európskej únie preberaných do zákona o dani z príjmov.</w:t>
      </w:r>
    </w:p>
    <w:p w:rsidR="002A55E1" w:rsidRPr="00EA543A" w:rsidRDefault="002A55E1" w:rsidP="00BA62B0">
      <w:pPr>
        <w:spacing w:after="0" w:line="240" w:lineRule="auto"/>
        <w:jc w:val="both"/>
        <w:rPr>
          <w:rFonts w:ascii="Times New Roman" w:hAnsi="Times New Roman" w:cs="Times New Roman"/>
          <w:sz w:val="24"/>
          <w:szCs w:val="24"/>
        </w:rPr>
      </w:pPr>
    </w:p>
    <w:p w:rsidR="002A55E1" w:rsidRPr="00EA543A" w:rsidRDefault="002A55E1"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V odseku 1 je vymedzený okruh daňovníkov, na ktorých sa uplatňujú pravidlá pre zamedzenie hybridným nesúladom. Tieto pravidlá sa vzťahujú na situácie, ktoré vznikajú medzi daňovníkom, ktorý je právnickou osobou a jeho závislými osobami predovšetkým </w:t>
      </w:r>
      <w:r w:rsidR="00B503C7" w:rsidRPr="00EA543A">
        <w:rPr>
          <w:rFonts w:ascii="Times New Roman" w:hAnsi="Times New Roman" w:cs="Times New Roman"/>
          <w:sz w:val="24"/>
          <w:szCs w:val="24"/>
        </w:rPr>
        <w:t xml:space="preserve">medzi </w:t>
      </w:r>
      <w:r w:rsidRPr="00EA543A">
        <w:rPr>
          <w:rFonts w:ascii="Times New Roman" w:hAnsi="Times New Roman" w:cs="Times New Roman"/>
          <w:sz w:val="24"/>
          <w:szCs w:val="24"/>
        </w:rPr>
        <w:t>daňovníkom a jeho závislou osobou, ústredím a jeho stálou prevádzkarňou, alebo medzi stálymi prevádzkarňami toho istého daňovníka. Nesúlady sa vzťahujú aj na nezávislé osoby, ktoré sú súčasťou štruktúrovanej schémy. Štruktúrovanou schémou sa rozumejú kroky, ktoré vedú k hybridnému nesúladu medzi závislými osobami, ktorých výsledky sú premietnuté do výhodnejších podmienok  uplatňovaných aj voči nezávislým osobám. Štruktúrovanou schému sa rozumie aj súbor opatrení, ktoré boli nastavené tak, aby vytvorili hybridný nesúlad okrem situácie, kedy daňovník alebo závislá osoba nemohli vedieť, že dôjde k hybridnému nesúladu a nezdieľali výhody plynúce z výsledkov týchto nesúladov.</w:t>
      </w:r>
    </w:p>
    <w:p w:rsidR="002A55E1" w:rsidRPr="00EA543A" w:rsidRDefault="002A55E1"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Odsek 2 - Základným výsledkom hybridných nesúladov môže byť odpočet výdavku, nákladu alebo straty bez jeho zahrnutia do zdaniteľných príjmov alebo výnosov alebo viacnásobný odpočet výdavkov u viacerých závislých osôb.</w:t>
      </w:r>
    </w:p>
    <w:p w:rsidR="002A55E1" w:rsidRPr="00EA543A" w:rsidRDefault="002A55E1"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odseku 2 písm. a) sú vymedzené situácie, v ktorých dochádza k vzniku hybridných nesúladov:</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hybridný finančný nástroj - hybridný nesúlad vedúci k odpočtu výdavku (nákladu) a nezahrnutiu príjmu (výnosu) do zdaniteľného príjmu v dôsledku hybridného finančného nástroja alebo platby plynúcej na základe tohto finančného nástroja. Najčastejšie ide o situáciu, kedy je finančný nástroj u jednej závislej osoby považovaný za dlhový nástroj a vyplatená platba za úrokový náklad znižujúci základ dane a u príjemcu (závislej osoby) je považovaný za majetkový nástroj a prijatá platba za dividendu, ktorá u príjemcu nie je predmetom dane, alebo je od dane oslobodená. Príjem (výnos) sa považuje</w:t>
      </w:r>
      <w:r w:rsidR="00B503C7" w:rsidRPr="00EA543A">
        <w:rPr>
          <w:rFonts w:ascii="Times New Roman" w:hAnsi="Times New Roman" w:cs="Times New Roman"/>
          <w:sz w:val="24"/>
          <w:szCs w:val="24"/>
        </w:rPr>
        <w:t xml:space="preserve"> za</w:t>
      </w:r>
      <w:r w:rsidRPr="00EA543A">
        <w:rPr>
          <w:rFonts w:ascii="Times New Roman" w:hAnsi="Times New Roman" w:cs="Times New Roman"/>
          <w:sz w:val="24"/>
          <w:szCs w:val="24"/>
        </w:rPr>
        <w:t xml:space="preserve"> nezahrnutý aj vtedy, ak nie je zahrnutý do základu dane v primeranej lehote, ktorou je lehota 12 kalendárnych mesiacov od skončenia zdaňovacieho obdobia daňovníka. Príjem sa považuje za zahrnutý, aj keď nie je zahrnutý do základu dane v ustanovenej lehote, avšak daňovník vie preukázať, že bude zahrnutý do základu dane v nasledujúcich zdaňovacích obdobiach.</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hybridný subjekt – ide o hybridný nesúlad vedúci k odpočtu výdavku (nákladu) a nezahrnutiu príjmu (výnosu) do zdaniteľného príjmu v dôsledku rozdielneho prístupu v priradení príjmu, ku ktorému dochádza najčastejšie v dôsledku rozdielneho posúdenia spoločnosti, ktorej plynú dané príjmy (výnosy). Ide o tzv. hybridné subjekty. Hybridným subjektom sa rozumie spravidla právnická osoba, ktorá je považovaná podľa štátu, v ktorom je založená za samostatného daňovníka, avšak podľa štátu jej zakladateľa (majiteľa akcií) je považovaná za transparentnú spoločnosť. Môže ísť aj o opačne posúdenú situáciu, kedy štát zakladateľa (majiteľa akcií) považuje spoločnosť založenú v inom štáte za samostatného daňovníka a naopak štát, v ktorom je spoločnosť založená považuje spoločnosť za transparentnú - ide o tzv. reverzný hybridný subjekt. V uvedenom prípade dochádza k uplatneniu daňového výdavku avšak nezahrnutiu príjmu do zdaniteľného príjmu ani v štáte, v ktorom je spoločnosť založená, ani v štáte jej zakladateľa (majiteľa akcií).</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odklonená platba – ide o hybridný nesúlad vedúci k odpočtu výdavku (nákladu) a nezahrnutiu príjmu (výnosu) do zdaniteľného príjmu v dôsledku rozdielneho prístupu v priradení príjmu (výnosu) medzi ústredím a stálou prevádzkarňou. Štát ústredia priradí platbu stálej prevádzkarni v inom štáte, kým štát, kde je stála prevádzkareň umiestnená priradí platbu štátu ústredia, čím dochádza k nezdaneniu príjmu ani ústredím, ani stálou prevádzkarňou, avšak u vyplácajúceho je výdavkom (nákladom) znižujúcim základ dane.</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lastRenderedPageBreak/>
        <w:t>bod – nerozpoznaná stála prevádzkareň - ide o hybridný nesúlad vedúci k odpočtu výdavku (nákladu) a nezahrnutiu príjmu (výnosu) do zdaniteľného príjmu v dôsledku rozdielneho prístupu v priradení príjmu (výnosu) medzi ústredím a stálou prevádzkarňou, avšak v tomto prípade štát, v ktorom má byť stála prevádzkareň umiestnená, nedeklaruje existenciu stálej prevádzkarne. Štát ústredia priradí platbu stálej prevádzkarni v inom štáte, v ktorom však stála prevádzkareň nie je rozpoznaná, príjem tak nie je zahrnutý do základu dane ústredia ani stálej prevádzkarne, avšak u vyplácajúceho je výdavkom (nákladom) znižujúcim základ dane.</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nezohľadnená platba - ide o hybridný nesúlad vedúci k odpočtu výdavku (nákladu) a nezahrnutiu príjmu (výnosu) do zdaniteľného príjmu v dôsledku  platby (výdavku) uskutočnenej hybridným subjektom a nezahrnutím príjmu u závislej osoby.</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platba považovaná za realizovanú - ide o hybridný nesúlad vedúci k odpočtu výdavku (nákladu) a nezahrnutiu príjmu (výnosu) do zdaniteľného príjmu v dôsledku pomyslenej platby realizovanej stálou prevádzkarňou ústrediu (alebo aj opačne) a nezahrnutím tohto príjmu do zdaniteľného príjmu ústredia (stálej prevádzkarne.</w:t>
      </w:r>
    </w:p>
    <w:p w:rsidR="002A55E1" w:rsidRPr="00EA543A" w:rsidRDefault="002A55E1" w:rsidP="00BA62B0">
      <w:pPr>
        <w:pStyle w:val="Odsekzoznamu"/>
        <w:numPr>
          <w:ilvl w:val="1"/>
          <w:numId w:val="2"/>
        </w:numPr>
        <w:spacing w:after="0" w:line="240" w:lineRule="auto"/>
        <w:ind w:left="426"/>
        <w:jc w:val="both"/>
        <w:rPr>
          <w:rFonts w:ascii="Times New Roman" w:hAnsi="Times New Roman" w:cs="Times New Roman"/>
          <w:sz w:val="24"/>
          <w:szCs w:val="24"/>
        </w:rPr>
      </w:pPr>
      <w:r w:rsidRPr="00EA543A">
        <w:rPr>
          <w:rFonts w:ascii="Times New Roman" w:hAnsi="Times New Roman" w:cs="Times New Roman"/>
          <w:sz w:val="24"/>
          <w:szCs w:val="24"/>
        </w:rPr>
        <w:t>bod – viacnásobný odpočet výdavku (nákladu) bez zahrnutia viacnásobného príjmu (výnosu) do zdaniteľného príjmu. Najčastejšie ide o situácie v dôsledku hybridných subjektov, kedy dochádza k uplatneniu výdavku (nákladu) v štáte, kde je spoločnosť založená a rovnako aj v štáte je</w:t>
      </w:r>
      <w:r w:rsidR="00B503C7" w:rsidRPr="00EA543A">
        <w:rPr>
          <w:rFonts w:ascii="Times New Roman" w:hAnsi="Times New Roman" w:cs="Times New Roman"/>
          <w:sz w:val="24"/>
          <w:szCs w:val="24"/>
        </w:rPr>
        <w:t>j</w:t>
      </w:r>
      <w:r w:rsidRPr="00EA543A">
        <w:rPr>
          <w:rFonts w:ascii="Times New Roman" w:hAnsi="Times New Roman" w:cs="Times New Roman"/>
          <w:sz w:val="24"/>
          <w:szCs w:val="24"/>
        </w:rPr>
        <w:t xml:space="preserve"> zakladateľa (majiteľa akcií). Súčasne však môže dochádzať aj </w:t>
      </w:r>
      <w:r w:rsidR="00B503C7" w:rsidRPr="00EA543A">
        <w:rPr>
          <w:rFonts w:ascii="Times New Roman" w:hAnsi="Times New Roman" w:cs="Times New Roman"/>
          <w:sz w:val="24"/>
          <w:szCs w:val="24"/>
        </w:rPr>
        <w:t>k</w:t>
      </w:r>
      <w:r w:rsidRPr="00EA543A">
        <w:rPr>
          <w:rFonts w:ascii="Times New Roman" w:hAnsi="Times New Roman" w:cs="Times New Roman"/>
          <w:sz w:val="24"/>
          <w:szCs w:val="24"/>
        </w:rPr>
        <w:t> viacnásobnému zahrnutiu príjmov (výnosov) do zdaniteľného príjmu, preto nesúlad vzniká iba v rozsahu, v akom súčasne pri viacnásobnom uplatnení výdavkov nedochádza k viacnásobnému zahrnutiu príjmov (výnosov) do zdaniteľných príjmov.</w:t>
      </w:r>
    </w:p>
    <w:p w:rsidR="002A55E1" w:rsidRPr="00EA543A" w:rsidRDefault="002A55E1" w:rsidP="00BA62B0">
      <w:pPr>
        <w:spacing w:after="0" w:line="240" w:lineRule="auto"/>
        <w:ind w:left="66"/>
        <w:jc w:val="both"/>
        <w:rPr>
          <w:rFonts w:ascii="Times New Roman" w:hAnsi="Times New Roman" w:cs="Times New Roman"/>
          <w:sz w:val="24"/>
          <w:szCs w:val="24"/>
        </w:rPr>
      </w:pPr>
      <w:r w:rsidRPr="00EA543A">
        <w:rPr>
          <w:rFonts w:ascii="Times New Roman" w:hAnsi="Times New Roman" w:cs="Times New Roman"/>
          <w:sz w:val="24"/>
          <w:szCs w:val="24"/>
        </w:rPr>
        <w:t>písm. b) – vložený hybridný nesúlad – ide o situáciu, kedy hybridný nesúlad nevzniká priamo medzi daňovníkom a jeho závislou osobu, ale medzi jeho závislými osobami, avšak daňovník sa priamo alebo nepriamo podieľal na financovaní tohto nesúladu.</w:t>
      </w:r>
    </w:p>
    <w:p w:rsidR="002A55E1" w:rsidRPr="00EA543A" w:rsidRDefault="002A55E1" w:rsidP="00BA62B0">
      <w:pPr>
        <w:spacing w:after="0" w:line="240" w:lineRule="auto"/>
        <w:ind w:left="66"/>
        <w:jc w:val="both"/>
        <w:rPr>
          <w:rFonts w:ascii="Times New Roman" w:hAnsi="Times New Roman" w:cs="Times New Roman"/>
          <w:sz w:val="24"/>
          <w:szCs w:val="24"/>
        </w:rPr>
      </w:pPr>
      <w:r w:rsidRPr="00EA543A">
        <w:rPr>
          <w:rFonts w:ascii="Times New Roman" w:hAnsi="Times New Roman" w:cs="Times New Roman"/>
          <w:sz w:val="24"/>
          <w:szCs w:val="24"/>
        </w:rPr>
        <w:t>V odseku 3 sú špecifikované vybrané pojmy, ktoré vysvetľujú resp. bližšie špecifikujú hybridné nesúlady, napr. čo sa rozumie odpočtom (výdavku) nákladu bez zahrnutia do príjmu (výnosu), čo sa považuje za hybridný subjekt. Bližšie sa napr. špecifikuje, že hybridné nesúlady týkajúce sa hybridného subjektu a stálych prevádzkarní podľa odseku 2 písm. a) 2.-5. bodu a 7. bodu sa definícia závislej osoby modifikuje tým spôsobom, že sa hranica 25 % účasti na majetku, hlasovacích právach a zisku zvyšuje na 50 %.</w:t>
      </w:r>
    </w:p>
    <w:p w:rsidR="002A55E1" w:rsidRPr="00EA543A" w:rsidRDefault="002A55E1" w:rsidP="00BA62B0">
      <w:pPr>
        <w:spacing w:after="0" w:line="240" w:lineRule="auto"/>
        <w:ind w:left="66"/>
        <w:jc w:val="both"/>
        <w:rPr>
          <w:rFonts w:ascii="Times New Roman" w:hAnsi="Times New Roman" w:cs="Times New Roman"/>
          <w:sz w:val="24"/>
          <w:szCs w:val="24"/>
        </w:rPr>
      </w:pPr>
      <w:r w:rsidRPr="00EA543A">
        <w:rPr>
          <w:rFonts w:ascii="Times New Roman" w:hAnsi="Times New Roman" w:cs="Times New Roman"/>
          <w:sz w:val="24"/>
          <w:szCs w:val="24"/>
        </w:rPr>
        <w:t>V odseku 4 sú vymedzené situácie, kedy napriek tomu, že hybridný nesúlad vznikne, nepovažuje sa za nesúlad, na ktorý sa budú vzťahovať pravidlá uvedené v odseku 5. Ide napr. o situáciu, kedy jednou zo strán nesúladu je daňovník nezaložený alebo nezriadený na podnikanie resp. fyzická osoba. Za hybridný nesúlad sa rovnako nepovažuje nesúlad vznikajúci u obchodníka s cennými papiermi. V dôsledku prevedených finančných nástrojov môže dôjsť pri výplate výnosov z prevedených finančných nástrojov k vzniku hybridného nesúladu, avšak z nesúladov sú vylúčené situácie, ak obchodník s cennými papiermi pri prevedení platby, uplatnenej v daňových výdavkoch má zároveň aj prijatú platbu zahrnutú do zdaniteľných príjmov súvisiacu s prevedeným finančným nástrojom. Uvedené však neplatí, ak táto situácia vznikne v dôsledku štruktúrovanej schémy.</w:t>
      </w:r>
    </w:p>
    <w:p w:rsidR="002A55E1" w:rsidRPr="00EA543A" w:rsidRDefault="002A55E1" w:rsidP="00BA62B0">
      <w:pPr>
        <w:spacing w:after="0" w:line="240" w:lineRule="auto"/>
        <w:ind w:left="66"/>
        <w:jc w:val="both"/>
        <w:rPr>
          <w:rFonts w:ascii="Times New Roman" w:hAnsi="Times New Roman" w:cs="Times New Roman"/>
          <w:sz w:val="24"/>
          <w:szCs w:val="24"/>
        </w:rPr>
      </w:pPr>
      <w:r w:rsidRPr="00EA543A">
        <w:rPr>
          <w:rFonts w:ascii="Times New Roman" w:hAnsi="Times New Roman" w:cs="Times New Roman"/>
          <w:sz w:val="24"/>
          <w:szCs w:val="24"/>
        </w:rPr>
        <w:t>Odsek 5 obsahuje pravidlá, ktoré majú zamedziť vzniknutým hybridným nesúladom. Ak dôjde k hybridnému nesúladu vedúcemu k:</w:t>
      </w:r>
    </w:p>
    <w:p w:rsidR="002A55E1" w:rsidRPr="00EA543A"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EA543A">
        <w:rPr>
          <w:rFonts w:ascii="Times New Roman" w:hAnsi="Times New Roman" w:cs="Times New Roman"/>
          <w:sz w:val="24"/>
          <w:szCs w:val="24"/>
        </w:rPr>
        <w:t>viacnásobnému odpočtu výdavkov (nákladov) bez viacnásobného zahrnutia príjmov (výnosov), potom riešením je zamietnutie uplatnenia daňového výdavku resp. zníženia základu dane. Primárne má tento výdavok (náklad resp. stratu) zamietnuť (t.j. neuplatniť ako daňový výdavok alebo zníženie základu dane) zriaďovateľ daného subjektu (tzv. štát investora), ktorý v dôsledku hybridných subjektov dané výdavky (náklady) iba prevezme do svojho základu dane. Ak však štát investora nezabráni nesúladu, musí uplatniť tzv. sekundárne pravidlo štát, v ktorom je hybridný subjekt zriadený (tzv. štát zdroja)</w:t>
      </w:r>
    </w:p>
    <w:p w:rsidR="002A55E1" w:rsidRPr="00EA543A"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EA543A">
        <w:rPr>
          <w:rFonts w:ascii="Times New Roman" w:hAnsi="Times New Roman" w:cs="Times New Roman"/>
          <w:sz w:val="24"/>
          <w:szCs w:val="24"/>
        </w:rPr>
        <w:lastRenderedPageBreak/>
        <w:t>odpočtu výdavkov (nákladov) bez zahrnutia do príjmov (výnosov) – primárnym riešením je zamietnutie daňového výdavku. Ak nesúladu nezabráni štát, v ktorom sa uplatňoval daňový výdavok, nesúladu musí zabrániť štát príjemcu, a to zahrnutím príjmu do zdaniteľného príjmu (t.j. napr. neuplatnením oslobodenia)</w:t>
      </w:r>
    </w:p>
    <w:p w:rsidR="002A55E1" w:rsidRPr="00EA543A" w:rsidRDefault="002A55E1" w:rsidP="00BA62B0">
      <w:pPr>
        <w:pStyle w:val="Odsekzoznamu"/>
        <w:numPr>
          <w:ilvl w:val="2"/>
          <w:numId w:val="1"/>
        </w:numPr>
        <w:spacing w:after="0" w:line="240" w:lineRule="auto"/>
        <w:ind w:left="284"/>
        <w:jc w:val="both"/>
        <w:rPr>
          <w:rFonts w:ascii="Times New Roman" w:hAnsi="Times New Roman" w:cs="Times New Roman"/>
          <w:sz w:val="24"/>
          <w:szCs w:val="24"/>
        </w:rPr>
      </w:pPr>
      <w:r w:rsidRPr="00EA543A">
        <w:rPr>
          <w:rFonts w:ascii="Times New Roman" w:hAnsi="Times New Roman" w:cs="Times New Roman"/>
          <w:sz w:val="24"/>
          <w:szCs w:val="24"/>
        </w:rPr>
        <w:t>vloženému hybridnému nesúladu – ak hybridnému nesúladu nezabránili subjekty, medzi ktorými hybridný nesúlad vznikol, alebo iné závislé osoby, musí hybridnému nesúladu zamedziť daňovník, ktorý sa priamo alebo nepriamo podieľal na financovaní hybridného nesúladu, t.j. neumožní uplatniť výdavok ako daňový výdavok.</w:t>
      </w:r>
    </w:p>
    <w:p w:rsidR="002A55E1" w:rsidRPr="00EA543A" w:rsidRDefault="002A55E1" w:rsidP="00BA62B0">
      <w:pPr>
        <w:spacing w:after="0" w:line="240" w:lineRule="auto"/>
        <w:ind w:left="-76"/>
        <w:jc w:val="both"/>
        <w:rPr>
          <w:rFonts w:ascii="Times New Roman" w:hAnsi="Times New Roman" w:cs="Times New Roman"/>
          <w:sz w:val="24"/>
          <w:szCs w:val="24"/>
        </w:rPr>
      </w:pPr>
      <w:r w:rsidRPr="00EA543A">
        <w:rPr>
          <w:rFonts w:ascii="Times New Roman" w:hAnsi="Times New Roman" w:cs="Times New Roman"/>
          <w:sz w:val="24"/>
          <w:szCs w:val="24"/>
        </w:rPr>
        <w:t>Ak by k hybridnému nesúladu došlo v dôsledku dvojitej rezidencie, potom hybridnému nesúladu zamedzuje daňovník, ktorý je rezidentom členského štátu EÚ. Ak ide o hybridný nesúlad medzi dvoma členskými štátmi EÚ, zamedzí mu daňovník, ktorý je za rezidenta považovaný podľa ZZDZ.</w:t>
      </w:r>
    </w:p>
    <w:p w:rsidR="002A55E1" w:rsidRPr="00EA543A" w:rsidRDefault="002A55E1" w:rsidP="00BA62B0">
      <w:pPr>
        <w:spacing w:after="0" w:line="240" w:lineRule="auto"/>
        <w:ind w:left="-76"/>
        <w:jc w:val="both"/>
        <w:rPr>
          <w:rFonts w:ascii="Times New Roman" w:hAnsi="Times New Roman" w:cs="Times New Roman"/>
          <w:sz w:val="24"/>
          <w:szCs w:val="24"/>
        </w:rPr>
      </w:pPr>
      <w:r w:rsidRPr="00EA543A">
        <w:rPr>
          <w:rFonts w:ascii="Times New Roman" w:hAnsi="Times New Roman" w:cs="Times New Roman"/>
          <w:sz w:val="24"/>
          <w:szCs w:val="24"/>
        </w:rPr>
        <w:t xml:space="preserve">V odseku 6 sa bližšie uvádza, že daňovník, ktorý si upravil základ dane pri viacnásobnom odpočte výdavkov (nákladov) podľa odseku 5 písm. a), si môže znížiť základ dane o túto sumu v tom zdaňovacom období, v ktorom dôjde k zahrnutiu súvisiaceho viacnásobne zahrnutého príjmu (výnosu) do základu dane.  </w:t>
      </w:r>
    </w:p>
    <w:p w:rsidR="002A55E1" w:rsidRPr="00EA543A" w:rsidRDefault="002A55E1" w:rsidP="00BA62B0">
      <w:pPr>
        <w:spacing w:after="0" w:line="240" w:lineRule="auto"/>
        <w:ind w:left="-76"/>
        <w:jc w:val="both"/>
        <w:rPr>
          <w:rFonts w:ascii="Times New Roman" w:hAnsi="Times New Roman" w:cs="Times New Roman"/>
          <w:strike/>
          <w:sz w:val="24"/>
          <w:szCs w:val="24"/>
        </w:rPr>
      </w:pPr>
      <w:r w:rsidRPr="00EA543A">
        <w:rPr>
          <w:rFonts w:ascii="Times New Roman" w:hAnsi="Times New Roman" w:cs="Times New Roman"/>
          <w:sz w:val="24"/>
          <w:szCs w:val="24"/>
        </w:rPr>
        <w:t xml:space="preserve">V odseku 7 je osobitne vymedzená situácia, kedy sa pri vzniku nesúladu vedúceho k odpočtu výdavku (nákladu) bez zahrnutia do príjmu (výnosu) neuplatní sekundárne pravidlo, t.j. zahrnutie do príjmu. Ide o situáciu, keď štát, v ktorom sa stála prevádzkareň nachádza jej prítomnosť nerozpoznáva, kým podľa štátu ústredia vzniká v tomto inom štáte stála prevádzkareň. V tomto prípade by mal byť príjem (výnos) zahrnutý do základu dane stálej prevádzkarne alebo štátu ústredia. Štát ústredia tak nemusí urobiť, ak tento príjem nie je možné zahrnúť do základu dane na základe zmluvy o zamedzení dvojitého zdanenia uzatvorenej medzi Slovenskou republikou a príslušným zúčastneným štátom, ktorý nie členom Európskej únie.  </w:t>
      </w:r>
    </w:p>
    <w:p w:rsidR="002A55E1" w:rsidRPr="00EA543A" w:rsidRDefault="002A55E1" w:rsidP="00BA62B0">
      <w:pPr>
        <w:spacing w:after="0" w:line="240" w:lineRule="auto"/>
        <w:ind w:left="-76"/>
        <w:jc w:val="both"/>
        <w:rPr>
          <w:rFonts w:ascii="Times New Roman" w:hAnsi="Times New Roman" w:cs="Times New Roman"/>
          <w:sz w:val="24"/>
          <w:szCs w:val="24"/>
        </w:rPr>
      </w:pPr>
      <w:r w:rsidRPr="00EA543A">
        <w:rPr>
          <w:rFonts w:ascii="Times New Roman" w:hAnsi="Times New Roman" w:cs="Times New Roman"/>
          <w:sz w:val="24"/>
          <w:szCs w:val="24"/>
        </w:rPr>
        <w:t xml:space="preserve">V odseku 8 sú špecifikované situácie, kedy a v akom rozsahu sa príjem (výnos) nepovažuje na účely hybridných nesúladov za zahrnutý do zdaniteľných príjmov (výnosov) resp. v akom rozsahu sa považuje za zahrnutý. Ide o situácie, kedy príjem u príjemcu nepodlieha dani z príjmov, alebo je od dane oslobodený. V písm. c) ide napríklad o situáciu, kedy je prijatý príjem v dôsledku hybridného nesúladu posúdený ako dividenda zdanený 15 % sadzbou dane, avšak tento príjem mal byť zdanený ako úrokový výnos, na ktorý sa uplatňuje sadzba dane 19 %. V tomto prípade sa považuje  za nezahrnutý do príjmov (výnosov) v rozsahu, v akom nie je zdanený sadzbou dane 19 %.  Ak je príjem zdanený pri zdroji zrážkou, na účely odseku 8 sa považuje za zahrnutý do príjmu len vtedy, ak je zahrnutý do zdaniteľných príjmov v štáte príjemcu. </w:t>
      </w:r>
    </w:p>
    <w:p w:rsidR="002A55E1" w:rsidRPr="00EA543A" w:rsidRDefault="002A55E1" w:rsidP="00BA62B0">
      <w:pPr>
        <w:spacing w:after="0" w:line="240" w:lineRule="auto"/>
        <w:ind w:left="-76"/>
        <w:jc w:val="both"/>
        <w:rPr>
          <w:rFonts w:ascii="Times New Roman" w:hAnsi="Times New Roman" w:cs="Times New Roman"/>
          <w:sz w:val="24"/>
          <w:szCs w:val="24"/>
        </w:rPr>
      </w:pPr>
      <w:r w:rsidRPr="00EA543A">
        <w:rPr>
          <w:rFonts w:ascii="Times New Roman" w:hAnsi="Times New Roman" w:cs="Times New Roman"/>
          <w:sz w:val="24"/>
          <w:szCs w:val="24"/>
        </w:rPr>
        <w:t>V odseku 9 sa špecifikuje, že v prípade subjektov kolekt</w:t>
      </w:r>
      <w:r w:rsidR="00B503C7" w:rsidRPr="00EA543A">
        <w:rPr>
          <w:rFonts w:ascii="Times New Roman" w:hAnsi="Times New Roman" w:cs="Times New Roman"/>
          <w:sz w:val="24"/>
          <w:szCs w:val="24"/>
        </w:rPr>
        <w:t>í</w:t>
      </w:r>
      <w:r w:rsidRPr="00EA543A">
        <w:rPr>
          <w:rFonts w:ascii="Times New Roman" w:hAnsi="Times New Roman" w:cs="Times New Roman"/>
          <w:sz w:val="24"/>
          <w:szCs w:val="24"/>
        </w:rPr>
        <w:t>vn</w:t>
      </w:r>
      <w:r w:rsidR="00B503C7" w:rsidRPr="00EA543A">
        <w:rPr>
          <w:rFonts w:ascii="Times New Roman" w:hAnsi="Times New Roman" w:cs="Times New Roman"/>
          <w:sz w:val="24"/>
          <w:szCs w:val="24"/>
        </w:rPr>
        <w:t>eho</w:t>
      </w:r>
      <w:r w:rsidRPr="00EA543A">
        <w:rPr>
          <w:rFonts w:ascii="Times New Roman" w:hAnsi="Times New Roman" w:cs="Times New Roman"/>
          <w:sz w:val="24"/>
          <w:szCs w:val="24"/>
        </w:rPr>
        <w:t xml:space="preserve"> investovania bez právnej subjektivity sa posúdenie závislosti odvíja od závislosti podielnika k podielovému fondu.</w:t>
      </w:r>
    </w:p>
    <w:p w:rsidR="00DE73E5" w:rsidRPr="00EA543A" w:rsidRDefault="002A55E1" w:rsidP="00BA62B0">
      <w:pPr>
        <w:spacing w:after="0" w:line="240" w:lineRule="auto"/>
        <w:ind w:left="-76"/>
        <w:jc w:val="both"/>
        <w:rPr>
          <w:rFonts w:ascii="Times New Roman" w:hAnsi="Times New Roman" w:cs="Times New Roman"/>
          <w:sz w:val="24"/>
          <w:szCs w:val="24"/>
        </w:rPr>
      </w:pPr>
      <w:r w:rsidRPr="00EA543A">
        <w:rPr>
          <w:rFonts w:ascii="Times New Roman" w:hAnsi="Times New Roman" w:cs="Times New Roman"/>
          <w:sz w:val="24"/>
          <w:szCs w:val="24"/>
        </w:rPr>
        <w:t>V súvislosti s hybridnými nesúladmi a osobitne s hybridným prevodom sa upravuje možnosť započítania dane zaplatenej v zahraničí, a to v § 45 ods. 5. Súčasné znenie zákona umožňuje zápočet pomerom príjmov plynúcich zo zdrojov v zahraničí oproti celkovému základu dane. Pri hybridnom prevode dochádza k viacnásobnému uplatneniu tej istej zrazenej dane viacerými závislými osobami. V tomto prípade umožňuje smernica ATAD 2 započítať túto daň zaplatenú v zahraničí iba vo výške pripadajúcej na čistý príjem (výnos) dosiahnutý z danej operácie. Z uvedeného dôvodu je preto potrebné vypočítať zápočet dane zaplatenej v zahraničí na daňovú povinnosť v SR samostatne pre danú operáciu.</w:t>
      </w:r>
    </w:p>
    <w:p w:rsidR="00D463AE" w:rsidRPr="00EA543A" w:rsidRDefault="00D463AE" w:rsidP="00BA62B0">
      <w:pPr>
        <w:spacing w:after="0" w:line="240" w:lineRule="auto"/>
        <w:ind w:left="-76"/>
        <w:jc w:val="both"/>
        <w:rPr>
          <w:rFonts w:ascii="Times New Roman" w:hAnsi="Times New Roman" w:cs="Times New Roman"/>
          <w:sz w:val="24"/>
          <w:szCs w:val="24"/>
        </w:rPr>
      </w:pPr>
    </w:p>
    <w:p w:rsidR="00A40A6A" w:rsidRPr="00EA543A" w:rsidRDefault="00A40A6A"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b/>
          <w:sz w:val="24"/>
          <w:szCs w:val="24"/>
        </w:rPr>
        <w:t xml:space="preserve">K bodu </w:t>
      </w:r>
      <w:r w:rsidR="00104D86" w:rsidRPr="00EA543A">
        <w:rPr>
          <w:rFonts w:ascii="Times New Roman" w:hAnsi="Times New Roman" w:cs="Times New Roman"/>
          <w:b/>
          <w:sz w:val="24"/>
          <w:szCs w:val="24"/>
        </w:rPr>
        <w:t>4</w:t>
      </w:r>
      <w:r w:rsidR="00C95BCF" w:rsidRPr="00EA543A">
        <w:rPr>
          <w:rFonts w:ascii="Times New Roman" w:hAnsi="Times New Roman" w:cs="Times New Roman"/>
          <w:b/>
          <w:sz w:val="24"/>
          <w:szCs w:val="24"/>
        </w:rPr>
        <w:t>9</w:t>
      </w:r>
      <w:r w:rsidRPr="00EA543A">
        <w:rPr>
          <w:rFonts w:ascii="Times New Roman" w:hAnsi="Times New Roman" w:cs="Times New Roman"/>
          <w:b/>
          <w:sz w:val="24"/>
          <w:szCs w:val="24"/>
        </w:rPr>
        <w:t xml:space="preserve"> - § 19 ods. 3 písm. a)</w:t>
      </w:r>
    </w:p>
    <w:p w:rsidR="00A40A6A" w:rsidRPr="00EA543A" w:rsidRDefault="00A40A6A"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Zmena ustanovenia § 19 ods. 3 písm. a) umožňuje daňovníkovi, ktorý má status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uplatňovať pri hmotnom majetku zaradenom do odpisových skupín 0 až 4 poskytnutom na prenájom daňové odpisy bez limitovania výškou príjmov dosahovaných </w:t>
      </w:r>
      <w:r w:rsidRPr="00EA543A">
        <w:rPr>
          <w:rFonts w:ascii="Times New Roman" w:hAnsi="Times New Roman" w:cs="Times New Roman"/>
          <w:sz w:val="24"/>
          <w:szCs w:val="24"/>
        </w:rPr>
        <w:lastRenderedPageBreak/>
        <w:t>z prenajatého majetku a to z dôvodu uplatnenia daňových odpisov podľa § 26 ods. 13 zákona o dani z príjmov.</w:t>
      </w:r>
    </w:p>
    <w:p w:rsidR="00DE73E5" w:rsidRPr="00EA543A" w:rsidRDefault="00DE73E5" w:rsidP="00BA62B0">
      <w:pPr>
        <w:pStyle w:val="Odsekzoznamu"/>
        <w:spacing w:after="0" w:line="240" w:lineRule="auto"/>
        <w:ind w:left="0"/>
        <w:jc w:val="both"/>
        <w:rPr>
          <w:rFonts w:ascii="Times New Roman" w:hAnsi="Times New Roman" w:cs="Times New Roman"/>
          <w:sz w:val="24"/>
          <w:szCs w:val="24"/>
        </w:rPr>
      </w:pPr>
    </w:p>
    <w:p w:rsidR="00DE73E5" w:rsidRPr="00EA543A"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bodom </w:t>
      </w:r>
      <w:r w:rsidR="00C95BCF" w:rsidRPr="00EA543A">
        <w:rPr>
          <w:rFonts w:ascii="Times New Roman" w:eastAsia="Times New Roman" w:hAnsi="Times New Roman" w:cs="Times New Roman"/>
          <w:b/>
          <w:sz w:val="24"/>
          <w:szCs w:val="24"/>
          <w:lang w:eastAsia="sk-SK"/>
        </w:rPr>
        <w:t>50</w:t>
      </w:r>
      <w:r w:rsidRPr="00EA543A">
        <w:rPr>
          <w:rFonts w:ascii="Times New Roman" w:eastAsia="Times New Roman" w:hAnsi="Times New Roman" w:cs="Times New Roman"/>
          <w:b/>
          <w:sz w:val="24"/>
          <w:szCs w:val="24"/>
          <w:lang w:eastAsia="sk-SK"/>
        </w:rPr>
        <w:t>, 5</w:t>
      </w:r>
      <w:r w:rsidR="00C95BCF" w:rsidRPr="00EA543A">
        <w:rPr>
          <w:rFonts w:ascii="Times New Roman" w:eastAsia="Times New Roman" w:hAnsi="Times New Roman" w:cs="Times New Roman"/>
          <w:b/>
          <w:sz w:val="24"/>
          <w:szCs w:val="24"/>
          <w:lang w:eastAsia="sk-SK"/>
        </w:rPr>
        <w:t>5</w:t>
      </w:r>
      <w:r w:rsidRPr="00EA543A">
        <w:rPr>
          <w:rFonts w:ascii="Times New Roman" w:eastAsia="Times New Roman" w:hAnsi="Times New Roman" w:cs="Times New Roman"/>
          <w:b/>
          <w:sz w:val="24"/>
          <w:szCs w:val="24"/>
          <w:lang w:eastAsia="sk-SK"/>
        </w:rPr>
        <w:t xml:space="preserve"> a </w:t>
      </w:r>
      <w:r w:rsidR="00C95BCF" w:rsidRPr="00EA543A">
        <w:rPr>
          <w:rFonts w:ascii="Times New Roman" w:eastAsia="Times New Roman" w:hAnsi="Times New Roman" w:cs="Times New Roman"/>
          <w:b/>
          <w:sz w:val="24"/>
          <w:szCs w:val="24"/>
          <w:lang w:eastAsia="sk-SK"/>
        </w:rPr>
        <w:t>56</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20 ods. 2 písm. h), § 20 ods. 15 a § 20 ods. 23</w:t>
      </w:r>
    </w:p>
    <w:p w:rsidR="005A2351" w:rsidRPr="00EA543A" w:rsidRDefault="005A2351"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Do § 20 sa dopĺňa osobitný režim pre zahrňovanie opravnej položky k nepremlčanej pohľadávke zahrnutej do zdaniteľných príjmov u </w:t>
      </w:r>
      <w:proofErr w:type="spellStart"/>
      <w:r w:rsidRPr="00EA543A">
        <w:rPr>
          <w:rFonts w:ascii="Times New Roman" w:eastAsia="Times New Roman" w:hAnsi="Times New Roman" w:cs="Times New Roman"/>
          <w:sz w:val="24"/>
          <w:szCs w:val="24"/>
          <w:lang w:eastAsia="sk-SK"/>
        </w:rPr>
        <w:t>mikrodaňovníka</w:t>
      </w:r>
      <w:proofErr w:type="spellEnd"/>
      <w:r w:rsidRPr="00EA543A">
        <w:rPr>
          <w:rFonts w:ascii="Times New Roman" w:eastAsia="Times New Roman" w:hAnsi="Times New Roman" w:cs="Times New Roman"/>
          <w:sz w:val="24"/>
          <w:szCs w:val="24"/>
          <w:lang w:eastAsia="sk-SK"/>
        </w:rPr>
        <w:t xml:space="preserve"> účtujúceho v sústave podvojného účtovníctva. Takýto daňovník, ak nebude postupovať podľa § 20  ods. 14, sa môže rozhodnúť využiť zvýhodnený režim spočívajúci v daňovom výdavku tvorby opravnej položky k pohľadávke v súlade s účtovníctvom. Rovnako sa môže </w:t>
      </w:r>
      <w:proofErr w:type="spellStart"/>
      <w:r w:rsidRPr="00EA543A">
        <w:rPr>
          <w:rFonts w:ascii="Times New Roman" w:eastAsia="Times New Roman" w:hAnsi="Times New Roman" w:cs="Times New Roman"/>
          <w:sz w:val="24"/>
          <w:szCs w:val="24"/>
          <w:lang w:eastAsia="sk-SK"/>
        </w:rPr>
        <w:t>mikrodaňovník</w:t>
      </w:r>
      <w:proofErr w:type="spellEnd"/>
      <w:r w:rsidRPr="00EA543A">
        <w:rPr>
          <w:rFonts w:ascii="Times New Roman" w:eastAsia="Times New Roman" w:hAnsi="Times New Roman" w:cs="Times New Roman"/>
          <w:sz w:val="24"/>
          <w:szCs w:val="24"/>
          <w:lang w:eastAsia="sk-SK"/>
        </w:rPr>
        <w:t xml:space="preserve"> rozhodnúť aj pre možnosť daňovej tvorby opravnej položky vzťahujúcej sa k príslušenstvu pohľadávky zahrnutému do zdaniteľných príjmov v súlade s účtovníctvom. </w:t>
      </w:r>
    </w:p>
    <w:p w:rsidR="00D21DF8" w:rsidRPr="00EA543A" w:rsidRDefault="00D21DF8" w:rsidP="00BA62B0">
      <w:pPr>
        <w:spacing w:after="0" w:line="240" w:lineRule="auto"/>
        <w:ind w:left="66"/>
        <w:jc w:val="both"/>
        <w:rPr>
          <w:rFonts w:ascii="Times New Roman" w:eastAsia="Times New Roman" w:hAnsi="Times New Roman" w:cs="Times New Roman"/>
          <w:sz w:val="24"/>
          <w:szCs w:val="24"/>
          <w:lang w:eastAsia="sk-SK"/>
        </w:rPr>
      </w:pPr>
    </w:p>
    <w:p w:rsidR="00D21DF8" w:rsidRPr="00EA543A" w:rsidRDefault="00D21DF8"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 bodom 52 a 53</w:t>
      </w:r>
      <w:r w:rsidRPr="00EA543A">
        <w:rPr>
          <w:rFonts w:ascii="Times New Roman" w:eastAsia="Times New Roman" w:hAnsi="Times New Roman" w:cs="Times New Roman"/>
          <w:sz w:val="24"/>
          <w:szCs w:val="24"/>
          <w:lang w:eastAsia="sk-SK"/>
        </w:rPr>
        <w:t xml:space="preserve"> </w:t>
      </w:r>
      <w:r w:rsidRPr="00EA543A">
        <w:rPr>
          <w:rFonts w:ascii="Times New Roman" w:eastAsia="Times New Roman" w:hAnsi="Times New Roman" w:cs="Times New Roman"/>
          <w:b/>
          <w:sz w:val="24"/>
          <w:szCs w:val="24"/>
          <w:lang w:eastAsia="sk-SK"/>
        </w:rPr>
        <w:t>- § 20 ods. 9 písm. b) a poznámka pod čiarou 99</w:t>
      </w:r>
    </w:p>
    <w:p w:rsidR="0085690D" w:rsidRPr="00EA543A" w:rsidRDefault="0085690D"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Od 1.1.2020 je možné daňovo uznanú rezervu k lesnej </w:t>
      </w:r>
      <w:proofErr w:type="spellStart"/>
      <w:r w:rsidRPr="00EA543A">
        <w:rPr>
          <w:rFonts w:ascii="Times New Roman" w:hAnsi="Times New Roman" w:cs="Times New Roman"/>
          <w:sz w:val="24"/>
          <w:szCs w:val="24"/>
        </w:rPr>
        <w:t>pestovnej</w:t>
      </w:r>
      <w:proofErr w:type="spellEnd"/>
      <w:r w:rsidRPr="00EA543A">
        <w:rPr>
          <w:rFonts w:ascii="Times New Roman" w:hAnsi="Times New Roman" w:cs="Times New Roman"/>
          <w:sz w:val="24"/>
          <w:szCs w:val="24"/>
        </w:rPr>
        <w:t xml:space="preserve"> činnosti tvoriť v súlade so schváleným projektom lesnej </w:t>
      </w:r>
      <w:proofErr w:type="spellStart"/>
      <w:r w:rsidRPr="00EA543A">
        <w:rPr>
          <w:rFonts w:ascii="Times New Roman" w:hAnsi="Times New Roman" w:cs="Times New Roman"/>
          <w:sz w:val="24"/>
          <w:szCs w:val="24"/>
        </w:rPr>
        <w:t>pestovnej</w:t>
      </w:r>
      <w:proofErr w:type="spellEnd"/>
      <w:r w:rsidRPr="00EA543A">
        <w:rPr>
          <w:rFonts w:ascii="Times New Roman" w:hAnsi="Times New Roman" w:cs="Times New Roman"/>
          <w:sz w:val="24"/>
          <w:szCs w:val="24"/>
        </w:rPr>
        <w:t xml:space="preserve"> činnosti na obdobie od založenia kultúry alebo vzniku náletu do ukončenia </w:t>
      </w:r>
      <w:proofErr w:type="spellStart"/>
      <w:r w:rsidRPr="00EA543A">
        <w:rPr>
          <w:rFonts w:ascii="Times New Roman" w:hAnsi="Times New Roman" w:cs="Times New Roman"/>
          <w:sz w:val="24"/>
          <w:szCs w:val="24"/>
        </w:rPr>
        <w:t>prečistky</w:t>
      </w:r>
      <w:proofErr w:type="spellEnd"/>
      <w:r w:rsidRPr="00EA543A">
        <w:rPr>
          <w:rFonts w:ascii="Times New Roman" w:hAnsi="Times New Roman" w:cs="Times New Roman"/>
          <w:sz w:val="24"/>
          <w:szCs w:val="24"/>
        </w:rPr>
        <w:t xml:space="preserve"> mladého lesného porastu podľa § 21 zákona č. 326/2005 Z. z. o lesoch v znení neskorších predpisov  v nadväznosti na Vyhlášku č. 453/2006 Z. z. Ministerstva pôdohospodárstva Slovenskej republiky o hospodárskej úprave lesov a o ochrane. Zabezpečená kultúra (mladý lesný porast, ktorý vznikol spravidla sadbou) je fáza lesného porastu. Jedince –stromy, ktoré prekročia stanovenú strednú výšku lesného porastu, prechádzajú do rastovej fázy mladiny. Mladina sa považuje za najdôležitejší úsek v živote lesného porastu. Pestovateľské opatrenia vykonávané v tejto fáze rastu lesa sa v odbornej terminológii nazývajú </w:t>
      </w:r>
      <w:proofErr w:type="spellStart"/>
      <w:r w:rsidRPr="00EA543A">
        <w:rPr>
          <w:rFonts w:ascii="Times New Roman" w:hAnsi="Times New Roman" w:cs="Times New Roman"/>
          <w:sz w:val="24"/>
          <w:szCs w:val="24"/>
        </w:rPr>
        <w:t>prečistka</w:t>
      </w:r>
      <w:proofErr w:type="spellEnd"/>
      <w:r w:rsidRPr="00EA543A">
        <w:rPr>
          <w:rFonts w:ascii="Times New Roman" w:hAnsi="Times New Roman" w:cs="Times New Roman"/>
          <w:sz w:val="24"/>
          <w:szCs w:val="24"/>
        </w:rPr>
        <w:t xml:space="preserve"> a bližšie je tento typ pestovateľských opatrení uvedený v § 21 zákona č. 326/2005 Z. z. o lesoch v znení neskorších predpisov.</w:t>
      </w:r>
    </w:p>
    <w:p w:rsidR="0085690D" w:rsidRPr="00EA543A" w:rsidRDefault="0085690D" w:rsidP="00BA62B0">
      <w:pPr>
        <w:spacing w:after="0" w:line="240" w:lineRule="auto"/>
        <w:jc w:val="both"/>
        <w:rPr>
          <w:rFonts w:ascii="Times New Roman" w:hAnsi="Times New Roman" w:cs="Times New Roman"/>
          <w:sz w:val="24"/>
          <w:szCs w:val="24"/>
        </w:rPr>
      </w:pPr>
    </w:p>
    <w:p w:rsidR="00D21DF8" w:rsidRPr="00EA543A" w:rsidRDefault="00D21DF8"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hAnsi="Times New Roman" w:cs="Times New Roman"/>
          <w:sz w:val="24"/>
          <w:szCs w:val="24"/>
        </w:rPr>
        <w:t>.</w:t>
      </w:r>
      <w:r w:rsidRPr="00EA543A">
        <w:rPr>
          <w:rFonts w:ascii="Times New Roman" w:eastAsia="Times New Roman" w:hAnsi="Times New Roman" w:cs="Times New Roman"/>
          <w:b/>
          <w:sz w:val="24"/>
          <w:szCs w:val="24"/>
          <w:lang w:eastAsia="sk-SK"/>
        </w:rPr>
        <w:t xml:space="preserve">K bodom 58, </w:t>
      </w:r>
      <w:r w:rsidR="002E08C0" w:rsidRPr="00EA543A">
        <w:rPr>
          <w:rFonts w:ascii="Times New Roman" w:eastAsia="Times New Roman" w:hAnsi="Times New Roman" w:cs="Times New Roman"/>
          <w:b/>
          <w:sz w:val="24"/>
          <w:szCs w:val="24"/>
          <w:lang w:eastAsia="sk-SK"/>
        </w:rPr>
        <w:t>11</w:t>
      </w:r>
      <w:r w:rsidR="005B2651" w:rsidRPr="00EA543A">
        <w:rPr>
          <w:rFonts w:ascii="Times New Roman" w:eastAsia="Times New Roman" w:hAnsi="Times New Roman" w:cs="Times New Roman"/>
          <w:b/>
          <w:sz w:val="24"/>
          <w:szCs w:val="24"/>
          <w:lang w:eastAsia="sk-SK"/>
        </w:rPr>
        <w:t>2</w:t>
      </w:r>
      <w:r w:rsidR="002E08C0" w:rsidRPr="00EA543A">
        <w:rPr>
          <w:rFonts w:ascii="Times New Roman" w:eastAsia="Times New Roman" w:hAnsi="Times New Roman" w:cs="Times New Roman"/>
          <w:b/>
          <w:sz w:val="24"/>
          <w:szCs w:val="24"/>
          <w:lang w:eastAsia="sk-SK"/>
        </w:rPr>
        <w:t>, 11</w:t>
      </w:r>
      <w:r w:rsidR="005B2651" w:rsidRPr="00EA543A">
        <w:rPr>
          <w:rFonts w:ascii="Times New Roman" w:eastAsia="Times New Roman" w:hAnsi="Times New Roman" w:cs="Times New Roman"/>
          <w:b/>
          <w:sz w:val="24"/>
          <w:szCs w:val="24"/>
          <w:lang w:eastAsia="sk-SK"/>
        </w:rPr>
        <w:t>7</w:t>
      </w:r>
      <w:r w:rsidR="000A5381" w:rsidRPr="00EA543A">
        <w:rPr>
          <w:rFonts w:ascii="Times New Roman" w:eastAsia="Times New Roman" w:hAnsi="Times New Roman" w:cs="Times New Roman"/>
          <w:b/>
          <w:sz w:val="24"/>
          <w:szCs w:val="24"/>
          <w:lang w:eastAsia="sk-SK"/>
        </w:rPr>
        <w:t xml:space="preserve"> až</w:t>
      </w:r>
      <w:r w:rsidR="002E08C0" w:rsidRPr="00EA543A">
        <w:rPr>
          <w:rFonts w:ascii="Times New Roman" w:eastAsia="Times New Roman" w:hAnsi="Times New Roman" w:cs="Times New Roman"/>
          <w:b/>
          <w:sz w:val="24"/>
          <w:szCs w:val="24"/>
          <w:lang w:eastAsia="sk-SK"/>
        </w:rPr>
        <w:t xml:space="preserve"> 12</w:t>
      </w:r>
      <w:r w:rsidR="005F55C3" w:rsidRPr="00EA543A">
        <w:rPr>
          <w:rFonts w:ascii="Times New Roman" w:eastAsia="Times New Roman" w:hAnsi="Times New Roman" w:cs="Times New Roman"/>
          <w:b/>
          <w:sz w:val="24"/>
          <w:szCs w:val="24"/>
          <w:lang w:eastAsia="sk-SK"/>
        </w:rPr>
        <w:t>0</w:t>
      </w:r>
      <w:r w:rsidR="002E08C0" w:rsidRPr="00EA543A">
        <w:rPr>
          <w:rFonts w:ascii="Times New Roman" w:eastAsia="Times New Roman" w:hAnsi="Times New Roman" w:cs="Times New Roman"/>
          <w:b/>
          <w:sz w:val="24"/>
          <w:szCs w:val="24"/>
          <w:lang w:eastAsia="sk-SK"/>
        </w:rPr>
        <w:t>, 12</w:t>
      </w:r>
      <w:r w:rsidR="005F55C3" w:rsidRPr="00EA543A">
        <w:rPr>
          <w:rFonts w:ascii="Times New Roman" w:eastAsia="Times New Roman" w:hAnsi="Times New Roman" w:cs="Times New Roman"/>
          <w:b/>
          <w:sz w:val="24"/>
          <w:szCs w:val="24"/>
          <w:lang w:eastAsia="sk-SK"/>
        </w:rPr>
        <w:t>7</w:t>
      </w:r>
      <w:r w:rsidR="002E08C0" w:rsidRPr="00EA543A">
        <w:rPr>
          <w:rFonts w:ascii="Times New Roman" w:eastAsia="Times New Roman" w:hAnsi="Times New Roman" w:cs="Times New Roman"/>
          <w:b/>
          <w:sz w:val="24"/>
          <w:szCs w:val="24"/>
          <w:lang w:eastAsia="sk-SK"/>
        </w:rPr>
        <w:t xml:space="preserve"> a 13</w:t>
      </w:r>
      <w:r w:rsidR="005F55C3" w:rsidRPr="00EA543A">
        <w:rPr>
          <w:rFonts w:ascii="Times New Roman" w:eastAsia="Times New Roman" w:hAnsi="Times New Roman" w:cs="Times New Roman"/>
          <w:b/>
          <w:sz w:val="24"/>
          <w:szCs w:val="24"/>
          <w:lang w:eastAsia="sk-SK"/>
        </w:rPr>
        <w:t>4</w:t>
      </w:r>
      <w:r w:rsidRPr="00EA543A">
        <w:rPr>
          <w:rFonts w:ascii="Times New Roman" w:eastAsia="Times New Roman" w:hAnsi="Times New Roman" w:cs="Times New Roman"/>
          <w:b/>
          <w:sz w:val="24"/>
          <w:szCs w:val="24"/>
          <w:lang w:eastAsia="sk-SK"/>
        </w:rPr>
        <w:t xml:space="preserve"> - § 21 ods. 2 písm. l), </w:t>
      </w:r>
      <w:r w:rsidR="002E08C0" w:rsidRPr="00EA543A">
        <w:rPr>
          <w:rFonts w:ascii="Times New Roman" w:eastAsia="Times New Roman" w:hAnsi="Times New Roman" w:cs="Times New Roman"/>
          <w:b/>
          <w:sz w:val="24"/>
          <w:szCs w:val="24"/>
          <w:lang w:eastAsia="sk-SK"/>
        </w:rPr>
        <w:t>§ 43 ods. 3 písm. o), § 43 ods. 17 písm. a), § 43 o</w:t>
      </w:r>
      <w:r w:rsidR="005B2651" w:rsidRPr="00EA543A">
        <w:rPr>
          <w:rFonts w:ascii="Times New Roman" w:eastAsia="Times New Roman" w:hAnsi="Times New Roman" w:cs="Times New Roman"/>
          <w:b/>
          <w:sz w:val="24"/>
          <w:szCs w:val="24"/>
          <w:lang w:eastAsia="sk-SK"/>
        </w:rPr>
        <w:t>d</w:t>
      </w:r>
      <w:r w:rsidR="002E08C0" w:rsidRPr="00EA543A">
        <w:rPr>
          <w:rFonts w:ascii="Times New Roman" w:eastAsia="Times New Roman" w:hAnsi="Times New Roman" w:cs="Times New Roman"/>
          <w:b/>
          <w:sz w:val="24"/>
          <w:szCs w:val="24"/>
          <w:lang w:eastAsia="sk-SK"/>
        </w:rPr>
        <w:t xml:space="preserve">s. 17 písm. b), § 43 ods. 18, § 43 ods. 20, § 49a ods. 6 a 7, § 52zz ods. </w:t>
      </w:r>
      <w:r w:rsidR="000A5381" w:rsidRPr="00EA543A">
        <w:rPr>
          <w:rFonts w:ascii="Times New Roman" w:eastAsia="Times New Roman" w:hAnsi="Times New Roman" w:cs="Times New Roman"/>
          <w:b/>
          <w:sz w:val="24"/>
          <w:szCs w:val="24"/>
          <w:lang w:eastAsia="sk-SK"/>
        </w:rPr>
        <w:t>8</w:t>
      </w:r>
    </w:p>
    <w:p w:rsidR="002E08C0" w:rsidRPr="00EA543A" w:rsidRDefault="002E08C0"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S účinnosťou od 1. 1. 2020 sa navrhuje zmena spôsobu zdaňovania peňažných plnení a nepeňažných plnení vyplatených /poskytnutých držiteľom poskytovateľovi zdravotnej starostlivosti a to</w:t>
      </w:r>
    </w:p>
    <w:p w:rsidR="002E08C0" w:rsidRPr="00EA543A" w:rsidRDefault="002E08C0" w:rsidP="00BA62B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zrážkovou daňou budú zdaňované peňažné a nepeňažné plnenia zaraďované u daňovníka fyzickej osoby medzi príjmy podľa § 8, pričom zostávajú zachované všetky povinnosti uvedené v § 43, </w:t>
      </w:r>
    </w:p>
    <w:p w:rsidR="00D25ED9" w:rsidRPr="00EA543A" w:rsidRDefault="002E08C0" w:rsidP="00BA62B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 xml:space="preserve">všetky ostatné peňažné a nepeňažné plnenia budú zdaňované prostredníctvom daňového priznania, pričom sa navrhujú oznamovacie povinnosti držiteľa voči správcovi dane aj prijímateľovi v § 49a ods. 6 a 7. </w:t>
      </w:r>
    </w:p>
    <w:p w:rsidR="002E08C0" w:rsidRPr="00EA543A" w:rsidRDefault="002E08C0"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Uvedené sa bude aplikovať až na plnenia vyplatené / poskytnuté po 31. 12. 2019.</w:t>
      </w:r>
    </w:p>
    <w:p w:rsidR="005B5A43" w:rsidRPr="00EA543A" w:rsidRDefault="005B5A43" w:rsidP="005B5A43">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Úpravou v § 21 ods. 2 písm. l) dochádza k zúženiu rozsahu výdavkov, ktoré nie sú daňovými výdavkami.</w:t>
      </w:r>
    </w:p>
    <w:p w:rsidR="005B5A43" w:rsidRPr="00EA543A" w:rsidRDefault="005B5A43" w:rsidP="005B5A43">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Za takéto nedaňové  výdavkami budú považované výlučne výdavky súvisiace s poskytnutými peňažnými a nepeňažnými plneniami  ako napr. v prípade, ak držiteľ poskytol (daroval) poskytovateľovi zdravotnej starostlivosti medicínsky prístroj, hodnota tohoto prístroja nie je výdavkom zahrňovaným do daňových výdavkov.</w:t>
      </w:r>
    </w:p>
    <w:p w:rsidR="005B5A43" w:rsidRPr="00EA543A" w:rsidRDefault="005B5A43" w:rsidP="00BA62B0">
      <w:pPr>
        <w:spacing w:after="0" w:line="240" w:lineRule="auto"/>
        <w:ind w:left="66"/>
        <w:jc w:val="both"/>
        <w:rPr>
          <w:rFonts w:ascii="Times New Roman" w:eastAsia="Times New Roman" w:hAnsi="Times New Roman" w:cs="Times New Roman"/>
          <w:sz w:val="24"/>
          <w:szCs w:val="24"/>
          <w:lang w:eastAsia="sk-SK"/>
        </w:rPr>
      </w:pPr>
    </w:p>
    <w:p w:rsidR="00DE73E5" w:rsidRPr="00EA543A"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 bodu 5</w:t>
      </w:r>
      <w:r w:rsidR="00C95BCF" w:rsidRPr="00EA543A">
        <w:rPr>
          <w:rFonts w:ascii="Times New Roman" w:eastAsia="Times New Roman" w:hAnsi="Times New Roman" w:cs="Times New Roman"/>
          <w:b/>
          <w:sz w:val="24"/>
          <w:szCs w:val="24"/>
          <w:lang w:eastAsia="sk-SK"/>
        </w:rPr>
        <w:t>9</w:t>
      </w:r>
      <w:r w:rsidRPr="00EA543A">
        <w:rPr>
          <w:rFonts w:ascii="Times New Roman" w:eastAsia="Times New Roman" w:hAnsi="Times New Roman" w:cs="Times New Roman"/>
          <w:b/>
          <w:sz w:val="24"/>
          <w:szCs w:val="24"/>
          <w:lang w:eastAsia="sk-SK"/>
        </w:rPr>
        <w:t xml:space="preserve"> </w:t>
      </w:r>
      <w:r w:rsidR="00DE73E5" w:rsidRPr="00EA543A">
        <w:rPr>
          <w:rFonts w:ascii="Times New Roman" w:eastAsia="Times New Roman" w:hAnsi="Times New Roman" w:cs="Times New Roman"/>
          <w:b/>
          <w:sz w:val="24"/>
          <w:szCs w:val="24"/>
          <w:lang w:eastAsia="sk-SK"/>
        </w:rPr>
        <w:t xml:space="preserve"> </w:t>
      </w:r>
      <w:r w:rsidRPr="00EA543A">
        <w:rPr>
          <w:rFonts w:ascii="Times New Roman" w:eastAsia="Times New Roman" w:hAnsi="Times New Roman" w:cs="Times New Roman"/>
          <w:b/>
          <w:sz w:val="24"/>
          <w:szCs w:val="24"/>
          <w:lang w:eastAsia="sk-SK"/>
        </w:rPr>
        <w:t xml:space="preserve">- </w:t>
      </w:r>
      <w:r w:rsidR="00DE73E5" w:rsidRPr="00EA543A">
        <w:rPr>
          <w:rFonts w:ascii="Times New Roman" w:eastAsia="Times New Roman" w:hAnsi="Times New Roman" w:cs="Times New Roman"/>
          <w:b/>
          <w:sz w:val="24"/>
          <w:szCs w:val="24"/>
          <w:lang w:eastAsia="sk-SK"/>
        </w:rPr>
        <w:t>§ 21 ods. 2 písm. m) a o)</w:t>
      </w:r>
    </w:p>
    <w:p w:rsidR="00DE73E5" w:rsidRPr="00EA543A" w:rsidRDefault="00DE73E5" w:rsidP="00BA62B0">
      <w:pPr>
        <w:spacing w:after="0" w:line="240" w:lineRule="auto"/>
        <w:ind w:left="66"/>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Zmluvné pokuty, úroky z omeškania, poplatky z omeškania a paušálna náhrada nákladov spojených s uplatnením pohľadávky budú u dlžníka od 1. januára 2020 považované za daňový výdavok, avšak až po ich zaplatení. Zároveň sa vypúšťa aj písmeno o) upravujúce nesúlady, ktoré budú upravené v novom § 17i.</w:t>
      </w:r>
    </w:p>
    <w:p w:rsidR="00A40A6A" w:rsidRPr="00EA543A" w:rsidRDefault="00A40A6A" w:rsidP="00BA62B0">
      <w:pPr>
        <w:pStyle w:val="Odsekzoznamu"/>
        <w:spacing w:after="0" w:line="240" w:lineRule="auto"/>
        <w:ind w:left="0"/>
        <w:jc w:val="both"/>
        <w:rPr>
          <w:rFonts w:ascii="Times New Roman" w:hAnsi="Times New Roman" w:cs="Times New Roman"/>
          <w:sz w:val="24"/>
          <w:szCs w:val="24"/>
        </w:rPr>
      </w:pPr>
    </w:p>
    <w:p w:rsidR="00A40A6A" w:rsidRPr="00EA543A" w:rsidRDefault="00A40A6A" w:rsidP="00BA62B0">
      <w:pPr>
        <w:pStyle w:val="Normlnywebov"/>
        <w:spacing w:before="0" w:beforeAutospacing="0" w:after="0" w:afterAutospacing="0"/>
        <w:contextualSpacing/>
        <w:jc w:val="both"/>
        <w:rPr>
          <w:b/>
        </w:rPr>
      </w:pPr>
      <w:r w:rsidRPr="00EA543A">
        <w:rPr>
          <w:b/>
        </w:rPr>
        <w:lastRenderedPageBreak/>
        <w:t>K</w:t>
      </w:r>
      <w:r w:rsidR="00C95BCF" w:rsidRPr="00EA543A">
        <w:rPr>
          <w:b/>
        </w:rPr>
        <w:t> </w:t>
      </w:r>
      <w:r w:rsidRPr="00EA543A">
        <w:rPr>
          <w:b/>
        </w:rPr>
        <w:t>bod</w:t>
      </w:r>
      <w:r w:rsidR="00C95BCF" w:rsidRPr="00EA543A">
        <w:rPr>
          <w:b/>
        </w:rPr>
        <w:t>om 60 a 61</w:t>
      </w:r>
      <w:r w:rsidRPr="00EA543A">
        <w:rPr>
          <w:b/>
        </w:rPr>
        <w:t xml:space="preserve"> - § 21 ods. 2 písm. </w:t>
      </w:r>
      <w:r w:rsidR="00DE73E5" w:rsidRPr="00EA543A">
        <w:rPr>
          <w:b/>
        </w:rPr>
        <w:t>m</w:t>
      </w:r>
      <w:r w:rsidRPr="00EA543A">
        <w:rPr>
          <w:b/>
        </w:rPr>
        <w:t>)</w:t>
      </w:r>
    </w:p>
    <w:p w:rsidR="00A40A6A" w:rsidRPr="00EA543A" w:rsidRDefault="00A40A6A" w:rsidP="00BA62B0">
      <w:pPr>
        <w:pStyle w:val="Normlnywebov"/>
        <w:spacing w:before="0" w:beforeAutospacing="0" w:after="0" w:afterAutospacing="0"/>
        <w:contextualSpacing/>
        <w:jc w:val="both"/>
      </w:pPr>
      <w:r w:rsidRPr="00EA543A">
        <w:t>Na účely uplatnenia daňového výdavku súvisiaceho s obstarávacou cenou potravín dochádza k rozšíreniu subjektov, ktorým je možné bezodplatne darovať potraviny. Podľa navrhovaného znenia bude možné daňovo uznať výdavky na potraviny nielen v prípade Potravinovej banky Slovenska ale aj akéhokoľvek daňovníkova nezaloženého alebo nezriadeného na podnikanie, ak jeho predmet činnosti zodpovedá účelu vymedzenému v § 50 ods. 5 zákona o dani z príjmov, t.j. ide o účel, na ktorý je možno použiť podiel zaplatenej dane na osobitné účely.</w:t>
      </w:r>
      <w:r w:rsidR="000A5381" w:rsidRPr="00EA543A">
        <w:t xml:space="preserve"> Rovnako sa bude posudzovať aj poskytnutie potravín s dobou použiteľnosti alebo trvanlivosti alebo potraviny bez uvedenej doby trvanlivosti alebo použiteľnosti registrovanému sociálnemu podniku, ak predmetom jeho činnosti je ochrana a podpora zdravia, poskytovanie sociálnej pomoci, podpora vzdelávania a organizovanie a sprostredkovanie dobrovoľníckej činnosti.</w:t>
      </w:r>
    </w:p>
    <w:p w:rsidR="00A92376" w:rsidRPr="00EA543A" w:rsidRDefault="00A92376" w:rsidP="00BA62B0">
      <w:pPr>
        <w:pStyle w:val="Normlnywebov"/>
        <w:spacing w:before="0" w:beforeAutospacing="0" w:after="0" w:afterAutospacing="0"/>
        <w:contextualSpacing/>
        <w:jc w:val="both"/>
      </w:pPr>
    </w:p>
    <w:p w:rsidR="00A92376" w:rsidRPr="00EA543A" w:rsidRDefault="00A92376"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w:t>
      </w:r>
      <w:r w:rsidR="00C95BCF" w:rsidRPr="00EA543A">
        <w:rPr>
          <w:rFonts w:ascii="Times New Roman" w:eastAsia="Times New Roman" w:hAnsi="Times New Roman" w:cs="Times New Roman"/>
          <w:b/>
          <w:sz w:val="24"/>
          <w:szCs w:val="24"/>
          <w:lang w:eastAsia="sk-SK"/>
        </w:rPr>
        <w:t> </w:t>
      </w:r>
      <w:r w:rsidRPr="00EA543A">
        <w:rPr>
          <w:rFonts w:ascii="Times New Roman" w:eastAsia="Times New Roman" w:hAnsi="Times New Roman" w:cs="Times New Roman"/>
          <w:b/>
          <w:sz w:val="24"/>
          <w:szCs w:val="24"/>
          <w:lang w:eastAsia="sk-SK"/>
        </w:rPr>
        <w:t>bod</w:t>
      </w:r>
      <w:r w:rsidR="00C95BCF" w:rsidRPr="00EA543A">
        <w:rPr>
          <w:rFonts w:ascii="Times New Roman" w:eastAsia="Times New Roman" w:hAnsi="Times New Roman" w:cs="Times New Roman"/>
          <w:b/>
          <w:sz w:val="24"/>
          <w:szCs w:val="24"/>
          <w:lang w:eastAsia="sk-SK"/>
        </w:rPr>
        <w:t>om 63 a 69</w:t>
      </w:r>
      <w:r w:rsidRPr="00EA543A">
        <w:rPr>
          <w:rFonts w:ascii="Times New Roman" w:eastAsia="Times New Roman" w:hAnsi="Times New Roman" w:cs="Times New Roman"/>
          <w:b/>
          <w:sz w:val="24"/>
          <w:szCs w:val="24"/>
          <w:lang w:eastAsia="sk-SK"/>
        </w:rPr>
        <w:t xml:space="preserve"> - § 22 ods. 9 a § 26 ods. 7</w:t>
      </w:r>
    </w:p>
    <w:p w:rsidR="00C95BCF" w:rsidRPr="00EA543A" w:rsidRDefault="00C95BCF"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súvislosti s poskytnutím majetku formou výpožičky sa na takýto vzťah uplatnia ustanovenia obdobne ako pri prenájme majetku (§ 17 ods. 20 a 21). Keďže požičiavateľ počas obdobia, počas ktorého svoj majetok vypožičal, nevyužíva tento majetok na zabezpečenie zdaniteľných príjmov, je povinný prerušiť odpisovanie tohto hmotného majetku podľa § 22 ods. 9. Výnimkou je majetok podľa § 26 ods. 7, t. j. formy, modely, šablóny, ktoré sa predovšetkým vo výrobnom sektore vypožičiavajú za účelom výroby výrobkov pre požičiavateľa. Pri týchto druhoch majetku poskytnutých formou výpožičky, nemusí požičiavateľ prerušiť odpisovanie a zároveň ani nelimituje výšku odpisu dosiahnutým príjmom podľa § 19 ods. 3 písm. a).</w:t>
      </w:r>
    </w:p>
    <w:p w:rsidR="00A92376" w:rsidRPr="00EA543A" w:rsidRDefault="00A92376" w:rsidP="00BA62B0">
      <w:pPr>
        <w:pStyle w:val="Normlnywebov"/>
        <w:spacing w:before="0" w:beforeAutospacing="0" w:after="0" w:afterAutospacing="0"/>
        <w:contextualSpacing/>
        <w:jc w:val="both"/>
      </w:pPr>
    </w:p>
    <w:p w:rsidR="00DE73E5" w:rsidRPr="00EA543A" w:rsidRDefault="00104D86" w:rsidP="00BA62B0">
      <w:pPr>
        <w:spacing w:after="0" w:line="240" w:lineRule="auto"/>
        <w:ind w:left="66"/>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 xml:space="preserve">K bodom </w:t>
      </w:r>
      <w:r w:rsidR="00C95BCF" w:rsidRPr="00EA543A">
        <w:rPr>
          <w:rFonts w:ascii="Times New Roman" w:eastAsia="Times New Roman" w:hAnsi="Times New Roman" w:cs="Times New Roman"/>
          <w:b/>
          <w:sz w:val="24"/>
          <w:szCs w:val="24"/>
          <w:lang w:eastAsia="sk-SK"/>
        </w:rPr>
        <w:t>65</w:t>
      </w:r>
      <w:r w:rsidRPr="00EA543A">
        <w:rPr>
          <w:rFonts w:ascii="Times New Roman" w:eastAsia="Times New Roman" w:hAnsi="Times New Roman" w:cs="Times New Roman"/>
          <w:b/>
          <w:sz w:val="24"/>
          <w:szCs w:val="24"/>
          <w:lang w:eastAsia="sk-SK"/>
        </w:rPr>
        <w:t xml:space="preserve"> až 6</w:t>
      </w:r>
      <w:r w:rsidR="00C95BCF" w:rsidRPr="00EA543A">
        <w:rPr>
          <w:rFonts w:ascii="Times New Roman" w:eastAsia="Times New Roman" w:hAnsi="Times New Roman" w:cs="Times New Roman"/>
          <w:b/>
          <w:sz w:val="24"/>
          <w:szCs w:val="24"/>
          <w:lang w:eastAsia="sk-SK"/>
        </w:rPr>
        <w:t>7</w:t>
      </w:r>
      <w:r w:rsidRPr="00EA543A">
        <w:rPr>
          <w:rFonts w:ascii="Times New Roman" w:eastAsia="Times New Roman" w:hAnsi="Times New Roman" w:cs="Times New Roman"/>
          <w:b/>
          <w:sz w:val="24"/>
          <w:szCs w:val="24"/>
          <w:lang w:eastAsia="sk-SK"/>
        </w:rPr>
        <w:t xml:space="preserve"> - </w:t>
      </w:r>
      <w:r w:rsidR="00DE73E5" w:rsidRPr="00EA543A">
        <w:rPr>
          <w:rFonts w:ascii="Times New Roman" w:eastAsia="Times New Roman" w:hAnsi="Times New Roman" w:cs="Times New Roman"/>
          <w:b/>
          <w:sz w:val="24"/>
          <w:szCs w:val="24"/>
          <w:lang w:eastAsia="sk-SK"/>
        </w:rPr>
        <w:t xml:space="preserve">§ 25a písm. a), písm. d) </w:t>
      </w:r>
      <w:r w:rsidRPr="00EA543A">
        <w:rPr>
          <w:rFonts w:ascii="Times New Roman" w:eastAsia="Times New Roman" w:hAnsi="Times New Roman" w:cs="Times New Roman"/>
          <w:b/>
          <w:sz w:val="24"/>
          <w:szCs w:val="24"/>
          <w:lang w:eastAsia="sk-SK"/>
        </w:rPr>
        <w:t>piaty</w:t>
      </w:r>
      <w:r w:rsidR="00DE73E5" w:rsidRPr="00EA543A">
        <w:rPr>
          <w:rFonts w:ascii="Times New Roman" w:eastAsia="Times New Roman" w:hAnsi="Times New Roman" w:cs="Times New Roman"/>
          <w:b/>
          <w:sz w:val="24"/>
          <w:szCs w:val="24"/>
          <w:lang w:eastAsia="sk-SK"/>
        </w:rPr>
        <w:t xml:space="preserve"> bod</w:t>
      </w:r>
      <w:r w:rsidRPr="00EA543A">
        <w:rPr>
          <w:rFonts w:ascii="Times New Roman" w:eastAsia="Times New Roman" w:hAnsi="Times New Roman" w:cs="Times New Roman"/>
          <w:b/>
          <w:sz w:val="24"/>
          <w:szCs w:val="24"/>
          <w:lang w:eastAsia="sk-SK"/>
        </w:rPr>
        <w:t xml:space="preserve"> a</w:t>
      </w:r>
      <w:r w:rsidR="00DE73E5" w:rsidRPr="00EA543A">
        <w:rPr>
          <w:rFonts w:ascii="Times New Roman" w:eastAsia="Times New Roman" w:hAnsi="Times New Roman" w:cs="Times New Roman"/>
          <w:b/>
          <w:sz w:val="24"/>
          <w:szCs w:val="24"/>
          <w:lang w:eastAsia="sk-SK"/>
        </w:rPr>
        <w:t xml:space="preserve"> písm. e)</w:t>
      </w:r>
    </w:p>
    <w:p w:rsidR="005A2351" w:rsidRPr="00EA543A" w:rsidRDefault="000D3D5E"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V § 25a písmene a) sa spresňuje, že za daňový výdavok sa pri predaji cenných papierov a obchodných podielov uplatňuje obstarávacia cena upravená o všetky jej zníženia, ktoré nevstupovali do základu dane. Ide o situáciu, kedy sa účtovne obstarávacia cena tohto majetku znižuje napr. pri výplate prostriedkov zo zníženia základného imania u daňovníka, ktorý nadobudol finančný majetok kúpou (napr. znížením na účte 06x). Ak však bolo základné imanie spoločnosti pred kúpou finančného majetku zvýšené zo zisku po zdanení, považujú sa vyplatené prostriedky zo zníženia základného imania na účely zákona o dani z príjmov za podiel na zisku (dividendu) podľa § 3 ods. 1 písm. e) a § 12 ods. 7 písm. c) 1. bodu zákona o dani z príjmov. Podľa postupov účtovania pre podnikateľov sa tento príjem vykáže ako zníženie obstarávacej ceny finančného majetku (06x). Pri predaji tohto finančného majetku sa na účely uplatnenia daňového výdavku obstarávacia cena tohto majetku neznižuje o takto vyplatený príjem.</w:t>
      </w:r>
      <w:r w:rsidR="005A2351" w:rsidRPr="00EA543A">
        <w:rPr>
          <w:rFonts w:ascii="Times New Roman" w:hAnsi="Times New Roman" w:cs="Times New Roman"/>
          <w:sz w:val="24"/>
          <w:szCs w:val="24"/>
        </w:rPr>
        <w:t xml:space="preserve"> V prípade zmeny na účte 06x, ktoré sa prejavia účtovne ako jej zvýšenie, je na účely zákona o dani z príjmov potrebné vychádzať z podstaty, v dôsledku ktorej došlo k takémuto zvýšeniu. Pri preceňovaní CP prostredníctvom účtu 414 môže dôjsť aj k zvýšeniu aj zníženiu sumy účtovanej na účte 06x. Pri predaji finančného majetku sa však toto precenenie neguje opačným zápisom, čím pri predaji finančného majetku sa pri uplatnení daňového výdavku vždy vychádza z prvotnej obstarávacej ceny tohto majetku. Ak napríklad dôjde ku kúpe obchodného podielu a následne k ďalšiemu prikúpeniu obchodného podielu, na účely zákona o dani z príjmov sa pri uplatnení daňových výdavkov vychádza zo súčtu týchto obstarávacích cien podľa § 25a písm. a). V prípade, ak by daňovník, ktorý podiel nadobudol kúpou, realizoval nepeňažný vklad do spoločnosti v reálnych hodnotách, potom pri predaji tohto podielu by pri uplatnení daňového výdavku vychádzal z kombinácie vstupných cien podľa § 25a písm. a) a § 25a písm. d).</w:t>
      </w:r>
    </w:p>
    <w:p w:rsidR="000D3D5E" w:rsidRPr="00EA543A" w:rsidRDefault="000D3D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  </w:t>
      </w:r>
    </w:p>
    <w:p w:rsidR="000D3D5E" w:rsidRPr="00EA543A" w:rsidRDefault="000D3D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 25a písmene d) sa dopĺňa nový piaty bod, ktorým sa spresňuje, že daňovým výdavkom je pri cenných papieroch určených na obchodovanie ich reálna hodnota, t. j. obstarávacia cena upravená o precenenie na reálnu hodnotu (účet 564, 664, 566 resp. 666) zahrňované do základu dane.</w:t>
      </w:r>
    </w:p>
    <w:p w:rsidR="000D3D5E" w:rsidRPr="00EA543A" w:rsidRDefault="000D3D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lastRenderedPageBreak/>
        <w:t>V § 25a sa písmene e) prvom bode sa definuje pôvodná cena na účely ocenenia finančného majetku, ktorý nadobúda vkladateľ nepeňažného vkladu, prijímateľ nepeňažného vkladu ako aj právny nástupca daňovníka zrušeného bez likvidácie pri uplatnení pôvodných cien podľa § 17d a § 17e zákona o dani z príjmov.</w:t>
      </w:r>
    </w:p>
    <w:p w:rsidR="000D3D5E" w:rsidRPr="00EA543A" w:rsidRDefault="000D3D5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 25a písmene e) druhom bode sa dopĺňa ocenenie finančného majetku pôvodnou cenou u akcionára resp. spoločníka obchodnej spoločnosti, ktorá sa zrušuje bez likvidácie. Podľa § 3 ods. 2 písm. d) a § 12 ods. 7 písm. d) nie je predmetom dane výmena akcií daňovníka zrušeného bez likvidácie za akcie právneho nástupcu. V § 25a písmene e) druhom bode sa spresňuje, že v takomto prípade je tento majetok ocenený pôvodnou cenou, t. j. daňovou hodnotou, ktorou bol finančný majetok ocenený pred zlúčením, splynutím alebo rozdelením obchodných spoločností alebo družstiev.</w:t>
      </w:r>
    </w:p>
    <w:p w:rsidR="00DE73E5" w:rsidRPr="00EA543A" w:rsidRDefault="00DE73E5" w:rsidP="00BA62B0">
      <w:pPr>
        <w:pStyle w:val="Odsekzoznamu"/>
        <w:spacing w:after="0" w:line="240" w:lineRule="auto"/>
        <w:ind w:left="0"/>
        <w:jc w:val="both"/>
        <w:rPr>
          <w:rFonts w:ascii="Times New Roman" w:hAnsi="Times New Roman" w:cs="Times New Roman"/>
          <w:sz w:val="24"/>
          <w:szCs w:val="24"/>
        </w:rPr>
      </w:pPr>
    </w:p>
    <w:p w:rsidR="00A40A6A" w:rsidRPr="00EA543A" w:rsidRDefault="00A40A6A" w:rsidP="00BA62B0">
      <w:pPr>
        <w:pStyle w:val="Normlnywebov"/>
        <w:spacing w:before="0" w:beforeAutospacing="0" w:after="0" w:afterAutospacing="0"/>
        <w:contextualSpacing/>
        <w:jc w:val="both"/>
        <w:rPr>
          <w:b/>
        </w:rPr>
      </w:pPr>
      <w:r w:rsidRPr="00EA543A">
        <w:rPr>
          <w:b/>
        </w:rPr>
        <w:t xml:space="preserve">K bodom </w:t>
      </w:r>
      <w:r w:rsidR="00C95BCF" w:rsidRPr="00EA543A">
        <w:rPr>
          <w:b/>
        </w:rPr>
        <w:t>68</w:t>
      </w:r>
      <w:r w:rsidRPr="00EA543A">
        <w:rPr>
          <w:b/>
        </w:rPr>
        <w:t>,</w:t>
      </w:r>
      <w:r w:rsidR="00104D86" w:rsidRPr="00EA543A">
        <w:rPr>
          <w:b/>
        </w:rPr>
        <w:t xml:space="preserve"> </w:t>
      </w:r>
      <w:r w:rsidR="00C95BCF" w:rsidRPr="00EA543A">
        <w:rPr>
          <w:b/>
        </w:rPr>
        <w:t>72</w:t>
      </w:r>
      <w:r w:rsidR="00467CB4" w:rsidRPr="00EA543A">
        <w:rPr>
          <w:b/>
        </w:rPr>
        <w:t xml:space="preserve">, </w:t>
      </w:r>
      <w:r w:rsidR="00C95BCF" w:rsidRPr="00EA543A">
        <w:rPr>
          <w:b/>
        </w:rPr>
        <w:t>13</w:t>
      </w:r>
      <w:r w:rsidR="005F55C3" w:rsidRPr="00EA543A">
        <w:rPr>
          <w:b/>
        </w:rPr>
        <w:t>5</w:t>
      </w:r>
      <w:r w:rsidR="007A249B" w:rsidRPr="00EA543A">
        <w:rPr>
          <w:b/>
        </w:rPr>
        <w:t xml:space="preserve"> a 13</w:t>
      </w:r>
      <w:r w:rsidR="005F55C3" w:rsidRPr="00EA543A">
        <w:rPr>
          <w:b/>
        </w:rPr>
        <w:t>6</w:t>
      </w:r>
      <w:r w:rsidR="00467CB4" w:rsidRPr="00EA543A">
        <w:rPr>
          <w:b/>
        </w:rPr>
        <w:t xml:space="preserve"> -</w:t>
      </w:r>
      <w:r w:rsidRPr="00EA543A">
        <w:rPr>
          <w:b/>
        </w:rPr>
        <w:t xml:space="preserve"> § 26 ods. 1, § 27 ods. 1 a príloha č. 1</w:t>
      </w:r>
    </w:p>
    <w:p w:rsidR="00A40A6A" w:rsidRPr="00EA543A" w:rsidRDefault="00A40A6A"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V nadväznosti na schválený Akčný plán rozvoja </w:t>
      </w:r>
      <w:proofErr w:type="spellStart"/>
      <w:r w:rsidRPr="00EA543A">
        <w:rPr>
          <w:rFonts w:ascii="Times New Roman" w:hAnsi="Times New Roman" w:cs="Times New Roman"/>
          <w:sz w:val="24"/>
          <w:szCs w:val="24"/>
        </w:rPr>
        <w:t>elektromobility</w:t>
      </w:r>
      <w:proofErr w:type="spellEnd"/>
      <w:r w:rsidRPr="00EA543A">
        <w:rPr>
          <w:rFonts w:ascii="Times New Roman" w:hAnsi="Times New Roman" w:cs="Times New Roman"/>
          <w:sz w:val="24"/>
          <w:szCs w:val="24"/>
        </w:rPr>
        <w:t xml:space="preserve"> v Slovenskej republike vládou SR sa zákonom o dani z príjmov zvýhodňuje odpisovanie elektromobilov. Zavádza sa nová odpisová skupina 0 s dobou odpisovania 2 roky, do ktorej sú zaradené osobné automobily, ktoré majú v osvedčení o evidencii časť II v položke „18.3 Druh paliva/zdroj energie“ uvedenú skratku BEV alebo PHEV. Uvedené opatrenie má za cieľ zvýšiť motiváciu podnikateľského sektoru na obstaranie elektromobilu s cieľom podpory </w:t>
      </w:r>
      <w:proofErr w:type="spellStart"/>
      <w:r w:rsidRPr="00EA543A">
        <w:rPr>
          <w:rFonts w:ascii="Times New Roman" w:hAnsi="Times New Roman" w:cs="Times New Roman"/>
          <w:sz w:val="24"/>
          <w:szCs w:val="24"/>
        </w:rPr>
        <w:t>nízkoemisnej</w:t>
      </w:r>
      <w:proofErr w:type="spellEnd"/>
      <w:r w:rsidRPr="00EA543A">
        <w:rPr>
          <w:rFonts w:ascii="Times New Roman" w:hAnsi="Times New Roman" w:cs="Times New Roman"/>
          <w:sz w:val="24"/>
          <w:szCs w:val="24"/>
        </w:rPr>
        <w:t xml:space="preserve">, resp. </w:t>
      </w:r>
      <w:proofErr w:type="spellStart"/>
      <w:r w:rsidRPr="00EA543A">
        <w:rPr>
          <w:rFonts w:ascii="Times New Roman" w:hAnsi="Times New Roman" w:cs="Times New Roman"/>
          <w:sz w:val="24"/>
          <w:szCs w:val="24"/>
        </w:rPr>
        <w:t>bezemisnej</w:t>
      </w:r>
      <w:proofErr w:type="spellEnd"/>
      <w:r w:rsidRPr="00EA543A">
        <w:rPr>
          <w:rFonts w:ascii="Times New Roman" w:hAnsi="Times New Roman" w:cs="Times New Roman"/>
          <w:sz w:val="24"/>
          <w:szCs w:val="24"/>
        </w:rPr>
        <w:t xml:space="preserve"> formy dopravy. Navrhovanou úpravou dochádza k podpore </w:t>
      </w:r>
      <w:proofErr w:type="spellStart"/>
      <w:r w:rsidRPr="00EA543A">
        <w:rPr>
          <w:rFonts w:ascii="Times New Roman" w:hAnsi="Times New Roman" w:cs="Times New Roman"/>
          <w:sz w:val="24"/>
          <w:szCs w:val="24"/>
        </w:rPr>
        <w:t>bateriových</w:t>
      </w:r>
      <w:proofErr w:type="spellEnd"/>
      <w:r w:rsidRPr="00EA543A">
        <w:rPr>
          <w:rFonts w:ascii="Times New Roman" w:hAnsi="Times New Roman" w:cs="Times New Roman"/>
          <w:sz w:val="24"/>
          <w:szCs w:val="24"/>
        </w:rPr>
        <w:t xml:space="preserve"> elektrických vozidiel (BEV) alebo </w:t>
      </w:r>
      <w:proofErr w:type="spellStart"/>
      <w:r w:rsidRPr="00EA543A">
        <w:rPr>
          <w:rFonts w:ascii="Times New Roman" w:hAnsi="Times New Roman" w:cs="Times New Roman"/>
          <w:sz w:val="24"/>
          <w:szCs w:val="24"/>
        </w:rPr>
        <w:t>plug</w:t>
      </w:r>
      <w:proofErr w:type="spellEnd"/>
      <w:r w:rsidRPr="00EA543A">
        <w:rPr>
          <w:rFonts w:ascii="Times New Roman" w:hAnsi="Times New Roman" w:cs="Times New Roman"/>
          <w:sz w:val="24"/>
          <w:szCs w:val="24"/>
        </w:rPr>
        <w:t xml:space="preserve">-in hybridných elektrických vozidiel (PHEV), pričom </w:t>
      </w:r>
      <w:proofErr w:type="spellStart"/>
      <w:r w:rsidRPr="00EA543A">
        <w:rPr>
          <w:rFonts w:ascii="Times New Roman" w:hAnsi="Times New Roman" w:cs="Times New Roman"/>
          <w:sz w:val="24"/>
          <w:szCs w:val="24"/>
        </w:rPr>
        <w:t>plug</w:t>
      </w:r>
      <w:proofErr w:type="spellEnd"/>
      <w:r w:rsidRPr="00EA543A">
        <w:rPr>
          <w:rFonts w:ascii="Times New Roman" w:hAnsi="Times New Roman" w:cs="Times New Roman"/>
          <w:sz w:val="24"/>
          <w:szCs w:val="24"/>
        </w:rPr>
        <w:t xml:space="preserve">-in hybridné elektrické vozidlá môžu byť v akejkoľvek kombinácií s iným druhom paliva alebo zdroja energie. </w:t>
      </w:r>
    </w:p>
    <w:p w:rsidR="00A40A6A" w:rsidRPr="00EA543A" w:rsidRDefault="00A40A6A" w:rsidP="00BA62B0">
      <w:pPr>
        <w:pStyle w:val="Odsekzoznamu"/>
        <w:spacing w:after="0" w:line="240" w:lineRule="auto"/>
        <w:ind w:left="0"/>
        <w:jc w:val="both"/>
        <w:rPr>
          <w:rFonts w:ascii="Times New Roman" w:hAnsi="Times New Roman" w:cs="Times New Roman"/>
          <w:sz w:val="24"/>
          <w:szCs w:val="24"/>
        </w:rPr>
      </w:pPr>
    </w:p>
    <w:p w:rsidR="00A40A6A" w:rsidRPr="00EA543A" w:rsidRDefault="00A40A6A"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73</w:t>
      </w:r>
      <w:r w:rsidRPr="00EA543A">
        <w:rPr>
          <w:rFonts w:ascii="Times New Roman" w:hAnsi="Times New Roman" w:cs="Times New Roman"/>
          <w:b/>
          <w:sz w:val="24"/>
          <w:szCs w:val="24"/>
        </w:rPr>
        <w:t xml:space="preserve"> - § 30 ods. 1 </w:t>
      </w:r>
    </w:p>
    <w:p w:rsidR="00A40A6A" w:rsidRPr="00EA543A" w:rsidRDefault="00A40A6A"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Na základe analýzy zjednodušenia výpočtu základu dane pre malé a stredné podniky sa zavádzajú atraktívnejšie podmienky pre odpočet daňovej straty. Dochádza k zrušeniu rovnomernosti odpočtu daňovej straty a k predlženiu lehoty na jej odpočet. Podľa navrhovaného znenia je možné daňovú stratu odpočítať počas 5 bezprostredne po sebe nasledujúcich zdaňovacích období a to počnúc zdaňovacím obdobím, ktoré nasleduje za zdaňovacím obdobím, v ktorom bola táto daňová strata vyčíslená. U daňovníka, ktorým je </w:t>
      </w:r>
      <w:proofErr w:type="spellStart"/>
      <w:r w:rsidRPr="00EA543A">
        <w:rPr>
          <w:rFonts w:ascii="Times New Roman" w:hAnsi="Times New Roman" w:cs="Times New Roman"/>
          <w:sz w:val="24"/>
          <w:szCs w:val="24"/>
        </w:rPr>
        <w:t>mikrodaňovník</w:t>
      </w:r>
      <w:proofErr w:type="spellEnd"/>
      <w:r w:rsidRPr="00EA543A">
        <w:rPr>
          <w:rFonts w:ascii="Times New Roman" w:hAnsi="Times New Roman" w:cs="Times New Roman"/>
          <w:sz w:val="24"/>
          <w:szCs w:val="24"/>
        </w:rPr>
        <w:t xml:space="preserve"> nie je obmedzená výška umorovanej daňovej straty, t.j. takýto daňovník si môže uplatniť daňovú stratu do výšky vyčísleného základu dane v zdaňovacom období, v ktorom si chce jej odpočet uplatniť. Ostatní daňovníci si môžu uplatniť daňovú stratu do výšky 50 % vyčísleného základu dane, od ktorého je možné odpočet daňovej straty uskutočniť. </w:t>
      </w:r>
    </w:p>
    <w:p w:rsidR="00F36BA1" w:rsidRPr="00EA543A" w:rsidRDefault="00F36BA1" w:rsidP="00BA62B0">
      <w:pPr>
        <w:pStyle w:val="Odsekzoznamu"/>
        <w:spacing w:after="0" w:line="240" w:lineRule="auto"/>
        <w:ind w:left="0"/>
        <w:jc w:val="both"/>
        <w:rPr>
          <w:rFonts w:ascii="Times New Roman" w:hAnsi="Times New Roman" w:cs="Times New Roman"/>
          <w:sz w:val="24"/>
          <w:szCs w:val="24"/>
        </w:rPr>
      </w:pPr>
    </w:p>
    <w:p w:rsidR="00F36BA1" w:rsidRPr="00EA543A" w:rsidRDefault="00F36BA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 bodu 74 - § 30 ods. 2</w:t>
      </w:r>
    </w:p>
    <w:p w:rsidR="00F36BA1" w:rsidRPr="00EA543A" w:rsidRDefault="00F36BA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Ide o legislatívno-technickú úpravu v súvislosti s úpravou § 30 ods. 1. Pravidla uplatňovania odpočtu daňovej straty v prípade daňovníkov zanikajúcich likvidáciou a uplatňovania odpočtu daňovej straty v prípade kratšieho zdaňovacieho obdobia ako je 12 kalendárnych po sebe nasledujúcich mesiacov boli presunuté bez zmeny z odseku 1 do odseku 2.</w:t>
      </w:r>
    </w:p>
    <w:p w:rsidR="00467CB4" w:rsidRPr="00EA543A" w:rsidRDefault="00467CB4" w:rsidP="00BA62B0">
      <w:pPr>
        <w:pStyle w:val="Odsekzoznamu"/>
        <w:spacing w:after="0" w:line="240" w:lineRule="auto"/>
        <w:ind w:left="0"/>
        <w:jc w:val="both"/>
        <w:rPr>
          <w:rFonts w:ascii="Times New Roman" w:hAnsi="Times New Roman" w:cs="Times New Roman"/>
          <w:sz w:val="24"/>
          <w:szCs w:val="24"/>
        </w:rPr>
      </w:pPr>
    </w:p>
    <w:p w:rsidR="00A40A6A" w:rsidRPr="00EA543A" w:rsidRDefault="00A40A6A"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75</w:t>
      </w:r>
      <w:r w:rsidRPr="00EA543A">
        <w:rPr>
          <w:rFonts w:ascii="Times New Roman" w:hAnsi="Times New Roman" w:cs="Times New Roman"/>
          <w:b/>
          <w:sz w:val="24"/>
          <w:szCs w:val="24"/>
        </w:rPr>
        <w:t xml:space="preserve"> - § 30 ods. 5 </w:t>
      </w:r>
    </w:p>
    <w:p w:rsidR="006459F1" w:rsidRPr="00EA543A" w:rsidRDefault="00A40A6A"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Ustanovenie § 30 sa z dôvodu právnej istoty spresňuje ohľadom možnosti uplatňovania odpočtu daňovej straty v prípade zmeny právnej formy daňovníka. Daňovník, ktorý začal odpočítavať daňovú stratu alebo ktorému vznikol nárok na odpočet daňovej straty a následne u neho dôjde k zmene jeho právnej formy, má po jej zmene nárok pokračovať v jej odpočte v súlade s podmienkami stanovenými v odseku 1.  To znamená, že ak napr. spoločnosť s ručením obmedzeným vykázala daňovú stratu a následne spoločnosť zmenila právnu formu na komanditnú spoločnosť, táto komanditná spoločnosť má nárok na odpočet daňovej straty vykázanej spoločnosťou s ručením obmedzeným od svojho základu dane.</w:t>
      </w:r>
      <w:r w:rsidR="008D1171" w:rsidRPr="00EA543A">
        <w:rPr>
          <w:rFonts w:ascii="Times New Roman" w:hAnsi="Times New Roman" w:cs="Times New Roman"/>
          <w:sz w:val="24"/>
          <w:szCs w:val="24"/>
        </w:rPr>
        <w:t xml:space="preserve"> Ustanovenie sa </w:t>
      </w:r>
      <w:r w:rsidR="008D1171" w:rsidRPr="00EA543A">
        <w:rPr>
          <w:rFonts w:ascii="Times New Roman" w:hAnsi="Times New Roman" w:cs="Times New Roman"/>
          <w:sz w:val="24"/>
          <w:szCs w:val="24"/>
        </w:rPr>
        <w:lastRenderedPageBreak/>
        <w:t>vzťahuje nielen na zmenu kapitálovej spoločnosti na osobnú spoločnosť a naopak ale aj na zmenu jednej právnej formy kapitálovej spoločnosti na inú právnu formu kapitálovej spoločnosti.</w:t>
      </w:r>
    </w:p>
    <w:p w:rsidR="00EA65DE" w:rsidRPr="00EA543A" w:rsidRDefault="00EA65DE" w:rsidP="00BA62B0">
      <w:pPr>
        <w:pStyle w:val="Odsekzoznamu"/>
        <w:spacing w:after="0" w:line="240" w:lineRule="auto"/>
        <w:ind w:left="0"/>
        <w:jc w:val="both"/>
        <w:rPr>
          <w:rFonts w:ascii="Times New Roman" w:hAnsi="Times New Roman" w:cs="Times New Roman"/>
          <w:sz w:val="24"/>
          <w:szCs w:val="24"/>
        </w:rPr>
      </w:pPr>
    </w:p>
    <w:p w:rsidR="00EA65DE" w:rsidRPr="00EA543A" w:rsidRDefault="00467CB4" w:rsidP="00BA62B0">
      <w:p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76</w:t>
      </w:r>
      <w:r w:rsidR="00EA65DE" w:rsidRPr="00EA543A">
        <w:rPr>
          <w:rFonts w:ascii="Times New Roman" w:hAnsi="Times New Roman" w:cs="Times New Roman"/>
          <w:b/>
          <w:sz w:val="24"/>
          <w:szCs w:val="24"/>
        </w:rPr>
        <w:t xml:space="preserve"> - § 30c</w:t>
      </w:r>
      <w:r w:rsidR="00E12407" w:rsidRPr="00EA543A">
        <w:rPr>
          <w:rFonts w:ascii="Times New Roman" w:hAnsi="Times New Roman" w:cs="Times New Roman"/>
          <w:b/>
          <w:sz w:val="24"/>
          <w:szCs w:val="24"/>
        </w:rPr>
        <w:t xml:space="preserve"> ods. 1</w:t>
      </w:r>
    </w:p>
    <w:p w:rsidR="00EA65DE" w:rsidRPr="00EA543A" w:rsidRDefault="00EA65DE"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Pre daňovníkov, ktorí vykonávajú výskum a vývoj sa zvyšuje daňové zvýhodnenie, ktoré spočíva v odpočte výdavkov (nákladov) na výskum a vývoj od základu dane, tzv. super odpočet. Tento odpočet môže využiť daňovník, ktorý realizuje projekt výskumu a vývoja, v súvislosti s ktorým mu vznikajú výdavky (náklady), ktoré sú súčasťou výsledku hospodárenia a ktoré sú spôsobilé na opätovné odpočítanie od základu dane zníženého o odpočet daňovej straty vo výške 200 %. Zvýšenie odpočtu výdavkov (nákladov) na výskum a vývoj podľa § 30c ods. 1 sa prvýkrát uplatní za zdaňovacie obdobie, ktoré začína najskôr 1. januára 2020. Výška odpočtu z tzv. medziročného prírastku výdavkov (nákladov) na výskum a vývoj podľa § 30c ods. 2 ostáva nezmenená. </w:t>
      </w:r>
    </w:p>
    <w:p w:rsidR="00B96916" w:rsidRPr="00EA543A" w:rsidRDefault="00B96916" w:rsidP="00BA62B0">
      <w:pPr>
        <w:spacing w:after="0" w:line="240" w:lineRule="auto"/>
        <w:jc w:val="both"/>
        <w:rPr>
          <w:rFonts w:ascii="Times New Roman" w:hAnsi="Times New Roman" w:cs="Times New Roman"/>
          <w:sz w:val="24"/>
          <w:szCs w:val="24"/>
        </w:rPr>
      </w:pPr>
    </w:p>
    <w:p w:rsidR="00E12407" w:rsidRPr="00EA543A" w:rsidRDefault="00E12407" w:rsidP="00BA62B0">
      <w:p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77</w:t>
      </w:r>
      <w:r w:rsidRPr="00EA543A">
        <w:rPr>
          <w:rFonts w:ascii="Times New Roman" w:hAnsi="Times New Roman" w:cs="Times New Roman"/>
          <w:b/>
          <w:sz w:val="24"/>
          <w:szCs w:val="24"/>
        </w:rPr>
        <w:t xml:space="preserve"> - § 30c ods. 7</w:t>
      </w:r>
    </w:p>
    <w:p w:rsidR="00E12407" w:rsidRPr="00EA543A" w:rsidRDefault="00E12407"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Navrhovanou úpravou sa mení požiadavka kladená na písomný dokument projektu výskumu a vývoja, na základe ktorého sa uplatňuje odpočet výdavkov (nákladov) na výskum a vývoj. Projekt výskumu a vývoja, ako písomný dokument s predpísanými náležitosťami, nebude potrebné podpísať osobou oprávnenou konať za daňovníka pred začatím realizácie samotného projektu, ale až pri podaní daňového priznania, v ktorom prichádza k uplatneniu odpočtu výdavkov (nákladov) na výskum a vývoj. </w:t>
      </w:r>
    </w:p>
    <w:p w:rsidR="00E12407" w:rsidRPr="00EA543A" w:rsidRDefault="00E12407" w:rsidP="00BA62B0">
      <w:pPr>
        <w:spacing w:after="0" w:line="240" w:lineRule="auto"/>
        <w:ind w:left="284" w:hanging="284"/>
        <w:jc w:val="both"/>
        <w:rPr>
          <w:rFonts w:ascii="Times New Roman" w:hAnsi="Times New Roman" w:cs="Times New Roman"/>
          <w:b/>
          <w:sz w:val="24"/>
          <w:szCs w:val="24"/>
        </w:rPr>
      </w:pPr>
    </w:p>
    <w:p w:rsidR="00E12407" w:rsidRPr="00EA543A" w:rsidRDefault="00E12407" w:rsidP="00BA62B0">
      <w:p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7</w:t>
      </w:r>
      <w:r w:rsidRPr="00EA543A">
        <w:rPr>
          <w:rFonts w:ascii="Times New Roman" w:hAnsi="Times New Roman" w:cs="Times New Roman"/>
          <w:b/>
          <w:sz w:val="24"/>
          <w:szCs w:val="24"/>
        </w:rPr>
        <w:t>8 - § 30c ods. 9</w:t>
      </w:r>
    </w:p>
    <w:p w:rsidR="00E12407" w:rsidRPr="00EA543A" w:rsidRDefault="00E12407"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Predlžuje sa max. obdobie, počas ktorého, ak daňovník nemôže odpočet výdavkov (nákladov) na výskum a vývoj efektívne uplatniť z dôvodu vykázania daňovej straty alebo nedostatočného základu dane po odpočte daňovej straty, bude možné prenášať nárok na uplatnenie tohto odpočtu. Maximálna dĺžka obdobia odpočtu sa predlžuje zo štyroch zdaňovacích období bezprostredne nasledujúcich po zdaňovacom období, v ktorom nárok na odpočet vznikol na päť zdaňovacích období. Táto úprava rešpektuje obdobie zániku práva vyrubiť daň. </w:t>
      </w:r>
    </w:p>
    <w:p w:rsidR="00E12407" w:rsidRPr="00EA543A" w:rsidRDefault="00E12407" w:rsidP="00BA62B0">
      <w:pPr>
        <w:spacing w:after="0" w:line="240" w:lineRule="auto"/>
        <w:jc w:val="both"/>
        <w:rPr>
          <w:rFonts w:ascii="Times New Roman" w:hAnsi="Times New Roman" w:cs="Times New Roman"/>
          <w:sz w:val="24"/>
          <w:szCs w:val="24"/>
        </w:rPr>
      </w:pPr>
    </w:p>
    <w:p w:rsidR="00B96916" w:rsidRPr="00EA543A" w:rsidRDefault="00B96916"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81</w:t>
      </w:r>
      <w:r w:rsidRPr="00EA543A">
        <w:rPr>
          <w:rFonts w:ascii="Times New Roman" w:hAnsi="Times New Roman" w:cs="Times New Roman"/>
          <w:b/>
          <w:sz w:val="24"/>
          <w:szCs w:val="24"/>
        </w:rPr>
        <w:t xml:space="preserve"> - § 32 ods. 10</w:t>
      </w:r>
    </w:p>
    <w:p w:rsidR="00B96916" w:rsidRPr="00EA543A" w:rsidRDefault="00B96916"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Z dôvodu znižovania administratívnej náročnosti sa navrhuje zrušiť povinnosť daňovníka opakovane prikladať k daňovému priznaniu doklady na priznanie daňového bonusu na vyživované dieťa, ak ich daňovník k daňovému priznaniu už raz priložil a v týchto dokladoch nedošlo k zmene údajov (napr. rodný list).</w:t>
      </w:r>
    </w:p>
    <w:p w:rsidR="00EA65DE" w:rsidRPr="00EA543A" w:rsidRDefault="00EA65DE" w:rsidP="00BA62B0">
      <w:pPr>
        <w:pStyle w:val="Odsekzoznamu"/>
        <w:spacing w:after="0" w:line="240" w:lineRule="auto"/>
        <w:ind w:left="0"/>
        <w:jc w:val="both"/>
        <w:rPr>
          <w:rFonts w:ascii="Times New Roman" w:hAnsi="Times New Roman" w:cs="Times New Roman"/>
          <w:sz w:val="24"/>
          <w:szCs w:val="24"/>
        </w:rPr>
      </w:pPr>
    </w:p>
    <w:p w:rsidR="006459F1" w:rsidRPr="00EA543A" w:rsidRDefault="006459F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w:t>
      </w:r>
      <w:r w:rsidR="00467CB4" w:rsidRPr="00EA543A">
        <w:rPr>
          <w:rFonts w:ascii="Times New Roman" w:hAnsi="Times New Roman" w:cs="Times New Roman"/>
          <w:b/>
          <w:sz w:val="24"/>
          <w:szCs w:val="24"/>
        </w:rPr>
        <w:t> </w:t>
      </w:r>
      <w:r w:rsidRPr="00EA543A">
        <w:rPr>
          <w:rFonts w:ascii="Times New Roman" w:hAnsi="Times New Roman" w:cs="Times New Roman"/>
          <w:b/>
          <w:sz w:val="24"/>
          <w:szCs w:val="24"/>
        </w:rPr>
        <w:t>bod</w:t>
      </w:r>
      <w:r w:rsidR="00467CB4" w:rsidRPr="00EA543A">
        <w:rPr>
          <w:rFonts w:ascii="Times New Roman" w:hAnsi="Times New Roman" w:cs="Times New Roman"/>
          <w:b/>
          <w:sz w:val="24"/>
          <w:szCs w:val="24"/>
        </w:rPr>
        <w:t xml:space="preserve">om </w:t>
      </w:r>
      <w:r w:rsidR="00C95BCF" w:rsidRPr="00EA543A">
        <w:rPr>
          <w:rFonts w:ascii="Times New Roman" w:hAnsi="Times New Roman" w:cs="Times New Roman"/>
          <w:b/>
          <w:sz w:val="24"/>
          <w:szCs w:val="24"/>
        </w:rPr>
        <w:t xml:space="preserve">83 až 86 </w:t>
      </w:r>
      <w:r w:rsidR="007C1C4D" w:rsidRPr="00EA543A">
        <w:rPr>
          <w:rFonts w:ascii="Times New Roman" w:hAnsi="Times New Roman" w:cs="Times New Roman"/>
          <w:b/>
          <w:sz w:val="24"/>
          <w:szCs w:val="24"/>
        </w:rPr>
        <w:t>a 1</w:t>
      </w:r>
      <w:r w:rsidR="00C95BCF" w:rsidRPr="00EA543A">
        <w:rPr>
          <w:rFonts w:ascii="Times New Roman" w:hAnsi="Times New Roman" w:cs="Times New Roman"/>
          <w:b/>
          <w:sz w:val="24"/>
          <w:szCs w:val="24"/>
        </w:rPr>
        <w:t>3</w:t>
      </w:r>
      <w:r w:rsidR="005F55C3" w:rsidRPr="00EA543A">
        <w:rPr>
          <w:rFonts w:ascii="Times New Roman" w:hAnsi="Times New Roman" w:cs="Times New Roman"/>
          <w:b/>
          <w:sz w:val="24"/>
          <w:szCs w:val="24"/>
        </w:rPr>
        <w:t>4</w:t>
      </w:r>
      <w:r w:rsidRPr="00EA543A">
        <w:rPr>
          <w:rFonts w:ascii="Times New Roman" w:hAnsi="Times New Roman" w:cs="Times New Roman"/>
          <w:b/>
          <w:sz w:val="24"/>
          <w:szCs w:val="24"/>
        </w:rPr>
        <w:t xml:space="preserve"> - § 34 ods. 1 a 2, 5 a</w:t>
      </w:r>
      <w:r w:rsidR="007C1C4D" w:rsidRPr="00EA543A">
        <w:rPr>
          <w:rFonts w:ascii="Times New Roman" w:hAnsi="Times New Roman" w:cs="Times New Roman"/>
          <w:b/>
          <w:sz w:val="24"/>
          <w:szCs w:val="24"/>
        </w:rPr>
        <w:t> </w:t>
      </w:r>
      <w:r w:rsidRPr="00EA543A">
        <w:rPr>
          <w:rFonts w:ascii="Times New Roman" w:hAnsi="Times New Roman" w:cs="Times New Roman"/>
          <w:b/>
          <w:sz w:val="24"/>
          <w:szCs w:val="24"/>
        </w:rPr>
        <w:t>6</w:t>
      </w:r>
      <w:r w:rsidR="007C1C4D" w:rsidRPr="00EA543A">
        <w:rPr>
          <w:rFonts w:ascii="Times New Roman" w:hAnsi="Times New Roman" w:cs="Times New Roman"/>
          <w:b/>
          <w:sz w:val="24"/>
          <w:szCs w:val="24"/>
        </w:rPr>
        <w:t xml:space="preserve"> a § 52zz ods. </w:t>
      </w:r>
      <w:r w:rsidR="007A249B" w:rsidRPr="00EA543A">
        <w:rPr>
          <w:rFonts w:ascii="Times New Roman" w:hAnsi="Times New Roman" w:cs="Times New Roman"/>
          <w:b/>
          <w:sz w:val="24"/>
          <w:szCs w:val="24"/>
        </w:rPr>
        <w:t>19</w:t>
      </w:r>
    </w:p>
    <w:p w:rsidR="006459F1" w:rsidRPr="00EA543A" w:rsidRDefault="006459F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Navrhovanou úpravou sa zvyšuje hranica pre povinnosť platenia preddavkov zo sumy 2 500 na sumu 5 000 eur.</w:t>
      </w:r>
    </w:p>
    <w:p w:rsidR="006459F1" w:rsidRPr="00EA543A" w:rsidRDefault="006459F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Zároveň sa výrazným spôsobom zjednodušuje výpočet poslednej známej daňovej povinnosti, od ktorej závisí povinnosť platenia preddavkov, pričom táto sa bude počítať výlučne zo základu dane (čiastkového základu dane) z príjmov z podnikania alebo z inej samostatne zárobkovej činnosti zníženej o daňovú stratu.</w:t>
      </w:r>
    </w:p>
    <w:p w:rsidR="006459F1" w:rsidRPr="00EA543A" w:rsidRDefault="006459F1" w:rsidP="00BA62B0">
      <w:pPr>
        <w:pStyle w:val="Odsekzoznamu"/>
        <w:spacing w:after="0" w:line="240" w:lineRule="auto"/>
        <w:ind w:left="0"/>
        <w:jc w:val="both"/>
        <w:rPr>
          <w:rFonts w:ascii="Times New Roman" w:hAnsi="Times New Roman" w:cs="Times New Roman"/>
          <w:sz w:val="24"/>
          <w:szCs w:val="24"/>
        </w:rPr>
      </w:pPr>
    </w:p>
    <w:p w:rsidR="00B96916" w:rsidRPr="00EA543A" w:rsidRDefault="00B96916" w:rsidP="00BA62B0">
      <w:p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89</w:t>
      </w:r>
      <w:r w:rsidRPr="00EA543A">
        <w:rPr>
          <w:rFonts w:ascii="Times New Roman" w:hAnsi="Times New Roman" w:cs="Times New Roman"/>
          <w:b/>
          <w:sz w:val="24"/>
          <w:szCs w:val="24"/>
        </w:rPr>
        <w:t xml:space="preserve"> - § 35 ods. 6</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Z dôvodu právnej istoty sa navrhuje spresniť termín na odvod preddavkov na daň u daňovníka, ktorý je ekonomickým zamestnávateľom podľa § 5 ods. 4 zákona.</w:t>
      </w:r>
    </w:p>
    <w:p w:rsidR="00451E5B" w:rsidRPr="00EA543A" w:rsidRDefault="00451E5B" w:rsidP="00BA62B0">
      <w:pPr>
        <w:spacing w:after="0" w:line="240" w:lineRule="auto"/>
        <w:jc w:val="both"/>
        <w:rPr>
          <w:rFonts w:ascii="Times New Roman" w:hAnsi="Times New Roman" w:cs="Times New Roman"/>
          <w:b/>
          <w:sz w:val="24"/>
          <w:szCs w:val="24"/>
        </w:rPr>
      </w:pPr>
    </w:p>
    <w:p w:rsidR="00F45C2A" w:rsidRDefault="00F45C2A" w:rsidP="00BA62B0">
      <w:pPr>
        <w:spacing w:after="0" w:line="240" w:lineRule="auto"/>
        <w:ind w:left="284" w:hanging="284"/>
        <w:jc w:val="both"/>
        <w:rPr>
          <w:rFonts w:ascii="Times New Roman" w:hAnsi="Times New Roman" w:cs="Times New Roman"/>
          <w:b/>
          <w:sz w:val="24"/>
          <w:szCs w:val="24"/>
        </w:rPr>
      </w:pPr>
    </w:p>
    <w:p w:rsidR="00467CB4" w:rsidRPr="00EA543A" w:rsidRDefault="00467CB4" w:rsidP="00BA62B0">
      <w:pPr>
        <w:spacing w:after="0" w:line="240" w:lineRule="auto"/>
        <w:ind w:left="284" w:hanging="284"/>
        <w:jc w:val="both"/>
        <w:rPr>
          <w:rFonts w:ascii="Times New Roman" w:hAnsi="Times New Roman" w:cs="Times New Roman"/>
          <w:b/>
          <w:sz w:val="24"/>
          <w:szCs w:val="24"/>
        </w:rPr>
      </w:pPr>
      <w:r w:rsidRPr="00EA543A">
        <w:rPr>
          <w:rFonts w:ascii="Times New Roman" w:hAnsi="Times New Roman" w:cs="Times New Roman"/>
          <w:b/>
          <w:sz w:val="24"/>
          <w:szCs w:val="24"/>
        </w:rPr>
        <w:lastRenderedPageBreak/>
        <w:t xml:space="preserve">K bodu </w:t>
      </w:r>
      <w:r w:rsidR="00C95BCF" w:rsidRPr="00EA543A">
        <w:rPr>
          <w:rFonts w:ascii="Times New Roman" w:hAnsi="Times New Roman" w:cs="Times New Roman"/>
          <w:b/>
          <w:sz w:val="24"/>
          <w:szCs w:val="24"/>
        </w:rPr>
        <w:t>9</w:t>
      </w:r>
      <w:r w:rsidR="00DF4409" w:rsidRPr="00EA543A">
        <w:rPr>
          <w:rFonts w:ascii="Times New Roman" w:hAnsi="Times New Roman" w:cs="Times New Roman"/>
          <w:b/>
          <w:sz w:val="24"/>
          <w:szCs w:val="24"/>
        </w:rPr>
        <w:t>1</w:t>
      </w:r>
      <w:r w:rsidRPr="00EA543A">
        <w:rPr>
          <w:rFonts w:ascii="Times New Roman" w:hAnsi="Times New Roman" w:cs="Times New Roman"/>
          <w:b/>
          <w:sz w:val="24"/>
          <w:szCs w:val="24"/>
        </w:rPr>
        <w:t xml:space="preserve"> - § 35 ods. 8</w:t>
      </w:r>
    </w:p>
    <w:p w:rsidR="00451E5B" w:rsidRPr="00EA543A" w:rsidRDefault="00C137BA"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Ide o l</w:t>
      </w:r>
      <w:r w:rsidR="00451E5B" w:rsidRPr="00EA543A">
        <w:rPr>
          <w:rFonts w:ascii="Times New Roman" w:hAnsi="Times New Roman" w:cs="Times New Roman"/>
          <w:sz w:val="24"/>
          <w:szCs w:val="24"/>
        </w:rPr>
        <w:t>egislatívno-technick</w:t>
      </w:r>
      <w:r w:rsidRPr="00EA543A">
        <w:rPr>
          <w:rFonts w:ascii="Times New Roman" w:hAnsi="Times New Roman" w:cs="Times New Roman"/>
          <w:sz w:val="24"/>
          <w:szCs w:val="24"/>
        </w:rPr>
        <w:t>ú</w:t>
      </w:r>
      <w:r w:rsidR="00451E5B" w:rsidRPr="00EA543A">
        <w:rPr>
          <w:rFonts w:ascii="Times New Roman" w:hAnsi="Times New Roman" w:cs="Times New Roman"/>
          <w:sz w:val="24"/>
          <w:szCs w:val="24"/>
        </w:rPr>
        <w:t xml:space="preserve"> úprav</w:t>
      </w:r>
      <w:r w:rsidRPr="00EA543A">
        <w:rPr>
          <w:rFonts w:ascii="Times New Roman" w:hAnsi="Times New Roman" w:cs="Times New Roman"/>
          <w:sz w:val="24"/>
          <w:szCs w:val="24"/>
        </w:rPr>
        <w:t>u</w:t>
      </w:r>
      <w:r w:rsidR="00451E5B" w:rsidRPr="00EA543A">
        <w:rPr>
          <w:rFonts w:ascii="Times New Roman" w:hAnsi="Times New Roman" w:cs="Times New Roman"/>
          <w:sz w:val="24"/>
          <w:szCs w:val="24"/>
        </w:rPr>
        <w:t>.</w:t>
      </w:r>
    </w:p>
    <w:p w:rsidR="00451E5B" w:rsidRPr="00EA543A" w:rsidRDefault="00451E5B" w:rsidP="00BA62B0">
      <w:pPr>
        <w:spacing w:after="0" w:line="240" w:lineRule="auto"/>
        <w:jc w:val="both"/>
        <w:rPr>
          <w:rFonts w:ascii="Times New Roman" w:hAnsi="Times New Roman" w:cs="Times New Roman"/>
          <w:sz w:val="24"/>
          <w:szCs w:val="24"/>
        </w:rPr>
      </w:pPr>
    </w:p>
    <w:p w:rsidR="00451E5B" w:rsidRPr="00EA543A" w:rsidRDefault="00467CB4"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9</w:t>
      </w:r>
      <w:r w:rsidR="00DF4409" w:rsidRPr="00EA543A">
        <w:rPr>
          <w:rFonts w:ascii="Times New Roman" w:hAnsi="Times New Roman" w:cs="Times New Roman"/>
          <w:b/>
          <w:sz w:val="24"/>
          <w:szCs w:val="24"/>
        </w:rPr>
        <w:t>2</w:t>
      </w:r>
      <w:r w:rsidRPr="00EA543A">
        <w:rPr>
          <w:rFonts w:ascii="Times New Roman" w:hAnsi="Times New Roman" w:cs="Times New Roman"/>
          <w:b/>
          <w:sz w:val="24"/>
          <w:szCs w:val="24"/>
        </w:rPr>
        <w:t xml:space="preserve"> - § 35 ods. 10 a</w:t>
      </w:r>
      <w:r w:rsidR="00B96916" w:rsidRPr="00EA543A">
        <w:rPr>
          <w:rFonts w:ascii="Times New Roman" w:hAnsi="Times New Roman" w:cs="Times New Roman"/>
          <w:b/>
          <w:sz w:val="24"/>
          <w:szCs w:val="24"/>
        </w:rPr>
        <w:t>ž</w:t>
      </w:r>
      <w:r w:rsidRPr="00EA543A">
        <w:rPr>
          <w:rFonts w:ascii="Times New Roman" w:hAnsi="Times New Roman" w:cs="Times New Roman"/>
          <w:b/>
          <w:sz w:val="24"/>
          <w:szCs w:val="24"/>
        </w:rPr>
        <w:t xml:space="preserve"> 1</w:t>
      </w:r>
      <w:r w:rsidR="00B96916" w:rsidRPr="00EA543A">
        <w:rPr>
          <w:rFonts w:ascii="Times New Roman" w:hAnsi="Times New Roman" w:cs="Times New Roman"/>
          <w:b/>
          <w:sz w:val="24"/>
          <w:szCs w:val="24"/>
        </w:rPr>
        <w:t>2</w:t>
      </w:r>
    </w:p>
    <w:p w:rsidR="00B96916" w:rsidRPr="00EA543A" w:rsidRDefault="00C137BA"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Ide o legislatívno-technickú úpravu.</w:t>
      </w:r>
      <w:r w:rsidR="00B96916" w:rsidRPr="00EA543A">
        <w:rPr>
          <w:rFonts w:ascii="Times New Roman" w:hAnsi="Times New Roman" w:cs="Times New Roman"/>
          <w:sz w:val="24"/>
          <w:szCs w:val="24"/>
        </w:rPr>
        <w:t xml:space="preserve"> Z dôvodu právnej istoty sa zavádza pre daňovníka možnosť požiadať správcu dane o určenie platenia preddavkov na daň podľa odsekov 10 a 11 inak.  </w:t>
      </w:r>
    </w:p>
    <w:p w:rsidR="00451E5B" w:rsidRPr="00EA543A" w:rsidRDefault="00451E5B" w:rsidP="00BA62B0">
      <w:pPr>
        <w:spacing w:after="0" w:line="240" w:lineRule="auto"/>
        <w:jc w:val="both"/>
        <w:rPr>
          <w:rFonts w:ascii="Times New Roman" w:hAnsi="Times New Roman" w:cs="Times New Roman"/>
          <w:b/>
          <w:sz w:val="24"/>
          <w:szCs w:val="24"/>
        </w:rPr>
      </w:pPr>
    </w:p>
    <w:p w:rsidR="00467CB4" w:rsidRPr="00EA543A" w:rsidRDefault="00467CB4"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K bod</w:t>
      </w:r>
      <w:r w:rsidR="00C95BCF" w:rsidRPr="00EA543A">
        <w:rPr>
          <w:rFonts w:ascii="Times New Roman" w:hAnsi="Times New Roman" w:cs="Times New Roman"/>
          <w:b/>
          <w:sz w:val="24"/>
          <w:szCs w:val="24"/>
        </w:rPr>
        <w:t>om</w:t>
      </w:r>
      <w:r w:rsidRPr="00EA543A">
        <w:rPr>
          <w:rFonts w:ascii="Times New Roman" w:hAnsi="Times New Roman" w:cs="Times New Roman"/>
          <w:b/>
          <w:sz w:val="24"/>
          <w:szCs w:val="24"/>
        </w:rPr>
        <w:t xml:space="preserve"> </w:t>
      </w:r>
      <w:r w:rsidR="00C95BCF" w:rsidRPr="00EA543A">
        <w:rPr>
          <w:rFonts w:ascii="Times New Roman" w:hAnsi="Times New Roman" w:cs="Times New Roman"/>
          <w:b/>
          <w:sz w:val="24"/>
          <w:szCs w:val="24"/>
        </w:rPr>
        <w:t>9</w:t>
      </w:r>
      <w:r w:rsidR="00DF4409" w:rsidRPr="00EA543A">
        <w:rPr>
          <w:rFonts w:ascii="Times New Roman" w:hAnsi="Times New Roman" w:cs="Times New Roman"/>
          <w:b/>
          <w:sz w:val="24"/>
          <w:szCs w:val="24"/>
        </w:rPr>
        <w:t>3</w:t>
      </w:r>
      <w:r w:rsidR="00C95BCF" w:rsidRPr="00EA543A">
        <w:rPr>
          <w:rFonts w:ascii="Times New Roman" w:hAnsi="Times New Roman" w:cs="Times New Roman"/>
          <w:b/>
          <w:sz w:val="24"/>
          <w:szCs w:val="24"/>
        </w:rPr>
        <w:t xml:space="preserve"> a 9</w:t>
      </w:r>
      <w:r w:rsidR="00DF4409" w:rsidRPr="00EA543A">
        <w:rPr>
          <w:rFonts w:ascii="Times New Roman" w:hAnsi="Times New Roman" w:cs="Times New Roman"/>
          <w:b/>
          <w:sz w:val="24"/>
          <w:szCs w:val="24"/>
        </w:rPr>
        <w:t>7</w:t>
      </w:r>
      <w:r w:rsidRPr="00EA543A">
        <w:rPr>
          <w:rFonts w:ascii="Times New Roman" w:hAnsi="Times New Roman" w:cs="Times New Roman"/>
          <w:b/>
          <w:sz w:val="24"/>
          <w:szCs w:val="24"/>
        </w:rPr>
        <w:t xml:space="preserve"> - § 36 ods. 6</w:t>
      </w:r>
      <w:r w:rsidR="00425761" w:rsidRPr="00EA543A">
        <w:rPr>
          <w:rFonts w:ascii="Times New Roman" w:hAnsi="Times New Roman" w:cs="Times New Roman"/>
          <w:b/>
          <w:sz w:val="24"/>
          <w:szCs w:val="24"/>
        </w:rPr>
        <w:t xml:space="preserve"> a § 37 ods. 3</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Za účelom znižovania administratívnej náročnosti a z dôvodu nadbytočnosti sa vypúšťa povinnosť zamestnanca podpisovať vyhlásenie na uplatňovanie nezdaniteľnej časti základ dane na daňovníka a daňový bonus každoročne do konca januára. Z aplikačnej praxe je zrejmé, že v prípade, ak na strane zamestnanca počas roka nedochádza k zmene podmienok na uplatňovanie daňového bonusu, alebo ide o daňovníka, ktorý je poberateľom dôchodku a táto skutočnosť je zamestnávateľovi už známa, je pre zamestnanca aj zamestnávateľa zaťažujúce každoročne k 31.1. vyhlasovať tie isté skutočnosti. V prípadoch, ak má zamestnávateľ u zamestnanca prihliadnuť na nezdaniteľnú časť základu dane a daňový bonus v priebehu zdaňovacieho obdobia, zamestnanec podáva toto vyhlásenie pri nástupe do zamestnania a vždy vtedy, ak sa u neho zmenia podmienky na ich uplatňovanie. Povinnosť zamestnanca preukazovať zamestnávateľovi splnenie podmienok na priznanie daňového bonusu sa navrhovanou úpravou nevylučuje. Vyhlásenie podá zamestnanec v listinnej forme, ak sa so zamestnávateľom nedohodnú na elektronickej komunikácii.</w:t>
      </w:r>
    </w:p>
    <w:p w:rsidR="00451E5B" w:rsidRPr="00EA543A" w:rsidRDefault="00451E5B" w:rsidP="00BA62B0">
      <w:pPr>
        <w:spacing w:after="0" w:line="240" w:lineRule="auto"/>
        <w:jc w:val="both"/>
        <w:rPr>
          <w:rFonts w:ascii="Times New Roman" w:hAnsi="Times New Roman" w:cs="Times New Roman"/>
          <w:sz w:val="24"/>
          <w:szCs w:val="24"/>
        </w:rPr>
      </w:pPr>
    </w:p>
    <w:p w:rsidR="00467CB4" w:rsidRPr="00EA543A" w:rsidRDefault="00467CB4"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DF4409" w:rsidRPr="00EA543A">
        <w:rPr>
          <w:rFonts w:ascii="Times New Roman" w:hAnsi="Times New Roman" w:cs="Times New Roman"/>
          <w:b/>
          <w:sz w:val="24"/>
          <w:szCs w:val="24"/>
        </w:rPr>
        <w:t>94</w:t>
      </w:r>
      <w:r w:rsidRPr="00EA543A">
        <w:rPr>
          <w:rFonts w:ascii="Times New Roman" w:hAnsi="Times New Roman" w:cs="Times New Roman"/>
          <w:b/>
          <w:sz w:val="24"/>
          <w:szCs w:val="24"/>
        </w:rPr>
        <w:t xml:space="preserve"> - § 36 ods. 7</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Navrhuje sa umožniť zamestnancovi nahlasovať zmenu podmienok, ktoré majú vplyv na uplatňovanie nároku na daňový bonus a nezdaniteľnú časť základu dane na daňovníka okrem listinnej aj elektronickou formou a to po vzájomnej dohode so zamestnávateľom. Zamestnávateľ môže prijať interné opatrenia, že pri výplate bude zamestnanca na to nejakým spôsobom upozorňovať (napr. uvedie text vo výplatnej páske, pri elektronickom doručení e-mailom, pri osobnom preberaní pásky).</w:t>
      </w:r>
    </w:p>
    <w:p w:rsidR="00B96916" w:rsidRPr="00EA543A" w:rsidRDefault="00B96916"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  </w:t>
      </w:r>
    </w:p>
    <w:p w:rsidR="00994E9C" w:rsidRPr="00EA543A" w:rsidRDefault="00994E9C"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 xml:space="preserve">K bodom </w:t>
      </w:r>
      <w:r w:rsidR="00C95BCF" w:rsidRPr="00EA543A">
        <w:rPr>
          <w:rFonts w:ascii="Times New Roman" w:hAnsi="Times New Roman" w:cs="Times New Roman"/>
          <w:b/>
          <w:sz w:val="24"/>
          <w:szCs w:val="24"/>
        </w:rPr>
        <w:t>9</w:t>
      </w:r>
      <w:r w:rsidR="00DF4409" w:rsidRPr="00EA543A">
        <w:rPr>
          <w:rFonts w:ascii="Times New Roman" w:hAnsi="Times New Roman" w:cs="Times New Roman"/>
          <w:b/>
          <w:sz w:val="24"/>
          <w:szCs w:val="24"/>
        </w:rPr>
        <w:t>8</w:t>
      </w:r>
      <w:r w:rsidR="00C95BCF" w:rsidRPr="00EA543A">
        <w:rPr>
          <w:rFonts w:ascii="Times New Roman" w:hAnsi="Times New Roman" w:cs="Times New Roman"/>
          <w:b/>
          <w:sz w:val="24"/>
          <w:szCs w:val="24"/>
        </w:rPr>
        <w:t xml:space="preserve"> </w:t>
      </w:r>
      <w:r w:rsidRPr="00EA543A">
        <w:rPr>
          <w:rFonts w:ascii="Times New Roman" w:hAnsi="Times New Roman" w:cs="Times New Roman"/>
          <w:b/>
          <w:sz w:val="24"/>
          <w:szCs w:val="24"/>
        </w:rPr>
        <w:t>- § 38 ods. 1</w:t>
      </w:r>
    </w:p>
    <w:p w:rsidR="00451E5B" w:rsidRPr="00EA543A" w:rsidRDefault="00451E5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Z dôvodu zníženia administratívnej záťaže sa navrhuje umožniť zamestnancovi podať žiadosť o vykonanie ročného zúčtovania preddavkov na daň elektronickou formou a to po vzájomnej dohode so zamestnávateľom.</w:t>
      </w:r>
    </w:p>
    <w:p w:rsidR="00451E5B" w:rsidRPr="00EA543A" w:rsidRDefault="00451E5B" w:rsidP="00BA62B0">
      <w:pPr>
        <w:spacing w:after="0" w:line="240" w:lineRule="auto"/>
        <w:jc w:val="both"/>
        <w:rPr>
          <w:rFonts w:ascii="Times New Roman" w:hAnsi="Times New Roman" w:cs="Times New Roman"/>
          <w:sz w:val="24"/>
          <w:szCs w:val="24"/>
        </w:rPr>
      </w:pPr>
    </w:p>
    <w:p w:rsidR="00AC078B" w:rsidRPr="00EA543A" w:rsidRDefault="00AC078B"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5F55C3" w:rsidRPr="00EA543A">
        <w:rPr>
          <w:rFonts w:ascii="Times New Roman" w:hAnsi="Times New Roman" w:cs="Times New Roman"/>
          <w:b/>
          <w:sz w:val="24"/>
          <w:szCs w:val="24"/>
        </w:rPr>
        <w:t>99</w:t>
      </w:r>
      <w:r w:rsidRPr="00EA543A">
        <w:rPr>
          <w:rFonts w:ascii="Times New Roman" w:hAnsi="Times New Roman" w:cs="Times New Roman"/>
          <w:b/>
          <w:sz w:val="24"/>
          <w:szCs w:val="24"/>
        </w:rPr>
        <w:t xml:space="preserve"> - § 39 ods. 14</w:t>
      </w:r>
    </w:p>
    <w:p w:rsidR="00AC078B" w:rsidRPr="00EA543A" w:rsidRDefault="00AC078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Vzhľadom na rovnosť lehoty v prípade zasielania výzvy na odstránenie nedostatkov v podanom prehľade a lehoty na vrátenie vzniknutého daňového preplatku sa navrhuje, aby lehota na vrátenie rozdielu neplynula  odo dňa doručenia výzvy na odstránenie nedostatkov, ale už odo dňa odovzdania výzvy na poštovú prepravu prostredníctvom pošty alebo poskytovateľa poštových služieb, alebo odo dňa odoslania výzvy elektronickými prostriedkami. </w:t>
      </w:r>
    </w:p>
    <w:p w:rsidR="00AC078B" w:rsidRPr="00EA543A" w:rsidRDefault="00AC078B" w:rsidP="00BA62B0">
      <w:pPr>
        <w:spacing w:after="0" w:line="240" w:lineRule="auto"/>
        <w:jc w:val="both"/>
        <w:rPr>
          <w:rFonts w:ascii="Times New Roman" w:hAnsi="Times New Roman" w:cs="Times New Roman"/>
          <w:sz w:val="24"/>
          <w:szCs w:val="24"/>
        </w:rPr>
      </w:pPr>
    </w:p>
    <w:p w:rsidR="00994E9C" w:rsidRPr="00EA543A" w:rsidRDefault="00994E9C"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C95BCF" w:rsidRPr="00EA543A">
        <w:rPr>
          <w:rFonts w:ascii="Times New Roman" w:hAnsi="Times New Roman" w:cs="Times New Roman"/>
          <w:b/>
          <w:sz w:val="24"/>
          <w:szCs w:val="24"/>
        </w:rPr>
        <w:t>10</w:t>
      </w:r>
      <w:r w:rsidR="005F55C3" w:rsidRPr="00EA543A">
        <w:rPr>
          <w:rFonts w:ascii="Times New Roman" w:hAnsi="Times New Roman" w:cs="Times New Roman"/>
          <w:b/>
          <w:sz w:val="24"/>
          <w:szCs w:val="24"/>
        </w:rPr>
        <w:t>0</w:t>
      </w:r>
      <w:r w:rsidRPr="00EA543A">
        <w:rPr>
          <w:rFonts w:ascii="Times New Roman" w:hAnsi="Times New Roman" w:cs="Times New Roman"/>
          <w:b/>
          <w:sz w:val="24"/>
          <w:szCs w:val="24"/>
        </w:rPr>
        <w:t xml:space="preserve"> - § 39 ods. 16</w:t>
      </w:r>
    </w:p>
    <w:p w:rsidR="00451E5B" w:rsidRPr="00EA543A" w:rsidRDefault="00451E5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V súlade s návrhom opatrení na zlepšenie podnikateľského prostredia III. sa navrhuje umožniť zamestnávateľom vystaviť a doručiť doklady, ktorými sú potvrdenie o zdaniteľných príjmoch, ročné zúčtovanie preddavkov na daň a potvrdenie o zaplatení dane elektronickou formou po vzájomnej dohode so zamestnancom. Zamestnávateľ môže doklady uvedené v odsekoch 5 až 7 doručiť zamestnancovi elektronickou formou pri zabezpečení ochrany osobných údajov (napr. šifrovaním), pokiaľ s tým zamestnanec súhlasí. Zavedením možnosti vystaviť daňové doklady </w:t>
      </w:r>
      <w:r w:rsidRPr="00EA543A">
        <w:rPr>
          <w:rFonts w:ascii="Times New Roman" w:hAnsi="Times New Roman" w:cs="Times New Roman"/>
          <w:sz w:val="24"/>
          <w:szCs w:val="24"/>
        </w:rPr>
        <w:lastRenderedPageBreak/>
        <w:t xml:space="preserve">elektronicky, vrátane predtlačeného odtlačku pečiatky a faksimile podpisu oprávnenej osoby zamestnávateľa a možnosti doručiť doklady zamestnancom elektronicky do e-mailovej schránky, by sa ušetril čas mzdových účtovníčok (tlač, podpisovanie, pečiatkovanie, odovzdanie dokladu zamestnancovi oproti podpisu v daňovom vyhlásení), čas ostatných zamestnancov (preberanie dokladov) a zároveň by sa znížili režijné náklady (papier, toner, pero, pečiatka, poštovné, atď.) zamestnávateľa. </w:t>
      </w:r>
    </w:p>
    <w:p w:rsidR="00451E5B" w:rsidRPr="00EA543A" w:rsidRDefault="00451E5B" w:rsidP="00BA62B0">
      <w:pPr>
        <w:spacing w:after="0" w:line="240" w:lineRule="auto"/>
        <w:jc w:val="both"/>
        <w:rPr>
          <w:rFonts w:ascii="Times New Roman" w:hAnsi="Times New Roman" w:cs="Times New Roman"/>
          <w:sz w:val="24"/>
          <w:szCs w:val="24"/>
        </w:rPr>
      </w:pPr>
    </w:p>
    <w:p w:rsidR="00AC078B" w:rsidRPr="00EA543A" w:rsidRDefault="00AC078B"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bodom </w:t>
      </w:r>
      <w:r w:rsidR="00C95BCF" w:rsidRPr="00EA543A">
        <w:rPr>
          <w:rFonts w:ascii="Times New Roman" w:hAnsi="Times New Roman" w:cs="Times New Roman"/>
          <w:b/>
          <w:sz w:val="24"/>
          <w:szCs w:val="24"/>
        </w:rPr>
        <w:t>10</w:t>
      </w:r>
      <w:r w:rsidR="005F55C3" w:rsidRPr="00EA543A">
        <w:rPr>
          <w:rFonts w:ascii="Times New Roman" w:hAnsi="Times New Roman" w:cs="Times New Roman"/>
          <w:b/>
          <w:sz w:val="24"/>
          <w:szCs w:val="24"/>
        </w:rPr>
        <w:t>1</w:t>
      </w:r>
      <w:r w:rsidR="00C95BCF" w:rsidRPr="00EA543A">
        <w:rPr>
          <w:rFonts w:ascii="Times New Roman" w:hAnsi="Times New Roman" w:cs="Times New Roman"/>
          <w:b/>
          <w:sz w:val="24"/>
          <w:szCs w:val="24"/>
        </w:rPr>
        <w:t xml:space="preserve"> až 10</w:t>
      </w:r>
      <w:r w:rsidR="005F55C3" w:rsidRPr="00EA543A">
        <w:rPr>
          <w:rFonts w:ascii="Times New Roman" w:hAnsi="Times New Roman" w:cs="Times New Roman"/>
          <w:b/>
          <w:sz w:val="24"/>
          <w:szCs w:val="24"/>
        </w:rPr>
        <w:t>6</w:t>
      </w:r>
      <w:r w:rsidRPr="00EA543A">
        <w:rPr>
          <w:rFonts w:ascii="Times New Roman" w:hAnsi="Times New Roman" w:cs="Times New Roman"/>
          <w:b/>
          <w:sz w:val="24"/>
          <w:szCs w:val="24"/>
        </w:rPr>
        <w:t xml:space="preserve"> - § 40 ods. 1, 2, 3 a 4</w:t>
      </w:r>
    </w:p>
    <w:p w:rsidR="00AC078B" w:rsidRPr="00EA543A" w:rsidRDefault="00AC078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Z dôvodu zjednodušenia sa navrhuje zjednotiť lehotu na vykonanie možnej opravy výpočtu dane, alebo daňového bonusu na vyživované dieťa, daňového bonusu na zaplatené úroky alebo zamestnaneckú prémiu do piatich rokov v súlade s daňovým poriadkom, ak zamestnávateľ, ktorý je platiteľom dane, zrazil alebo vyplatil zamestnancovi daň, daňový bonus na vyživované dieťa, daňový bonus na zaplatené úroky alebo zamestnaneckú prémiu vo vyššej sume alebo v nižšej sume ako bol povinný podľa tohto zákona a to aj vtedy, ak tak urobil zavinením zamestnanca. Lehota na vrátenie alebo dodatočné zrazenie nezrazeného alebo nesprávne zrazeného preddavku na daň najneskôr do 31. marca nasledujúceho roka sa nemení.</w:t>
      </w:r>
    </w:p>
    <w:p w:rsidR="00451E5B" w:rsidRPr="00EA543A" w:rsidRDefault="00451E5B" w:rsidP="00BA62B0">
      <w:pPr>
        <w:spacing w:after="0" w:line="240" w:lineRule="auto"/>
        <w:jc w:val="both"/>
        <w:rPr>
          <w:rFonts w:ascii="Times New Roman" w:hAnsi="Times New Roman" w:cs="Times New Roman"/>
          <w:sz w:val="24"/>
          <w:szCs w:val="24"/>
        </w:rPr>
      </w:pPr>
    </w:p>
    <w:p w:rsidR="00AC078B" w:rsidRPr="00EA543A" w:rsidRDefault="00AC078B"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K</w:t>
      </w:r>
      <w:r w:rsidR="00151F8C" w:rsidRPr="00EA543A">
        <w:rPr>
          <w:rFonts w:ascii="Times New Roman" w:hAnsi="Times New Roman" w:cs="Times New Roman"/>
          <w:b/>
          <w:sz w:val="24"/>
          <w:szCs w:val="24"/>
        </w:rPr>
        <w:t> </w:t>
      </w:r>
      <w:r w:rsidRPr="00EA543A">
        <w:rPr>
          <w:rFonts w:ascii="Times New Roman" w:hAnsi="Times New Roman" w:cs="Times New Roman"/>
          <w:b/>
          <w:sz w:val="24"/>
          <w:szCs w:val="24"/>
        </w:rPr>
        <w:t>bod</w:t>
      </w:r>
      <w:r w:rsidR="00C95BCF" w:rsidRPr="00EA543A">
        <w:rPr>
          <w:rFonts w:ascii="Times New Roman" w:hAnsi="Times New Roman" w:cs="Times New Roman"/>
          <w:b/>
          <w:sz w:val="24"/>
          <w:szCs w:val="24"/>
        </w:rPr>
        <w:t>u</w:t>
      </w:r>
      <w:r w:rsidR="00151F8C" w:rsidRPr="00EA543A">
        <w:rPr>
          <w:rFonts w:ascii="Times New Roman" w:hAnsi="Times New Roman" w:cs="Times New Roman"/>
          <w:b/>
          <w:sz w:val="24"/>
          <w:szCs w:val="24"/>
        </w:rPr>
        <w:t xml:space="preserve"> </w:t>
      </w:r>
      <w:r w:rsidR="00C95BCF" w:rsidRPr="00EA543A">
        <w:rPr>
          <w:rFonts w:ascii="Times New Roman" w:hAnsi="Times New Roman" w:cs="Times New Roman"/>
          <w:b/>
          <w:sz w:val="24"/>
          <w:szCs w:val="24"/>
        </w:rPr>
        <w:t>10</w:t>
      </w:r>
      <w:r w:rsidR="005F55C3" w:rsidRPr="00EA543A">
        <w:rPr>
          <w:rFonts w:ascii="Times New Roman" w:hAnsi="Times New Roman" w:cs="Times New Roman"/>
          <w:b/>
          <w:sz w:val="24"/>
          <w:szCs w:val="24"/>
        </w:rPr>
        <w:t>7</w:t>
      </w:r>
      <w:r w:rsidRPr="00EA543A">
        <w:rPr>
          <w:rFonts w:ascii="Times New Roman" w:hAnsi="Times New Roman" w:cs="Times New Roman"/>
          <w:b/>
          <w:sz w:val="24"/>
          <w:szCs w:val="24"/>
        </w:rPr>
        <w:t xml:space="preserve"> - § 40 ods. 8</w:t>
      </w:r>
    </w:p>
    <w:p w:rsidR="00AC078B" w:rsidRPr="00EA543A" w:rsidRDefault="00AC078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Návrh upravuje tie prípady, ak zamestnávateľ žiada o vrátenie preplatku na dani, ktorý mu vznikol odvedením preddavkov na daň vo vyššej sume, než bol povinný odviesť. Upravuje sa lehota, dokedy môže zamestnávateľ žiadať správcu dane o vrátenie naviac zaplatenej sumy preddavkov na daň. Po jej uplynutí už správca dane nemôže vyrubiť daň alebo rozdiel dane. Podľa navrhovanej úpravy vráti správca dane naviac zaplatené preddavky na daň, len ak nemožno o túto sumu znížiť odvod preddavkov na daň a zamestnávateľ má všetky preddavky na daň uhradené v správnej sume. To znamená, že správca dane nevráti preplatok na preddavku na daň vtedy, ak zamestnávateľ uhradil preddavok na daň v jednom mesiaci vyššou sumou, než je predpis, pričom nemá uhradené preddavky v iných mesiacoch.</w:t>
      </w:r>
    </w:p>
    <w:p w:rsidR="00994E9C" w:rsidRPr="00EA543A" w:rsidRDefault="00994E9C" w:rsidP="00BA62B0">
      <w:pPr>
        <w:spacing w:after="0" w:line="240" w:lineRule="auto"/>
        <w:jc w:val="both"/>
        <w:rPr>
          <w:rFonts w:ascii="Times New Roman" w:hAnsi="Times New Roman" w:cs="Times New Roman"/>
          <w:b/>
          <w:sz w:val="24"/>
          <w:szCs w:val="24"/>
        </w:rPr>
      </w:pPr>
    </w:p>
    <w:p w:rsidR="00A40A6A" w:rsidRPr="00EA543A" w:rsidRDefault="00A40A6A"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w:t>
      </w:r>
      <w:r w:rsidR="00217140" w:rsidRPr="00EA543A">
        <w:rPr>
          <w:rFonts w:ascii="Times New Roman" w:hAnsi="Times New Roman" w:cs="Times New Roman"/>
          <w:b/>
          <w:sz w:val="24"/>
          <w:szCs w:val="24"/>
        </w:rPr>
        <w:t> </w:t>
      </w:r>
      <w:r w:rsidRPr="00EA543A">
        <w:rPr>
          <w:rFonts w:ascii="Times New Roman" w:hAnsi="Times New Roman" w:cs="Times New Roman"/>
          <w:b/>
          <w:sz w:val="24"/>
          <w:szCs w:val="24"/>
        </w:rPr>
        <w:t>bod</w:t>
      </w:r>
      <w:r w:rsidR="00217140" w:rsidRPr="00EA543A">
        <w:rPr>
          <w:rFonts w:ascii="Times New Roman" w:hAnsi="Times New Roman" w:cs="Times New Roman"/>
          <w:b/>
          <w:sz w:val="24"/>
          <w:szCs w:val="24"/>
        </w:rPr>
        <w:t xml:space="preserve">om </w:t>
      </w:r>
      <w:r w:rsidR="00C95BCF" w:rsidRPr="00EA543A">
        <w:rPr>
          <w:rFonts w:ascii="Times New Roman" w:hAnsi="Times New Roman" w:cs="Times New Roman"/>
          <w:b/>
          <w:sz w:val="24"/>
          <w:szCs w:val="24"/>
        </w:rPr>
        <w:t>1</w:t>
      </w:r>
      <w:r w:rsidR="005F55C3" w:rsidRPr="00EA543A">
        <w:rPr>
          <w:rFonts w:ascii="Times New Roman" w:hAnsi="Times New Roman" w:cs="Times New Roman"/>
          <w:b/>
          <w:sz w:val="24"/>
          <w:szCs w:val="24"/>
        </w:rPr>
        <w:t>08</w:t>
      </w:r>
      <w:r w:rsidR="00C95BCF" w:rsidRPr="00EA543A">
        <w:rPr>
          <w:rFonts w:ascii="Times New Roman" w:hAnsi="Times New Roman" w:cs="Times New Roman"/>
          <w:b/>
          <w:sz w:val="24"/>
          <w:szCs w:val="24"/>
        </w:rPr>
        <w:t xml:space="preserve"> a 1</w:t>
      </w:r>
      <w:r w:rsidR="005F55C3" w:rsidRPr="00EA543A">
        <w:rPr>
          <w:rFonts w:ascii="Times New Roman" w:hAnsi="Times New Roman" w:cs="Times New Roman"/>
          <w:b/>
          <w:sz w:val="24"/>
          <w:szCs w:val="24"/>
        </w:rPr>
        <w:t>09</w:t>
      </w:r>
      <w:r w:rsidRPr="00EA543A">
        <w:rPr>
          <w:rFonts w:ascii="Times New Roman" w:hAnsi="Times New Roman" w:cs="Times New Roman"/>
          <w:b/>
          <w:sz w:val="24"/>
          <w:szCs w:val="24"/>
        </w:rPr>
        <w:t xml:space="preserve"> - § 42 ods. 2, ods. 3 a ods. 6</w:t>
      </w:r>
    </w:p>
    <w:p w:rsidR="00A40A6A" w:rsidRPr="00EA543A" w:rsidRDefault="00A40A6A" w:rsidP="00BA62B0">
      <w:pPr>
        <w:pStyle w:val="Normlnywebov"/>
        <w:spacing w:before="0" w:beforeAutospacing="0" w:after="0" w:afterAutospacing="0"/>
        <w:contextualSpacing/>
        <w:jc w:val="both"/>
      </w:pPr>
      <w:r w:rsidRPr="00EA543A">
        <w:t>Za účelom zníženia administratívneho zaťaženia podnikateľov a zlepšenia podnikateľského prostredia sa navrhuje zvýšiť hranicu pre platenie preddavkov a to z 2 500 eur na 5 000 eur. Daňovník, ktorého daň za predchádzajúce zdaňovacie obdobie je rovná alebo nižšia ako 5 000 eur, nebude mať povinnosť platiť v príslušnom zdaňovacom období preddavky na daň z príjmov. Zároveň sa navrhuje zjednodušenie výpočtu dane za predchádzajúce zdaňovacie obdobie  a poslednej známej daňovej povinnosti na účely výpočtu preddavkov na daň. Daň za predchádzajúce zdaňovacie obdobie sa vypočíta zo základu dane zníženého o daňovú stratu vyčísleného za predchádzajúce zdaňovacie obdobie s použitím sadzby dane platnej v zdaňovacom období, na ktoré sú preddavky platené a z takto vyčíslenej sumy sa odpočítajú iba úľavy vyplývajúce zo zákona o dani z príjmov.</w:t>
      </w:r>
    </w:p>
    <w:p w:rsidR="00A40A6A" w:rsidRPr="00EA543A" w:rsidRDefault="00A40A6A" w:rsidP="00BA62B0">
      <w:pPr>
        <w:pStyle w:val="Normlnywebov"/>
        <w:spacing w:before="0" w:beforeAutospacing="0" w:after="0" w:afterAutospacing="0"/>
        <w:contextualSpacing/>
        <w:jc w:val="both"/>
      </w:pPr>
    </w:p>
    <w:p w:rsidR="00A40A6A" w:rsidRPr="00EA543A" w:rsidRDefault="00A40A6A" w:rsidP="00BA62B0">
      <w:pPr>
        <w:pStyle w:val="Normlnywebov"/>
        <w:spacing w:before="0" w:beforeAutospacing="0" w:after="0" w:afterAutospacing="0"/>
        <w:contextualSpacing/>
        <w:jc w:val="both"/>
        <w:rPr>
          <w:b/>
        </w:rPr>
      </w:pPr>
      <w:r w:rsidRPr="00EA543A">
        <w:rPr>
          <w:b/>
        </w:rPr>
        <w:t xml:space="preserve">K bodu </w:t>
      </w:r>
      <w:r w:rsidR="00C95BCF" w:rsidRPr="00EA543A">
        <w:rPr>
          <w:b/>
        </w:rPr>
        <w:t>11</w:t>
      </w:r>
      <w:r w:rsidR="005F55C3" w:rsidRPr="00EA543A">
        <w:rPr>
          <w:b/>
        </w:rPr>
        <w:t>0</w:t>
      </w:r>
      <w:r w:rsidRPr="00EA543A">
        <w:rPr>
          <w:b/>
        </w:rPr>
        <w:t xml:space="preserve"> - § 42 ods. 8</w:t>
      </w:r>
    </w:p>
    <w:p w:rsidR="00A40A6A" w:rsidRPr="00EA543A" w:rsidRDefault="00A40A6A" w:rsidP="00BA62B0">
      <w:pPr>
        <w:pStyle w:val="Normlnywebov"/>
        <w:spacing w:before="0" w:beforeAutospacing="0" w:after="0" w:afterAutospacing="0"/>
        <w:contextualSpacing/>
        <w:jc w:val="both"/>
      </w:pPr>
      <w:r w:rsidRPr="00EA543A">
        <w:t>Navrhovanou úpravou dochádza k zjednoteniu lehoty na vyrovnanie preddavkov na daň platených do lehoty na podanie daňového priznania novovzniknutého daňovníka s ostatnými daňovníkmi. Vyrovnanie rozdielu na preddavkoch zaplatených do lehoty na podanie daňového priznania bez ohľadu na skutočnosť, či ide o novovzniknutého daňovníka alebo iného daňovníka je stanovená do konca kalendárneho mesiaca nasledujúceho po lehote na podanie daňového priznania.</w:t>
      </w:r>
    </w:p>
    <w:p w:rsidR="00375EBD" w:rsidRPr="00EA543A" w:rsidRDefault="00375EBD" w:rsidP="00BA62B0">
      <w:pPr>
        <w:pStyle w:val="Normlnywebov"/>
        <w:spacing w:before="0" w:beforeAutospacing="0" w:after="0" w:afterAutospacing="0"/>
        <w:contextualSpacing/>
        <w:jc w:val="both"/>
      </w:pPr>
    </w:p>
    <w:p w:rsidR="00F45C2A" w:rsidRDefault="00F45C2A" w:rsidP="00BA62B0">
      <w:pPr>
        <w:pStyle w:val="Odsekzoznamu"/>
        <w:spacing w:after="0" w:line="240" w:lineRule="auto"/>
        <w:ind w:left="0"/>
        <w:jc w:val="both"/>
        <w:rPr>
          <w:rFonts w:ascii="Times New Roman" w:hAnsi="Times New Roman" w:cs="Times New Roman"/>
          <w:b/>
          <w:sz w:val="24"/>
          <w:szCs w:val="24"/>
        </w:rPr>
      </w:pPr>
    </w:p>
    <w:p w:rsidR="00F45C2A" w:rsidRDefault="00F45C2A" w:rsidP="00BA62B0">
      <w:pPr>
        <w:pStyle w:val="Odsekzoznamu"/>
        <w:spacing w:after="0" w:line="240" w:lineRule="auto"/>
        <w:ind w:left="0"/>
        <w:jc w:val="both"/>
        <w:rPr>
          <w:rFonts w:ascii="Times New Roman" w:hAnsi="Times New Roman" w:cs="Times New Roman"/>
          <w:b/>
          <w:sz w:val="24"/>
          <w:szCs w:val="24"/>
        </w:rPr>
      </w:pPr>
    </w:p>
    <w:p w:rsidR="00375EBD" w:rsidRPr="00EA543A" w:rsidRDefault="00375EBD"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lastRenderedPageBreak/>
        <w:t xml:space="preserve">K bodu </w:t>
      </w:r>
      <w:r w:rsidR="00D52903" w:rsidRPr="00EA543A">
        <w:rPr>
          <w:rFonts w:ascii="Times New Roman" w:hAnsi="Times New Roman" w:cs="Times New Roman"/>
          <w:b/>
          <w:sz w:val="24"/>
          <w:szCs w:val="24"/>
        </w:rPr>
        <w:t>11</w:t>
      </w:r>
      <w:r w:rsidR="005F55C3" w:rsidRPr="00EA543A">
        <w:rPr>
          <w:rFonts w:ascii="Times New Roman" w:hAnsi="Times New Roman" w:cs="Times New Roman"/>
          <w:b/>
          <w:sz w:val="24"/>
          <w:szCs w:val="24"/>
        </w:rPr>
        <w:t>5</w:t>
      </w:r>
      <w:r w:rsidRPr="00EA543A">
        <w:rPr>
          <w:rFonts w:ascii="Times New Roman" w:hAnsi="Times New Roman" w:cs="Times New Roman"/>
          <w:b/>
          <w:sz w:val="24"/>
          <w:szCs w:val="24"/>
        </w:rPr>
        <w:t xml:space="preserve"> - § 43 ods. 10</w:t>
      </w:r>
    </w:p>
    <w:p w:rsidR="00375EBD" w:rsidRPr="00EA543A" w:rsidRDefault="00375EBD"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Predmetné ustanovenie sa v návrhu zákona vypúšťa z dôvodu nadbytočnosti, nakoľko už v § 43 ods. 3  písm. b) je uvedené, že v prípade, ak je príjemcom výnosu alebo príjmu podielový fond, zrážka dane sa nevykoná. </w:t>
      </w:r>
    </w:p>
    <w:p w:rsidR="00375EBD" w:rsidRPr="00EA543A" w:rsidRDefault="00375EBD" w:rsidP="00BA62B0">
      <w:pPr>
        <w:pStyle w:val="Normlnywebov"/>
        <w:spacing w:before="0" w:beforeAutospacing="0" w:after="0" w:afterAutospacing="0"/>
        <w:contextualSpacing/>
        <w:jc w:val="both"/>
      </w:pPr>
    </w:p>
    <w:p w:rsidR="002279B1" w:rsidRPr="00EA543A" w:rsidRDefault="002279B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D52903" w:rsidRPr="00EA543A">
        <w:rPr>
          <w:rFonts w:ascii="Times New Roman" w:hAnsi="Times New Roman" w:cs="Times New Roman"/>
          <w:b/>
          <w:sz w:val="24"/>
          <w:szCs w:val="24"/>
        </w:rPr>
        <w:t>11</w:t>
      </w:r>
      <w:r w:rsidR="005F55C3" w:rsidRPr="00EA543A">
        <w:rPr>
          <w:rFonts w:ascii="Times New Roman" w:hAnsi="Times New Roman" w:cs="Times New Roman"/>
          <w:b/>
          <w:sz w:val="24"/>
          <w:szCs w:val="24"/>
        </w:rPr>
        <w:t>6</w:t>
      </w:r>
      <w:r w:rsidRPr="00EA543A">
        <w:rPr>
          <w:rFonts w:ascii="Times New Roman" w:hAnsi="Times New Roman" w:cs="Times New Roman"/>
          <w:b/>
          <w:sz w:val="24"/>
          <w:szCs w:val="24"/>
        </w:rPr>
        <w:t xml:space="preserve"> – poznámka pod čiarou k odkazu 136a  </w:t>
      </w:r>
    </w:p>
    <w:p w:rsidR="002279B1" w:rsidRPr="00EA543A" w:rsidRDefault="002279B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v nadväznosti na novelu zákona o kolektívnom investovaní. </w:t>
      </w:r>
    </w:p>
    <w:p w:rsidR="002279B1" w:rsidRPr="00EA543A" w:rsidRDefault="002279B1" w:rsidP="00BA62B0">
      <w:pPr>
        <w:pStyle w:val="Normlnywebov"/>
        <w:spacing w:before="0" w:beforeAutospacing="0" w:after="0" w:afterAutospacing="0"/>
        <w:contextualSpacing/>
        <w:jc w:val="both"/>
      </w:pPr>
    </w:p>
    <w:p w:rsidR="00375EBD" w:rsidRPr="00EA543A" w:rsidRDefault="00375EBD"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K</w:t>
      </w:r>
      <w:r w:rsidR="00217140" w:rsidRPr="00EA543A">
        <w:rPr>
          <w:rFonts w:ascii="Times New Roman" w:hAnsi="Times New Roman" w:cs="Times New Roman"/>
          <w:b/>
          <w:sz w:val="24"/>
          <w:szCs w:val="24"/>
        </w:rPr>
        <w:t> </w:t>
      </w:r>
      <w:r w:rsidRPr="00EA543A">
        <w:rPr>
          <w:rFonts w:ascii="Times New Roman" w:hAnsi="Times New Roman" w:cs="Times New Roman"/>
          <w:b/>
          <w:sz w:val="24"/>
          <w:szCs w:val="24"/>
        </w:rPr>
        <w:t>bodu</w:t>
      </w:r>
      <w:r w:rsidR="00217140" w:rsidRPr="00EA543A">
        <w:rPr>
          <w:rFonts w:ascii="Times New Roman" w:hAnsi="Times New Roman" w:cs="Times New Roman"/>
          <w:b/>
          <w:sz w:val="24"/>
          <w:szCs w:val="24"/>
        </w:rPr>
        <w:t xml:space="preserve"> </w:t>
      </w:r>
      <w:r w:rsidR="00D52903" w:rsidRPr="00EA543A">
        <w:rPr>
          <w:rFonts w:ascii="Times New Roman" w:hAnsi="Times New Roman" w:cs="Times New Roman"/>
          <w:b/>
          <w:sz w:val="24"/>
          <w:szCs w:val="24"/>
        </w:rPr>
        <w:t>12</w:t>
      </w:r>
      <w:r w:rsidR="005F55C3" w:rsidRPr="00EA543A">
        <w:rPr>
          <w:rFonts w:ascii="Times New Roman" w:hAnsi="Times New Roman" w:cs="Times New Roman"/>
          <w:b/>
          <w:sz w:val="24"/>
          <w:szCs w:val="24"/>
        </w:rPr>
        <w:t>2</w:t>
      </w:r>
      <w:r w:rsidRPr="00EA543A">
        <w:rPr>
          <w:rFonts w:ascii="Times New Roman" w:hAnsi="Times New Roman" w:cs="Times New Roman"/>
          <w:b/>
          <w:sz w:val="24"/>
          <w:szCs w:val="24"/>
        </w:rPr>
        <w:t xml:space="preserve">  – § 43 ods. 22</w:t>
      </w:r>
    </w:p>
    <w:p w:rsidR="00375EBD" w:rsidRPr="00EA543A" w:rsidRDefault="00375EBD"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Vypúšťa sa z dôvodu nadbytočnosti, nakoľko uvedená výnimka sa týka príjmov plynúcich zo závislej činnosti. </w:t>
      </w:r>
    </w:p>
    <w:p w:rsidR="006459F1" w:rsidRPr="00EA543A" w:rsidRDefault="006459F1" w:rsidP="00BA62B0">
      <w:pPr>
        <w:pStyle w:val="Odsekzoznamu"/>
        <w:spacing w:after="0" w:line="240" w:lineRule="auto"/>
        <w:ind w:left="0"/>
        <w:jc w:val="both"/>
        <w:rPr>
          <w:rFonts w:ascii="Times New Roman" w:hAnsi="Times New Roman" w:cs="Times New Roman"/>
          <w:sz w:val="24"/>
          <w:szCs w:val="24"/>
        </w:rPr>
      </w:pPr>
    </w:p>
    <w:p w:rsidR="00580AE9" w:rsidRPr="00EA543A" w:rsidRDefault="00580AE9" w:rsidP="00BA62B0">
      <w:pPr>
        <w:spacing w:after="0" w:line="240" w:lineRule="auto"/>
        <w:rPr>
          <w:rFonts w:ascii="Times New Roman" w:hAnsi="Times New Roman" w:cs="Times New Roman"/>
          <w:b/>
          <w:sz w:val="24"/>
          <w:szCs w:val="24"/>
        </w:rPr>
      </w:pPr>
      <w:r w:rsidRPr="00EA543A">
        <w:rPr>
          <w:rFonts w:ascii="Times New Roman" w:hAnsi="Times New Roman" w:cs="Times New Roman"/>
          <w:b/>
          <w:sz w:val="24"/>
          <w:szCs w:val="24"/>
        </w:rPr>
        <w:t>K bod</w:t>
      </w:r>
      <w:r w:rsidR="00726BFB" w:rsidRPr="00EA543A">
        <w:rPr>
          <w:rFonts w:ascii="Times New Roman" w:hAnsi="Times New Roman" w:cs="Times New Roman"/>
          <w:b/>
          <w:sz w:val="24"/>
          <w:szCs w:val="24"/>
        </w:rPr>
        <w:t>om</w:t>
      </w:r>
      <w:r w:rsidRPr="00EA543A">
        <w:rPr>
          <w:rFonts w:ascii="Times New Roman" w:hAnsi="Times New Roman" w:cs="Times New Roman"/>
          <w:b/>
          <w:sz w:val="24"/>
          <w:szCs w:val="24"/>
        </w:rPr>
        <w:t xml:space="preserve"> </w:t>
      </w:r>
      <w:r w:rsidR="00D52903" w:rsidRPr="00EA543A">
        <w:rPr>
          <w:rFonts w:ascii="Times New Roman" w:hAnsi="Times New Roman" w:cs="Times New Roman"/>
          <w:b/>
          <w:sz w:val="24"/>
          <w:szCs w:val="24"/>
        </w:rPr>
        <w:t>12</w:t>
      </w:r>
      <w:r w:rsidR="005F55C3" w:rsidRPr="00EA543A">
        <w:rPr>
          <w:rFonts w:ascii="Times New Roman" w:hAnsi="Times New Roman" w:cs="Times New Roman"/>
          <w:b/>
          <w:sz w:val="24"/>
          <w:szCs w:val="24"/>
        </w:rPr>
        <w:t>4</w:t>
      </w:r>
      <w:r w:rsidR="00726BFB" w:rsidRPr="00EA543A">
        <w:rPr>
          <w:rFonts w:ascii="Times New Roman" w:hAnsi="Times New Roman" w:cs="Times New Roman"/>
          <w:b/>
          <w:sz w:val="24"/>
          <w:szCs w:val="24"/>
        </w:rPr>
        <w:t xml:space="preserve"> a 137</w:t>
      </w:r>
      <w:r w:rsidRPr="00EA543A">
        <w:rPr>
          <w:rFonts w:ascii="Times New Roman" w:hAnsi="Times New Roman" w:cs="Times New Roman"/>
          <w:b/>
          <w:sz w:val="24"/>
          <w:szCs w:val="24"/>
        </w:rPr>
        <w:t xml:space="preserve"> - § 45 ods. 4</w:t>
      </w:r>
      <w:r w:rsidR="00726BFB" w:rsidRPr="00EA543A">
        <w:rPr>
          <w:rFonts w:ascii="Times New Roman" w:hAnsi="Times New Roman" w:cs="Times New Roman"/>
          <w:b/>
          <w:sz w:val="24"/>
          <w:szCs w:val="24"/>
        </w:rPr>
        <w:t xml:space="preserve"> a príloha č. 2</w:t>
      </w:r>
    </w:p>
    <w:p w:rsidR="00580AE9" w:rsidRPr="00EA543A" w:rsidRDefault="00580AE9"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V § 45 sa vypúšťa odsek 4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Vzhľadom na prechod všetkých dotknutých krajín na automatickú výmenu informácií o finančných účtoch nie sú ustanovenia v zákone potrebné. Automatická výmena informácií o finančných účtoch je upravená v rámci smernice 2014/107/EÚ, ktorou sa mení smernica 2011/16/EÚ, pokiaľ ide o povinnú automatickú výmenu informácií v oblasti daní a ktorá bola implementovaná do zákona č. 359/2015 Z. z. o automatickej výmene informácií o finančných účtoch v znení neskorších predpisov a Vyhlášky MF SR č. 446/2015 Z. z. v znení Vyhlášky MF SR č. 348/2018 Z. z., ktorou sa upravujú podrobnosti preverovania finančných účtov finančnými inštitúciami.</w:t>
      </w:r>
    </w:p>
    <w:p w:rsidR="00580AE9" w:rsidRPr="00EA543A" w:rsidRDefault="00580AE9" w:rsidP="00BA62B0">
      <w:pPr>
        <w:pStyle w:val="Odsekzoznamu"/>
        <w:spacing w:after="0" w:line="240" w:lineRule="auto"/>
        <w:ind w:left="0"/>
        <w:jc w:val="both"/>
        <w:rPr>
          <w:rFonts w:ascii="Times New Roman" w:hAnsi="Times New Roman" w:cs="Times New Roman"/>
          <w:sz w:val="24"/>
          <w:szCs w:val="24"/>
        </w:rPr>
      </w:pPr>
    </w:p>
    <w:p w:rsidR="00451E5B" w:rsidRPr="00EA543A" w:rsidRDefault="00217140"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7F2B8C" w:rsidRPr="00EA543A">
        <w:rPr>
          <w:rFonts w:ascii="Times New Roman" w:hAnsi="Times New Roman" w:cs="Times New Roman"/>
          <w:b/>
          <w:sz w:val="24"/>
          <w:szCs w:val="24"/>
        </w:rPr>
        <w:t>12</w:t>
      </w:r>
      <w:r w:rsidR="005F55C3" w:rsidRPr="00EA543A">
        <w:rPr>
          <w:rFonts w:ascii="Times New Roman" w:hAnsi="Times New Roman" w:cs="Times New Roman"/>
          <w:b/>
          <w:sz w:val="24"/>
          <w:szCs w:val="24"/>
        </w:rPr>
        <w:t>6</w:t>
      </w:r>
      <w:r w:rsidRPr="00EA543A">
        <w:rPr>
          <w:rFonts w:ascii="Times New Roman" w:hAnsi="Times New Roman" w:cs="Times New Roman"/>
          <w:b/>
          <w:sz w:val="24"/>
          <w:szCs w:val="24"/>
        </w:rPr>
        <w:t xml:space="preserve"> - § </w:t>
      </w:r>
      <w:r w:rsidR="00451E5B" w:rsidRPr="00EA543A">
        <w:rPr>
          <w:rFonts w:ascii="Times New Roman" w:hAnsi="Times New Roman" w:cs="Times New Roman"/>
          <w:b/>
          <w:sz w:val="24"/>
          <w:szCs w:val="24"/>
        </w:rPr>
        <w:t>47</w:t>
      </w:r>
    </w:p>
    <w:p w:rsidR="00451E5B" w:rsidRPr="00EA543A" w:rsidRDefault="00451E5B"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Z dôvodu zníženia administratívnej náročnosti sa komplikovaný spôsob zaokrúhľovania daňových veličín a súvisiacich prepočtov, mení a zavádza sa jednotný postup so zaokrúhľovaním matematicky na eurocenty (dve desatinné miesta). </w:t>
      </w:r>
    </w:p>
    <w:p w:rsidR="00451E5B" w:rsidRPr="00EA543A" w:rsidRDefault="00451E5B" w:rsidP="00BA62B0">
      <w:pPr>
        <w:pStyle w:val="Odsekzoznamu"/>
        <w:spacing w:after="0" w:line="240" w:lineRule="auto"/>
        <w:ind w:left="0"/>
        <w:jc w:val="both"/>
        <w:rPr>
          <w:rFonts w:ascii="Times New Roman" w:hAnsi="Times New Roman" w:cs="Times New Roman"/>
          <w:sz w:val="24"/>
          <w:szCs w:val="24"/>
        </w:rPr>
      </w:pPr>
    </w:p>
    <w:p w:rsidR="007329DA" w:rsidRPr="00EA543A" w:rsidRDefault="006459F1" w:rsidP="00BA62B0">
      <w:pPr>
        <w:spacing w:after="0" w:line="240" w:lineRule="auto"/>
        <w:jc w:val="both"/>
        <w:rPr>
          <w:rFonts w:ascii="Times New Roman" w:eastAsia="Times New Roman" w:hAnsi="Times New Roman" w:cs="Times New Roman"/>
          <w:b/>
          <w:sz w:val="24"/>
          <w:szCs w:val="24"/>
          <w:lang w:eastAsia="sk-SK"/>
        </w:rPr>
      </w:pPr>
      <w:r w:rsidRPr="00EA543A">
        <w:rPr>
          <w:rFonts w:ascii="Times New Roman" w:eastAsia="Times New Roman" w:hAnsi="Times New Roman" w:cs="Times New Roman"/>
          <w:b/>
          <w:sz w:val="24"/>
          <w:szCs w:val="24"/>
          <w:lang w:eastAsia="sk-SK"/>
        </w:rPr>
        <w:t>K</w:t>
      </w:r>
      <w:r w:rsidR="00217140" w:rsidRPr="00EA543A">
        <w:rPr>
          <w:rFonts w:ascii="Times New Roman" w:eastAsia="Times New Roman" w:hAnsi="Times New Roman" w:cs="Times New Roman"/>
          <w:b/>
          <w:sz w:val="24"/>
          <w:szCs w:val="24"/>
          <w:lang w:eastAsia="sk-SK"/>
        </w:rPr>
        <w:t xml:space="preserve"> bodu </w:t>
      </w:r>
      <w:r w:rsidR="00D52903" w:rsidRPr="00EA543A">
        <w:rPr>
          <w:rFonts w:ascii="Times New Roman" w:eastAsia="Times New Roman" w:hAnsi="Times New Roman" w:cs="Times New Roman"/>
          <w:b/>
          <w:sz w:val="24"/>
          <w:szCs w:val="24"/>
          <w:lang w:eastAsia="sk-SK"/>
        </w:rPr>
        <w:t>1</w:t>
      </w:r>
      <w:r w:rsidR="007F2B8C" w:rsidRPr="00EA543A">
        <w:rPr>
          <w:rFonts w:ascii="Times New Roman" w:eastAsia="Times New Roman" w:hAnsi="Times New Roman" w:cs="Times New Roman"/>
          <w:b/>
          <w:sz w:val="24"/>
          <w:szCs w:val="24"/>
          <w:lang w:eastAsia="sk-SK"/>
        </w:rPr>
        <w:t>2</w:t>
      </w:r>
      <w:r w:rsidR="005F55C3" w:rsidRPr="00EA543A">
        <w:rPr>
          <w:rFonts w:ascii="Times New Roman" w:eastAsia="Times New Roman" w:hAnsi="Times New Roman" w:cs="Times New Roman"/>
          <w:b/>
          <w:sz w:val="24"/>
          <w:szCs w:val="24"/>
          <w:lang w:eastAsia="sk-SK"/>
        </w:rPr>
        <w:t>7</w:t>
      </w:r>
      <w:r w:rsidR="00217140" w:rsidRPr="00EA543A">
        <w:rPr>
          <w:rFonts w:ascii="Times New Roman" w:eastAsia="Times New Roman" w:hAnsi="Times New Roman" w:cs="Times New Roman"/>
          <w:b/>
          <w:sz w:val="24"/>
          <w:szCs w:val="24"/>
          <w:lang w:eastAsia="sk-SK"/>
        </w:rPr>
        <w:t xml:space="preserve"> </w:t>
      </w:r>
      <w:r w:rsidRPr="00EA543A">
        <w:rPr>
          <w:rFonts w:ascii="Times New Roman" w:eastAsia="Times New Roman" w:hAnsi="Times New Roman" w:cs="Times New Roman"/>
          <w:b/>
          <w:sz w:val="24"/>
          <w:szCs w:val="24"/>
          <w:lang w:eastAsia="sk-SK"/>
        </w:rPr>
        <w:t>- § 49a</w:t>
      </w:r>
      <w:r w:rsidR="007C1C4D" w:rsidRPr="00EA543A">
        <w:rPr>
          <w:rFonts w:ascii="Times New Roman" w:eastAsia="Times New Roman" w:hAnsi="Times New Roman" w:cs="Times New Roman"/>
          <w:b/>
          <w:sz w:val="24"/>
          <w:szCs w:val="24"/>
          <w:lang w:eastAsia="sk-SK"/>
        </w:rPr>
        <w:t xml:space="preserve"> </w:t>
      </w:r>
    </w:p>
    <w:p w:rsidR="006459F1" w:rsidRPr="00EA543A" w:rsidRDefault="006459F1"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sz w:val="24"/>
          <w:szCs w:val="24"/>
          <w:lang w:eastAsia="sk-SK"/>
        </w:rPr>
        <w:t>Navrhovanou úpravou sa mení registračná a oznamovacia povinnosť a to s účinnosťou od 1.1.2021.</w:t>
      </w:r>
    </w:p>
    <w:p w:rsidR="005015EF" w:rsidRPr="00EA543A" w:rsidRDefault="005015EF" w:rsidP="00BA62B0">
      <w:pPr>
        <w:pStyle w:val="Odsekzoznamu"/>
        <w:spacing w:after="0" w:line="240" w:lineRule="auto"/>
        <w:ind w:left="0"/>
        <w:jc w:val="both"/>
        <w:rPr>
          <w:rFonts w:ascii="Times New Roman" w:hAnsi="Times New Roman" w:cs="Times New Roman"/>
          <w:sz w:val="24"/>
          <w:szCs w:val="24"/>
        </w:rPr>
      </w:pPr>
    </w:p>
    <w:p w:rsidR="002279B1" w:rsidRPr="00EA543A" w:rsidRDefault="002279B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217140" w:rsidRPr="00EA543A">
        <w:rPr>
          <w:rFonts w:ascii="Times New Roman" w:hAnsi="Times New Roman" w:cs="Times New Roman"/>
          <w:b/>
          <w:sz w:val="24"/>
          <w:szCs w:val="24"/>
        </w:rPr>
        <w:t>1</w:t>
      </w:r>
      <w:r w:rsidR="005F55C3" w:rsidRPr="00EA543A">
        <w:rPr>
          <w:rFonts w:ascii="Times New Roman" w:hAnsi="Times New Roman" w:cs="Times New Roman"/>
          <w:b/>
          <w:sz w:val="24"/>
          <w:szCs w:val="24"/>
        </w:rPr>
        <w:t xml:space="preserve">29 </w:t>
      </w:r>
      <w:r w:rsidRPr="00EA543A">
        <w:rPr>
          <w:rFonts w:ascii="Times New Roman" w:hAnsi="Times New Roman" w:cs="Times New Roman"/>
          <w:b/>
          <w:sz w:val="24"/>
          <w:szCs w:val="24"/>
        </w:rPr>
        <w:t xml:space="preserve">– poznámka pod čiarou k odkazu 142a  </w:t>
      </w:r>
    </w:p>
    <w:p w:rsidR="002279B1" w:rsidRPr="00EA543A" w:rsidRDefault="002279B1"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v nadväznosti na zmenu  zákona o organizácii štátnej podpory výskumu a vývoja a o doplnení zákona č. 575/2001 Z. z. o organizácii činnosti vlády a organizácii ústrednej štátnej správy v znení neskorších predpisov. </w:t>
      </w:r>
    </w:p>
    <w:p w:rsidR="002279B1" w:rsidRPr="00EA543A" w:rsidRDefault="002279B1" w:rsidP="00BA62B0">
      <w:pPr>
        <w:pStyle w:val="Odsekzoznamu"/>
        <w:spacing w:after="0" w:line="240" w:lineRule="auto"/>
        <w:ind w:left="0"/>
        <w:jc w:val="both"/>
        <w:rPr>
          <w:rFonts w:ascii="Times New Roman" w:hAnsi="Times New Roman" w:cs="Times New Roman"/>
          <w:sz w:val="24"/>
          <w:szCs w:val="24"/>
        </w:rPr>
      </w:pPr>
    </w:p>
    <w:p w:rsidR="005015EF" w:rsidRPr="00EA543A" w:rsidRDefault="005015EF"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217140" w:rsidRPr="00EA543A">
        <w:rPr>
          <w:rFonts w:ascii="Times New Roman" w:hAnsi="Times New Roman" w:cs="Times New Roman"/>
          <w:b/>
          <w:sz w:val="24"/>
          <w:szCs w:val="24"/>
        </w:rPr>
        <w:t>1</w:t>
      </w:r>
      <w:r w:rsidR="00D52903" w:rsidRPr="00EA543A">
        <w:rPr>
          <w:rFonts w:ascii="Times New Roman" w:hAnsi="Times New Roman" w:cs="Times New Roman"/>
          <w:b/>
          <w:sz w:val="24"/>
          <w:szCs w:val="24"/>
        </w:rPr>
        <w:t>3</w:t>
      </w:r>
      <w:r w:rsidR="005F55C3" w:rsidRPr="00EA543A">
        <w:rPr>
          <w:rFonts w:ascii="Times New Roman" w:hAnsi="Times New Roman" w:cs="Times New Roman"/>
          <w:b/>
          <w:sz w:val="24"/>
          <w:szCs w:val="24"/>
        </w:rPr>
        <w:t>0</w:t>
      </w:r>
      <w:r w:rsidRPr="00EA543A">
        <w:rPr>
          <w:rFonts w:ascii="Times New Roman" w:hAnsi="Times New Roman" w:cs="Times New Roman"/>
          <w:b/>
          <w:sz w:val="24"/>
          <w:szCs w:val="24"/>
        </w:rPr>
        <w:t xml:space="preserve"> – § 50 ods. 4 písm. i) </w:t>
      </w:r>
    </w:p>
    <w:p w:rsidR="005015EF" w:rsidRPr="00EA543A" w:rsidRDefault="005015EF" w:rsidP="00BA62B0">
      <w:pPr>
        <w:pStyle w:val="Odsekzoznamu"/>
        <w:spacing w:after="0" w:line="240" w:lineRule="auto"/>
        <w:ind w:left="0"/>
        <w:contextualSpacing w:val="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v nadväznosti na novelu zákona č. 61/2015 Z. z. o odbornom vzdelávaní a príprave, kde bol pôvodný účel fondu rozvoja odborného vzdelávania a prípravy nahradený </w:t>
      </w:r>
      <w:proofErr w:type="spellStart"/>
      <w:r w:rsidRPr="00EA543A">
        <w:rPr>
          <w:rFonts w:ascii="Times New Roman" w:hAnsi="Times New Roman" w:cs="Times New Roman"/>
          <w:sz w:val="24"/>
          <w:szCs w:val="24"/>
        </w:rPr>
        <w:t>novonavrhovanými</w:t>
      </w:r>
      <w:proofErr w:type="spellEnd"/>
      <w:r w:rsidRPr="00EA543A">
        <w:rPr>
          <w:rFonts w:ascii="Times New Roman" w:hAnsi="Times New Roman" w:cs="Times New Roman"/>
          <w:sz w:val="24"/>
          <w:szCs w:val="24"/>
        </w:rPr>
        <w:t xml:space="preserve"> finančnými stimulmi.</w:t>
      </w:r>
    </w:p>
    <w:p w:rsidR="002279B1" w:rsidRPr="00EA543A" w:rsidRDefault="002279B1" w:rsidP="00BA62B0">
      <w:pPr>
        <w:pStyle w:val="Odsekzoznamu"/>
        <w:spacing w:after="0" w:line="240" w:lineRule="auto"/>
        <w:ind w:left="0"/>
        <w:contextualSpacing w:val="0"/>
        <w:jc w:val="both"/>
        <w:rPr>
          <w:rFonts w:ascii="Times New Roman" w:hAnsi="Times New Roman" w:cs="Times New Roman"/>
          <w:sz w:val="24"/>
          <w:szCs w:val="24"/>
        </w:rPr>
      </w:pPr>
    </w:p>
    <w:p w:rsidR="00DD7092" w:rsidRPr="00EA543A" w:rsidRDefault="00DD7092" w:rsidP="00BA62B0">
      <w:pPr>
        <w:pStyle w:val="Odsekzoznamu"/>
        <w:spacing w:after="0" w:line="240" w:lineRule="auto"/>
        <w:ind w:left="0"/>
        <w:contextualSpacing w:val="0"/>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131 – § 50 ods. 16 </w:t>
      </w:r>
    </w:p>
    <w:p w:rsidR="00DD7092" w:rsidRPr="00EA543A" w:rsidRDefault="00DD7092" w:rsidP="00BA62B0">
      <w:pPr>
        <w:pStyle w:val="Odsekzoznamu"/>
        <w:spacing w:after="0" w:line="240" w:lineRule="auto"/>
        <w:ind w:left="0"/>
        <w:contextualSpacing w:val="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zmenu. </w:t>
      </w:r>
    </w:p>
    <w:p w:rsidR="00DD7092" w:rsidRPr="00EA543A" w:rsidRDefault="00DD7092" w:rsidP="00BA62B0">
      <w:pPr>
        <w:pStyle w:val="Odsekzoznamu"/>
        <w:spacing w:after="0" w:line="240" w:lineRule="auto"/>
        <w:ind w:left="0"/>
        <w:contextualSpacing w:val="0"/>
        <w:jc w:val="both"/>
        <w:rPr>
          <w:rFonts w:ascii="Times New Roman" w:hAnsi="Times New Roman" w:cs="Times New Roman"/>
          <w:sz w:val="24"/>
          <w:szCs w:val="24"/>
        </w:rPr>
      </w:pPr>
    </w:p>
    <w:p w:rsidR="00F45C2A" w:rsidRDefault="00F45C2A" w:rsidP="00BA62B0">
      <w:pPr>
        <w:pStyle w:val="Odsekzoznamu"/>
        <w:spacing w:after="0" w:line="240" w:lineRule="auto"/>
        <w:ind w:left="0"/>
        <w:jc w:val="both"/>
        <w:rPr>
          <w:rFonts w:ascii="Times New Roman" w:hAnsi="Times New Roman" w:cs="Times New Roman"/>
          <w:b/>
          <w:sz w:val="24"/>
          <w:szCs w:val="24"/>
        </w:rPr>
      </w:pPr>
    </w:p>
    <w:p w:rsidR="002279B1" w:rsidRPr="00EA543A" w:rsidRDefault="002279B1"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lastRenderedPageBreak/>
        <w:t xml:space="preserve">K bodu  </w:t>
      </w:r>
      <w:r w:rsidR="00217140" w:rsidRPr="00EA543A">
        <w:rPr>
          <w:rFonts w:ascii="Times New Roman" w:hAnsi="Times New Roman" w:cs="Times New Roman"/>
          <w:b/>
          <w:sz w:val="24"/>
          <w:szCs w:val="24"/>
        </w:rPr>
        <w:t>1</w:t>
      </w:r>
      <w:r w:rsidR="00D52903" w:rsidRPr="00EA543A">
        <w:rPr>
          <w:rFonts w:ascii="Times New Roman" w:hAnsi="Times New Roman" w:cs="Times New Roman"/>
          <w:b/>
          <w:sz w:val="24"/>
          <w:szCs w:val="24"/>
        </w:rPr>
        <w:t>3</w:t>
      </w:r>
      <w:r w:rsidR="005F55C3" w:rsidRPr="00EA543A">
        <w:rPr>
          <w:rFonts w:ascii="Times New Roman" w:hAnsi="Times New Roman" w:cs="Times New Roman"/>
          <w:b/>
          <w:sz w:val="24"/>
          <w:szCs w:val="24"/>
        </w:rPr>
        <w:t>2</w:t>
      </w:r>
      <w:r w:rsidRPr="00EA543A">
        <w:rPr>
          <w:rFonts w:ascii="Times New Roman" w:hAnsi="Times New Roman" w:cs="Times New Roman"/>
          <w:b/>
          <w:sz w:val="24"/>
          <w:szCs w:val="24"/>
        </w:rPr>
        <w:t>– poznámka pod čiarou k odkazu 146ac</w:t>
      </w:r>
    </w:p>
    <w:p w:rsidR="002279B1" w:rsidRPr="00EA543A" w:rsidRDefault="002279B1" w:rsidP="00BA62B0">
      <w:pPr>
        <w:pStyle w:val="Odsekzoznamu"/>
        <w:spacing w:after="0" w:line="240" w:lineRule="auto"/>
        <w:ind w:left="0"/>
        <w:contextualSpacing w:val="0"/>
        <w:jc w:val="both"/>
        <w:rPr>
          <w:rFonts w:ascii="Times New Roman" w:hAnsi="Times New Roman" w:cs="Times New Roman"/>
          <w:sz w:val="24"/>
          <w:szCs w:val="24"/>
        </w:rPr>
      </w:pPr>
      <w:r w:rsidRPr="00EA543A">
        <w:rPr>
          <w:rFonts w:ascii="Times New Roman" w:hAnsi="Times New Roman" w:cs="Times New Roman"/>
          <w:sz w:val="24"/>
          <w:szCs w:val="24"/>
        </w:rPr>
        <w:t xml:space="preserve">Ide o legislatívno-technickú úpravu. </w:t>
      </w:r>
    </w:p>
    <w:p w:rsidR="002279B1" w:rsidRPr="00EA543A" w:rsidRDefault="002279B1" w:rsidP="00BA62B0">
      <w:pPr>
        <w:pStyle w:val="Odsekzoznamu"/>
        <w:spacing w:after="0" w:line="240" w:lineRule="auto"/>
        <w:ind w:left="0"/>
        <w:contextualSpacing w:val="0"/>
        <w:jc w:val="both"/>
        <w:rPr>
          <w:rFonts w:ascii="Times New Roman" w:hAnsi="Times New Roman" w:cs="Times New Roman"/>
          <w:sz w:val="24"/>
          <w:szCs w:val="24"/>
        </w:rPr>
      </w:pPr>
    </w:p>
    <w:p w:rsidR="008441DC" w:rsidRPr="00EA543A" w:rsidRDefault="00A40A6A"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217140" w:rsidRPr="00EA543A">
        <w:rPr>
          <w:rFonts w:ascii="Times New Roman" w:hAnsi="Times New Roman" w:cs="Times New Roman"/>
          <w:b/>
          <w:sz w:val="24"/>
          <w:szCs w:val="24"/>
        </w:rPr>
        <w:t>1</w:t>
      </w:r>
      <w:r w:rsidR="00D52903" w:rsidRPr="00EA543A">
        <w:rPr>
          <w:rFonts w:ascii="Times New Roman" w:hAnsi="Times New Roman" w:cs="Times New Roman"/>
          <w:b/>
          <w:sz w:val="24"/>
          <w:szCs w:val="24"/>
        </w:rPr>
        <w:t>3</w:t>
      </w:r>
      <w:r w:rsidR="005F55C3" w:rsidRPr="00EA543A">
        <w:rPr>
          <w:rFonts w:ascii="Times New Roman" w:hAnsi="Times New Roman" w:cs="Times New Roman"/>
          <w:b/>
          <w:sz w:val="24"/>
          <w:szCs w:val="24"/>
        </w:rPr>
        <w:t>4</w:t>
      </w:r>
      <w:r w:rsidRPr="00EA543A">
        <w:rPr>
          <w:rFonts w:ascii="Times New Roman" w:hAnsi="Times New Roman" w:cs="Times New Roman"/>
          <w:b/>
          <w:sz w:val="24"/>
          <w:szCs w:val="24"/>
        </w:rPr>
        <w:t xml:space="preserve">– </w:t>
      </w:r>
      <w:r w:rsidR="00217140" w:rsidRPr="00EA543A">
        <w:rPr>
          <w:rFonts w:ascii="Times New Roman" w:hAnsi="Times New Roman" w:cs="Times New Roman"/>
          <w:b/>
          <w:sz w:val="24"/>
          <w:szCs w:val="24"/>
        </w:rPr>
        <w:t>§ 52zz</w:t>
      </w:r>
      <w:r w:rsidR="008441DC" w:rsidRPr="00EA543A">
        <w:rPr>
          <w:rFonts w:ascii="Times New Roman" w:hAnsi="Times New Roman" w:cs="Times New Roman"/>
          <w:b/>
          <w:sz w:val="24"/>
          <w:szCs w:val="24"/>
        </w:rPr>
        <w:t xml:space="preserve"> </w:t>
      </w:r>
      <w:r w:rsidR="001B4BF9" w:rsidRPr="00EA543A">
        <w:rPr>
          <w:rFonts w:ascii="Times New Roman" w:hAnsi="Times New Roman" w:cs="Times New Roman"/>
          <w:b/>
          <w:sz w:val="24"/>
          <w:szCs w:val="24"/>
        </w:rPr>
        <w:t xml:space="preserve">až </w:t>
      </w:r>
      <w:r w:rsidR="008441DC" w:rsidRPr="00EA543A">
        <w:rPr>
          <w:rFonts w:ascii="Times New Roman" w:hAnsi="Times New Roman" w:cs="Times New Roman"/>
          <w:b/>
          <w:sz w:val="24"/>
          <w:szCs w:val="24"/>
        </w:rPr>
        <w:t>§ 52zz</w:t>
      </w:r>
      <w:r w:rsidR="001B4BF9" w:rsidRPr="00EA543A">
        <w:rPr>
          <w:rFonts w:ascii="Times New Roman" w:hAnsi="Times New Roman" w:cs="Times New Roman"/>
          <w:b/>
          <w:sz w:val="24"/>
          <w:szCs w:val="24"/>
        </w:rPr>
        <w:t>b</w:t>
      </w:r>
    </w:p>
    <w:p w:rsidR="001B4BF9" w:rsidRPr="00EA543A" w:rsidRDefault="001B4BF9"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52zz</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 </w:t>
      </w:r>
      <w:r w:rsidR="00A44832" w:rsidRPr="00EA543A">
        <w:rPr>
          <w:rFonts w:ascii="Times New Roman" w:eastAsia="Times New Roman" w:hAnsi="Times New Roman" w:cs="Times New Roman"/>
          <w:b/>
          <w:sz w:val="24"/>
          <w:szCs w:val="24"/>
          <w:lang w:eastAsia="sk-SK"/>
        </w:rPr>
        <w:t>odseku</w:t>
      </w:r>
      <w:r w:rsidRPr="00EA543A">
        <w:rPr>
          <w:rFonts w:ascii="Times New Roman" w:eastAsia="Times New Roman" w:hAnsi="Times New Roman" w:cs="Times New Roman"/>
          <w:b/>
          <w:sz w:val="24"/>
          <w:szCs w:val="24"/>
          <w:lang w:eastAsia="sk-SK"/>
        </w:rPr>
        <w:t xml:space="preserve"> </w:t>
      </w:r>
      <w:r w:rsidR="00DF4409" w:rsidRPr="00EA543A">
        <w:rPr>
          <w:rFonts w:ascii="Times New Roman" w:eastAsia="Times New Roman" w:hAnsi="Times New Roman" w:cs="Times New Roman"/>
          <w:b/>
          <w:sz w:val="24"/>
          <w:szCs w:val="24"/>
          <w:lang w:eastAsia="sk-SK"/>
        </w:rPr>
        <w:t>4</w:t>
      </w:r>
      <w:r w:rsidRPr="00EA543A">
        <w:rPr>
          <w:rFonts w:ascii="Times New Roman" w:eastAsia="Times New Roman" w:hAnsi="Times New Roman" w:cs="Times New Roman"/>
          <w:sz w:val="24"/>
          <w:szCs w:val="24"/>
          <w:lang w:eastAsia="sk-SK"/>
        </w:rPr>
        <w:t xml:space="preserve"> – Oslobodenie príjmov (výnosov) z predaja akcií jednoduchej spoločnosti na akcie sa uplatní aj na akcie nadobudnuté do 31. decembra 2017, ak sú splnené podmienky minimálnej účasti na spoločnosti, pričom časový test 24 kalendárnych mesiacov začína plynúť počnúc 1. januárom 2018. V prípade daňovníka, ktorého zdaňovacím obdobím je hospodársky rok sa minimálnej podmienka účasti zisťuje do konca zdaňovacieho obdobia, ktoré bezprostredne predchádza zdaňovaciemu obdobiu začínajúcemu po 31. decembri 2017.  </w:t>
      </w:r>
    </w:p>
    <w:p w:rsidR="006C21AD"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w:t>
      </w:r>
      <w:r w:rsidR="00A44832" w:rsidRPr="00EA543A">
        <w:rPr>
          <w:rFonts w:ascii="Times New Roman" w:eastAsia="Times New Roman" w:hAnsi="Times New Roman" w:cs="Times New Roman"/>
          <w:b/>
          <w:sz w:val="24"/>
          <w:szCs w:val="24"/>
          <w:lang w:eastAsia="sk-SK"/>
        </w:rPr>
        <w:t xml:space="preserve"> odseku </w:t>
      </w:r>
      <w:r w:rsidR="00DF4409" w:rsidRPr="00EA543A">
        <w:rPr>
          <w:rFonts w:ascii="Times New Roman" w:eastAsia="Times New Roman" w:hAnsi="Times New Roman" w:cs="Times New Roman"/>
          <w:b/>
          <w:sz w:val="24"/>
          <w:szCs w:val="24"/>
          <w:lang w:eastAsia="sk-SK"/>
        </w:rPr>
        <w:t>5</w:t>
      </w:r>
      <w:r w:rsidRPr="00EA543A">
        <w:rPr>
          <w:rFonts w:ascii="Times New Roman" w:eastAsia="Times New Roman" w:hAnsi="Times New Roman" w:cs="Times New Roman"/>
          <w:sz w:val="24"/>
          <w:szCs w:val="24"/>
          <w:lang w:eastAsia="sk-SK"/>
        </w:rPr>
        <w:t xml:space="preserve"> – </w:t>
      </w:r>
      <w:r w:rsidR="006C21AD" w:rsidRPr="00EA543A">
        <w:rPr>
          <w:rFonts w:ascii="Times New Roman" w:eastAsia="Times New Roman" w:hAnsi="Times New Roman" w:cs="Times New Roman"/>
          <w:sz w:val="24"/>
          <w:szCs w:val="24"/>
          <w:lang w:eastAsia="sk-SK"/>
        </w:rPr>
        <w:t>Na daňové výdavky, ktoré sú daňovým výdavkom až po zaplatení, sa upravené ustanovenie § 17 ods. 19 v znení účinnom od 1. januára 2020 použije, ak boli zaúčtované do nákladov v zdaňovacom období, ktoré sa začína po 31. decembri 2019.</w:t>
      </w:r>
    </w:p>
    <w:p w:rsidR="006C21AD" w:rsidRPr="00EA543A" w:rsidRDefault="006C21AD"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w:t>
      </w:r>
      <w:r w:rsidR="008171AE" w:rsidRPr="00EA543A">
        <w:rPr>
          <w:rFonts w:ascii="Times New Roman" w:eastAsia="Times New Roman" w:hAnsi="Times New Roman" w:cs="Times New Roman"/>
          <w:b/>
          <w:sz w:val="24"/>
          <w:szCs w:val="24"/>
          <w:lang w:eastAsia="sk-SK"/>
        </w:rPr>
        <w:t> </w:t>
      </w:r>
      <w:r w:rsidRPr="00EA543A">
        <w:rPr>
          <w:rFonts w:ascii="Times New Roman" w:eastAsia="Times New Roman" w:hAnsi="Times New Roman" w:cs="Times New Roman"/>
          <w:b/>
          <w:sz w:val="24"/>
          <w:szCs w:val="24"/>
          <w:lang w:eastAsia="sk-SK"/>
        </w:rPr>
        <w:t>odseku</w:t>
      </w:r>
      <w:r w:rsidR="008171AE" w:rsidRPr="00EA543A">
        <w:rPr>
          <w:rFonts w:ascii="Times New Roman" w:eastAsia="Times New Roman" w:hAnsi="Times New Roman" w:cs="Times New Roman"/>
          <w:b/>
          <w:sz w:val="24"/>
          <w:szCs w:val="24"/>
          <w:lang w:eastAsia="sk-SK"/>
        </w:rPr>
        <w:t xml:space="preserve"> </w:t>
      </w:r>
      <w:r w:rsidR="00DF4409" w:rsidRPr="00EA543A">
        <w:rPr>
          <w:rFonts w:ascii="Times New Roman" w:eastAsia="Times New Roman" w:hAnsi="Times New Roman" w:cs="Times New Roman"/>
          <w:b/>
          <w:sz w:val="24"/>
          <w:szCs w:val="24"/>
          <w:lang w:eastAsia="sk-SK"/>
        </w:rPr>
        <w:t>6</w:t>
      </w:r>
      <w:r w:rsidRPr="00EA543A">
        <w:rPr>
          <w:rFonts w:ascii="Times New Roman" w:eastAsia="Times New Roman" w:hAnsi="Times New Roman" w:cs="Times New Roman"/>
          <w:sz w:val="24"/>
          <w:szCs w:val="24"/>
          <w:lang w:eastAsia="sk-SK"/>
        </w:rPr>
        <w:t xml:space="preserve">  - Príjmy (výnosy) za marketingové štúdie a iné štúdie a za prieskum trhu u veriteľa sú od 1. januára 2020 súčasťou základu dane v súlade s účtovníctvom bez ohľadu na to, či boli alebo uhradené. U daňovníka, ktorého zdaňovacím obdobím je hospodársky rok, budú súčasťou základu dane bez ohľadu na podmienku zaplatenia až v zdaňovacom období, ktoré sa začína po 31. decembri 2019.</w:t>
      </w:r>
    </w:p>
    <w:p w:rsidR="008171AE" w:rsidRPr="00EA543A" w:rsidRDefault="008171AE"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 xml:space="preserve">K odseku </w:t>
      </w:r>
      <w:r w:rsidR="00DF4409" w:rsidRPr="00EA543A">
        <w:rPr>
          <w:rFonts w:ascii="Times New Roman" w:eastAsia="Times New Roman" w:hAnsi="Times New Roman" w:cs="Times New Roman"/>
          <w:b/>
          <w:sz w:val="24"/>
          <w:szCs w:val="24"/>
          <w:lang w:eastAsia="sk-SK"/>
        </w:rPr>
        <w:t>7</w:t>
      </w:r>
      <w:r w:rsidRPr="00EA543A">
        <w:rPr>
          <w:rFonts w:ascii="Times New Roman" w:eastAsia="Times New Roman" w:hAnsi="Times New Roman" w:cs="Times New Roman"/>
          <w:b/>
          <w:sz w:val="24"/>
          <w:szCs w:val="24"/>
          <w:lang w:eastAsia="sk-SK"/>
        </w:rPr>
        <w:t xml:space="preserve"> - </w:t>
      </w:r>
      <w:r w:rsidRPr="00EA543A">
        <w:rPr>
          <w:rFonts w:ascii="Times New Roman" w:eastAsia="Times New Roman" w:hAnsi="Times New Roman" w:cs="Times New Roman"/>
          <w:sz w:val="24"/>
          <w:szCs w:val="24"/>
          <w:lang w:eastAsia="sk-SK"/>
        </w:rPr>
        <w:t xml:space="preserve">Podľa prechodného ustanovenia sa na výdavky (náklady) odplát (provízií) za sprostredkovanie, ktoré boli zaevidované v evidencii podľa § 6 ods. 11 alebo zaúčtované do 31. decembra 2019 uplatní limitácia hodnotou sprostredkovaného obchodu aj po 31. decembri 2019 podľa § 17 ods. 19 písm. d) v znení účinnom do 31. decembra 2019 (ak ide o daňovníka, ktorého zdaňovacím obdobím je kalendárny rok). V prípade zdaňovacieho obdobia, ktorým je hospodársky rok, ktorý začal v roku 2019 a skončil v roku 2020, sa § 17 ods. 19 písm. d) v znení účinnom do 31. decembra 2019 použije na výdavky (náklady) za odplaty (provízie) zaúčtované najneskôr do konca tohto hospodárskeho roka. Podľa prechodného ustanovenia sa na výdavky (náklady) na získanie noriem a certifikátov, ktoré boli zaevidované v evidencii podľa § 6 ods. 11 alebo  boli zaúčtované do 31. decembra 2019 uplatní postupné zahrňovanie do základu dane (36 mesiacov) podľa § 17 ods. 19 písm. g) v znení účinnom do 31. decembra 2019, aj po 31. decembri 2019. U daňovníka, ktorého zdaňovacím obdobím je hospodársky rok, ktorý začal v roku 2019 a skončí v roku 2020, sa § 17 ods. 19 písm. g) v znení účinnom do 31. decembra 2019 použije na výdavky (náklady) na získanie noriem a certifikátov, ktoré boli zaúčtované najneskôr do konca tohto hospodárskeho roka. </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w:t>
      </w:r>
      <w:r w:rsidR="00A44832" w:rsidRPr="00EA543A">
        <w:rPr>
          <w:rFonts w:ascii="Times New Roman" w:eastAsia="Times New Roman" w:hAnsi="Times New Roman" w:cs="Times New Roman"/>
          <w:b/>
          <w:sz w:val="24"/>
          <w:szCs w:val="24"/>
          <w:lang w:eastAsia="sk-SK"/>
        </w:rPr>
        <w:t xml:space="preserve"> odseku </w:t>
      </w:r>
      <w:r w:rsidR="00DF4409" w:rsidRPr="00EA543A">
        <w:rPr>
          <w:rFonts w:ascii="Times New Roman" w:eastAsia="Times New Roman" w:hAnsi="Times New Roman" w:cs="Times New Roman"/>
          <w:b/>
          <w:sz w:val="24"/>
          <w:szCs w:val="24"/>
          <w:lang w:eastAsia="sk-SK"/>
        </w:rPr>
        <w:t>9</w:t>
      </w:r>
      <w:r w:rsidRPr="00EA543A">
        <w:rPr>
          <w:rFonts w:ascii="Times New Roman" w:eastAsia="Times New Roman" w:hAnsi="Times New Roman" w:cs="Times New Roman"/>
          <w:sz w:val="24"/>
          <w:szCs w:val="24"/>
          <w:lang w:eastAsia="sk-SK"/>
        </w:rPr>
        <w:t xml:space="preserve"> - Upravené ustanovenia upravujúce odpis resp. postúpenie pohľadávky nadobudnutej v rámci podnikových kombinácií ocenenej v reálnej hodnote § 17a ods. 7, § 17b ods. 6 písm. a) a b), § 17c ods. 4 písm. a) a b) a § 20 ods. 3 sa v nadväznosti na úpravu podmienky </w:t>
      </w:r>
      <w:proofErr w:type="spellStart"/>
      <w:r w:rsidRPr="00EA543A">
        <w:rPr>
          <w:rFonts w:ascii="Times New Roman" w:eastAsia="Times New Roman" w:hAnsi="Times New Roman" w:cs="Times New Roman"/>
          <w:sz w:val="24"/>
          <w:szCs w:val="24"/>
          <w:lang w:eastAsia="sk-SK"/>
        </w:rPr>
        <w:t>premlčanosti</w:t>
      </w:r>
      <w:proofErr w:type="spellEnd"/>
      <w:r w:rsidRPr="00EA543A">
        <w:rPr>
          <w:rFonts w:ascii="Times New Roman" w:eastAsia="Times New Roman" w:hAnsi="Times New Roman" w:cs="Times New Roman"/>
          <w:sz w:val="24"/>
          <w:szCs w:val="24"/>
          <w:lang w:eastAsia="sk-SK"/>
        </w:rPr>
        <w:t xml:space="preserve"> po prvýkrát použijú v zdaňovacom období, ktoré sa začína po 31. decembri 2019. </w:t>
      </w:r>
    </w:p>
    <w:p w:rsidR="00DE73E5" w:rsidRPr="00EA543A" w:rsidRDefault="00DE73E5"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w:t>
      </w:r>
      <w:r w:rsidR="00A44832" w:rsidRPr="00EA543A">
        <w:rPr>
          <w:rFonts w:ascii="Times New Roman" w:eastAsia="Times New Roman" w:hAnsi="Times New Roman" w:cs="Times New Roman"/>
          <w:b/>
          <w:sz w:val="24"/>
          <w:szCs w:val="24"/>
          <w:lang w:eastAsia="sk-SK"/>
        </w:rPr>
        <w:t xml:space="preserve"> odseku </w:t>
      </w:r>
      <w:r w:rsidR="009863E8" w:rsidRPr="00EA543A">
        <w:rPr>
          <w:rFonts w:ascii="Times New Roman" w:eastAsia="Times New Roman" w:hAnsi="Times New Roman" w:cs="Times New Roman"/>
          <w:b/>
          <w:sz w:val="24"/>
          <w:szCs w:val="24"/>
          <w:lang w:eastAsia="sk-SK"/>
        </w:rPr>
        <w:t>10</w:t>
      </w:r>
      <w:r w:rsidRPr="00EA543A">
        <w:rPr>
          <w:rFonts w:ascii="Times New Roman" w:eastAsia="Times New Roman" w:hAnsi="Times New Roman" w:cs="Times New Roman"/>
          <w:sz w:val="24"/>
          <w:szCs w:val="24"/>
          <w:lang w:eastAsia="sk-SK"/>
        </w:rPr>
        <w:t xml:space="preserve"> - Ustanovenie § 17i a § 45 ods. </w:t>
      </w:r>
      <w:r w:rsidR="005F55C3" w:rsidRPr="00EA543A">
        <w:rPr>
          <w:rFonts w:ascii="Times New Roman" w:eastAsia="Times New Roman" w:hAnsi="Times New Roman" w:cs="Times New Roman"/>
          <w:sz w:val="24"/>
          <w:szCs w:val="24"/>
          <w:lang w:eastAsia="sk-SK"/>
        </w:rPr>
        <w:t>5</w:t>
      </w:r>
      <w:r w:rsidRPr="00EA543A">
        <w:rPr>
          <w:rFonts w:ascii="Times New Roman" w:eastAsia="Times New Roman" w:hAnsi="Times New Roman" w:cs="Times New Roman"/>
          <w:sz w:val="24"/>
          <w:szCs w:val="24"/>
          <w:lang w:eastAsia="sk-SK"/>
        </w:rPr>
        <w:t xml:space="preserve"> sa po prvýkrát použijú v zdaňovacom období, ktoré sa začína najskôr po 31. decembri 2019.</w:t>
      </w:r>
    </w:p>
    <w:p w:rsidR="005F55C3" w:rsidRPr="00EA543A" w:rsidRDefault="005F55C3" w:rsidP="00BA62B0">
      <w:pPr>
        <w:spacing w:after="0" w:line="240" w:lineRule="auto"/>
        <w:jc w:val="both"/>
        <w:rPr>
          <w:rFonts w:ascii="Times New Roman" w:hAnsi="Times New Roman" w:cs="Times New Roman"/>
          <w:sz w:val="24"/>
          <w:szCs w:val="24"/>
        </w:rPr>
      </w:pPr>
      <w:r w:rsidRPr="00EA543A">
        <w:rPr>
          <w:rFonts w:ascii="Times New Roman" w:eastAsia="Times New Roman" w:hAnsi="Times New Roman" w:cs="Times New Roman"/>
          <w:b/>
          <w:sz w:val="24"/>
          <w:szCs w:val="24"/>
          <w:lang w:eastAsia="sk-SK"/>
        </w:rPr>
        <w:t>K odseku 11</w:t>
      </w:r>
      <w:r w:rsidRPr="00EA543A">
        <w:rPr>
          <w:rFonts w:ascii="Times New Roman" w:eastAsia="Times New Roman" w:hAnsi="Times New Roman" w:cs="Times New Roman"/>
          <w:sz w:val="24"/>
          <w:szCs w:val="24"/>
          <w:lang w:eastAsia="sk-SK"/>
        </w:rPr>
        <w:t xml:space="preserve"> </w:t>
      </w:r>
      <w:r w:rsidRPr="00EA543A">
        <w:rPr>
          <w:rFonts w:ascii="Times New Roman" w:hAnsi="Times New Roman" w:cs="Times New Roman"/>
          <w:b/>
          <w:bCs/>
          <w:sz w:val="24"/>
          <w:szCs w:val="24"/>
        </w:rPr>
        <w:t>–</w:t>
      </w:r>
      <w:r w:rsidRPr="00EA543A">
        <w:rPr>
          <w:rFonts w:ascii="Times New Roman" w:hAnsi="Times New Roman" w:cs="Times New Roman"/>
          <w:sz w:val="24"/>
          <w:szCs w:val="24"/>
        </w:rPr>
        <w:t xml:space="preserve"> Nova daňovo uznaná rezerva k lesnej </w:t>
      </w:r>
      <w:proofErr w:type="spellStart"/>
      <w:r w:rsidRPr="00EA543A">
        <w:rPr>
          <w:rFonts w:ascii="Times New Roman" w:hAnsi="Times New Roman" w:cs="Times New Roman"/>
          <w:sz w:val="24"/>
          <w:szCs w:val="24"/>
        </w:rPr>
        <w:t>pestovnej</w:t>
      </w:r>
      <w:proofErr w:type="spellEnd"/>
      <w:r w:rsidRPr="00EA543A">
        <w:rPr>
          <w:rFonts w:ascii="Times New Roman" w:hAnsi="Times New Roman" w:cs="Times New Roman"/>
          <w:sz w:val="24"/>
          <w:szCs w:val="24"/>
        </w:rPr>
        <w:t xml:space="preserve"> činnosti v súlade so schváleným projektom lesnej </w:t>
      </w:r>
      <w:proofErr w:type="spellStart"/>
      <w:r w:rsidRPr="00EA543A">
        <w:rPr>
          <w:rFonts w:ascii="Times New Roman" w:hAnsi="Times New Roman" w:cs="Times New Roman"/>
          <w:sz w:val="24"/>
          <w:szCs w:val="24"/>
        </w:rPr>
        <w:t>pestovnej</w:t>
      </w:r>
      <w:proofErr w:type="spellEnd"/>
      <w:r w:rsidRPr="00EA543A">
        <w:rPr>
          <w:rFonts w:ascii="Times New Roman" w:hAnsi="Times New Roman" w:cs="Times New Roman"/>
          <w:sz w:val="24"/>
          <w:szCs w:val="24"/>
        </w:rPr>
        <w:t xml:space="preserve"> činnosti do obdobia prvej </w:t>
      </w:r>
      <w:proofErr w:type="spellStart"/>
      <w:r w:rsidRPr="00EA543A">
        <w:rPr>
          <w:rFonts w:ascii="Times New Roman" w:hAnsi="Times New Roman" w:cs="Times New Roman"/>
          <w:sz w:val="24"/>
          <w:szCs w:val="24"/>
        </w:rPr>
        <w:t>prečistky</w:t>
      </w:r>
      <w:proofErr w:type="spellEnd"/>
      <w:r w:rsidRPr="00EA543A">
        <w:rPr>
          <w:rFonts w:ascii="Times New Roman" w:hAnsi="Times New Roman" w:cs="Times New Roman"/>
          <w:sz w:val="24"/>
          <w:szCs w:val="24"/>
        </w:rPr>
        <w:t xml:space="preserve"> mladého lesného porastu bude daňovým výdavkom najskôr v zdaňovacom období, ktoré sa začína po 31. decembri 2019.</w:t>
      </w:r>
    </w:p>
    <w:p w:rsidR="005F55C3" w:rsidRPr="00EA543A" w:rsidRDefault="00DD7092" w:rsidP="00BA62B0">
      <w:pPr>
        <w:spacing w:after="0" w:line="240" w:lineRule="auto"/>
        <w:jc w:val="both"/>
        <w:rPr>
          <w:rFonts w:ascii="Times New Roman" w:hAnsi="Times New Roman" w:cs="Times New Roman"/>
          <w:sz w:val="24"/>
          <w:szCs w:val="24"/>
        </w:rPr>
      </w:pPr>
      <w:r w:rsidRPr="00EA543A">
        <w:rPr>
          <w:rFonts w:ascii="Times New Roman" w:eastAsia="Times New Roman" w:hAnsi="Times New Roman" w:cs="Times New Roman"/>
          <w:b/>
          <w:sz w:val="24"/>
          <w:szCs w:val="24"/>
          <w:lang w:eastAsia="sk-SK"/>
        </w:rPr>
        <w:t>K odseku 12</w:t>
      </w:r>
      <w:r w:rsidRPr="00EA543A">
        <w:rPr>
          <w:rFonts w:ascii="Times New Roman" w:eastAsia="Times New Roman" w:hAnsi="Times New Roman" w:cs="Times New Roman"/>
          <w:sz w:val="24"/>
          <w:szCs w:val="24"/>
          <w:lang w:eastAsia="sk-SK"/>
        </w:rPr>
        <w:t xml:space="preserve"> </w:t>
      </w:r>
      <w:r w:rsidR="005F55C3" w:rsidRPr="00EA543A">
        <w:rPr>
          <w:rFonts w:ascii="Times New Roman" w:hAnsi="Times New Roman" w:cs="Times New Roman"/>
          <w:sz w:val="24"/>
          <w:szCs w:val="24"/>
        </w:rPr>
        <w:t xml:space="preserve">– V tvorbe rezervy k lesnej </w:t>
      </w:r>
      <w:proofErr w:type="spellStart"/>
      <w:r w:rsidR="005F55C3" w:rsidRPr="00EA543A">
        <w:rPr>
          <w:rFonts w:ascii="Times New Roman" w:hAnsi="Times New Roman" w:cs="Times New Roman"/>
          <w:sz w:val="24"/>
          <w:szCs w:val="24"/>
        </w:rPr>
        <w:t>pestovnej</w:t>
      </w:r>
      <w:proofErr w:type="spellEnd"/>
      <w:r w:rsidR="005F55C3" w:rsidRPr="00EA543A">
        <w:rPr>
          <w:rFonts w:ascii="Times New Roman" w:hAnsi="Times New Roman" w:cs="Times New Roman"/>
          <w:sz w:val="24"/>
          <w:szCs w:val="24"/>
        </w:rPr>
        <w:t xml:space="preserve"> činnosti na obdobie do doby zabezpečenia mladého lestného porastu podľa § 20 ods. 6 zákona č. 326/2005 Z. z. o lesoch v znení neskorších predpisov môže daňovník pokračovať aj po 31. decembri 2019 podľa § 20 ods. 9 písm. b) v znení účinnom do 31. decembra 2019.</w:t>
      </w:r>
    </w:p>
    <w:p w:rsidR="006C21AD" w:rsidRPr="00EA543A" w:rsidRDefault="006C21AD"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K odseku</w:t>
      </w:r>
      <w:r w:rsidRPr="00EA543A">
        <w:rPr>
          <w:rFonts w:ascii="Times New Roman" w:eastAsia="Times New Roman" w:hAnsi="Times New Roman" w:cs="Times New Roman"/>
          <w:sz w:val="24"/>
          <w:szCs w:val="24"/>
          <w:lang w:eastAsia="sk-SK"/>
        </w:rPr>
        <w:t xml:space="preserve"> </w:t>
      </w:r>
      <w:r w:rsidR="009863E8" w:rsidRPr="00EA543A">
        <w:rPr>
          <w:rFonts w:ascii="Times New Roman" w:eastAsia="Times New Roman" w:hAnsi="Times New Roman" w:cs="Times New Roman"/>
          <w:b/>
          <w:sz w:val="24"/>
          <w:szCs w:val="24"/>
          <w:lang w:eastAsia="sk-SK"/>
        </w:rPr>
        <w:t>13</w:t>
      </w:r>
      <w:r w:rsidR="009863E8" w:rsidRPr="00EA543A">
        <w:rPr>
          <w:rFonts w:ascii="Times New Roman" w:eastAsia="Times New Roman" w:hAnsi="Times New Roman" w:cs="Times New Roman"/>
          <w:sz w:val="24"/>
          <w:szCs w:val="24"/>
          <w:lang w:eastAsia="sk-SK"/>
        </w:rPr>
        <w:t xml:space="preserve"> </w:t>
      </w:r>
      <w:r w:rsidRPr="00EA543A">
        <w:rPr>
          <w:rFonts w:ascii="Times New Roman" w:eastAsia="Times New Roman" w:hAnsi="Times New Roman" w:cs="Times New Roman"/>
          <w:sz w:val="24"/>
          <w:szCs w:val="24"/>
          <w:lang w:eastAsia="sk-SK"/>
        </w:rPr>
        <w:t>– U daňovníka, ktorého zdaňovacím obdobím je kalendárny rok sa ustanoveni</w:t>
      </w:r>
      <w:r w:rsidR="00D92EDC" w:rsidRPr="00EA543A">
        <w:rPr>
          <w:rFonts w:ascii="Times New Roman" w:eastAsia="Times New Roman" w:hAnsi="Times New Roman" w:cs="Times New Roman"/>
          <w:sz w:val="24"/>
          <w:szCs w:val="24"/>
          <w:lang w:eastAsia="sk-SK"/>
        </w:rPr>
        <w:t>a</w:t>
      </w:r>
      <w:r w:rsidRPr="00EA543A">
        <w:rPr>
          <w:rFonts w:ascii="Times New Roman" w:eastAsia="Times New Roman" w:hAnsi="Times New Roman" w:cs="Times New Roman"/>
          <w:sz w:val="24"/>
          <w:szCs w:val="24"/>
          <w:lang w:eastAsia="sk-SK"/>
        </w:rPr>
        <w:t xml:space="preserve"> § 21 ods. 1 písm. l)</w:t>
      </w:r>
      <w:r w:rsidR="00D92EDC" w:rsidRPr="00EA543A">
        <w:rPr>
          <w:rFonts w:ascii="Times New Roman" w:eastAsia="Times New Roman" w:hAnsi="Times New Roman" w:cs="Times New Roman"/>
          <w:sz w:val="24"/>
          <w:szCs w:val="24"/>
          <w:lang w:eastAsia="sk-SK"/>
        </w:rPr>
        <w:t xml:space="preserve"> a ods. 2 písm. o)</w:t>
      </w:r>
      <w:r w:rsidRPr="00EA543A">
        <w:rPr>
          <w:rFonts w:ascii="Times New Roman" w:eastAsia="Times New Roman" w:hAnsi="Times New Roman" w:cs="Times New Roman"/>
          <w:sz w:val="24"/>
          <w:szCs w:val="24"/>
          <w:lang w:eastAsia="sk-SK"/>
        </w:rPr>
        <w:t xml:space="preserve"> </w:t>
      </w:r>
      <w:r w:rsidR="00DF4409" w:rsidRPr="00EA543A">
        <w:rPr>
          <w:rFonts w:ascii="Times New Roman" w:eastAsia="Times New Roman" w:hAnsi="Times New Roman" w:cs="Times New Roman"/>
          <w:sz w:val="24"/>
          <w:szCs w:val="24"/>
          <w:lang w:eastAsia="sk-SK"/>
        </w:rPr>
        <w:t xml:space="preserve">v znení účinnom do 31. decembra 2019 </w:t>
      </w:r>
      <w:r w:rsidRPr="00EA543A">
        <w:rPr>
          <w:rFonts w:ascii="Times New Roman" w:eastAsia="Times New Roman" w:hAnsi="Times New Roman" w:cs="Times New Roman"/>
          <w:sz w:val="24"/>
          <w:szCs w:val="24"/>
          <w:lang w:eastAsia="sk-SK"/>
        </w:rPr>
        <w:t>uplatn</w:t>
      </w:r>
      <w:r w:rsidR="00D92EDC" w:rsidRPr="00EA543A">
        <w:rPr>
          <w:rFonts w:ascii="Times New Roman" w:eastAsia="Times New Roman" w:hAnsi="Times New Roman" w:cs="Times New Roman"/>
          <w:sz w:val="24"/>
          <w:szCs w:val="24"/>
          <w:lang w:eastAsia="sk-SK"/>
        </w:rPr>
        <w:t>ia</w:t>
      </w:r>
      <w:r w:rsidRPr="00EA543A">
        <w:rPr>
          <w:rFonts w:ascii="Times New Roman" w:eastAsia="Times New Roman" w:hAnsi="Times New Roman" w:cs="Times New Roman"/>
          <w:sz w:val="24"/>
          <w:szCs w:val="24"/>
          <w:lang w:eastAsia="sk-SK"/>
        </w:rPr>
        <w:t xml:space="preserve"> na výdavky </w:t>
      </w:r>
      <w:r w:rsidRPr="00EA543A">
        <w:rPr>
          <w:rFonts w:ascii="Times New Roman" w:eastAsia="Times New Roman" w:hAnsi="Times New Roman" w:cs="Times New Roman"/>
          <w:sz w:val="24"/>
          <w:szCs w:val="24"/>
          <w:lang w:eastAsia="sk-SK"/>
        </w:rPr>
        <w:lastRenderedPageBreak/>
        <w:t xml:space="preserve">(náklady), ktoré mu vzniknú najneskôr v zdaňovacom období, ktoré sa končí 31. decembra 2019. U daňovníka, ktorého zdaňovacím obdobím je hospodársky rok, budú tieto výdavky nedaňovými výdavkami najneskôr v zdaňovacom období hospodárskeho roka, ktorý začal najneskôr v roku 2019 končí po 31. decembri 2019. </w:t>
      </w:r>
    </w:p>
    <w:p w:rsidR="00DF4409" w:rsidRPr="00EA543A" w:rsidRDefault="00DF4409"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 xml:space="preserve">K odseku 14 </w:t>
      </w:r>
      <w:r w:rsidRPr="00EA543A">
        <w:rPr>
          <w:rFonts w:ascii="Times New Roman" w:eastAsia="Times New Roman" w:hAnsi="Times New Roman" w:cs="Times New Roman"/>
          <w:sz w:val="24"/>
          <w:szCs w:val="24"/>
          <w:lang w:eastAsia="sk-SK"/>
        </w:rPr>
        <w:t>- Zmluvné pokuty, poplatky z omeškania, úroky z omeškania, paušálne náhrady nákladov spojené s uplatnením pohľadávky u dlžníka, ktoré vznikli alebo boli zaúčtované do 31. decembra 2019, budú naďalej považované za nedaňový výdavok podľa § 21 ods. 2 písm. m), aj keď budú uhradené po 31. decembri 2019 (ak ide o daňovníka, ktorého zdaňovacím obdobím je kalendárny rok).</w:t>
      </w:r>
      <w:r w:rsidRPr="00EA543A">
        <w:rPr>
          <w:rFonts w:ascii="Times New Roman" w:hAnsi="Times New Roman" w:cs="Times New Roman"/>
          <w:sz w:val="24"/>
          <w:szCs w:val="24"/>
        </w:rPr>
        <w:t xml:space="preserve"> </w:t>
      </w:r>
      <w:r w:rsidRPr="00EA543A">
        <w:rPr>
          <w:rFonts w:ascii="Times New Roman" w:eastAsia="Times New Roman" w:hAnsi="Times New Roman" w:cs="Times New Roman"/>
          <w:sz w:val="24"/>
          <w:szCs w:val="24"/>
          <w:lang w:eastAsia="sk-SK"/>
        </w:rPr>
        <w:t>V prípade zdaňovacieho obdobia, ktorým je hospodársky rok, ktorý začal v roku 2019 a skončil v roku 2020, sa § 21 ods. 2 písm. m) v znení účinnom do 31. decembra 2019 použije na zmluvné pokuty, poplatky z omeškania, úroky z omeškania, paušálne náhrady nákladov spojené s uplatnením pohľadávky u dlžníka zaúčtované najneskôr do konca tohto hospodárskeho roka.</w:t>
      </w:r>
    </w:p>
    <w:p w:rsidR="003B48E5" w:rsidRPr="00EA543A" w:rsidRDefault="00A44832"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K </w:t>
      </w:r>
      <w:r w:rsidRPr="00EA543A">
        <w:rPr>
          <w:rFonts w:ascii="Times New Roman" w:eastAsia="Times New Roman" w:hAnsi="Times New Roman" w:cs="Times New Roman"/>
          <w:b/>
          <w:sz w:val="24"/>
          <w:szCs w:val="24"/>
          <w:lang w:eastAsia="sk-SK"/>
        </w:rPr>
        <w:t>odseku</w:t>
      </w:r>
      <w:r w:rsidRPr="00EA543A">
        <w:rPr>
          <w:rFonts w:ascii="Times New Roman" w:hAnsi="Times New Roman" w:cs="Times New Roman"/>
          <w:b/>
          <w:sz w:val="24"/>
          <w:szCs w:val="24"/>
        </w:rPr>
        <w:t xml:space="preserve"> 1</w:t>
      </w:r>
      <w:r w:rsidR="00CD0B27" w:rsidRPr="00EA543A">
        <w:rPr>
          <w:rFonts w:ascii="Times New Roman" w:hAnsi="Times New Roman" w:cs="Times New Roman"/>
          <w:b/>
          <w:sz w:val="24"/>
          <w:szCs w:val="24"/>
        </w:rPr>
        <w:t>5</w:t>
      </w:r>
      <w:r w:rsidRPr="00EA543A">
        <w:rPr>
          <w:rFonts w:ascii="Times New Roman" w:hAnsi="Times New Roman" w:cs="Times New Roman"/>
          <w:sz w:val="24"/>
          <w:szCs w:val="24"/>
        </w:rPr>
        <w:t xml:space="preserve"> - </w:t>
      </w:r>
      <w:r w:rsidR="00A40A6A" w:rsidRPr="00EA543A">
        <w:rPr>
          <w:rFonts w:ascii="Times New Roman" w:hAnsi="Times New Roman" w:cs="Times New Roman"/>
          <w:sz w:val="24"/>
          <w:szCs w:val="24"/>
        </w:rPr>
        <w:t xml:space="preserve">Prechodné ustanovenie umožňuje postupovať pri odpisovaní elektromobilov zvýhodneným spôsobom počas 2 rokov už v tom zdaňovacom období, za ktoré sa podáva daňové priznanie po 31. 12. 2019. Zvýhodnený spôsob odpisovania je možné použiť aj na tie elektromobily, ktoré boli už  k 31. 12. 2018 obstarané, zaradené do užívania alebo sa z nich uplatňovali odpisy, pričom daňové odpisy uplatnené v predchádzajúcich rokoch sa spätne neupravujú. </w:t>
      </w:r>
    </w:p>
    <w:p w:rsidR="00EA65DE" w:rsidRPr="00EA543A" w:rsidRDefault="00A44832"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K odseku 1</w:t>
      </w:r>
      <w:r w:rsidR="00CD0B27" w:rsidRPr="00EA543A">
        <w:rPr>
          <w:rFonts w:ascii="Times New Roman" w:hAnsi="Times New Roman" w:cs="Times New Roman"/>
          <w:b/>
          <w:sz w:val="24"/>
          <w:szCs w:val="24"/>
        </w:rPr>
        <w:t>6</w:t>
      </w:r>
      <w:r w:rsidRPr="00EA543A">
        <w:rPr>
          <w:rFonts w:ascii="Times New Roman" w:hAnsi="Times New Roman" w:cs="Times New Roman"/>
          <w:b/>
          <w:sz w:val="24"/>
          <w:szCs w:val="24"/>
        </w:rPr>
        <w:t xml:space="preserve"> </w:t>
      </w:r>
      <w:r w:rsidRPr="00EA543A">
        <w:rPr>
          <w:rFonts w:ascii="Times New Roman" w:hAnsi="Times New Roman" w:cs="Times New Roman"/>
          <w:sz w:val="24"/>
          <w:szCs w:val="24"/>
        </w:rPr>
        <w:t xml:space="preserve">- </w:t>
      </w:r>
      <w:r w:rsidR="00A40A6A" w:rsidRPr="00EA543A">
        <w:rPr>
          <w:rFonts w:ascii="Times New Roman" w:hAnsi="Times New Roman" w:cs="Times New Roman"/>
          <w:sz w:val="24"/>
          <w:szCs w:val="24"/>
        </w:rPr>
        <w:t>Podľa prechodného ustanovenia sa umožňuje odpočet daňovej straty podľa nových podmienok platných a účinných od 1. 1. 2020 na daňové straty, ktoré sú vykázané za zdaňovacie obdobia, ktoré začínajú najskôr 1. 1. 2020 a prípade daňovníkov s hospodárskym rokom na daňové straty, ktoré sú vykázané za zdaňovacie obdobie, ktoré začne v priebehu kalendárneho roka 2020.</w:t>
      </w:r>
    </w:p>
    <w:p w:rsidR="00EA65DE" w:rsidRPr="00EA543A" w:rsidRDefault="00A44832"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b/>
          <w:sz w:val="24"/>
          <w:szCs w:val="24"/>
        </w:rPr>
        <w:t>K odseku 1</w:t>
      </w:r>
      <w:r w:rsidR="00CD0B27" w:rsidRPr="00EA543A">
        <w:rPr>
          <w:rFonts w:ascii="Times New Roman" w:hAnsi="Times New Roman" w:cs="Times New Roman"/>
          <w:b/>
          <w:sz w:val="24"/>
          <w:szCs w:val="24"/>
        </w:rPr>
        <w:t>7</w:t>
      </w:r>
      <w:r w:rsidRPr="00EA543A">
        <w:rPr>
          <w:rFonts w:ascii="Times New Roman" w:hAnsi="Times New Roman" w:cs="Times New Roman"/>
          <w:sz w:val="24"/>
          <w:szCs w:val="24"/>
        </w:rPr>
        <w:t xml:space="preserve"> - </w:t>
      </w:r>
      <w:r w:rsidR="00EA65DE" w:rsidRPr="00EA543A">
        <w:rPr>
          <w:rFonts w:ascii="Times New Roman" w:hAnsi="Times New Roman" w:cs="Times New Roman"/>
          <w:sz w:val="24"/>
          <w:szCs w:val="24"/>
        </w:rPr>
        <w:t xml:space="preserve">Zmenou v § 30c ods. 1 sa navrhuje postupné zvýšenie odpočtu výdavkov (nákladov) na výskum a vývoj u daňovníka, ktorý realizuje projekt výskumu a vývoja z doterajšej úrovne 100 % až na 200 %. Pri podaní daňového priznania za zdaňovacie obdobie, ktoré začalo najskôr 1. januára 2019 a za ktoré sa daňové priznanie podáva po 31. decembri 2019 sa uplatní výška odpočtu 150 %. Zvýšenie odpočtu výdavkov (nákladov) na výskum a vývoj podľa § 30c ods. 1 vo výške 200 % sa prvýkrát uplatní za zdaňovacie obdobie, ktoré začína najskôr 1. januára 2020. Výška odpočtu z tzv. medziročného prírastku výdavkov (nákladov) na výskum a vývoj podľa § 30c ods. 2 ostáva nezmenená. </w:t>
      </w:r>
    </w:p>
    <w:p w:rsidR="00E12407" w:rsidRPr="00EA543A" w:rsidRDefault="00E12407"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 xml:space="preserve">K odseku </w:t>
      </w:r>
      <w:r w:rsidR="009863E8" w:rsidRPr="00EA543A">
        <w:rPr>
          <w:rFonts w:ascii="Times New Roman" w:hAnsi="Times New Roman" w:cs="Times New Roman"/>
          <w:b/>
          <w:sz w:val="24"/>
          <w:szCs w:val="24"/>
        </w:rPr>
        <w:t>1</w:t>
      </w:r>
      <w:r w:rsidR="00CD0B27" w:rsidRPr="00EA543A">
        <w:rPr>
          <w:rFonts w:ascii="Times New Roman" w:hAnsi="Times New Roman" w:cs="Times New Roman"/>
          <w:b/>
          <w:sz w:val="24"/>
          <w:szCs w:val="24"/>
        </w:rPr>
        <w:t>8</w:t>
      </w:r>
      <w:r w:rsidRPr="00EA543A">
        <w:rPr>
          <w:rFonts w:ascii="Times New Roman" w:hAnsi="Times New Roman" w:cs="Times New Roman"/>
          <w:b/>
          <w:sz w:val="24"/>
          <w:szCs w:val="24"/>
        </w:rPr>
        <w:t xml:space="preserve"> - </w:t>
      </w:r>
      <w:r w:rsidRPr="00EA543A">
        <w:rPr>
          <w:rFonts w:ascii="Times New Roman" w:hAnsi="Times New Roman" w:cs="Times New Roman"/>
          <w:sz w:val="24"/>
          <w:szCs w:val="24"/>
        </w:rPr>
        <w:t>Ustanovuje sa prvé najskoršie použitie zmenených ustanovení § 30c ods. 7 a 9 v znení účinnom od 1. januára 2020. Tieto ustanovenia sa prvýkrát použijú pri projekte výskumu a vývoja, ktorý sa začne realizovať v zdaňovacom období, ktoré začalo najskôr 1. januára 2020.</w:t>
      </w:r>
    </w:p>
    <w:p w:rsidR="00A40A6A" w:rsidRPr="00EA543A" w:rsidRDefault="00A44832" w:rsidP="00BA62B0">
      <w:pPr>
        <w:pStyle w:val="Odsekzoznamu"/>
        <w:spacing w:after="0" w:line="240" w:lineRule="auto"/>
        <w:ind w:left="0"/>
        <w:jc w:val="both"/>
        <w:rPr>
          <w:rFonts w:ascii="Times New Roman" w:hAnsi="Times New Roman" w:cs="Times New Roman"/>
          <w:sz w:val="24"/>
          <w:szCs w:val="24"/>
        </w:rPr>
      </w:pPr>
      <w:r w:rsidRPr="00EA543A">
        <w:rPr>
          <w:rFonts w:ascii="Times New Roman" w:hAnsi="Times New Roman" w:cs="Times New Roman"/>
          <w:b/>
          <w:sz w:val="24"/>
          <w:szCs w:val="24"/>
        </w:rPr>
        <w:t xml:space="preserve">K odseku </w:t>
      </w:r>
      <w:r w:rsidR="001B4BF9" w:rsidRPr="00EA543A">
        <w:rPr>
          <w:rFonts w:ascii="Times New Roman" w:hAnsi="Times New Roman" w:cs="Times New Roman"/>
          <w:b/>
          <w:sz w:val="24"/>
          <w:szCs w:val="24"/>
        </w:rPr>
        <w:t>2</w:t>
      </w:r>
      <w:r w:rsidR="00CD0B27" w:rsidRPr="00EA543A">
        <w:rPr>
          <w:rFonts w:ascii="Times New Roman" w:hAnsi="Times New Roman" w:cs="Times New Roman"/>
          <w:b/>
          <w:sz w:val="24"/>
          <w:szCs w:val="24"/>
        </w:rPr>
        <w:t>1</w:t>
      </w:r>
      <w:r w:rsidRPr="00EA543A">
        <w:rPr>
          <w:rFonts w:ascii="Times New Roman" w:hAnsi="Times New Roman" w:cs="Times New Roman"/>
          <w:sz w:val="24"/>
          <w:szCs w:val="24"/>
        </w:rPr>
        <w:t xml:space="preserve"> - </w:t>
      </w:r>
      <w:r w:rsidR="00A40A6A" w:rsidRPr="00EA543A">
        <w:rPr>
          <w:rFonts w:ascii="Times New Roman" w:hAnsi="Times New Roman" w:cs="Times New Roman"/>
          <w:sz w:val="24"/>
          <w:szCs w:val="24"/>
        </w:rPr>
        <w:t>Podľa prechodného ustanovenia sa zvýšená hranica pre platenie preddavkov na daň z príjmov právnických osôb podľa § 42 ods. 2 a 3 použije prvýkrát v zdaňovacom období, ktoré začína najskôr 1. 1. 2020.</w:t>
      </w:r>
    </w:p>
    <w:p w:rsidR="00155163" w:rsidRPr="00EA543A" w:rsidRDefault="00155163"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 xml:space="preserve">K odseku </w:t>
      </w:r>
      <w:r w:rsidR="001B4BF9" w:rsidRPr="00EA543A">
        <w:rPr>
          <w:rFonts w:ascii="Times New Roman" w:hAnsi="Times New Roman" w:cs="Times New Roman"/>
          <w:b/>
          <w:sz w:val="24"/>
          <w:szCs w:val="24"/>
        </w:rPr>
        <w:t>2</w:t>
      </w:r>
      <w:r w:rsidR="00CD0B27" w:rsidRPr="00EA543A">
        <w:rPr>
          <w:rFonts w:ascii="Times New Roman" w:hAnsi="Times New Roman" w:cs="Times New Roman"/>
          <w:b/>
          <w:sz w:val="24"/>
          <w:szCs w:val="24"/>
        </w:rPr>
        <w:t>2</w:t>
      </w:r>
      <w:r w:rsidRPr="00EA543A">
        <w:rPr>
          <w:rFonts w:ascii="Times New Roman" w:hAnsi="Times New Roman" w:cs="Times New Roman"/>
          <w:sz w:val="24"/>
          <w:szCs w:val="24"/>
        </w:rPr>
        <w:t xml:space="preserve"> - Prechodné ustanovenie nadväzuje na vypustenie ustanovenia § 45 ods. 4, ktoré sa zo zákona vypúšťa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Zápočet dane upravený v § 45 ods. 4 bude možné poslednýkrát uplatniť pri podaní daňového priznania za rok 2019. </w:t>
      </w:r>
    </w:p>
    <w:p w:rsidR="00AC078B" w:rsidRPr="00EA543A" w:rsidRDefault="00AC078B" w:rsidP="00BA62B0">
      <w:pPr>
        <w:spacing w:after="0" w:line="240" w:lineRule="auto"/>
        <w:jc w:val="both"/>
        <w:rPr>
          <w:rFonts w:ascii="Times New Roman" w:hAnsi="Times New Roman" w:cs="Times New Roman"/>
          <w:sz w:val="24"/>
          <w:szCs w:val="24"/>
        </w:rPr>
      </w:pPr>
    </w:p>
    <w:p w:rsidR="009863E8" w:rsidRPr="00EA543A" w:rsidRDefault="001B4BF9" w:rsidP="00BA62B0">
      <w:pPr>
        <w:pStyle w:val="Odsekzoznamu"/>
        <w:spacing w:after="0" w:line="240" w:lineRule="auto"/>
        <w:ind w:left="0"/>
        <w:jc w:val="both"/>
        <w:rPr>
          <w:rFonts w:ascii="Times New Roman" w:hAnsi="Times New Roman" w:cs="Times New Roman"/>
          <w:b/>
          <w:sz w:val="24"/>
          <w:szCs w:val="24"/>
        </w:rPr>
      </w:pPr>
      <w:r w:rsidRPr="00EA543A">
        <w:rPr>
          <w:rFonts w:ascii="Times New Roman" w:hAnsi="Times New Roman" w:cs="Times New Roman"/>
          <w:b/>
          <w:sz w:val="24"/>
          <w:szCs w:val="24"/>
        </w:rPr>
        <w:t>§ 52zza</w:t>
      </w:r>
    </w:p>
    <w:p w:rsidR="00CD0B27" w:rsidRPr="00EA543A" w:rsidRDefault="00CD0B27"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 xml:space="preserve">K odseku 1 – </w:t>
      </w:r>
      <w:r w:rsidRPr="00EA543A">
        <w:rPr>
          <w:rFonts w:ascii="Times New Roman" w:hAnsi="Times New Roman" w:cs="Times New Roman"/>
          <w:sz w:val="24"/>
          <w:szCs w:val="24"/>
        </w:rPr>
        <w:t xml:space="preserve">Podľa prechodného ustanovenia je možné </w:t>
      </w:r>
      <w:r w:rsidR="00A771BC" w:rsidRPr="00EA543A">
        <w:rPr>
          <w:rFonts w:ascii="Times New Roman" w:hAnsi="Times New Roman" w:cs="Times New Roman"/>
          <w:sz w:val="24"/>
          <w:szCs w:val="24"/>
        </w:rPr>
        <w:t>postavenie</w:t>
      </w:r>
      <w:r w:rsidRPr="00EA543A">
        <w:rPr>
          <w:rFonts w:ascii="Times New Roman" w:hAnsi="Times New Roman" w:cs="Times New Roman"/>
          <w:sz w:val="24"/>
          <w:szCs w:val="24"/>
        </w:rPr>
        <w:t xml:space="preserve">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ako aj opatrenia týkajúce sa uplatňovania zvýhodnených podmienok pri odpisovaní hmotného </w:t>
      </w:r>
      <w:r w:rsidRPr="00EA543A">
        <w:rPr>
          <w:rFonts w:ascii="Times New Roman" w:hAnsi="Times New Roman" w:cs="Times New Roman"/>
          <w:sz w:val="24"/>
          <w:szCs w:val="24"/>
        </w:rPr>
        <w:lastRenderedPageBreak/>
        <w:t xml:space="preserve">majetku, tvorby opravnej položky k pohľadávke a odpočtu daňovej straty nadobudnúť najskôr v zdaňovacom období, ktoré začína 1. januára 2021. V prípade daňovníka, ktorého zdaňovacím obdobím je hospodársky rok je možné </w:t>
      </w:r>
      <w:r w:rsidR="00A771BC" w:rsidRPr="00EA543A">
        <w:rPr>
          <w:rFonts w:ascii="Times New Roman" w:hAnsi="Times New Roman" w:cs="Times New Roman"/>
          <w:sz w:val="24"/>
          <w:szCs w:val="24"/>
        </w:rPr>
        <w:t>postavenie</w:t>
      </w:r>
      <w:r w:rsidRPr="00EA543A">
        <w:rPr>
          <w:rFonts w:ascii="Times New Roman" w:hAnsi="Times New Roman" w:cs="Times New Roman"/>
          <w:sz w:val="24"/>
          <w:szCs w:val="24"/>
        </w:rPr>
        <w:t xml:space="preserve"> </w:t>
      </w:r>
      <w:proofErr w:type="spellStart"/>
      <w:r w:rsidRPr="00EA543A">
        <w:rPr>
          <w:rFonts w:ascii="Times New Roman" w:hAnsi="Times New Roman" w:cs="Times New Roman"/>
          <w:sz w:val="24"/>
          <w:szCs w:val="24"/>
        </w:rPr>
        <w:t>mikrodaňovníka</w:t>
      </w:r>
      <w:proofErr w:type="spellEnd"/>
      <w:r w:rsidRPr="00EA543A">
        <w:rPr>
          <w:rFonts w:ascii="Times New Roman" w:hAnsi="Times New Roman" w:cs="Times New Roman"/>
          <w:sz w:val="24"/>
          <w:szCs w:val="24"/>
        </w:rPr>
        <w:t xml:space="preserve"> </w:t>
      </w:r>
      <w:r w:rsidR="00A771BC" w:rsidRPr="00EA543A">
        <w:rPr>
          <w:rFonts w:ascii="Times New Roman" w:hAnsi="Times New Roman" w:cs="Times New Roman"/>
          <w:sz w:val="24"/>
          <w:szCs w:val="24"/>
        </w:rPr>
        <w:t>nadobudnúť prvýkrát v zdaňovacom období, ktoré začne najskôr v priebehu kalendárneho roka 2021.</w:t>
      </w:r>
    </w:p>
    <w:p w:rsidR="009863E8" w:rsidRPr="00EA543A" w:rsidRDefault="009863E8"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b/>
          <w:sz w:val="24"/>
          <w:szCs w:val="24"/>
        </w:rPr>
        <w:t xml:space="preserve">K odseku </w:t>
      </w:r>
      <w:r w:rsidR="00A771BC" w:rsidRPr="00EA543A">
        <w:rPr>
          <w:rFonts w:ascii="Times New Roman" w:hAnsi="Times New Roman" w:cs="Times New Roman"/>
          <w:b/>
          <w:sz w:val="24"/>
          <w:szCs w:val="24"/>
        </w:rPr>
        <w:t>3</w:t>
      </w:r>
      <w:r w:rsidRPr="00EA543A">
        <w:rPr>
          <w:rFonts w:ascii="Times New Roman" w:hAnsi="Times New Roman" w:cs="Times New Roman"/>
          <w:b/>
          <w:sz w:val="24"/>
          <w:szCs w:val="24"/>
        </w:rPr>
        <w:t xml:space="preserve"> - </w:t>
      </w:r>
      <w:r w:rsidRPr="00EA543A">
        <w:rPr>
          <w:rFonts w:ascii="Times New Roman" w:hAnsi="Times New Roman" w:cs="Times New Roman"/>
          <w:sz w:val="24"/>
          <w:szCs w:val="24"/>
        </w:rPr>
        <w:t>Podľa prechodného ustanovenia je možné spôsob uplatňovania daňových odpisov v </w:t>
      </w:r>
      <w:r w:rsidRPr="00EA543A">
        <w:rPr>
          <w:rFonts w:ascii="Times New Roman" w:eastAsia="Times New Roman" w:hAnsi="Times New Roman" w:cs="Times New Roman"/>
          <w:sz w:val="24"/>
          <w:szCs w:val="24"/>
          <w:lang w:eastAsia="sk-SK"/>
        </w:rPr>
        <w:t>ľubovoľnej</w:t>
      </w:r>
      <w:r w:rsidRPr="00EA543A">
        <w:rPr>
          <w:rFonts w:ascii="Times New Roman" w:hAnsi="Times New Roman" w:cs="Times New Roman"/>
          <w:sz w:val="24"/>
          <w:szCs w:val="24"/>
        </w:rPr>
        <w:t xml:space="preserve"> výške maximálne však do výšky vstupnej ceny majetku využiť na hmotný majetok patriaci do odpisovej skupiny 0 až 4 zaradený do užívania od 1. 1. 2020.</w:t>
      </w:r>
    </w:p>
    <w:p w:rsidR="00A771BC" w:rsidRPr="00EA543A" w:rsidRDefault="00DF4409"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 xml:space="preserve">K odseku </w:t>
      </w:r>
      <w:r w:rsidR="00A771BC" w:rsidRPr="00EA543A">
        <w:rPr>
          <w:rFonts w:ascii="Times New Roman" w:eastAsia="Times New Roman" w:hAnsi="Times New Roman" w:cs="Times New Roman"/>
          <w:b/>
          <w:sz w:val="24"/>
          <w:szCs w:val="24"/>
          <w:lang w:eastAsia="sk-SK"/>
        </w:rPr>
        <w:t>4</w:t>
      </w:r>
      <w:r w:rsidRPr="00EA543A">
        <w:rPr>
          <w:rFonts w:ascii="Times New Roman" w:eastAsia="Times New Roman" w:hAnsi="Times New Roman" w:cs="Times New Roman"/>
          <w:sz w:val="24"/>
          <w:szCs w:val="24"/>
          <w:lang w:eastAsia="sk-SK"/>
        </w:rPr>
        <w:t xml:space="preserve"> -  U daňovníka je možné tvoriť daňovo uznané opravné položky § 20 ods. 2 písm. h), § 20 ods. 15 a § 20 ods. 23 v súlade s účtovníctvom k tým pohľadávkam, ktoré mu vznikli a boli zahrnuté do zdaniteľných príjmov v zdaňovacom období, v ktorom spĺňal status </w:t>
      </w:r>
      <w:proofErr w:type="spellStart"/>
      <w:r w:rsidRPr="00EA543A">
        <w:rPr>
          <w:rFonts w:ascii="Times New Roman" w:eastAsia="Times New Roman" w:hAnsi="Times New Roman" w:cs="Times New Roman"/>
          <w:sz w:val="24"/>
          <w:szCs w:val="24"/>
          <w:lang w:eastAsia="sk-SK"/>
        </w:rPr>
        <w:t>mikrodaňovníka</w:t>
      </w:r>
      <w:proofErr w:type="spellEnd"/>
      <w:r w:rsidRPr="00EA543A">
        <w:rPr>
          <w:rFonts w:ascii="Times New Roman" w:eastAsia="Times New Roman" w:hAnsi="Times New Roman" w:cs="Times New Roman"/>
          <w:sz w:val="24"/>
          <w:szCs w:val="24"/>
          <w:lang w:eastAsia="sk-SK"/>
        </w:rPr>
        <w:t>. Obdobne to platí aj pre príslušenstvo k pohľadávke zahrnuté do zdaniteľných príjmov.</w:t>
      </w:r>
    </w:p>
    <w:p w:rsidR="00DF4409" w:rsidRPr="00EA543A" w:rsidRDefault="00A771BC"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 xml:space="preserve">K odseku 5 – </w:t>
      </w:r>
      <w:r w:rsidRPr="00EA543A">
        <w:rPr>
          <w:rFonts w:ascii="Times New Roman" w:eastAsia="Times New Roman" w:hAnsi="Times New Roman" w:cs="Times New Roman"/>
          <w:sz w:val="24"/>
          <w:szCs w:val="24"/>
          <w:lang w:eastAsia="sk-SK"/>
        </w:rPr>
        <w:t xml:space="preserve">Podľa prechodného obdobia sa odpočet daňovej straty podľa podmienok stanovených pre </w:t>
      </w:r>
      <w:proofErr w:type="spellStart"/>
      <w:r w:rsidRPr="00EA543A">
        <w:rPr>
          <w:rFonts w:ascii="Times New Roman" w:eastAsia="Times New Roman" w:hAnsi="Times New Roman" w:cs="Times New Roman"/>
          <w:sz w:val="24"/>
          <w:szCs w:val="24"/>
          <w:lang w:eastAsia="sk-SK"/>
        </w:rPr>
        <w:t>mikrodaňovníka</w:t>
      </w:r>
      <w:proofErr w:type="spellEnd"/>
      <w:r w:rsidRPr="00EA543A">
        <w:rPr>
          <w:rFonts w:ascii="Times New Roman" w:eastAsia="Times New Roman" w:hAnsi="Times New Roman" w:cs="Times New Roman"/>
          <w:sz w:val="24"/>
          <w:szCs w:val="24"/>
          <w:lang w:eastAsia="sk-SK"/>
        </w:rPr>
        <w:t xml:space="preserve"> môže použiť na daňové straty vyčíslené najskôr za zdaňovacie obdobie 2021.</w:t>
      </w:r>
    </w:p>
    <w:p w:rsidR="007329DA" w:rsidRPr="00EA543A" w:rsidRDefault="007329DA" w:rsidP="00BA62B0">
      <w:pPr>
        <w:spacing w:after="0" w:line="240" w:lineRule="auto"/>
        <w:jc w:val="both"/>
        <w:rPr>
          <w:rFonts w:ascii="Times New Roman" w:eastAsia="Times New Roman" w:hAnsi="Times New Roman" w:cs="Times New Roman"/>
          <w:sz w:val="24"/>
          <w:szCs w:val="24"/>
          <w:lang w:eastAsia="sk-SK"/>
        </w:rPr>
      </w:pPr>
      <w:r w:rsidRPr="00EA543A">
        <w:rPr>
          <w:rFonts w:ascii="Times New Roman" w:eastAsia="Times New Roman" w:hAnsi="Times New Roman" w:cs="Times New Roman"/>
          <w:b/>
          <w:sz w:val="24"/>
          <w:szCs w:val="24"/>
          <w:lang w:eastAsia="sk-SK"/>
        </w:rPr>
        <w:t xml:space="preserve">K odseku 6 - </w:t>
      </w:r>
      <w:r w:rsidRPr="00EA543A">
        <w:rPr>
          <w:rFonts w:ascii="Times New Roman" w:eastAsia="Times New Roman" w:hAnsi="Times New Roman" w:cs="Times New Roman"/>
          <w:sz w:val="24"/>
          <w:szCs w:val="24"/>
          <w:lang w:eastAsia="sk-SK"/>
        </w:rPr>
        <w:t>Navrhovanou úpravou sa mení registračná a oznamovacia povinnosť a to s účinnosťou od 1.1.2021.</w:t>
      </w:r>
    </w:p>
    <w:p w:rsidR="007329DA" w:rsidRPr="00EA543A" w:rsidRDefault="007329DA" w:rsidP="00BA62B0">
      <w:pPr>
        <w:spacing w:after="0" w:line="240" w:lineRule="auto"/>
        <w:jc w:val="both"/>
        <w:rPr>
          <w:rFonts w:ascii="Times New Roman" w:eastAsia="Times New Roman" w:hAnsi="Times New Roman" w:cs="Times New Roman"/>
          <w:b/>
          <w:sz w:val="24"/>
          <w:szCs w:val="24"/>
          <w:lang w:eastAsia="sk-SK"/>
        </w:rPr>
      </w:pPr>
    </w:p>
    <w:p w:rsidR="007D1101" w:rsidRPr="00EA543A" w:rsidRDefault="007D1101" w:rsidP="00BA62B0">
      <w:pPr>
        <w:spacing w:after="0" w:line="240" w:lineRule="auto"/>
        <w:rPr>
          <w:rFonts w:ascii="Times New Roman" w:hAnsi="Times New Roman" w:cs="Times New Roman"/>
          <w:b/>
          <w:sz w:val="24"/>
          <w:szCs w:val="24"/>
        </w:rPr>
      </w:pPr>
      <w:r w:rsidRPr="00EA543A">
        <w:rPr>
          <w:rFonts w:ascii="Times New Roman" w:hAnsi="Times New Roman" w:cs="Times New Roman"/>
          <w:b/>
          <w:sz w:val="24"/>
          <w:szCs w:val="24"/>
        </w:rPr>
        <w:t xml:space="preserve">K bodu </w:t>
      </w:r>
      <w:r w:rsidR="00D52903" w:rsidRPr="00EA543A">
        <w:rPr>
          <w:rFonts w:ascii="Times New Roman" w:hAnsi="Times New Roman" w:cs="Times New Roman"/>
          <w:b/>
          <w:sz w:val="24"/>
          <w:szCs w:val="24"/>
        </w:rPr>
        <w:t>1</w:t>
      </w:r>
      <w:r w:rsidR="00E5471F" w:rsidRPr="00EA543A">
        <w:rPr>
          <w:rFonts w:ascii="Times New Roman" w:hAnsi="Times New Roman" w:cs="Times New Roman"/>
          <w:b/>
          <w:sz w:val="24"/>
          <w:szCs w:val="24"/>
        </w:rPr>
        <w:t>40</w:t>
      </w:r>
    </w:p>
    <w:p w:rsidR="007D1101" w:rsidRPr="00EA543A" w:rsidRDefault="007D1101" w:rsidP="00BA62B0">
      <w:pPr>
        <w:spacing w:after="0" w:line="240" w:lineRule="auto"/>
        <w:jc w:val="both"/>
        <w:rPr>
          <w:rFonts w:ascii="Times New Roman" w:hAnsi="Times New Roman" w:cs="Times New Roman"/>
          <w:sz w:val="24"/>
          <w:szCs w:val="24"/>
          <w:lang w:eastAsia="sk-SK"/>
        </w:rPr>
      </w:pPr>
      <w:r w:rsidRPr="00EA543A">
        <w:rPr>
          <w:rFonts w:ascii="Times New Roman" w:hAnsi="Times New Roman" w:cs="Times New Roman"/>
          <w:sz w:val="24"/>
          <w:szCs w:val="24"/>
          <w:lang w:eastAsia="sk-SK"/>
        </w:rPr>
        <w:t>Navrhovaná zmena v celom texte zákona vyplýva zo zmeny názvu nezmluvného štátu na nespolupracujúci štát z dôvodu zapracovania čierneho zoznamu EÚ.</w:t>
      </w:r>
    </w:p>
    <w:p w:rsidR="0071616E" w:rsidRPr="00EA543A" w:rsidRDefault="0071616E" w:rsidP="00BA62B0">
      <w:pPr>
        <w:spacing w:after="0" w:line="240" w:lineRule="auto"/>
        <w:jc w:val="both"/>
        <w:rPr>
          <w:rFonts w:ascii="Times New Roman" w:hAnsi="Times New Roman" w:cs="Times New Roman"/>
          <w:b/>
          <w:sz w:val="24"/>
          <w:szCs w:val="24"/>
        </w:rPr>
      </w:pPr>
    </w:p>
    <w:p w:rsidR="0071616E" w:rsidRPr="00EA543A" w:rsidRDefault="00451E5B" w:rsidP="00BA62B0">
      <w:pPr>
        <w:spacing w:after="0" w:line="240" w:lineRule="auto"/>
        <w:jc w:val="both"/>
        <w:rPr>
          <w:rFonts w:ascii="Times New Roman" w:hAnsi="Times New Roman" w:cs="Times New Roman"/>
          <w:b/>
          <w:sz w:val="24"/>
          <w:szCs w:val="24"/>
        </w:rPr>
      </w:pPr>
      <w:r w:rsidRPr="00EA543A">
        <w:rPr>
          <w:rFonts w:ascii="Times New Roman" w:hAnsi="Times New Roman" w:cs="Times New Roman"/>
          <w:b/>
          <w:sz w:val="24"/>
          <w:szCs w:val="24"/>
        </w:rPr>
        <w:t>Čl. II</w:t>
      </w:r>
    </w:p>
    <w:p w:rsidR="000C65ED" w:rsidRPr="00EA543A" w:rsidRDefault="000C65ED" w:rsidP="00BA62B0">
      <w:pPr>
        <w:pStyle w:val="Zkladntext"/>
        <w:jc w:val="both"/>
        <w:rPr>
          <w:rFonts w:eastAsiaTheme="minorHAnsi"/>
          <w:color w:val="auto"/>
          <w:szCs w:val="24"/>
          <w:lang w:eastAsia="en-US"/>
        </w:rPr>
      </w:pPr>
      <w:r w:rsidRPr="00EA543A">
        <w:rPr>
          <w:rFonts w:eastAsiaTheme="minorHAnsi"/>
          <w:color w:val="auto"/>
          <w:szCs w:val="24"/>
          <w:lang w:eastAsia="en-US"/>
        </w:rPr>
        <w:t xml:space="preserve">Tento zákon nadobúda účinnosť 1. januára 2020 okrem čl. I bodov 1, 9, 40, 49, </w:t>
      </w:r>
      <w:r w:rsidR="000B4116" w:rsidRPr="00EA543A">
        <w:rPr>
          <w:rFonts w:eastAsiaTheme="minorHAnsi"/>
          <w:color w:val="auto"/>
          <w:szCs w:val="24"/>
          <w:lang w:eastAsia="en-US"/>
        </w:rPr>
        <w:t xml:space="preserve">50, 55, </w:t>
      </w:r>
      <w:r w:rsidRPr="00EA543A">
        <w:rPr>
          <w:rFonts w:eastAsiaTheme="minorHAnsi"/>
          <w:color w:val="auto"/>
          <w:szCs w:val="24"/>
          <w:lang w:eastAsia="en-US"/>
        </w:rPr>
        <w:t xml:space="preserve">56, 62, 64, 71, 73 § 30 ods. 1 písm. a),  </w:t>
      </w:r>
      <w:r w:rsidR="000B4116" w:rsidRPr="00EA543A">
        <w:rPr>
          <w:rFonts w:eastAsiaTheme="minorHAnsi"/>
          <w:color w:val="auto"/>
          <w:szCs w:val="24"/>
          <w:lang w:eastAsia="en-US"/>
        </w:rPr>
        <w:t xml:space="preserve">body </w:t>
      </w:r>
      <w:r w:rsidRPr="00EA543A">
        <w:rPr>
          <w:rFonts w:eastAsiaTheme="minorHAnsi"/>
          <w:color w:val="auto"/>
          <w:szCs w:val="24"/>
          <w:lang w:eastAsia="en-US"/>
        </w:rPr>
        <w:t>12</w:t>
      </w:r>
      <w:r w:rsidR="000B4116" w:rsidRPr="00EA543A">
        <w:rPr>
          <w:rFonts w:eastAsiaTheme="minorHAnsi"/>
          <w:color w:val="auto"/>
          <w:szCs w:val="24"/>
          <w:lang w:eastAsia="en-US"/>
        </w:rPr>
        <w:t>7</w:t>
      </w:r>
      <w:r w:rsidRPr="00EA543A">
        <w:rPr>
          <w:rFonts w:eastAsiaTheme="minorHAnsi"/>
          <w:color w:val="auto"/>
          <w:szCs w:val="24"/>
          <w:lang w:eastAsia="en-US"/>
        </w:rPr>
        <w:t xml:space="preserve"> a bodu 13</w:t>
      </w:r>
      <w:r w:rsidR="000B4116" w:rsidRPr="00EA543A">
        <w:rPr>
          <w:rFonts w:eastAsiaTheme="minorHAnsi"/>
          <w:color w:val="auto"/>
          <w:szCs w:val="24"/>
          <w:lang w:eastAsia="en-US"/>
        </w:rPr>
        <w:t>3</w:t>
      </w:r>
      <w:r w:rsidRPr="00EA543A">
        <w:rPr>
          <w:rFonts w:eastAsiaTheme="minorHAnsi"/>
          <w:color w:val="auto"/>
          <w:szCs w:val="24"/>
          <w:lang w:eastAsia="en-US"/>
        </w:rPr>
        <w:t>, ktoré nadobúdajú účinnosť 1. januára 2021 a čl. I bodu 11, ktorý nadobúda účinnosť 1. januára 2022.</w:t>
      </w:r>
    </w:p>
    <w:p w:rsidR="008171AE" w:rsidRPr="00EA543A" w:rsidRDefault="008171AE" w:rsidP="00BA62B0">
      <w:pPr>
        <w:spacing w:after="0" w:line="240" w:lineRule="auto"/>
        <w:jc w:val="both"/>
        <w:rPr>
          <w:rFonts w:ascii="Times New Roman" w:hAnsi="Times New Roman" w:cs="Times New Roman"/>
          <w:sz w:val="24"/>
          <w:szCs w:val="24"/>
        </w:rPr>
      </w:pPr>
    </w:p>
    <w:p w:rsidR="00BA0AB9" w:rsidRDefault="00DD7092"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              </w:t>
      </w:r>
    </w:p>
    <w:p w:rsidR="00BA0AB9" w:rsidRDefault="00BA0AB9" w:rsidP="00BA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Schválené vládou SR dňa </w:t>
      </w:r>
      <w:r>
        <w:rPr>
          <w:rFonts w:ascii="Times New Roman" w:hAnsi="Times New Roman" w:cs="Times New Roman"/>
          <w:sz w:val="24"/>
          <w:szCs w:val="24"/>
        </w:rPr>
        <w:t>29</w:t>
      </w:r>
      <w:r>
        <w:rPr>
          <w:rFonts w:ascii="Times New Roman" w:hAnsi="Times New Roman" w:cs="Times New Roman"/>
          <w:sz w:val="24"/>
          <w:szCs w:val="24"/>
        </w:rPr>
        <w:t xml:space="preserve">. </w:t>
      </w:r>
      <w:r>
        <w:rPr>
          <w:rFonts w:ascii="Times New Roman" w:hAnsi="Times New Roman" w:cs="Times New Roman"/>
          <w:sz w:val="24"/>
          <w:szCs w:val="24"/>
        </w:rPr>
        <w:t>mája 2019</w:t>
      </w:r>
      <w:r>
        <w:rPr>
          <w:rFonts w:ascii="Times New Roman" w:hAnsi="Times New Roman" w:cs="Times New Roman"/>
          <w:sz w:val="24"/>
          <w:szCs w:val="24"/>
        </w:rPr>
        <w:t>.</w:t>
      </w:r>
    </w:p>
    <w:p w:rsidR="00BA0AB9" w:rsidRDefault="00BA0AB9" w:rsidP="00BA0AB9">
      <w:pPr>
        <w:spacing w:after="0" w:line="240" w:lineRule="auto"/>
        <w:jc w:val="both"/>
        <w:rPr>
          <w:rFonts w:ascii="Times New Roman" w:hAnsi="Times New Roman" w:cs="Times New Roman"/>
          <w:sz w:val="24"/>
          <w:szCs w:val="24"/>
        </w:rPr>
      </w:pPr>
    </w:p>
    <w:p w:rsidR="00BA0AB9" w:rsidRDefault="00BA0AB9" w:rsidP="00BA0AB9">
      <w:pPr>
        <w:spacing w:after="0" w:line="240" w:lineRule="auto"/>
        <w:jc w:val="both"/>
        <w:rPr>
          <w:rFonts w:ascii="Times New Roman" w:hAnsi="Times New Roman" w:cs="Times New Roman"/>
          <w:sz w:val="24"/>
          <w:szCs w:val="24"/>
        </w:rPr>
      </w:pPr>
    </w:p>
    <w:p w:rsidR="00BA0AB9" w:rsidRDefault="00BA0AB9" w:rsidP="00BA0AB9">
      <w:pPr>
        <w:spacing w:after="0" w:line="240" w:lineRule="auto"/>
        <w:jc w:val="both"/>
        <w:rPr>
          <w:rFonts w:ascii="Times New Roman" w:hAnsi="Times New Roman" w:cs="Times New Roman"/>
          <w:sz w:val="24"/>
          <w:szCs w:val="24"/>
        </w:rPr>
      </w:pPr>
    </w:p>
    <w:p w:rsidR="00F45C2A" w:rsidRDefault="00F45C2A" w:rsidP="00BA0AB9">
      <w:pPr>
        <w:spacing w:after="0" w:line="240" w:lineRule="auto"/>
        <w:jc w:val="both"/>
        <w:rPr>
          <w:rFonts w:ascii="Times New Roman" w:hAnsi="Times New Roman" w:cs="Times New Roman"/>
          <w:sz w:val="24"/>
          <w:szCs w:val="24"/>
        </w:rPr>
      </w:pPr>
    </w:p>
    <w:p w:rsidR="00BA0AB9" w:rsidRDefault="00BA0AB9" w:rsidP="00BA0AB9">
      <w:pPr>
        <w:spacing w:after="0" w:line="240" w:lineRule="auto"/>
        <w:jc w:val="both"/>
        <w:rPr>
          <w:rFonts w:ascii="Times New Roman" w:hAnsi="Times New Roman" w:cs="Times New Roman"/>
          <w:sz w:val="24"/>
          <w:szCs w:val="24"/>
        </w:rPr>
      </w:pPr>
    </w:p>
    <w:p w:rsidR="00BA0AB9" w:rsidRDefault="00BA0AB9" w:rsidP="00BA0AB9">
      <w:pPr>
        <w:spacing w:after="0" w:line="240" w:lineRule="auto"/>
        <w:jc w:val="both"/>
        <w:rPr>
          <w:rFonts w:ascii="Times New Roman" w:hAnsi="Times New Roman" w:cs="Times New Roman"/>
          <w:sz w:val="24"/>
          <w:szCs w:val="24"/>
        </w:rPr>
      </w:pPr>
    </w:p>
    <w:p w:rsidR="00BA0AB9" w:rsidRPr="002A3729" w:rsidRDefault="00BA0AB9" w:rsidP="00BA0AB9">
      <w:pPr>
        <w:spacing w:after="0" w:line="240" w:lineRule="auto"/>
        <w:jc w:val="both"/>
        <w:rPr>
          <w:rFonts w:ascii="Times New Roman" w:hAnsi="Times New Roman"/>
          <w:sz w:val="24"/>
          <w:szCs w:val="24"/>
        </w:rPr>
      </w:pPr>
    </w:p>
    <w:p w:rsidR="00BA0AB9" w:rsidRPr="002A3729" w:rsidRDefault="00BA0AB9" w:rsidP="00BA0AB9">
      <w:pPr>
        <w:spacing w:after="0" w:line="240" w:lineRule="auto"/>
        <w:jc w:val="center"/>
        <w:rPr>
          <w:rFonts w:ascii="Times New Roman" w:hAnsi="Times New Roman"/>
          <w:b/>
          <w:sz w:val="24"/>
          <w:szCs w:val="24"/>
        </w:rPr>
      </w:pPr>
      <w:r>
        <w:rPr>
          <w:rFonts w:ascii="Times New Roman" w:hAnsi="Times New Roman"/>
          <w:b/>
          <w:sz w:val="24"/>
          <w:szCs w:val="24"/>
        </w:rPr>
        <w:t xml:space="preserve">Peter </w:t>
      </w:r>
      <w:proofErr w:type="spellStart"/>
      <w:r>
        <w:rPr>
          <w:rFonts w:ascii="Times New Roman" w:hAnsi="Times New Roman"/>
          <w:b/>
          <w:sz w:val="24"/>
          <w:szCs w:val="24"/>
        </w:rPr>
        <w:t>Pellegrini</w:t>
      </w:r>
      <w:proofErr w:type="spellEnd"/>
      <w:r>
        <w:rPr>
          <w:rFonts w:ascii="Times New Roman" w:hAnsi="Times New Roman"/>
          <w:b/>
          <w:sz w:val="24"/>
          <w:szCs w:val="24"/>
        </w:rPr>
        <w:t xml:space="preserve">, </w:t>
      </w:r>
      <w:proofErr w:type="spellStart"/>
      <w:r>
        <w:rPr>
          <w:rFonts w:ascii="Times New Roman" w:hAnsi="Times New Roman"/>
          <w:b/>
          <w:sz w:val="24"/>
          <w:szCs w:val="24"/>
        </w:rPr>
        <w:t>v.r</w:t>
      </w:r>
      <w:proofErr w:type="spellEnd"/>
      <w:r>
        <w:rPr>
          <w:rFonts w:ascii="Times New Roman" w:hAnsi="Times New Roman"/>
          <w:b/>
          <w:sz w:val="24"/>
          <w:szCs w:val="24"/>
        </w:rPr>
        <w:t>.</w:t>
      </w:r>
    </w:p>
    <w:p w:rsidR="00BA0AB9" w:rsidRPr="002A3729" w:rsidRDefault="00BA0AB9" w:rsidP="00BA0AB9">
      <w:pPr>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BA0AB9" w:rsidRPr="002A3729" w:rsidRDefault="00BA0AB9" w:rsidP="00BA0AB9">
      <w:pPr>
        <w:spacing w:after="0" w:line="240" w:lineRule="auto"/>
        <w:jc w:val="center"/>
        <w:rPr>
          <w:rFonts w:ascii="Times New Roman" w:hAnsi="Times New Roman"/>
          <w:sz w:val="24"/>
          <w:szCs w:val="24"/>
        </w:rPr>
      </w:pPr>
    </w:p>
    <w:p w:rsidR="00BA0AB9" w:rsidRDefault="00BA0AB9" w:rsidP="00BA0AB9">
      <w:pPr>
        <w:spacing w:after="0" w:line="240" w:lineRule="auto"/>
        <w:jc w:val="center"/>
        <w:rPr>
          <w:rFonts w:ascii="Times New Roman" w:hAnsi="Times New Roman"/>
          <w:sz w:val="24"/>
          <w:szCs w:val="24"/>
        </w:rPr>
      </w:pPr>
    </w:p>
    <w:p w:rsidR="00BA0AB9" w:rsidRDefault="00BA0AB9" w:rsidP="00BA0AB9">
      <w:pPr>
        <w:spacing w:after="0" w:line="240" w:lineRule="auto"/>
        <w:jc w:val="center"/>
        <w:rPr>
          <w:rFonts w:ascii="Times New Roman" w:hAnsi="Times New Roman"/>
          <w:sz w:val="24"/>
          <w:szCs w:val="24"/>
        </w:rPr>
      </w:pPr>
    </w:p>
    <w:p w:rsidR="00BA0AB9" w:rsidRDefault="00BA0AB9" w:rsidP="00BA0AB9">
      <w:pPr>
        <w:spacing w:after="0" w:line="240" w:lineRule="auto"/>
        <w:jc w:val="center"/>
        <w:rPr>
          <w:rFonts w:ascii="Times New Roman" w:hAnsi="Times New Roman"/>
          <w:sz w:val="24"/>
          <w:szCs w:val="24"/>
        </w:rPr>
      </w:pPr>
    </w:p>
    <w:p w:rsidR="00BA0AB9" w:rsidRPr="002A3729" w:rsidRDefault="00BA0AB9" w:rsidP="00BA0AB9">
      <w:pPr>
        <w:spacing w:after="0" w:line="240" w:lineRule="auto"/>
        <w:jc w:val="center"/>
        <w:rPr>
          <w:rFonts w:ascii="Times New Roman" w:hAnsi="Times New Roman"/>
          <w:sz w:val="24"/>
          <w:szCs w:val="24"/>
        </w:rPr>
      </w:pPr>
      <w:bookmarkStart w:id="1" w:name="_GoBack"/>
      <w:bookmarkEnd w:id="1"/>
    </w:p>
    <w:p w:rsidR="00BA0AB9" w:rsidRDefault="00BA0AB9" w:rsidP="00BA0AB9">
      <w:pPr>
        <w:spacing w:after="0" w:line="240" w:lineRule="auto"/>
        <w:jc w:val="center"/>
        <w:rPr>
          <w:rFonts w:ascii="Times New Roman" w:hAnsi="Times New Roman"/>
          <w:sz w:val="24"/>
          <w:szCs w:val="24"/>
        </w:rPr>
      </w:pPr>
    </w:p>
    <w:p w:rsidR="00F45C2A" w:rsidRDefault="00F45C2A" w:rsidP="00BA0AB9">
      <w:pPr>
        <w:spacing w:after="0" w:line="240" w:lineRule="auto"/>
        <w:jc w:val="center"/>
        <w:rPr>
          <w:rFonts w:ascii="Times New Roman" w:hAnsi="Times New Roman"/>
          <w:sz w:val="24"/>
          <w:szCs w:val="24"/>
        </w:rPr>
      </w:pPr>
    </w:p>
    <w:p w:rsidR="00BA0AB9" w:rsidRPr="002A3729" w:rsidRDefault="00BA0AB9" w:rsidP="00BA0AB9">
      <w:pPr>
        <w:spacing w:after="0" w:line="240" w:lineRule="auto"/>
        <w:jc w:val="center"/>
        <w:rPr>
          <w:rFonts w:ascii="Times New Roman" w:hAnsi="Times New Roman"/>
          <w:sz w:val="24"/>
          <w:szCs w:val="24"/>
        </w:rPr>
      </w:pPr>
    </w:p>
    <w:p w:rsidR="00BA0AB9" w:rsidRPr="002A3729" w:rsidRDefault="00BA0AB9" w:rsidP="00BA0AB9">
      <w:pPr>
        <w:spacing w:after="0" w:line="240" w:lineRule="auto"/>
        <w:jc w:val="center"/>
        <w:rPr>
          <w:rFonts w:ascii="Times New Roman" w:hAnsi="Times New Roman"/>
          <w:b/>
          <w:sz w:val="24"/>
          <w:szCs w:val="24"/>
        </w:rPr>
      </w:pPr>
      <w:r>
        <w:rPr>
          <w:rFonts w:ascii="Times New Roman" w:hAnsi="Times New Roman"/>
          <w:b/>
          <w:sz w:val="24"/>
          <w:szCs w:val="24"/>
        </w:rPr>
        <w:t>Ladislav Kamenický</w:t>
      </w:r>
      <w:r>
        <w:rPr>
          <w:rFonts w:ascii="Times New Roman" w:hAnsi="Times New Roman"/>
          <w:b/>
          <w:sz w:val="24"/>
          <w:szCs w:val="24"/>
        </w:rPr>
        <w:t xml:space="preserve">, </w:t>
      </w:r>
      <w:proofErr w:type="spellStart"/>
      <w:r>
        <w:rPr>
          <w:rFonts w:ascii="Times New Roman" w:hAnsi="Times New Roman"/>
          <w:b/>
          <w:sz w:val="24"/>
          <w:szCs w:val="24"/>
        </w:rPr>
        <w:t>v.r</w:t>
      </w:r>
      <w:proofErr w:type="spellEnd"/>
      <w:r>
        <w:rPr>
          <w:rFonts w:ascii="Times New Roman" w:hAnsi="Times New Roman"/>
          <w:b/>
          <w:sz w:val="24"/>
          <w:szCs w:val="24"/>
        </w:rPr>
        <w:t>.</w:t>
      </w:r>
    </w:p>
    <w:p w:rsidR="00BA0AB9" w:rsidRPr="002A3729" w:rsidRDefault="00BA0AB9" w:rsidP="00BA0AB9">
      <w:pPr>
        <w:spacing w:after="0" w:line="240" w:lineRule="auto"/>
        <w:jc w:val="center"/>
        <w:rPr>
          <w:rFonts w:ascii="Times New Roman" w:hAnsi="Times New Roman"/>
          <w:color w:val="000000"/>
          <w:sz w:val="24"/>
          <w:szCs w:val="24"/>
        </w:rPr>
      </w:pPr>
      <w:r w:rsidRPr="002A3729">
        <w:rPr>
          <w:rFonts w:ascii="Times New Roman" w:hAnsi="Times New Roman"/>
          <w:sz w:val="24"/>
          <w:szCs w:val="24"/>
        </w:rPr>
        <w:t>minister financií Slovenskej republiky</w:t>
      </w:r>
    </w:p>
    <w:p w:rsidR="00AB5000" w:rsidRPr="00EA543A" w:rsidRDefault="00DD7092" w:rsidP="00BA62B0">
      <w:pPr>
        <w:spacing w:after="0" w:line="240" w:lineRule="auto"/>
        <w:jc w:val="both"/>
        <w:rPr>
          <w:rFonts w:ascii="Times New Roman" w:hAnsi="Times New Roman" w:cs="Times New Roman"/>
          <w:sz w:val="24"/>
          <w:szCs w:val="24"/>
        </w:rPr>
      </w:pPr>
      <w:r w:rsidRPr="00EA543A">
        <w:rPr>
          <w:rFonts w:ascii="Times New Roman" w:hAnsi="Times New Roman" w:cs="Times New Roman"/>
          <w:sz w:val="24"/>
          <w:szCs w:val="24"/>
        </w:rPr>
        <w:t xml:space="preserve">                                                                                                              </w:t>
      </w:r>
    </w:p>
    <w:sectPr w:rsidR="00AB5000" w:rsidRPr="00EA543A" w:rsidSect="00EA5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3A" w:rsidRDefault="00EA543A" w:rsidP="009B11DA">
      <w:pPr>
        <w:spacing w:after="0" w:line="240" w:lineRule="auto"/>
      </w:pPr>
      <w:r>
        <w:separator/>
      </w:r>
    </w:p>
  </w:endnote>
  <w:endnote w:type="continuationSeparator" w:id="0">
    <w:p w:rsidR="00EA543A" w:rsidRDefault="00EA543A" w:rsidP="009B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A" w:rsidRDefault="00EA543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A543A" w:rsidRDefault="00EA54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A" w:rsidRDefault="00EA543A">
    <w:pPr>
      <w:pStyle w:val="Pta"/>
      <w:jc w:val="right"/>
    </w:pPr>
    <w:r>
      <w:fldChar w:fldCharType="begin"/>
    </w:r>
    <w:r>
      <w:instrText>PAGE   \* MERGEFORMAT</w:instrText>
    </w:r>
    <w:r>
      <w:fldChar w:fldCharType="separate"/>
    </w:r>
    <w:r w:rsidR="00F45C2A">
      <w:rPr>
        <w:noProof/>
      </w:rPr>
      <w:t>11</w:t>
    </w:r>
    <w:r>
      <w:fldChar w:fldCharType="end"/>
    </w:r>
  </w:p>
  <w:p w:rsidR="00EA543A" w:rsidRDefault="00EA543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A" w:rsidRDefault="00EA543A">
    <w:pPr>
      <w:pStyle w:val="Pta"/>
      <w:jc w:val="right"/>
    </w:pPr>
    <w:r>
      <w:fldChar w:fldCharType="begin"/>
    </w:r>
    <w:r>
      <w:instrText>PAGE   \* MERGEFORMAT</w:instrText>
    </w:r>
    <w:r>
      <w:fldChar w:fldCharType="separate"/>
    </w:r>
    <w:r>
      <w:rPr>
        <w:noProof/>
      </w:rPr>
      <w:t>0</w:t>
    </w:r>
    <w:r>
      <w:fldChar w:fldCharType="end"/>
    </w:r>
  </w:p>
  <w:p w:rsidR="00EA543A" w:rsidRDefault="00EA543A">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43459"/>
      <w:docPartObj>
        <w:docPartGallery w:val="Page Numbers (Bottom of Page)"/>
        <w:docPartUnique/>
      </w:docPartObj>
    </w:sdtPr>
    <w:sdtContent>
      <w:p w:rsidR="00EA543A" w:rsidRDefault="00EA543A">
        <w:pPr>
          <w:pStyle w:val="Pta"/>
          <w:jc w:val="center"/>
        </w:pPr>
        <w:r>
          <w:fldChar w:fldCharType="begin"/>
        </w:r>
        <w:r>
          <w:instrText>PAGE   \* MERGEFORMAT</w:instrText>
        </w:r>
        <w:r>
          <w:fldChar w:fldCharType="separate"/>
        </w:r>
        <w:r w:rsidR="00F45C2A">
          <w:rPr>
            <w:noProof/>
          </w:rPr>
          <w:t>54</w:t>
        </w:r>
        <w:r>
          <w:fldChar w:fldCharType="end"/>
        </w:r>
      </w:p>
    </w:sdtContent>
  </w:sdt>
  <w:p w:rsidR="00EA543A" w:rsidRDefault="00EA54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3A" w:rsidRDefault="00EA543A" w:rsidP="009B11DA">
      <w:pPr>
        <w:spacing w:after="0" w:line="240" w:lineRule="auto"/>
      </w:pPr>
      <w:r>
        <w:separator/>
      </w:r>
    </w:p>
  </w:footnote>
  <w:footnote w:type="continuationSeparator" w:id="0">
    <w:p w:rsidR="00EA543A" w:rsidRDefault="00EA543A" w:rsidP="009B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A" w:rsidRDefault="00EA543A" w:rsidP="00EA543A">
    <w:pPr>
      <w:pStyle w:val="Hlavika"/>
      <w:jc w:val="right"/>
      <w:rPr>
        <w:sz w:val="24"/>
        <w:szCs w:val="24"/>
      </w:rPr>
    </w:pPr>
    <w:r>
      <w:rPr>
        <w:sz w:val="24"/>
        <w:szCs w:val="24"/>
      </w:rPr>
      <w:t>Príloha č. 2</w:t>
    </w:r>
  </w:p>
  <w:p w:rsidR="00EA543A" w:rsidRPr="00EB59C8" w:rsidRDefault="00EA543A" w:rsidP="00EA543A">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A" w:rsidRPr="000A15AE" w:rsidRDefault="00EA543A" w:rsidP="00EA543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041C4D31"/>
    <w:multiLevelType w:val="hybridMultilevel"/>
    <w:tmpl w:val="8D7C5BA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4B136C2"/>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A4E7AB4"/>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AD53D07"/>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043857"/>
    <w:multiLevelType w:val="hybridMultilevel"/>
    <w:tmpl w:val="D6A4F9F0"/>
    <w:lvl w:ilvl="0" w:tplc="ADB8FCB2">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6"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E7C99"/>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2F43CE1"/>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42638AF"/>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2D6A9A"/>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00461A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10E58E6"/>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03777"/>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5E04BE5"/>
    <w:multiLevelType w:val="hybridMultilevel"/>
    <w:tmpl w:val="54AE1D3A"/>
    <w:lvl w:ilvl="0" w:tplc="4648986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C22685"/>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59D87971"/>
    <w:multiLevelType w:val="hybridMultilevel"/>
    <w:tmpl w:val="918ABCEA"/>
    <w:lvl w:ilvl="0" w:tplc="670EFF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4"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0D6F7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6256460"/>
    <w:multiLevelType w:val="hybridMultilevel"/>
    <w:tmpl w:val="4A0AC568"/>
    <w:lvl w:ilvl="0" w:tplc="365245CE">
      <w:start w:val="1"/>
      <w:numFmt w:val="lowerLetter"/>
      <w:lvlText w:val="%1)"/>
      <w:lvlJc w:val="left"/>
      <w:pPr>
        <w:ind w:left="426" w:hanging="360"/>
      </w:pPr>
      <w:rPr>
        <w:rFonts w:hint="default"/>
      </w:rPr>
    </w:lvl>
    <w:lvl w:ilvl="1" w:tplc="E050137C">
      <w:start w:val="1"/>
      <w:numFmt w:val="lowerLetter"/>
      <w:lvlText w:val="%2)"/>
      <w:lvlJc w:val="left"/>
      <w:pPr>
        <w:ind w:left="1146" w:hanging="360"/>
      </w:pPr>
      <w:rPr>
        <w:rFonts w:ascii="Arial Narrow" w:hAnsi="Arial Narrow"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8" w15:restartNumberingAfterBreak="0">
    <w:nsid w:val="670573E1"/>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85009"/>
    <w:multiLevelType w:val="hybridMultilevel"/>
    <w:tmpl w:val="67DE287E"/>
    <w:lvl w:ilvl="0" w:tplc="410863C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226C93"/>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78DE33D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B6E70CB"/>
    <w:multiLevelType w:val="hybridMultilevel"/>
    <w:tmpl w:val="B396020C"/>
    <w:lvl w:ilvl="0" w:tplc="B21A0C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5"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27"/>
  </w:num>
  <w:num w:numId="2">
    <w:abstractNumId w:val="1"/>
  </w:num>
  <w:num w:numId="3">
    <w:abstractNumId w:val="5"/>
  </w:num>
  <w:num w:numId="4">
    <w:abstractNumId w:val="10"/>
  </w:num>
  <w:num w:numId="5">
    <w:abstractNumId w:val="0"/>
  </w:num>
  <w:num w:numId="6">
    <w:abstractNumId w:val="34"/>
  </w:num>
  <w:num w:numId="7">
    <w:abstractNumId w:val="15"/>
  </w:num>
  <w:num w:numId="8">
    <w:abstractNumId w:val="18"/>
  </w:num>
  <w:num w:numId="9">
    <w:abstractNumId w:val="6"/>
  </w:num>
  <w:num w:numId="10">
    <w:abstractNumId w:val="31"/>
  </w:num>
  <w:num w:numId="11">
    <w:abstractNumId w:val="32"/>
  </w:num>
  <w:num w:numId="12">
    <w:abstractNumId w:val="3"/>
  </w:num>
  <w:num w:numId="13">
    <w:abstractNumId w:val="7"/>
  </w:num>
  <w:num w:numId="14">
    <w:abstractNumId w:val="25"/>
  </w:num>
  <w:num w:numId="15">
    <w:abstractNumId w:val="28"/>
  </w:num>
  <w:num w:numId="16">
    <w:abstractNumId w:val="13"/>
  </w:num>
  <w:num w:numId="17">
    <w:abstractNumId w:val="2"/>
  </w:num>
  <w:num w:numId="18">
    <w:abstractNumId w:val="9"/>
  </w:num>
  <w:num w:numId="19">
    <w:abstractNumId w:val="4"/>
  </w:num>
  <w:num w:numId="20">
    <w:abstractNumId w:val="14"/>
  </w:num>
  <w:num w:numId="21">
    <w:abstractNumId w:val="21"/>
  </w:num>
  <w:num w:numId="22">
    <w:abstractNumId w:val="16"/>
  </w:num>
  <w:num w:numId="23">
    <w:abstractNumId w:val="11"/>
  </w:num>
  <w:num w:numId="24">
    <w:abstractNumId w:val="8"/>
  </w:num>
  <w:num w:numId="25">
    <w:abstractNumId w:val="20"/>
  </w:num>
  <w:num w:numId="26">
    <w:abstractNumId w:val="33"/>
  </w:num>
  <w:num w:numId="27">
    <w:abstractNumId w:val="30"/>
  </w:num>
  <w:num w:numId="28">
    <w:abstractNumId w:val="22"/>
  </w:num>
  <w:num w:numId="29">
    <w:abstractNumId w:val="19"/>
  </w:num>
  <w:num w:numId="30">
    <w:abstractNumId w:val="17"/>
  </w:num>
  <w:num w:numId="31">
    <w:abstractNumId w:val="23"/>
  </w:num>
  <w:num w:numId="32">
    <w:abstractNumId w:val="29"/>
  </w:num>
  <w:num w:numId="33">
    <w:abstractNumId w:val="26"/>
  </w:num>
  <w:num w:numId="34">
    <w:abstractNumId w:val="12"/>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E"/>
    <w:rsid w:val="0002593C"/>
    <w:rsid w:val="0006149C"/>
    <w:rsid w:val="000A0963"/>
    <w:rsid w:val="000A5381"/>
    <w:rsid w:val="000B4116"/>
    <w:rsid w:val="000C65ED"/>
    <w:rsid w:val="000D3D5E"/>
    <w:rsid w:val="00104D86"/>
    <w:rsid w:val="00151F8C"/>
    <w:rsid w:val="00155163"/>
    <w:rsid w:val="00172760"/>
    <w:rsid w:val="001A308A"/>
    <w:rsid w:val="001B409B"/>
    <w:rsid w:val="001B4BF9"/>
    <w:rsid w:val="001B730C"/>
    <w:rsid w:val="00217140"/>
    <w:rsid w:val="00226F05"/>
    <w:rsid w:val="002279B1"/>
    <w:rsid w:val="002309CB"/>
    <w:rsid w:val="00262443"/>
    <w:rsid w:val="00282A6F"/>
    <w:rsid w:val="00291C3E"/>
    <w:rsid w:val="002A55E1"/>
    <w:rsid w:val="002B5634"/>
    <w:rsid w:val="002E08C0"/>
    <w:rsid w:val="00333125"/>
    <w:rsid w:val="00375EBD"/>
    <w:rsid w:val="003A1C8B"/>
    <w:rsid w:val="003B48E5"/>
    <w:rsid w:val="003C265B"/>
    <w:rsid w:val="00405D59"/>
    <w:rsid w:val="00425761"/>
    <w:rsid w:val="00451E5B"/>
    <w:rsid w:val="00461F10"/>
    <w:rsid w:val="00467CB4"/>
    <w:rsid w:val="004F068C"/>
    <w:rsid w:val="005015EF"/>
    <w:rsid w:val="00540DE4"/>
    <w:rsid w:val="005752F2"/>
    <w:rsid w:val="00580AE9"/>
    <w:rsid w:val="005964D8"/>
    <w:rsid w:val="005A2351"/>
    <w:rsid w:val="005B2651"/>
    <w:rsid w:val="005B5A43"/>
    <w:rsid w:val="005C049C"/>
    <w:rsid w:val="005D6F7D"/>
    <w:rsid w:val="005F380C"/>
    <w:rsid w:val="005F55C3"/>
    <w:rsid w:val="006310C9"/>
    <w:rsid w:val="00635499"/>
    <w:rsid w:val="006459F1"/>
    <w:rsid w:val="006605D4"/>
    <w:rsid w:val="006862A3"/>
    <w:rsid w:val="006A4540"/>
    <w:rsid w:val="006C21AD"/>
    <w:rsid w:val="006F1017"/>
    <w:rsid w:val="00707092"/>
    <w:rsid w:val="0071616E"/>
    <w:rsid w:val="00717394"/>
    <w:rsid w:val="00726BFB"/>
    <w:rsid w:val="007329DA"/>
    <w:rsid w:val="00743AFA"/>
    <w:rsid w:val="00752AC3"/>
    <w:rsid w:val="007A249B"/>
    <w:rsid w:val="007A5B13"/>
    <w:rsid w:val="007A6509"/>
    <w:rsid w:val="007B79E4"/>
    <w:rsid w:val="007C1C4D"/>
    <w:rsid w:val="007D1101"/>
    <w:rsid w:val="007F2B8C"/>
    <w:rsid w:val="007F74CA"/>
    <w:rsid w:val="00810615"/>
    <w:rsid w:val="008171AE"/>
    <w:rsid w:val="00835F46"/>
    <w:rsid w:val="00843A95"/>
    <w:rsid w:val="008441DC"/>
    <w:rsid w:val="0085690D"/>
    <w:rsid w:val="008A5BAB"/>
    <w:rsid w:val="008D1171"/>
    <w:rsid w:val="008F497C"/>
    <w:rsid w:val="009118B1"/>
    <w:rsid w:val="00947E97"/>
    <w:rsid w:val="00972AC9"/>
    <w:rsid w:val="009863E8"/>
    <w:rsid w:val="00994E9C"/>
    <w:rsid w:val="009A7A44"/>
    <w:rsid w:val="009B11DA"/>
    <w:rsid w:val="00A26283"/>
    <w:rsid w:val="00A40A6A"/>
    <w:rsid w:val="00A43915"/>
    <w:rsid w:val="00A44832"/>
    <w:rsid w:val="00A51EED"/>
    <w:rsid w:val="00A771BC"/>
    <w:rsid w:val="00A92376"/>
    <w:rsid w:val="00AB5000"/>
    <w:rsid w:val="00AC078B"/>
    <w:rsid w:val="00B1315E"/>
    <w:rsid w:val="00B2271E"/>
    <w:rsid w:val="00B503C7"/>
    <w:rsid w:val="00B7414E"/>
    <w:rsid w:val="00B96916"/>
    <w:rsid w:val="00B96F7D"/>
    <w:rsid w:val="00BA0AB9"/>
    <w:rsid w:val="00BA62B0"/>
    <w:rsid w:val="00BB4F35"/>
    <w:rsid w:val="00BB7DCA"/>
    <w:rsid w:val="00BC1A64"/>
    <w:rsid w:val="00BD7B51"/>
    <w:rsid w:val="00BF4674"/>
    <w:rsid w:val="00C05C9F"/>
    <w:rsid w:val="00C1049C"/>
    <w:rsid w:val="00C137BA"/>
    <w:rsid w:val="00C15682"/>
    <w:rsid w:val="00C36EAB"/>
    <w:rsid w:val="00C71E1F"/>
    <w:rsid w:val="00C7287D"/>
    <w:rsid w:val="00C872DF"/>
    <w:rsid w:val="00C95BCF"/>
    <w:rsid w:val="00C96F8F"/>
    <w:rsid w:val="00CD0B27"/>
    <w:rsid w:val="00D06207"/>
    <w:rsid w:val="00D21DF8"/>
    <w:rsid w:val="00D25ED9"/>
    <w:rsid w:val="00D463AE"/>
    <w:rsid w:val="00D52903"/>
    <w:rsid w:val="00D56499"/>
    <w:rsid w:val="00D826B1"/>
    <w:rsid w:val="00D927BE"/>
    <w:rsid w:val="00D92EDC"/>
    <w:rsid w:val="00DA3CAB"/>
    <w:rsid w:val="00DC6E23"/>
    <w:rsid w:val="00DD7092"/>
    <w:rsid w:val="00DE73E5"/>
    <w:rsid w:val="00DF4409"/>
    <w:rsid w:val="00E12407"/>
    <w:rsid w:val="00E5471F"/>
    <w:rsid w:val="00E7599B"/>
    <w:rsid w:val="00E774EC"/>
    <w:rsid w:val="00E86E7E"/>
    <w:rsid w:val="00E87295"/>
    <w:rsid w:val="00E960A0"/>
    <w:rsid w:val="00EA543A"/>
    <w:rsid w:val="00EA65DE"/>
    <w:rsid w:val="00EF3ED0"/>
    <w:rsid w:val="00F018BF"/>
    <w:rsid w:val="00F14E5C"/>
    <w:rsid w:val="00F36BA1"/>
    <w:rsid w:val="00F37A93"/>
    <w:rsid w:val="00F45C2A"/>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633D1-6ED9-4EDD-8A12-FC56F5C4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5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99"/>
    <w:qFormat/>
    <w:rsid w:val="00A40A6A"/>
    <w:pPr>
      <w:ind w:left="720"/>
      <w:contextualSpacing/>
    </w:pPr>
  </w:style>
  <w:style w:type="paragraph" w:styleId="Normlnywebov">
    <w:name w:val="Normal (Web)"/>
    <w:basedOn w:val="Normlny"/>
    <w:uiPriority w:val="99"/>
    <w:unhideWhenUsed/>
    <w:rsid w:val="00A40A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99"/>
    <w:locked/>
    <w:rsid w:val="006459F1"/>
  </w:style>
  <w:style w:type="paragraph" w:styleId="Textbubliny">
    <w:name w:val="Balloon Text"/>
    <w:basedOn w:val="Normlny"/>
    <w:link w:val="TextbublinyChar"/>
    <w:uiPriority w:val="99"/>
    <w:semiHidden/>
    <w:unhideWhenUsed/>
    <w:rsid w:val="00451E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E5B"/>
    <w:rPr>
      <w:rFonts w:ascii="Segoe UI" w:hAnsi="Segoe UI" w:cs="Segoe UI"/>
      <w:sz w:val="18"/>
      <w:szCs w:val="18"/>
    </w:rPr>
  </w:style>
  <w:style w:type="paragraph" w:styleId="Hlavika">
    <w:name w:val="header"/>
    <w:basedOn w:val="Normlny"/>
    <w:link w:val="HlavikaChar"/>
    <w:uiPriority w:val="99"/>
    <w:unhideWhenUsed/>
    <w:rsid w:val="009B11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11DA"/>
  </w:style>
  <w:style w:type="paragraph" w:styleId="Pta">
    <w:name w:val="footer"/>
    <w:basedOn w:val="Normlny"/>
    <w:link w:val="PtaChar"/>
    <w:uiPriority w:val="99"/>
    <w:unhideWhenUsed/>
    <w:rsid w:val="009B11DA"/>
    <w:pPr>
      <w:tabs>
        <w:tab w:val="center" w:pos="4536"/>
        <w:tab w:val="right" w:pos="9072"/>
      </w:tabs>
      <w:spacing w:after="0" w:line="240" w:lineRule="auto"/>
    </w:pPr>
  </w:style>
  <w:style w:type="character" w:customStyle="1" w:styleId="PtaChar">
    <w:name w:val="Päta Char"/>
    <w:basedOn w:val="Predvolenpsmoodseku"/>
    <w:link w:val="Pta"/>
    <w:uiPriority w:val="99"/>
    <w:rsid w:val="009B11DA"/>
  </w:style>
  <w:style w:type="paragraph" w:customStyle="1" w:styleId="Zkladntext">
    <w:name w:val="Základní text"/>
    <w:aliases w:val="Základný text Char Char"/>
    <w:rsid w:val="008171AE"/>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styleId="Hypertextovprepojenie">
    <w:name w:val="Hyperlink"/>
    <w:uiPriority w:val="99"/>
    <w:rsid w:val="00EA543A"/>
    <w:rPr>
      <w:rFonts w:cs="Times New Roman"/>
      <w:color w:val="0000FF"/>
      <w:u w:val="single"/>
    </w:rPr>
  </w:style>
  <w:style w:type="paragraph" w:customStyle="1" w:styleId="Default">
    <w:name w:val="Default"/>
    <w:rsid w:val="00EA543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rsid w:val="00EA543A"/>
    <w:rPr>
      <w:rFonts w:cs="Times New Roman"/>
    </w:rPr>
  </w:style>
  <w:style w:type="table" w:styleId="Mriekatabuky">
    <w:name w:val="Table Grid"/>
    <w:basedOn w:val="Normlnatabuka"/>
    <w:uiPriority w:val="59"/>
    <w:rsid w:val="00EA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BA0AB9"/>
    <w:rPr>
      <w:rFonts w:cs="Times New Roman"/>
      <w:i/>
    </w:rPr>
  </w:style>
  <w:style w:type="paragraph" w:customStyle="1" w:styleId="c08dispositif">
    <w:name w:val="c08dispositif"/>
    <w:basedOn w:val="Normlny"/>
    <w:rsid w:val="00BA0AB9"/>
    <w:pPr>
      <w:spacing w:before="100" w:beforeAutospacing="1" w:after="240" w:line="240" w:lineRule="auto"/>
      <w:ind w:left="1134" w:hanging="567"/>
      <w:jc w:val="both"/>
    </w:pPr>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013">
      <w:bodyDiv w:val="1"/>
      <w:marLeft w:val="0"/>
      <w:marRight w:val="0"/>
      <w:marTop w:val="0"/>
      <w:marBottom w:val="0"/>
      <w:divBdr>
        <w:top w:val="none" w:sz="0" w:space="0" w:color="auto"/>
        <w:left w:val="none" w:sz="0" w:space="0" w:color="auto"/>
        <w:bottom w:val="none" w:sz="0" w:space="0" w:color="auto"/>
        <w:right w:val="none" w:sz="0" w:space="0" w:color="auto"/>
      </w:divBdr>
    </w:div>
    <w:div w:id="420950420">
      <w:bodyDiv w:val="1"/>
      <w:marLeft w:val="0"/>
      <w:marRight w:val="0"/>
      <w:marTop w:val="0"/>
      <w:marBottom w:val="0"/>
      <w:divBdr>
        <w:top w:val="none" w:sz="0" w:space="0" w:color="auto"/>
        <w:left w:val="none" w:sz="0" w:space="0" w:color="auto"/>
        <w:bottom w:val="none" w:sz="0" w:space="0" w:color="auto"/>
        <w:right w:val="none" w:sz="0" w:space="0" w:color="auto"/>
      </w:divBdr>
    </w:div>
    <w:div w:id="643242403">
      <w:bodyDiv w:val="1"/>
      <w:marLeft w:val="0"/>
      <w:marRight w:val="0"/>
      <w:marTop w:val="0"/>
      <w:marBottom w:val="0"/>
      <w:divBdr>
        <w:top w:val="none" w:sz="0" w:space="0" w:color="auto"/>
        <w:left w:val="none" w:sz="0" w:space="0" w:color="auto"/>
        <w:bottom w:val="none" w:sz="0" w:space="0" w:color="auto"/>
        <w:right w:val="none" w:sz="0" w:space="0" w:color="auto"/>
      </w:divBdr>
    </w:div>
    <w:div w:id="667833273">
      <w:bodyDiv w:val="1"/>
      <w:marLeft w:val="0"/>
      <w:marRight w:val="0"/>
      <w:marTop w:val="0"/>
      <w:marBottom w:val="0"/>
      <w:divBdr>
        <w:top w:val="none" w:sz="0" w:space="0" w:color="auto"/>
        <w:left w:val="none" w:sz="0" w:space="0" w:color="auto"/>
        <w:bottom w:val="none" w:sz="0" w:space="0" w:color="auto"/>
        <w:right w:val="none" w:sz="0" w:space="0" w:color="auto"/>
      </w:divBdr>
    </w:div>
    <w:div w:id="825367082">
      <w:bodyDiv w:val="1"/>
      <w:marLeft w:val="0"/>
      <w:marRight w:val="0"/>
      <w:marTop w:val="0"/>
      <w:marBottom w:val="0"/>
      <w:divBdr>
        <w:top w:val="none" w:sz="0" w:space="0" w:color="auto"/>
        <w:left w:val="none" w:sz="0" w:space="0" w:color="auto"/>
        <w:bottom w:val="none" w:sz="0" w:space="0" w:color="auto"/>
        <w:right w:val="none" w:sz="0" w:space="0" w:color="auto"/>
      </w:divBdr>
    </w:div>
    <w:div w:id="1019698597">
      <w:bodyDiv w:val="1"/>
      <w:marLeft w:val="0"/>
      <w:marRight w:val="0"/>
      <w:marTop w:val="0"/>
      <w:marBottom w:val="0"/>
      <w:divBdr>
        <w:top w:val="none" w:sz="0" w:space="0" w:color="auto"/>
        <w:left w:val="none" w:sz="0" w:space="0" w:color="auto"/>
        <w:bottom w:val="none" w:sz="0" w:space="0" w:color="auto"/>
        <w:right w:val="none" w:sz="0" w:space="0" w:color="auto"/>
      </w:divBdr>
    </w:div>
    <w:div w:id="1092244500">
      <w:bodyDiv w:val="1"/>
      <w:marLeft w:val="0"/>
      <w:marRight w:val="0"/>
      <w:marTop w:val="0"/>
      <w:marBottom w:val="0"/>
      <w:divBdr>
        <w:top w:val="none" w:sz="0" w:space="0" w:color="auto"/>
        <w:left w:val="none" w:sz="0" w:space="0" w:color="auto"/>
        <w:bottom w:val="none" w:sz="0" w:space="0" w:color="auto"/>
        <w:right w:val="none" w:sz="0" w:space="0" w:color="auto"/>
      </w:divBdr>
    </w:div>
    <w:div w:id="1203252175">
      <w:bodyDiv w:val="1"/>
      <w:marLeft w:val="0"/>
      <w:marRight w:val="0"/>
      <w:marTop w:val="0"/>
      <w:marBottom w:val="0"/>
      <w:divBdr>
        <w:top w:val="none" w:sz="0" w:space="0" w:color="auto"/>
        <w:left w:val="none" w:sz="0" w:space="0" w:color="auto"/>
        <w:bottom w:val="none" w:sz="0" w:space="0" w:color="auto"/>
        <w:right w:val="none" w:sz="0" w:space="0" w:color="auto"/>
      </w:divBdr>
    </w:div>
    <w:div w:id="1265961092">
      <w:bodyDiv w:val="1"/>
      <w:marLeft w:val="0"/>
      <w:marRight w:val="0"/>
      <w:marTop w:val="0"/>
      <w:marBottom w:val="0"/>
      <w:divBdr>
        <w:top w:val="none" w:sz="0" w:space="0" w:color="auto"/>
        <w:left w:val="none" w:sz="0" w:space="0" w:color="auto"/>
        <w:bottom w:val="none" w:sz="0" w:space="0" w:color="auto"/>
        <w:right w:val="none" w:sz="0" w:space="0" w:color="auto"/>
      </w:divBdr>
    </w:div>
    <w:div w:id="1644845224">
      <w:bodyDiv w:val="1"/>
      <w:marLeft w:val="0"/>
      <w:marRight w:val="0"/>
      <w:marTop w:val="0"/>
      <w:marBottom w:val="0"/>
      <w:divBdr>
        <w:top w:val="none" w:sz="0" w:space="0" w:color="auto"/>
        <w:left w:val="none" w:sz="0" w:space="0" w:color="auto"/>
        <w:bottom w:val="none" w:sz="0" w:space="0" w:color="auto"/>
        <w:right w:val="none" w:sz="0" w:space="0" w:color="auto"/>
      </w:divBdr>
    </w:div>
    <w:div w:id="1749688047">
      <w:bodyDiv w:val="1"/>
      <w:marLeft w:val="0"/>
      <w:marRight w:val="0"/>
      <w:marTop w:val="0"/>
      <w:marBottom w:val="0"/>
      <w:divBdr>
        <w:top w:val="none" w:sz="0" w:space="0" w:color="auto"/>
        <w:left w:val="none" w:sz="0" w:space="0" w:color="auto"/>
        <w:bottom w:val="none" w:sz="0" w:space="0" w:color="auto"/>
        <w:right w:val="none" w:sz="0" w:space="0" w:color="auto"/>
      </w:divBdr>
    </w:div>
    <w:div w:id="1764762389">
      <w:bodyDiv w:val="1"/>
      <w:marLeft w:val="0"/>
      <w:marRight w:val="0"/>
      <w:marTop w:val="0"/>
      <w:marBottom w:val="0"/>
      <w:divBdr>
        <w:top w:val="none" w:sz="0" w:space="0" w:color="auto"/>
        <w:left w:val="none" w:sz="0" w:space="0" w:color="auto"/>
        <w:bottom w:val="none" w:sz="0" w:space="0" w:color="auto"/>
        <w:right w:val="none" w:sz="0" w:space="0" w:color="auto"/>
      </w:divBdr>
    </w:div>
    <w:div w:id="1893038916">
      <w:bodyDiv w:val="1"/>
      <w:marLeft w:val="0"/>
      <w:marRight w:val="0"/>
      <w:marTop w:val="0"/>
      <w:marBottom w:val="0"/>
      <w:divBdr>
        <w:top w:val="none" w:sz="0" w:space="0" w:color="auto"/>
        <w:left w:val="none" w:sz="0" w:space="0" w:color="auto"/>
        <w:bottom w:val="none" w:sz="0" w:space="0" w:color="auto"/>
        <w:right w:val="none" w:sz="0" w:space="0" w:color="auto"/>
      </w:divBdr>
    </w:div>
    <w:div w:id="1986087844">
      <w:bodyDiv w:val="1"/>
      <w:marLeft w:val="0"/>
      <w:marRight w:val="0"/>
      <w:marTop w:val="0"/>
      <w:marBottom w:val="0"/>
      <w:divBdr>
        <w:top w:val="none" w:sz="0" w:space="0" w:color="auto"/>
        <w:left w:val="none" w:sz="0" w:space="0" w:color="auto"/>
        <w:bottom w:val="none" w:sz="0" w:space="0" w:color="auto"/>
        <w:right w:val="none" w:sz="0" w:space="0" w:color="auto"/>
      </w:divBdr>
    </w:div>
    <w:div w:id="2110613629">
      <w:bodyDiv w:val="1"/>
      <w:marLeft w:val="0"/>
      <w:marRight w:val="0"/>
      <w:marTop w:val="0"/>
      <w:marBottom w:val="0"/>
      <w:divBdr>
        <w:top w:val="none" w:sz="0" w:space="0" w:color="auto"/>
        <w:left w:val="none" w:sz="0" w:space="0" w:color="auto"/>
        <w:bottom w:val="none" w:sz="0" w:space="0" w:color="auto"/>
        <w:right w:val="none" w:sz="0" w:space="0" w:color="auto"/>
      </w:divBdr>
    </w:div>
    <w:div w:id="2120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vidova@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CFF1-E591-4D20-90ED-9E89687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55</Pages>
  <Words>20803</Words>
  <Characters>114834</Characters>
  <Application>Microsoft Office Word</Application>
  <DocSecurity>0</DocSecurity>
  <Lines>11483</Lines>
  <Paragraphs>4521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131116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5</cp:revision>
  <cp:lastPrinted>2019-05-21T15:58:00Z</cp:lastPrinted>
  <dcterms:created xsi:type="dcterms:W3CDTF">2019-05-29T08:35:00Z</dcterms:created>
  <dcterms:modified xsi:type="dcterms:W3CDTF">2019-05-29T09:41:00Z</dcterms:modified>
</cp:coreProperties>
</file>