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43A" w:rsidRPr="00EA543A" w:rsidRDefault="00EA543A" w:rsidP="00EA543A">
      <w:pPr>
        <w:spacing w:after="0" w:line="240" w:lineRule="auto"/>
        <w:jc w:val="center"/>
        <w:rPr>
          <w:rFonts w:ascii="Times New Roman" w:hAnsi="Times New Roman" w:cs="Times New Roman"/>
          <w:b/>
          <w:sz w:val="24"/>
          <w:szCs w:val="24"/>
        </w:rPr>
      </w:pPr>
      <w:r w:rsidRPr="00EA543A">
        <w:rPr>
          <w:rFonts w:ascii="Times New Roman" w:hAnsi="Times New Roman" w:cs="Times New Roman"/>
          <w:b/>
          <w:sz w:val="24"/>
          <w:szCs w:val="24"/>
        </w:rPr>
        <w:t>Dôvodová správa</w:t>
      </w:r>
    </w:p>
    <w:p w:rsidR="00EA543A" w:rsidRPr="00EA543A" w:rsidRDefault="00EA543A" w:rsidP="00EA543A">
      <w:pPr>
        <w:spacing w:after="0" w:line="240" w:lineRule="auto"/>
        <w:outlineLvl w:val="0"/>
        <w:rPr>
          <w:rFonts w:ascii="Times New Roman" w:hAnsi="Times New Roman" w:cs="Times New Roman"/>
          <w:b/>
          <w:bCs/>
          <w:sz w:val="24"/>
          <w:szCs w:val="24"/>
          <w:u w:val="single"/>
        </w:rPr>
      </w:pPr>
    </w:p>
    <w:p w:rsidR="00EA543A" w:rsidRPr="00EA543A" w:rsidRDefault="00EA543A" w:rsidP="00EA543A">
      <w:pPr>
        <w:spacing w:after="0" w:line="240" w:lineRule="auto"/>
        <w:outlineLvl w:val="0"/>
        <w:rPr>
          <w:rFonts w:ascii="Times New Roman" w:hAnsi="Times New Roman" w:cs="Times New Roman"/>
          <w:b/>
          <w:bCs/>
          <w:sz w:val="24"/>
          <w:szCs w:val="24"/>
          <w:u w:val="single"/>
        </w:rPr>
      </w:pPr>
      <w:r w:rsidRPr="00EA543A">
        <w:rPr>
          <w:rFonts w:ascii="Times New Roman" w:hAnsi="Times New Roman" w:cs="Times New Roman"/>
          <w:b/>
          <w:bCs/>
          <w:sz w:val="24"/>
          <w:szCs w:val="24"/>
          <w:u w:val="single"/>
        </w:rPr>
        <w:t xml:space="preserve">Všeobecná časť  </w:t>
      </w:r>
    </w:p>
    <w:p w:rsidR="00EA543A" w:rsidRPr="00EA543A" w:rsidRDefault="00EA543A" w:rsidP="00EA543A">
      <w:pPr>
        <w:spacing w:after="0" w:line="240" w:lineRule="auto"/>
        <w:outlineLvl w:val="0"/>
        <w:rPr>
          <w:rFonts w:ascii="Times New Roman" w:hAnsi="Times New Roman" w:cs="Times New Roman"/>
          <w:b/>
          <w:bCs/>
          <w:sz w:val="24"/>
          <w:szCs w:val="24"/>
          <w:u w:val="single"/>
        </w:rPr>
      </w:pPr>
    </w:p>
    <w:p w:rsidR="00EA543A" w:rsidRPr="00EA543A" w:rsidRDefault="00EA543A" w:rsidP="00EA54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Vládny návrh zákona</w:t>
      </w:r>
      <w:r w:rsidRPr="00EA543A">
        <w:rPr>
          <w:rFonts w:ascii="Times New Roman" w:hAnsi="Times New Roman" w:cs="Times New Roman"/>
          <w:sz w:val="24"/>
          <w:szCs w:val="24"/>
        </w:rPr>
        <w:t xml:space="preserve">, ktorým sa mení a dopĺňa zákon č. 595/2003 Z. z. o dani z príjmov v znení neskorších predpisov. Predkladaný návrh zákona je vypracovaný na základe úloh vyplývajúcich z Programového vyhlásenia vlády SR na roky 2016-2020, Plánu legislatívnych úloh vlády Slovenskej republiky na rok 2019 a na základe uznesenia vlády SR č. 51/2019 zo dňa 6. februára 2019, uznesenia vlády SR č. 110/2019 zo dňa 13. 3. 2019 a uznesenia vlády SR č. 185/2019 zo dňa 17. 4. 2019. </w:t>
      </w:r>
    </w:p>
    <w:p w:rsidR="00EA543A" w:rsidRPr="00EA543A" w:rsidRDefault="00EA543A" w:rsidP="00EA543A">
      <w:pPr>
        <w:spacing w:after="0" w:line="240" w:lineRule="auto"/>
        <w:jc w:val="both"/>
        <w:rPr>
          <w:rFonts w:ascii="Times New Roman" w:hAnsi="Times New Roman" w:cs="Times New Roman"/>
          <w:sz w:val="24"/>
          <w:szCs w:val="24"/>
        </w:rPr>
      </w:pPr>
    </w:p>
    <w:p w:rsidR="00EA543A" w:rsidRPr="00EA543A" w:rsidRDefault="00EA543A" w:rsidP="00EA543A">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 xml:space="preserve">Návrh zákona obsahuje opatrenia vyplývajúce z Analýzy zjednodušenia výpočtu základu dane pre malé a stredné podniky, vzatou na vedomie vládou SR, s cieľom znížiť administratívne zaťaženie a podporiť malé a stredné podniky prostredníctvom dane z príjmov  a takisto aj opatrenia vyplývajúce z Návrhu opatrení na odstránenie bariér pre trvalo udržateľný rozvoj automobilového priemyslu na Slovensku vrátane dodávateľskej siete. V nadväznosti na vládou schválený Akčný plán rozvoja </w:t>
      </w:r>
      <w:proofErr w:type="spellStart"/>
      <w:r w:rsidRPr="00EA543A">
        <w:rPr>
          <w:rFonts w:ascii="Times New Roman" w:hAnsi="Times New Roman" w:cs="Times New Roman"/>
          <w:sz w:val="24"/>
          <w:szCs w:val="24"/>
        </w:rPr>
        <w:t>elektromobility</w:t>
      </w:r>
      <w:proofErr w:type="spellEnd"/>
      <w:r w:rsidRPr="00EA543A">
        <w:rPr>
          <w:rFonts w:ascii="Times New Roman" w:hAnsi="Times New Roman" w:cs="Times New Roman"/>
          <w:sz w:val="24"/>
          <w:szCs w:val="24"/>
        </w:rPr>
        <w:t xml:space="preserve"> v Slovenskej republike obsahuje návrh zákona aj opatrenia zvýhodňujúce daňové odpisovanie elektromobilov.</w:t>
      </w:r>
    </w:p>
    <w:p w:rsidR="00EA543A" w:rsidRPr="00EA543A" w:rsidRDefault="00EA543A" w:rsidP="00EA543A">
      <w:pPr>
        <w:spacing w:after="0" w:line="240" w:lineRule="auto"/>
        <w:jc w:val="both"/>
        <w:rPr>
          <w:rFonts w:ascii="Times New Roman" w:hAnsi="Times New Roman" w:cs="Times New Roman"/>
          <w:sz w:val="24"/>
          <w:szCs w:val="24"/>
        </w:rPr>
      </w:pPr>
    </w:p>
    <w:p w:rsidR="00EA543A" w:rsidRPr="00EA543A" w:rsidRDefault="00EA543A" w:rsidP="00EA543A">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 xml:space="preserve">Cieľom návrhu zákona je aj transpozícia smernice Rady (EU) 2017/952 z 29. mája 2017, ktorou sa mení smernica (EÚ) 2016/1164, pokiaľ ide o hybridné nesúlady s tretími krajinami (ďalej len „ATAD 2“), pričom sa zavádzajú pravidlá, ktoré zamedzujú využívaniu hybridných prvkov v dôsledku odlišných daňových posúdení finančných nástrojov a daňových subjektov predovšetkým v medzinárodnom kontexte, vedúcich k znižovaniu daňovej povinnosti. </w:t>
      </w:r>
    </w:p>
    <w:p w:rsidR="00EA543A" w:rsidRPr="00EA543A" w:rsidRDefault="00EA543A" w:rsidP="00EA543A">
      <w:pPr>
        <w:spacing w:after="0" w:line="240" w:lineRule="auto"/>
        <w:jc w:val="both"/>
        <w:rPr>
          <w:rFonts w:ascii="Times New Roman" w:hAnsi="Times New Roman" w:cs="Times New Roman"/>
          <w:sz w:val="24"/>
          <w:szCs w:val="24"/>
        </w:rPr>
      </w:pPr>
    </w:p>
    <w:p w:rsidR="00EA543A" w:rsidRPr="00EA543A" w:rsidRDefault="00EA543A" w:rsidP="00EA543A">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 xml:space="preserve">Predpokladaným návrhom zákona sa na základe poznatkov z uskutočnených konzultácií a z aplikačnej praxe upravujú, spresňujú a zjednocujú z dôvodu zvýšenia právnej istoty daňovníkov niektoré ustanovenia zákona o dani z príjmov. Návrh zákona obsahuje aj opatrenia v oblasti boja proti daňovým únikom a zvyšovania efektivity výberu a vymáhania daní. </w:t>
      </w:r>
    </w:p>
    <w:p w:rsidR="00EA543A" w:rsidRPr="00EA543A" w:rsidRDefault="00EA543A" w:rsidP="00EA543A">
      <w:pPr>
        <w:spacing w:after="0" w:line="240" w:lineRule="auto"/>
        <w:jc w:val="both"/>
        <w:rPr>
          <w:rFonts w:ascii="Times New Roman" w:hAnsi="Times New Roman" w:cs="Times New Roman"/>
          <w:sz w:val="24"/>
          <w:szCs w:val="24"/>
        </w:rPr>
      </w:pPr>
    </w:p>
    <w:p w:rsidR="00EA543A" w:rsidRPr="00EA543A" w:rsidRDefault="00EA543A" w:rsidP="00EA543A">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Navrhované úpravy zákona sú zamerané najmä na:</w:t>
      </w:r>
    </w:p>
    <w:p w:rsidR="00EA543A" w:rsidRPr="00EA543A" w:rsidRDefault="00EA543A" w:rsidP="00EA543A">
      <w:pPr>
        <w:pStyle w:val="Odsekzoznamu"/>
        <w:numPr>
          <w:ilvl w:val="0"/>
          <w:numId w:val="4"/>
        </w:numPr>
        <w:spacing w:after="0" w:line="240" w:lineRule="auto"/>
        <w:ind w:left="284" w:hanging="284"/>
        <w:jc w:val="both"/>
        <w:rPr>
          <w:rFonts w:ascii="Times New Roman" w:hAnsi="Times New Roman" w:cs="Times New Roman"/>
          <w:b/>
          <w:sz w:val="24"/>
          <w:szCs w:val="24"/>
        </w:rPr>
      </w:pPr>
      <w:r w:rsidRPr="00EA543A">
        <w:rPr>
          <w:rFonts w:ascii="Times New Roman" w:hAnsi="Times New Roman" w:cs="Times New Roman"/>
          <w:b/>
          <w:sz w:val="24"/>
          <w:szCs w:val="24"/>
        </w:rPr>
        <w:t>podporu malých a stredných podnikov</w:t>
      </w:r>
    </w:p>
    <w:p w:rsidR="00EA543A" w:rsidRPr="00EA543A" w:rsidRDefault="00EA543A" w:rsidP="00EA543A">
      <w:pPr>
        <w:pStyle w:val="Odsekzoznamu"/>
        <w:numPr>
          <w:ilvl w:val="0"/>
          <w:numId w:val="5"/>
        </w:numPr>
        <w:spacing w:after="0" w:line="240" w:lineRule="auto"/>
        <w:ind w:left="426" w:hanging="142"/>
        <w:jc w:val="both"/>
        <w:rPr>
          <w:rFonts w:ascii="Times New Roman" w:hAnsi="Times New Roman" w:cs="Times New Roman"/>
          <w:b/>
          <w:sz w:val="24"/>
          <w:szCs w:val="24"/>
        </w:rPr>
      </w:pPr>
      <w:r w:rsidRPr="00EA543A">
        <w:rPr>
          <w:rFonts w:ascii="Times New Roman" w:hAnsi="Times New Roman" w:cs="Times New Roman"/>
          <w:sz w:val="24"/>
          <w:szCs w:val="24"/>
        </w:rPr>
        <w:t xml:space="preserve"> zavedenie definície </w:t>
      </w:r>
      <w:proofErr w:type="spellStart"/>
      <w:r w:rsidRPr="00EA543A">
        <w:rPr>
          <w:rFonts w:ascii="Times New Roman" w:hAnsi="Times New Roman" w:cs="Times New Roman"/>
          <w:sz w:val="24"/>
          <w:szCs w:val="24"/>
        </w:rPr>
        <w:t>mikrodaňovníka</w:t>
      </w:r>
      <w:proofErr w:type="spellEnd"/>
      <w:r w:rsidRPr="00EA543A">
        <w:rPr>
          <w:rFonts w:ascii="Times New Roman" w:hAnsi="Times New Roman" w:cs="Times New Roman"/>
          <w:sz w:val="24"/>
          <w:szCs w:val="24"/>
        </w:rPr>
        <w:t xml:space="preserve"> a s ňou súvisiace zmeny v zdaňovaní tejto skupiny daňovníkov</w:t>
      </w:r>
    </w:p>
    <w:p w:rsidR="00EA543A" w:rsidRPr="00EA543A" w:rsidRDefault="00EA543A" w:rsidP="00EA543A">
      <w:pPr>
        <w:pStyle w:val="Odsekzoznamu"/>
        <w:numPr>
          <w:ilvl w:val="0"/>
          <w:numId w:val="5"/>
        </w:numPr>
        <w:spacing w:after="0" w:line="240" w:lineRule="auto"/>
        <w:ind w:left="426" w:hanging="142"/>
        <w:jc w:val="both"/>
        <w:rPr>
          <w:rFonts w:ascii="Times New Roman" w:hAnsi="Times New Roman" w:cs="Times New Roman"/>
          <w:sz w:val="24"/>
          <w:szCs w:val="24"/>
        </w:rPr>
      </w:pPr>
      <w:r w:rsidRPr="00EA543A">
        <w:rPr>
          <w:rFonts w:ascii="Times New Roman" w:hAnsi="Times New Roman" w:cs="Times New Roman"/>
          <w:sz w:val="24"/>
          <w:szCs w:val="24"/>
        </w:rPr>
        <w:t xml:space="preserve"> úprava podmienok odpočtu daňovej straty </w:t>
      </w:r>
    </w:p>
    <w:p w:rsidR="00EA543A" w:rsidRPr="00EA543A" w:rsidRDefault="00EA543A" w:rsidP="00EA543A">
      <w:pPr>
        <w:pStyle w:val="Odsekzoznamu"/>
        <w:numPr>
          <w:ilvl w:val="0"/>
          <w:numId w:val="4"/>
        </w:numPr>
        <w:tabs>
          <w:tab w:val="left" w:pos="284"/>
        </w:tabs>
        <w:spacing w:after="0" w:line="240" w:lineRule="auto"/>
        <w:ind w:left="284" w:hanging="284"/>
        <w:jc w:val="both"/>
        <w:rPr>
          <w:rFonts w:ascii="Times New Roman" w:hAnsi="Times New Roman" w:cs="Times New Roman"/>
          <w:b/>
          <w:sz w:val="24"/>
          <w:szCs w:val="24"/>
        </w:rPr>
      </w:pPr>
      <w:r w:rsidRPr="00EA543A">
        <w:rPr>
          <w:rFonts w:ascii="Times New Roman" w:hAnsi="Times New Roman" w:cs="Times New Roman"/>
          <w:b/>
          <w:sz w:val="24"/>
          <w:szCs w:val="24"/>
        </w:rPr>
        <w:t xml:space="preserve">znižovanie administratívneho zaťaženia daňovníkov </w:t>
      </w:r>
    </w:p>
    <w:p w:rsidR="00EA543A" w:rsidRPr="00EA543A" w:rsidRDefault="00EA543A" w:rsidP="00EA543A">
      <w:pPr>
        <w:pStyle w:val="Odsekzoznamu"/>
        <w:numPr>
          <w:ilvl w:val="0"/>
          <w:numId w:val="5"/>
        </w:numPr>
        <w:spacing w:after="0" w:line="240" w:lineRule="auto"/>
        <w:ind w:left="426" w:hanging="142"/>
        <w:jc w:val="both"/>
        <w:rPr>
          <w:rFonts w:ascii="Times New Roman" w:hAnsi="Times New Roman" w:cs="Times New Roman"/>
          <w:sz w:val="24"/>
          <w:szCs w:val="24"/>
        </w:rPr>
      </w:pPr>
      <w:r w:rsidRPr="00EA543A">
        <w:rPr>
          <w:rFonts w:ascii="Times New Roman" w:hAnsi="Times New Roman" w:cs="Times New Roman"/>
          <w:sz w:val="24"/>
          <w:szCs w:val="24"/>
        </w:rPr>
        <w:t xml:space="preserve"> zavedenie automatickej registrácie správcom dane </w:t>
      </w:r>
    </w:p>
    <w:p w:rsidR="00EA543A" w:rsidRPr="00EA543A" w:rsidRDefault="00EA543A" w:rsidP="00EA543A">
      <w:pPr>
        <w:pStyle w:val="Odsekzoznamu"/>
        <w:numPr>
          <w:ilvl w:val="0"/>
          <w:numId w:val="5"/>
        </w:numPr>
        <w:spacing w:after="0" w:line="240" w:lineRule="auto"/>
        <w:ind w:left="426" w:hanging="142"/>
        <w:jc w:val="both"/>
        <w:rPr>
          <w:rFonts w:ascii="Times New Roman" w:hAnsi="Times New Roman" w:cs="Times New Roman"/>
          <w:sz w:val="24"/>
          <w:szCs w:val="24"/>
        </w:rPr>
      </w:pPr>
      <w:r w:rsidRPr="00EA543A">
        <w:rPr>
          <w:rFonts w:ascii="Times New Roman" w:hAnsi="Times New Roman" w:cs="Times New Roman"/>
          <w:sz w:val="24"/>
          <w:szCs w:val="24"/>
        </w:rPr>
        <w:t xml:space="preserve"> zjednodušenie podmienok na zahrňovanie do základu dane pri výdavkoch, ktoré sú súčasťou základu dane až po zaplatení</w:t>
      </w:r>
    </w:p>
    <w:p w:rsidR="00EA543A" w:rsidRPr="00EA543A" w:rsidRDefault="00EA543A" w:rsidP="00EA543A">
      <w:pPr>
        <w:pStyle w:val="Odsekzoznamu"/>
        <w:numPr>
          <w:ilvl w:val="0"/>
          <w:numId w:val="4"/>
        </w:numPr>
        <w:spacing w:after="0" w:line="240" w:lineRule="auto"/>
        <w:ind w:left="284" w:hanging="284"/>
        <w:jc w:val="both"/>
        <w:rPr>
          <w:rFonts w:ascii="Times New Roman" w:hAnsi="Times New Roman" w:cs="Times New Roman"/>
          <w:b/>
          <w:sz w:val="24"/>
          <w:szCs w:val="24"/>
        </w:rPr>
      </w:pPr>
      <w:r w:rsidRPr="00EA543A">
        <w:rPr>
          <w:rFonts w:ascii="Times New Roman" w:hAnsi="Times New Roman" w:cs="Times New Roman"/>
          <w:b/>
          <w:sz w:val="24"/>
          <w:szCs w:val="24"/>
        </w:rPr>
        <w:t>zníženie administratívnej náročnosti pri zdaňovaní príjmov zo závislej činnosti</w:t>
      </w:r>
    </w:p>
    <w:p w:rsidR="00EA543A" w:rsidRPr="00EA543A" w:rsidRDefault="00EA543A" w:rsidP="00EA543A">
      <w:pPr>
        <w:pStyle w:val="Odsekzoznamu"/>
        <w:numPr>
          <w:ilvl w:val="0"/>
          <w:numId w:val="5"/>
        </w:numPr>
        <w:spacing w:after="0" w:line="240" w:lineRule="auto"/>
        <w:ind w:left="426" w:hanging="142"/>
        <w:jc w:val="both"/>
        <w:rPr>
          <w:rFonts w:ascii="Times New Roman" w:hAnsi="Times New Roman" w:cs="Times New Roman"/>
          <w:sz w:val="24"/>
          <w:szCs w:val="24"/>
        </w:rPr>
      </w:pPr>
      <w:r w:rsidRPr="00EA543A">
        <w:rPr>
          <w:rFonts w:ascii="Times New Roman" w:hAnsi="Times New Roman" w:cs="Times New Roman"/>
          <w:b/>
          <w:sz w:val="24"/>
          <w:szCs w:val="24"/>
        </w:rPr>
        <w:t xml:space="preserve"> </w:t>
      </w:r>
      <w:r w:rsidRPr="00EA543A">
        <w:rPr>
          <w:rFonts w:ascii="Times New Roman" w:hAnsi="Times New Roman" w:cs="Times New Roman"/>
          <w:sz w:val="24"/>
          <w:szCs w:val="24"/>
        </w:rPr>
        <w:t xml:space="preserve">rozšírenie oslobodenia od dane pre vymedzené druhy nepeňažných príjmov  </w:t>
      </w:r>
    </w:p>
    <w:p w:rsidR="00EA543A" w:rsidRPr="00EA543A" w:rsidRDefault="00EA543A" w:rsidP="00EA543A">
      <w:pPr>
        <w:pStyle w:val="Odsekzoznamu"/>
        <w:numPr>
          <w:ilvl w:val="0"/>
          <w:numId w:val="5"/>
        </w:numPr>
        <w:spacing w:after="0" w:line="240" w:lineRule="auto"/>
        <w:ind w:left="426" w:hanging="142"/>
        <w:jc w:val="both"/>
        <w:rPr>
          <w:rFonts w:ascii="Times New Roman" w:hAnsi="Times New Roman" w:cs="Times New Roman"/>
          <w:sz w:val="24"/>
          <w:szCs w:val="24"/>
        </w:rPr>
      </w:pPr>
      <w:r w:rsidRPr="00EA543A">
        <w:rPr>
          <w:rFonts w:ascii="Times New Roman" w:hAnsi="Times New Roman" w:cs="Times New Roman"/>
          <w:sz w:val="24"/>
          <w:szCs w:val="24"/>
        </w:rPr>
        <w:t xml:space="preserve"> zavedenie možnosti zamestnávateľa vystaviť a doručiť zamestnancovi po vzájomnej dohode vymedzené druhy dokladov elektronickou formou </w:t>
      </w:r>
    </w:p>
    <w:p w:rsidR="00EA543A" w:rsidRPr="00EA543A" w:rsidRDefault="00EA543A" w:rsidP="00EA543A">
      <w:pPr>
        <w:pStyle w:val="Odsekzoznamu"/>
        <w:numPr>
          <w:ilvl w:val="0"/>
          <w:numId w:val="5"/>
        </w:numPr>
        <w:spacing w:after="0" w:line="240" w:lineRule="auto"/>
        <w:ind w:left="426" w:hanging="142"/>
        <w:jc w:val="both"/>
        <w:rPr>
          <w:rFonts w:ascii="Times New Roman" w:hAnsi="Times New Roman" w:cs="Times New Roman"/>
          <w:sz w:val="24"/>
          <w:szCs w:val="24"/>
        </w:rPr>
      </w:pPr>
      <w:r w:rsidRPr="00EA543A">
        <w:rPr>
          <w:rFonts w:ascii="Times New Roman" w:hAnsi="Times New Roman" w:cs="Times New Roman"/>
          <w:sz w:val="24"/>
          <w:szCs w:val="24"/>
        </w:rPr>
        <w:t xml:space="preserve"> umožnenie zamestnancovi podať zamestnávateľovi po vzájomnej dohode žiadosť o vykonanie ročného zúčtovania preddavkov na daň elektronickou formou </w:t>
      </w:r>
    </w:p>
    <w:p w:rsidR="00EA543A" w:rsidRPr="00EA543A" w:rsidRDefault="00EA543A" w:rsidP="00EA543A">
      <w:pPr>
        <w:pStyle w:val="Odsekzoznamu"/>
        <w:numPr>
          <w:ilvl w:val="0"/>
          <w:numId w:val="5"/>
        </w:numPr>
        <w:spacing w:after="0" w:line="240" w:lineRule="auto"/>
        <w:ind w:left="426" w:hanging="142"/>
        <w:jc w:val="both"/>
        <w:rPr>
          <w:rFonts w:ascii="Times New Roman" w:hAnsi="Times New Roman" w:cs="Times New Roman"/>
          <w:sz w:val="24"/>
          <w:szCs w:val="24"/>
        </w:rPr>
      </w:pPr>
      <w:r w:rsidRPr="00EA543A">
        <w:rPr>
          <w:rFonts w:ascii="Times New Roman" w:hAnsi="Times New Roman" w:cs="Times New Roman"/>
          <w:sz w:val="24"/>
          <w:szCs w:val="24"/>
        </w:rPr>
        <w:t xml:space="preserve"> zrušenie povinnosti zamestnanca každoročne podpisovať vyhlásenie na uplatnenie nezdaniteľnej časti  základu dane na daňovníka a daňového bonusu </w:t>
      </w:r>
    </w:p>
    <w:p w:rsidR="00EA543A" w:rsidRPr="00EA543A" w:rsidRDefault="00EA543A" w:rsidP="00EA543A">
      <w:pPr>
        <w:pStyle w:val="Odsekzoznamu"/>
        <w:numPr>
          <w:ilvl w:val="0"/>
          <w:numId w:val="4"/>
        </w:numPr>
        <w:spacing w:after="0" w:line="240" w:lineRule="auto"/>
        <w:ind w:left="284" w:hanging="284"/>
        <w:jc w:val="both"/>
        <w:rPr>
          <w:rFonts w:ascii="Times New Roman" w:hAnsi="Times New Roman" w:cs="Times New Roman"/>
          <w:b/>
          <w:sz w:val="24"/>
          <w:szCs w:val="24"/>
        </w:rPr>
      </w:pPr>
      <w:r w:rsidRPr="00EA543A">
        <w:rPr>
          <w:rFonts w:ascii="Times New Roman" w:hAnsi="Times New Roman" w:cs="Times New Roman"/>
          <w:b/>
          <w:sz w:val="24"/>
          <w:szCs w:val="24"/>
        </w:rPr>
        <w:t xml:space="preserve">platenie preddavkov na daň z príjmov </w:t>
      </w:r>
    </w:p>
    <w:p w:rsidR="00EA543A" w:rsidRPr="00EA543A" w:rsidRDefault="00EA543A" w:rsidP="00EA543A">
      <w:pPr>
        <w:pStyle w:val="Odsekzoznamu"/>
        <w:numPr>
          <w:ilvl w:val="0"/>
          <w:numId w:val="5"/>
        </w:numPr>
        <w:spacing w:after="0" w:line="240" w:lineRule="auto"/>
        <w:ind w:left="426" w:hanging="142"/>
        <w:jc w:val="both"/>
        <w:rPr>
          <w:rFonts w:ascii="Times New Roman" w:hAnsi="Times New Roman" w:cs="Times New Roman"/>
          <w:sz w:val="24"/>
          <w:szCs w:val="24"/>
        </w:rPr>
      </w:pPr>
      <w:r w:rsidRPr="00EA543A">
        <w:rPr>
          <w:rFonts w:ascii="Times New Roman" w:hAnsi="Times New Roman" w:cs="Times New Roman"/>
          <w:sz w:val="24"/>
          <w:szCs w:val="24"/>
        </w:rPr>
        <w:t xml:space="preserve"> zvýšenie</w:t>
      </w:r>
      <w:r w:rsidRPr="00EA543A">
        <w:rPr>
          <w:rFonts w:ascii="Times New Roman" w:hAnsi="Times New Roman" w:cs="Times New Roman"/>
          <w:b/>
          <w:sz w:val="24"/>
          <w:szCs w:val="24"/>
        </w:rPr>
        <w:t xml:space="preserve"> </w:t>
      </w:r>
      <w:r w:rsidRPr="00EA543A">
        <w:rPr>
          <w:rFonts w:ascii="Times New Roman" w:hAnsi="Times New Roman" w:cs="Times New Roman"/>
          <w:sz w:val="24"/>
          <w:szCs w:val="24"/>
        </w:rPr>
        <w:t xml:space="preserve">hranice pre povinnosť platenia preddavkov a zjednodušenie výpočtu poslednej známej daňovej povinnosti </w:t>
      </w:r>
    </w:p>
    <w:p w:rsidR="00EA543A" w:rsidRPr="00EA543A" w:rsidRDefault="00EA543A" w:rsidP="00EA543A">
      <w:pPr>
        <w:pStyle w:val="Odsekzoznamu"/>
        <w:numPr>
          <w:ilvl w:val="0"/>
          <w:numId w:val="5"/>
        </w:numPr>
        <w:spacing w:after="0" w:line="240" w:lineRule="auto"/>
        <w:ind w:left="426" w:hanging="142"/>
        <w:jc w:val="both"/>
        <w:rPr>
          <w:rFonts w:ascii="Times New Roman" w:hAnsi="Times New Roman" w:cs="Times New Roman"/>
          <w:sz w:val="24"/>
          <w:szCs w:val="24"/>
        </w:rPr>
      </w:pPr>
      <w:r w:rsidRPr="00EA543A">
        <w:rPr>
          <w:rFonts w:ascii="Times New Roman" w:hAnsi="Times New Roman" w:cs="Times New Roman"/>
          <w:sz w:val="24"/>
          <w:szCs w:val="24"/>
        </w:rPr>
        <w:lastRenderedPageBreak/>
        <w:t xml:space="preserve"> zjednodušenie spôsobu platenia preddavkov na daň z príjmov zo závislej činnosti v prípade neexistencie zamestnávateľa, ktorý je platiteľom dane</w:t>
      </w:r>
    </w:p>
    <w:p w:rsidR="00EA543A" w:rsidRPr="00EA543A" w:rsidRDefault="00EA543A" w:rsidP="00EA543A">
      <w:pPr>
        <w:pStyle w:val="Odsekzoznamu"/>
        <w:numPr>
          <w:ilvl w:val="0"/>
          <w:numId w:val="5"/>
        </w:numPr>
        <w:spacing w:after="0" w:line="240" w:lineRule="auto"/>
        <w:ind w:left="426" w:hanging="142"/>
        <w:jc w:val="both"/>
        <w:rPr>
          <w:rFonts w:ascii="Times New Roman" w:hAnsi="Times New Roman" w:cs="Times New Roman"/>
          <w:sz w:val="24"/>
          <w:szCs w:val="24"/>
        </w:rPr>
      </w:pPr>
      <w:r w:rsidRPr="00EA543A">
        <w:rPr>
          <w:rFonts w:ascii="Times New Roman" w:hAnsi="Times New Roman" w:cs="Times New Roman"/>
          <w:sz w:val="24"/>
          <w:szCs w:val="24"/>
        </w:rPr>
        <w:t xml:space="preserve"> zjednotenie lehoty na vyrovnanie preddavkov na daň platených do lehoty na podanie daňového priznania novovzniknutého daňovníka s ostatnými daňovníkmi</w:t>
      </w:r>
    </w:p>
    <w:p w:rsidR="00EA543A" w:rsidRPr="00EA543A" w:rsidRDefault="00EA543A" w:rsidP="00EA543A">
      <w:pPr>
        <w:pStyle w:val="Odsekzoznamu"/>
        <w:numPr>
          <w:ilvl w:val="0"/>
          <w:numId w:val="4"/>
        </w:numPr>
        <w:tabs>
          <w:tab w:val="left" w:pos="284"/>
        </w:tabs>
        <w:spacing w:after="0" w:line="240" w:lineRule="auto"/>
        <w:ind w:left="284" w:hanging="284"/>
        <w:jc w:val="both"/>
        <w:rPr>
          <w:rFonts w:ascii="Times New Roman" w:hAnsi="Times New Roman" w:cs="Times New Roman"/>
          <w:b/>
          <w:sz w:val="24"/>
          <w:szCs w:val="24"/>
        </w:rPr>
      </w:pPr>
      <w:r w:rsidRPr="00EA543A">
        <w:rPr>
          <w:rFonts w:ascii="Times New Roman" w:hAnsi="Times New Roman" w:cs="Times New Roman"/>
          <w:b/>
          <w:sz w:val="24"/>
          <w:szCs w:val="24"/>
        </w:rPr>
        <w:t xml:space="preserve">podpora automobilového priemyslu </w:t>
      </w:r>
    </w:p>
    <w:p w:rsidR="00EA543A" w:rsidRPr="00EA543A" w:rsidRDefault="00EA543A" w:rsidP="00EA543A">
      <w:pPr>
        <w:pStyle w:val="Odsekzoznamu"/>
        <w:numPr>
          <w:ilvl w:val="0"/>
          <w:numId w:val="5"/>
        </w:numPr>
        <w:spacing w:after="0" w:line="240" w:lineRule="auto"/>
        <w:ind w:left="426" w:hanging="142"/>
        <w:jc w:val="both"/>
        <w:rPr>
          <w:rFonts w:ascii="Times New Roman" w:hAnsi="Times New Roman" w:cs="Times New Roman"/>
          <w:sz w:val="24"/>
          <w:szCs w:val="24"/>
        </w:rPr>
      </w:pPr>
      <w:r w:rsidRPr="00EA543A">
        <w:rPr>
          <w:rFonts w:ascii="Times New Roman" w:hAnsi="Times New Roman" w:cs="Times New Roman"/>
          <w:sz w:val="24"/>
          <w:szCs w:val="24"/>
        </w:rPr>
        <w:t xml:space="preserve"> zvýšenie sumy oslobodeného nepeňažného plnenia zamestnanca z dôvodu zabezpečenia ubytovania </w:t>
      </w:r>
    </w:p>
    <w:p w:rsidR="00EA543A" w:rsidRPr="00EA543A" w:rsidRDefault="00EA543A" w:rsidP="00EA543A">
      <w:pPr>
        <w:pStyle w:val="Odsekzoznamu"/>
        <w:numPr>
          <w:ilvl w:val="0"/>
          <w:numId w:val="5"/>
        </w:numPr>
        <w:spacing w:after="0" w:line="240" w:lineRule="auto"/>
        <w:ind w:left="426" w:hanging="142"/>
        <w:jc w:val="both"/>
        <w:rPr>
          <w:rFonts w:ascii="Times New Roman" w:hAnsi="Times New Roman" w:cs="Times New Roman"/>
          <w:sz w:val="24"/>
          <w:szCs w:val="24"/>
        </w:rPr>
      </w:pPr>
      <w:r w:rsidRPr="00EA543A">
        <w:rPr>
          <w:rFonts w:ascii="Times New Roman" w:hAnsi="Times New Roman" w:cs="Times New Roman"/>
          <w:sz w:val="24"/>
          <w:szCs w:val="24"/>
        </w:rPr>
        <w:t xml:space="preserve"> zvýšenie podpory podnikového výskumu a vývoja prostredníctvom odpočtu (výdavkov) nákladov vynaložených na výskum a vývoj </w:t>
      </w:r>
    </w:p>
    <w:p w:rsidR="00EA543A" w:rsidRPr="00EA543A" w:rsidRDefault="00EA543A" w:rsidP="00EA543A">
      <w:pPr>
        <w:pStyle w:val="Odsekzoznamu"/>
        <w:numPr>
          <w:ilvl w:val="0"/>
          <w:numId w:val="5"/>
        </w:numPr>
        <w:spacing w:after="0" w:line="240" w:lineRule="auto"/>
        <w:ind w:left="426" w:hanging="142"/>
        <w:jc w:val="both"/>
        <w:rPr>
          <w:rFonts w:ascii="Times New Roman" w:hAnsi="Times New Roman" w:cs="Times New Roman"/>
          <w:sz w:val="24"/>
          <w:szCs w:val="24"/>
        </w:rPr>
      </w:pPr>
      <w:r w:rsidRPr="00EA543A">
        <w:rPr>
          <w:rFonts w:ascii="Times New Roman" w:hAnsi="Times New Roman" w:cs="Times New Roman"/>
          <w:sz w:val="24"/>
          <w:szCs w:val="24"/>
        </w:rPr>
        <w:t>zavedenie samostatnej odpisovej skupiny pre elektromobily.</w:t>
      </w:r>
    </w:p>
    <w:p w:rsidR="00EA543A" w:rsidRPr="00EA543A" w:rsidRDefault="00EA543A" w:rsidP="00EA543A">
      <w:pPr>
        <w:pStyle w:val="Odsekzoznamu"/>
        <w:jc w:val="both"/>
        <w:rPr>
          <w:rFonts w:ascii="Times New Roman" w:hAnsi="Times New Roman" w:cs="Times New Roman"/>
          <w:sz w:val="24"/>
          <w:szCs w:val="24"/>
        </w:rPr>
      </w:pPr>
    </w:p>
    <w:p w:rsidR="00EA543A" w:rsidRPr="00EA543A" w:rsidRDefault="00EA543A" w:rsidP="00EA543A">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Návrh zákona má negatívny vplyv na rozpočet verejnej správy, má pozitívny aj negatívny vplyv na podnikateľské prostredie, má pozitívny vplyv na sociálne vplyvy a na životné prostredie a nemá vplyv na informatizáciu, na služby verejnej správy pre občana a  na manželstvo, rodičovstvo a rodinu.</w:t>
      </w:r>
    </w:p>
    <w:p w:rsidR="00EA543A" w:rsidRPr="00EA543A" w:rsidRDefault="00EA543A" w:rsidP="00EA543A">
      <w:pPr>
        <w:spacing w:after="0" w:line="240" w:lineRule="auto"/>
        <w:jc w:val="both"/>
        <w:rPr>
          <w:rFonts w:ascii="Times New Roman" w:hAnsi="Times New Roman" w:cs="Times New Roman"/>
          <w:sz w:val="24"/>
          <w:szCs w:val="24"/>
        </w:rPr>
      </w:pPr>
    </w:p>
    <w:p w:rsidR="00EA543A" w:rsidRPr="00EA543A" w:rsidRDefault="00EA543A" w:rsidP="00EA543A">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 xml:space="preserve">Návrh zákona je v súlade s Ústavou Slovenskej republiky, ústavnými zákonmi, nálezmi Ústavného súdu Slovenskej republiky a inými právnymi predpismi, medzinárodnými zmluvami a  dokumentmi, ktorými je Slovenská republika viazaná, ako aj v súlade s právom Európskej únie. </w:t>
      </w:r>
    </w:p>
    <w:p w:rsidR="00EA543A" w:rsidRPr="00EA543A" w:rsidRDefault="00EA543A" w:rsidP="00EA543A">
      <w:pPr>
        <w:spacing w:after="0" w:line="240" w:lineRule="auto"/>
        <w:jc w:val="both"/>
        <w:rPr>
          <w:rFonts w:ascii="Times New Roman" w:hAnsi="Times New Roman" w:cs="Times New Roman"/>
          <w:sz w:val="24"/>
          <w:szCs w:val="24"/>
        </w:rPr>
      </w:pPr>
    </w:p>
    <w:p w:rsidR="00EA543A" w:rsidRPr="00EA543A" w:rsidRDefault="00EA543A" w:rsidP="00EA543A">
      <w:pPr>
        <w:pStyle w:val="Zkladntext"/>
        <w:jc w:val="both"/>
        <w:rPr>
          <w:rFonts w:eastAsia="Calibri"/>
          <w:color w:val="auto"/>
          <w:szCs w:val="24"/>
          <w:lang w:eastAsia="en-US"/>
        </w:rPr>
      </w:pPr>
      <w:r w:rsidRPr="00EA543A">
        <w:rPr>
          <w:szCs w:val="24"/>
        </w:rPr>
        <w:t>Účinnosť predkladaného návrhu zákona, ktorým sa mení a dopĺňa zákon č. 595/2003 Z. z. o dani z príjmov v znení neskorších predpisov sa navrhuje od</w:t>
      </w:r>
      <w:r w:rsidRPr="00EA543A">
        <w:rPr>
          <w:rFonts w:eastAsia="Calibri"/>
          <w:color w:val="auto"/>
          <w:szCs w:val="24"/>
          <w:lang w:eastAsia="en-US"/>
        </w:rPr>
        <w:t xml:space="preserve"> 1. januára 2020 okrem čl. I bodov 1, 9, 40, 49, 50, 55, 56, 62, 64, 71, 73 § 30 ods. 1 písm. a),  body 127 a bodu 133, ktoré nadobúdajú účinnosť 1. januára 2021 a čl. I bodu 11, ktorý nadobúda účinnosť 1. januára 2022.</w:t>
      </w:r>
    </w:p>
    <w:p w:rsidR="00EA543A" w:rsidRPr="00EA543A" w:rsidRDefault="00EA543A" w:rsidP="00EA543A">
      <w:pPr>
        <w:pStyle w:val="Zkladntext"/>
        <w:jc w:val="both"/>
        <w:rPr>
          <w:szCs w:val="24"/>
        </w:rPr>
      </w:pPr>
    </w:p>
    <w:p w:rsidR="00EA543A" w:rsidRPr="00EA543A" w:rsidRDefault="00EA543A" w:rsidP="00EA543A">
      <w:pPr>
        <w:pStyle w:val="Zkladntext"/>
        <w:jc w:val="both"/>
        <w:rPr>
          <w:szCs w:val="24"/>
        </w:rPr>
      </w:pPr>
      <w:r w:rsidRPr="00EA543A">
        <w:rPr>
          <w:szCs w:val="24"/>
        </w:rPr>
        <w:t xml:space="preserve">Účinnosť predkladaného zákona sa navrhuje s dostatočne dlhou </w:t>
      </w:r>
      <w:proofErr w:type="spellStart"/>
      <w:r w:rsidRPr="00EA543A">
        <w:rPr>
          <w:szCs w:val="24"/>
        </w:rPr>
        <w:t>legisvakanciou</w:t>
      </w:r>
      <w:proofErr w:type="spellEnd"/>
      <w:r w:rsidRPr="00EA543A">
        <w:rPr>
          <w:szCs w:val="24"/>
        </w:rPr>
        <w:t>.</w:t>
      </w:r>
    </w:p>
    <w:p w:rsidR="00EA543A" w:rsidRPr="00EA543A" w:rsidRDefault="00EA543A" w:rsidP="00BA62B0">
      <w:pPr>
        <w:spacing w:after="0" w:line="240" w:lineRule="auto"/>
        <w:jc w:val="both"/>
        <w:rPr>
          <w:rFonts w:ascii="Times New Roman" w:hAnsi="Times New Roman" w:cs="Times New Roman"/>
          <w:b/>
          <w:sz w:val="24"/>
          <w:szCs w:val="24"/>
        </w:rPr>
      </w:pPr>
    </w:p>
    <w:p w:rsidR="00EA543A" w:rsidRDefault="00EA543A" w:rsidP="00BA62B0">
      <w:pPr>
        <w:spacing w:after="0" w:line="240" w:lineRule="auto"/>
        <w:jc w:val="both"/>
        <w:rPr>
          <w:rFonts w:ascii="Times New Roman" w:hAnsi="Times New Roman" w:cs="Times New Roman"/>
          <w:b/>
          <w:sz w:val="24"/>
          <w:szCs w:val="24"/>
        </w:rPr>
      </w:pPr>
    </w:p>
    <w:p w:rsidR="00EA543A" w:rsidRDefault="00EA543A" w:rsidP="00BA62B0">
      <w:pPr>
        <w:spacing w:after="0" w:line="240" w:lineRule="auto"/>
        <w:jc w:val="both"/>
        <w:rPr>
          <w:rFonts w:ascii="Times New Roman" w:hAnsi="Times New Roman" w:cs="Times New Roman"/>
          <w:b/>
          <w:sz w:val="24"/>
          <w:szCs w:val="24"/>
        </w:rPr>
      </w:pPr>
    </w:p>
    <w:p w:rsidR="00EA543A" w:rsidRDefault="00EA543A" w:rsidP="00BA62B0">
      <w:pPr>
        <w:spacing w:after="0" w:line="240" w:lineRule="auto"/>
        <w:jc w:val="both"/>
        <w:rPr>
          <w:rFonts w:ascii="Times New Roman" w:hAnsi="Times New Roman" w:cs="Times New Roman"/>
          <w:b/>
          <w:sz w:val="24"/>
          <w:szCs w:val="24"/>
        </w:rPr>
      </w:pPr>
    </w:p>
    <w:p w:rsidR="00EA543A" w:rsidRDefault="00EA543A" w:rsidP="00BA62B0">
      <w:pPr>
        <w:spacing w:after="0" w:line="240" w:lineRule="auto"/>
        <w:jc w:val="both"/>
        <w:rPr>
          <w:rFonts w:ascii="Times New Roman" w:hAnsi="Times New Roman" w:cs="Times New Roman"/>
          <w:b/>
          <w:sz w:val="24"/>
          <w:szCs w:val="24"/>
        </w:rPr>
      </w:pPr>
    </w:p>
    <w:p w:rsidR="00EA543A" w:rsidRDefault="00EA543A" w:rsidP="00BA62B0">
      <w:pPr>
        <w:spacing w:after="0" w:line="240" w:lineRule="auto"/>
        <w:jc w:val="both"/>
        <w:rPr>
          <w:rFonts w:ascii="Times New Roman" w:hAnsi="Times New Roman" w:cs="Times New Roman"/>
          <w:b/>
          <w:sz w:val="24"/>
          <w:szCs w:val="24"/>
        </w:rPr>
      </w:pPr>
    </w:p>
    <w:p w:rsidR="00EA543A" w:rsidRDefault="00EA543A" w:rsidP="00BA62B0">
      <w:pPr>
        <w:spacing w:after="0" w:line="240" w:lineRule="auto"/>
        <w:jc w:val="both"/>
        <w:rPr>
          <w:rFonts w:ascii="Times New Roman" w:hAnsi="Times New Roman" w:cs="Times New Roman"/>
          <w:b/>
          <w:sz w:val="24"/>
          <w:szCs w:val="24"/>
        </w:rPr>
      </w:pPr>
    </w:p>
    <w:p w:rsidR="00EA543A" w:rsidRDefault="00EA543A" w:rsidP="00BA62B0">
      <w:pPr>
        <w:spacing w:after="0" w:line="240" w:lineRule="auto"/>
        <w:jc w:val="both"/>
        <w:rPr>
          <w:rFonts w:ascii="Times New Roman" w:hAnsi="Times New Roman" w:cs="Times New Roman"/>
          <w:b/>
          <w:sz w:val="24"/>
          <w:szCs w:val="24"/>
        </w:rPr>
      </w:pPr>
    </w:p>
    <w:p w:rsidR="00EA543A" w:rsidRDefault="00EA543A" w:rsidP="00BA62B0">
      <w:pPr>
        <w:spacing w:after="0" w:line="240" w:lineRule="auto"/>
        <w:jc w:val="both"/>
        <w:rPr>
          <w:rFonts w:ascii="Times New Roman" w:hAnsi="Times New Roman" w:cs="Times New Roman"/>
          <w:b/>
          <w:sz w:val="24"/>
          <w:szCs w:val="24"/>
        </w:rPr>
      </w:pPr>
    </w:p>
    <w:p w:rsidR="00EA543A" w:rsidRDefault="00EA543A" w:rsidP="00BA62B0">
      <w:pPr>
        <w:spacing w:after="0" w:line="240" w:lineRule="auto"/>
        <w:jc w:val="both"/>
        <w:rPr>
          <w:rFonts w:ascii="Times New Roman" w:hAnsi="Times New Roman" w:cs="Times New Roman"/>
          <w:b/>
          <w:sz w:val="24"/>
          <w:szCs w:val="24"/>
        </w:rPr>
      </w:pPr>
    </w:p>
    <w:p w:rsidR="00EA543A" w:rsidRDefault="00EA543A" w:rsidP="00BA62B0">
      <w:pPr>
        <w:spacing w:after="0" w:line="240" w:lineRule="auto"/>
        <w:jc w:val="both"/>
        <w:rPr>
          <w:rFonts w:ascii="Times New Roman" w:hAnsi="Times New Roman" w:cs="Times New Roman"/>
          <w:b/>
          <w:sz w:val="24"/>
          <w:szCs w:val="24"/>
        </w:rPr>
      </w:pPr>
    </w:p>
    <w:p w:rsidR="00EA543A" w:rsidRDefault="00EA543A" w:rsidP="00BA62B0">
      <w:pPr>
        <w:spacing w:after="0" w:line="240" w:lineRule="auto"/>
        <w:jc w:val="both"/>
        <w:rPr>
          <w:rFonts w:ascii="Times New Roman" w:hAnsi="Times New Roman" w:cs="Times New Roman"/>
          <w:b/>
          <w:sz w:val="24"/>
          <w:szCs w:val="24"/>
        </w:rPr>
      </w:pPr>
    </w:p>
    <w:p w:rsidR="00EA543A" w:rsidRDefault="00EA543A" w:rsidP="00BA62B0">
      <w:pPr>
        <w:spacing w:after="0" w:line="240" w:lineRule="auto"/>
        <w:jc w:val="both"/>
        <w:rPr>
          <w:rFonts w:ascii="Times New Roman" w:hAnsi="Times New Roman" w:cs="Times New Roman"/>
          <w:b/>
          <w:sz w:val="24"/>
          <w:szCs w:val="24"/>
        </w:rPr>
      </w:pPr>
    </w:p>
    <w:p w:rsidR="00EA543A" w:rsidRDefault="00EA543A" w:rsidP="00BA62B0">
      <w:pPr>
        <w:spacing w:after="0" w:line="240" w:lineRule="auto"/>
        <w:jc w:val="both"/>
        <w:rPr>
          <w:rFonts w:ascii="Times New Roman" w:hAnsi="Times New Roman" w:cs="Times New Roman"/>
          <w:b/>
          <w:sz w:val="24"/>
          <w:szCs w:val="24"/>
        </w:rPr>
      </w:pPr>
    </w:p>
    <w:p w:rsidR="00EA543A" w:rsidRDefault="00EA543A" w:rsidP="00BA62B0">
      <w:pPr>
        <w:spacing w:after="0" w:line="240" w:lineRule="auto"/>
        <w:jc w:val="both"/>
        <w:rPr>
          <w:rFonts w:ascii="Times New Roman" w:hAnsi="Times New Roman" w:cs="Times New Roman"/>
          <w:b/>
          <w:sz w:val="24"/>
          <w:szCs w:val="24"/>
        </w:rPr>
      </w:pPr>
    </w:p>
    <w:p w:rsidR="00EA543A" w:rsidRDefault="00EA543A" w:rsidP="00BA62B0">
      <w:pPr>
        <w:spacing w:after="0" w:line="240" w:lineRule="auto"/>
        <w:jc w:val="both"/>
        <w:rPr>
          <w:rFonts w:ascii="Times New Roman" w:hAnsi="Times New Roman" w:cs="Times New Roman"/>
          <w:b/>
          <w:sz w:val="24"/>
          <w:szCs w:val="24"/>
        </w:rPr>
      </w:pPr>
    </w:p>
    <w:p w:rsidR="00EA543A" w:rsidRDefault="00EA543A" w:rsidP="00BA62B0">
      <w:pPr>
        <w:spacing w:after="0" w:line="240" w:lineRule="auto"/>
        <w:jc w:val="both"/>
        <w:rPr>
          <w:rFonts w:ascii="Times New Roman" w:hAnsi="Times New Roman" w:cs="Times New Roman"/>
          <w:b/>
          <w:sz w:val="24"/>
          <w:szCs w:val="24"/>
        </w:rPr>
      </w:pPr>
    </w:p>
    <w:p w:rsidR="00EA543A" w:rsidRDefault="00EA543A" w:rsidP="00BA62B0">
      <w:pPr>
        <w:spacing w:after="0" w:line="240" w:lineRule="auto"/>
        <w:jc w:val="both"/>
        <w:rPr>
          <w:rFonts w:ascii="Times New Roman" w:hAnsi="Times New Roman" w:cs="Times New Roman"/>
          <w:b/>
          <w:sz w:val="24"/>
          <w:szCs w:val="24"/>
        </w:rPr>
      </w:pPr>
    </w:p>
    <w:p w:rsidR="00EA543A" w:rsidRP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F45C2A" w:rsidRPr="00EA543A" w:rsidRDefault="00F45C2A" w:rsidP="00EA543A">
      <w:pPr>
        <w:spacing w:after="0" w:line="240" w:lineRule="auto"/>
        <w:jc w:val="both"/>
        <w:rPr>
          <w:rFonts w:ascii="Times New Roman" w:hAnsi="Times New Roman" w:cs="Times New Roman"/>
          <w:b/>
          <w:sz w:val="24"/>
          <w:szCs w:val="24"/>
        </w:rPr>
      </w:pPr>
    </w:p>
    <w:p w:rsidR="00EA543A" w:rsidRPr="00EA543A" w:rsidRDefault="00EA543A" w:rsidP="00EA543A">
      <w:pPr>
        <w:spacing w:after="0" w:line="240" w:lineRule="auto"/>
        <w:jc w:val="both"/>
        <w:rPr>
          <w:rFonts w:ascii="Times New Roman" w:hAnsi="Times New Roman" w:cs="Times New Roman"/>
          <w:b/>
          <w:sz w:val="24"/>
          <w:szCs w:val="24"/>
        </w:rPr>
      </w:pPr>
    </w:p>
    <w:p w:rsidR="00EA543A" w:rsidRPr="00EA543A" w:rsidRDefault="00EA543A" w:rsidP="00EA543A">
      <w:pPr>
        <w:spacing w:after="0" w:line="240" w:lineRule="auto"/>
        <w:jc w:val="both"/>
        <w:rPr>
          <w:rFonts w:ascii="Times New Roman" w:hAnsi="Times New Roman" w:cs="Times New Roman"/>
          <w:b/>
          <w:sz w:val="24"/>
          <w:szCs w:val="24"/>
        </w:rPr>
      </w:pPr>
    </w:p>
    <w:p w:rsidR="00EA543A" w:rsidRPr="00EA543A" w:rsidRDefault="00EA543A" w:rsidP="00EA543A">
      <w:pPr>
        <w:spacing w:line="240" w:lineRule="auto"/>
        <w:jc w:val="center"/>
        <w:rPr>
          <w:rFonts w:ascii="Times New Roman" w:hAnsi="Times New Roman" w:cs="Times New Roman"/>
          <w:b/>
          <w:bCs/>
          <w:sz w:val="24"/>
          <w:szCs w:val="24"/>
        </w:rPr>
      </w:pPr>
      <w:r w:rsidRPr="00EA543A">
        <w:rPr>
          <w:rFonts w:ascii="Times New Roman" w:hAnsi="Times New Roman" w:cs="Times New Roman"/>
          <w:b/>
          <w:bCs/>
          <w:sz w:val="24"/>
          <w:szCs w:val="24"/>
        </w:rPr>
        <w:lastRenderedPageBreak/>
        <w:t>Doložka vybraných vplyvov</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400"/>
        <w:gridCol w:w="141"/>
        <w:gridCol w:w="564"/>
        <w:gridCol w:w="717"/>
        <w:gridCol w:w="569"/>
        <w:gridCol w:w="1133"/>
        <w:gridCol w:w="284"/>
        <w:gridCol w:w="263"/>
        <w:gridCol w:w="1297"/>
      </w:tblGrid>
      <w:tr w:rsidR="00EA543A" w:rsidRPr="00EA543A" w:rsidTr="00EA543A">
        <w:tc>
          <w:tcPr>
            <w:tcW w:w="9180" w:type="dxa"/>
            <w:gridSpan w:val="10"/>
            <w:tcBorders>
              <w:bottom w:val="single" w:sz="4" w:space="0" w:color="FFFFFF"/>
            </w:tcBorders>
            <w:shd w:val="clear" w:color="auto" w:fill="E2E2E2"/>
          </w:tcPr>
          <w:p w:rsidR="00EA543A" w:rsidRPr="00EA543A" w:rsidRDefault="00EA543A" w:rsidP="00EA543A">
            <w:pPr>
              <w:pStyle w:val="Odsekzoznamu"/>
              <w:numPr>
                <w:ilvl w:val="0"/>
                <w:numId w:val="6"/>
              </w:numPr>
              <w:spacing w:after="0" w:line="240" w:lineRule="auto"/>
              <w:ind w:left="426"/>
              <w:rPr>
                <w:rFonts w:ascii="Times New Roman" w:hAnsi="Times New Roman" w:cs="Times New Roman"/>
                <w:b/>
                <w:sz w:val="24"/>
                <w:szCs w:val="24"/>
              </w:rPr>
            </w:pPr>
            <w:r w:rsidRPr="00EA543A">
              <w:rPr>
                <w:rFonts w:ascii="Times New Roman" w:hAnsi="Times New Roman" w:cs="Times New Roman"/>
                <w:b/>
                <w:sz w:val="24"/>
                <w:szCs w:val="24"/>
              </w:rPr>
              <w:t>Základné údaje</w:t>
            </w:r>
          </w:p>
        </w:tc>
      </w:tr>
      <w:tr w:rsidR="00EA543A" w:rsidRPr="00EA543A" w:rsidTr="00EA543A">
        <w:tc>
          <w:tcPr>
            <w:tcW w:w="9180" w:type="dxa"/>
            <w:gridSpan w:val="10"/>
            <w:tcBorders>
              <w:bottom w:val="single" w:sz="4" w:space="0" w:color="FFFFFF"/>
            </w:tcBorders>
            <w:shd w:val="clear" w:color="auto" w:fill="E2E2E2"/>
          </w:tcPr>
          <w:p w:rsidR="00EA543A" w:rsidRPr="00EA543A" w:rsidRDefault="00EA543A" w:rsidP="00EA543A">
            <w:pPr>
              <w:pStyle w:val="Odsekzoznamu"/>
              <w:spacing w:line="240" w:lineRule="auto"/>
              <w:ind w:left="142"/>
              <w:rPr>
                <w:rFonts w:ascii="Times New Roman" w:hAnsi="Times New Roman" w:cs="Times New Roman"/>
                <w:b/>
                <w:sz w:val="24"/>
                <w:szCs w:val="24"/>
              </w:rPr>
            </w:pPr>
            <w:r w:rsidRPr="00EA543A">
              <w:rPr>
                <w:rFonts w:ascii="Times New Roman" w:hAnsi="Times New Roman" w:cs="Times New Roman"/>
                <w:b/>
                <w:sz w:val="24"/>
                <w:szCs w:val="24"/>
              </w:rPr>
              <w:t>Názov materiálu</w:t>
            </w:r>
          </w:p>
        </w:tc>
      </w:tr>
      <w:tr w:rsidR="00EA543A" w:rsidRPr="00EA543A" w:rsidTr="00EA543A">
        <w:tc>
          <w:tcPr>
            <w:tcW w:w="9180" w:type="dxa"/>
            <w:gridSpan w:val="10"/>
            <w:tcBorders>
              <w:top w:val="single" w:sz="4" w:space="0" w:color="FFFFFF"/>
            </w:tcBorders>
            <w:shd w:val="clear" w:color="auto" w:fill="auto"/>
          </w:tcPr>
          <w:p w:rsidR="00EA543A" w:rsidRPr="00EA543A" w:rsidRDefault="00EA543A" w:rsidP="00EA543A">
            <w:pPr>
              <w:spacing w:line="240" w:lineRule="auto"/>
              <w:jc w:val="both"/>
              <w:rPr>
                <w:rFonts w:ascii="Times New Roman" w:hAnsi="Times New Roman" w:cs="Times New Roman"/>
                <w:sz w:val="24"/>
                <w:szCs w:val="24"/>
              </w:rPr>
            </w:pPr>
            <w:r w:rsidRPr="00EA543A">
              <w:rPr>
                <w:rFonts w:ascii="Times New Roman" w:hAnsi="Times New Roman" w:cs="Times New Roman"/>
                <w:sz w:val="24"/>
                <w:szCs w:val="24"/>
              </w:rPr>
              <w:t xml:space="preserve">Návrh zákona, ktorým sa mení a dopĺňa zákon č. 595/2003 Z. z. o dani z príjmov v znení neskorších predpisov </w:t>
            </w:r>
          </w:p>
        </w:tc>
      </w:tr>
      <w:tr w:rsidR="00EA543A" w:rsidRPr="00EA543A" w:rsidTr="00EA543A">
        <w:tc>
          <w:tcPr>
            <w:tcW w:w="9180" w:type="dxa"/>
            <w:gridSpan w:val="10"/>
            <w:tcBorders>
              <w:bottom w:val="single" w:sz="4" w:space="0" w:color="FFFFFF"/>
            </w:tcBorders>
            <w:shd w:val="clear" w:color="auto" w:fill="E2E2E2"/>
          </w:tcPr>
          <w:p w:rsidR="00EA543A" w:rsidRPr="00EA543A" w:rsidRDefault="00EA543A" w:rsidP="00EA543A">
            <w:pPr>
              <w:pStyle w:val="Odsekzoznamu"/>
              <w:spacing w:line="240" w:lineRule="auto"/>
              <w:ind w:left="142"/>
              <w:rPr>
                <w:rFonts w:ascii="Times New Roman" w:hAnsi="Times New Roman" w:cs="Times New Roman"/>
                <w:b/>
                <w:sz w:val="24"/>
                <w:szCs w:val="24"/>
              </w:rPr>
            </w:pPr>
            <w:r w:rsidRPr="00EA543A">
              <w:rPr>
                <w:rFonts w:ascii="Times New Roman" w:hAnsi="Times New Roman" w:cs="Times New Roman"/>
                <w:b/>
                <w:sz w:val="24"/>
                <w:szCs w:val="24"/>
              </w:rPr>
              <w:t>Predkladateľ (a spolupredkladateľ)</w:t>
            </w:r>
          </w:p>
        </w:tc>
      </w:tr>
      <w:tr w:rsidR="00EA543A" w:rsidRPr="00EA543A" w:rsidTr="00EA543A">
        <w:tc>
          <w:tcPr>
            <w:tcW w:w="9180" w:type="dxa"/>
            <w:gridSpan w:val="10"/>
            <w:tcBorders>
              <w:top w:val="single" w:sz="4" w:space="0" w:color="FFFFFF"/>
            </w:tcBorders>
            <w:shd w:val="clear" w:color="auto" w:fill="FFFFFF"/>
          </w:tcPr>
          <w:p w:rsidR="00EA543A" w:rsidRPr="00EA543A" w:rsidRDefault="00EA543A" w:rsidP="00EA543A">
            <w:pPr>
              <w:spacing w:line="240" w:lineRule="auto"/>
              <w:rPr>
                <w:rFonts w:ascii="Times New Roman" w:hAnsi="Times New Roman" w:cs="Times New Roman"/>
                <w:sz w:val="24"/>
                <w:szCs w:val="24"/>
              </w:rPr>
            </w:pPr>
            <w:r w:rsidRPr="00EA543A">
              <w:rPr>
                <w:rFonts w:ascii="Times New Roman" w:hAnsi="Times New Roman" w:cs="Times New Roman"/>
                <w:sz w:val="24"/>
                <w:szCs w:val="24"/>
              </w:rPr>
              <w:t>Ministerstvo financií Slovenskej republiky</w:t>
            </w:r>
          </w:p>
        </w:tc>
      </w:tr>
      <w:tr w:rsidR="00EA543A" w:rsidRPr="00EA543A" w:rsidTr="00EA543A">
        <w:tc>
          <w:tcPr>
            <w:tcW w:w="4212" w:type="dxa"/>
            <w:gridSpan w:val="2"/>
            <w:vMerge w:val="restart"/>
            <w:tcBorders>
              <w:bottom w:val="single" w:sz="4" w:space="0" w:color="FFFFFF"/>
            </w:tcBorders>
            <w:shd w:val="clear" w:color="auto" w:fill="E2E2E2"/>
            <w:vAlign w:val="center"/>
          </w:tcPr>
          <w:p w:rsidR="00EA543A" w:rsidRPr="00EA543A" w:rsidRDefault="00EA543A" w:rsidP="00EA543A">
            <w:pPr>
              <w:pStyle w:val="Odsekzoznamu"/>
              <w:spacing w:line="240" w:lineRule="auto"/>
              <w:ind w:left="142"/>
              <w:rPr>
                <w:rFonts w:ascii="Times New Roman" w:hAnsi="Times New Roman" w:cs="Times New Roman"/>
                <w:b/>
                <w:sz w:val="24"/>
                <w:szCs w:val="24"/>
              </w:rPr>
            </w:pPr>
            <w:r w:rsidRPr="00EA543A">
              <w:rPr>
                <w:rFonts w:ascii="Times New Roman" w:hAnsi="Times New Roman" w:cs="Times New Roman"/>
                <w:b/>
                <w:sz w:val="24"/>
                <w:szCs w:val="24"/>
              </w:rPr>
              <w:t>Charakter predkladaného materiálu</w:t>
            </w:r>
          </w:p>
        </w:tc>
        <w:tc>
          <w:tcPr>
            <w:tcW w:w="705" w:type="dxa"/>
            <w:gridSpan w:val="2"/>
            <w:tcBorders>
              <w:right w:val="nil"/>
            </w:tcBorders>
            <w:shd w:val="clear" w:color="auto" w:fill="FFFFFF"/>
          </w:tcPr>
          <w:p w:rsidR="00EA543A" w:rsidRPr="00EA543A" w:rsidRDefault="00EA543A" w:rsidP="00EA543A">
            <w:pPr>
              <w:spacing w:line="240" w:lineRule="auto"/>
              <w:jc w:val="center"/>
              <w:rPr>
                <w:rFonts w:ascii="Times New Roman" w:hAnsi="Times New Roman" w:cs="Times New Roman"/>
                <w:sz w:val="24"/>
                <w:szCs w:val="24"/>
              </w:rPr>
            </w:pPr>
            <w:r w:rsidRPr="00EA543A">
              <w:rPr>
                <w:rFonts w:ascii="Segoe UI Symbol" w:eastAsia="MS Mincho" w:hAnsi="Segoe UI Symbol" w:cs="Segoe UI Symbol"/>
                <w:sz w:val="24"/>
                <w:szCs w:val="24"/>
              </w:rPr>
              <w:t>☐</w:t>
            </w:r>
          </w:p>
        </w:tc>
        <w:tc>
          <w:tcPr>
            <w:tcW w:w="4263" w:type="dxa"/>
            <w:gridSpan w:val="6"/>
            <w:tcBorders>
              <w:left w:val="nil"/>
            </w:tcBorders>
            <w:shd w:val="clear" w:color="auto" w:fill="FFFFFF"/>
          </w:tcPr>
          <w:p w:rsidR="00EA543A" w:rsidRPr="00EA543A" w:rsidRDefault="00EA543A" w:rsidP="00EA543A">
            <w:pPr>
              <w:spacing w:line="240" w:lineRule="auto"/>
              <w:rPr>
                <w:rFonts w:ascii="Times New Roman" w:hAnsi="Times New Roman" w:cs="Times New Roman"/>
                <w:sz w:val="24"/>
                <w:szCs w:val="24"/>
              </w:rPr>
            </w:pPr>
            <w:r w:rsidRPr="00EA543A">
              <w:rPr>
                <w:rFonts w:ascii="Times New Roman" w:hAnsi="Times New Roman" w:cs="Times New Roman"/>
                <w:sz w:val="24"/>
                <w:szCs w:val="24"/>
              </w:rPr>
              <w:t>Materiál nelegislatívnej povahy</w:t>
            </w:r>
          </w:p>
        </w:tc>
      </w:tr>
      <w:tr w:rsidR="00EA543A" w:rsidRPr="00EA543A" w:rsidTr="00EA543A">
        <w:tc>
          <w:tcPr>
            <w:tcW w:w="4212" w:type="dxa"/>
            <w:gridSpan w:val="2"/>
            <w:vMerge/>
            <w:tcBorders>
              <w:top w:val="nil"/>
              <w:bottom w:val="single" w:sz="4" w:space="0" w:color="FFFFFF"/>
            </w:tcBorders>
            <w:shd w:val="clear" w:color="auto" w:fill="E2E2E2"/>
          </w:tcPr>
          <w:p w:rsidR="00EA543A" w:rsidRPr="00EA543A" w:rsidRDefault="00EA543A" w:rsidP="00EA543A">
            <w:pPr>
              <w:spacing w:line="240" w:lineRule="auto"/>
              <w:rPr>
                <w:rFonts w:ascii="Times New Roman" w:hAnsi="Times New Roman" w:cs="Times New Roman"/>
                <w:sz w:val="24"/>
                <w:szCs w:val="24"/>
              </w:rPr>
            </w:pPr>
          </w:p>
        </w:tc>
        <w:tc>
          <w:tcPr>
            <w:tcW w:w="705" w:type="dxa"/>
            <w:gridSpan w:val="2"/>
            <w:shd w:val="clear" w:color="auto" w:fill="FFFFFF"/>
          </w:tcPr>
          <w:p w:rsidR="00EA543A" w:rsidRPr="00EA543A" w:rsidRDefault="00EA543A" w:rsidP="00EA543A">
            <w:pPr>
              <w:spacing w:line="240" w:lineRule="auto"/>
              <w:jc w:val="center"/>
              <w:rPr>
                <w:rFonts w:ascii="Times New Roman" w:hAnsi="Times New Roman" w:cs="Times New Roman"/>
                <w:sz w:val="24"/>
                <w:szCs w:val="24"/>
              </w:rPr>
            </w:pPr>
            <w:r w:rsidRPr="00EA543A">
              <w:rPr>
                <w:rFonts w:ascii="Segoe UI Symbol" w:eastAsia="MS Gothic" w:hAnsi="Segoe UI Symbol" w:cs="Segoe UI Symbol"/>
                <w:sz w:val="24"/>
                <w:szCs w:val="24"/>
              </w:rPr>
              <w:t>☒</w:t>
            </w:r>
          </w:p>
        </w:tc>
        <w:tc>
          <w:tcPr>
            <w:tcW w:w="4263" w:type="dxa"/>
            <w:gridSpan w:val="6"/>
            <w:shd w:val="clear" w:color="auto" w:fill="FFFFFF"/>
          </w:tcPr>
          <w:p w:rsidR="00EA543A" w:rsidRPr="00EA543A" w:rsidRDefault="00EA543A" w:rsidP="00EA543A">
            <w:pPr>
              <w:spacing w:line="240" w:lineRule="auto"/>
              <w:ind w:left="175" w:hanging="175"/>
              <w:rPr>
                <w:rFonts w:ascii="Times New Roman" w:hAnsi="Times New Roman" w:cs="Times New Roman"/>
                <w:sz w:val="24"/>
                <w:szCs w:val="24"/>
              </w:rPr>
            </w:pPr>
            <w:r w:rsidRPr="00EA543A">
              <w:rPr>
                <w:rFonts w:ascii="Times New Roman" w:hAnsi="Times New Roman" w:cs="Times New Roman"/>
                <w:sz w:val="24"/>
                <w:szCs w:val="24"/>
              </w:rPr>
              <w:t>Materiál legislatívnej povahy</w:t>
            </w:r>
          </w:p>
        </w:tc>
      </w:tr>
      <w:tr w:rsidR="00EA543A" w:rsidRPr="00EA543A" w:rsidTr="00EA543A">
        <w:tc>
          <w:tcPr>
            <w:tcW w:w="4212" w:type="dxa"/>
            <w:gridSpan w:val="2"/>
            <w:vMerge/>
            <w:tcBorders>
              <w:top w:val="nil"/>
            </w:tcBorders>
            <w:shd w:val="clear" w:color="auto" w:fill="E2E2E2"/>
          </w:tcPr>
          <w:p w:rsidR="00EA543A" w:rsidRPr="00EA543A" w:rsidRDefault="00EA543A" w:rsidP="00EA543A">
            <w:pPr>
              <w:spacing w:line="240" w:lineRule="auto"/>
              <w:rPr>
                <w:rFonts w:ascii="Times New Roman" w:hAnsi="Times New Roman" w:cs="Times New Roman"/>
                <w:sz w:val="24"/>
                <w:szCs w:val="24"/>
              </w:rPr>
            </w:pPr>
          </w:p>
        </w:tc>
        <w:tc>
          <w:tcPr>
            <w:tcW w:w="705" w:type="dxa"/>
            <w:gridSpan w:val="2"/>
            <w:tcBorders>
              <w:right w:val="nil"/>
            </w:tcBorders>
            <w:shd w:val="clear" w:color="auto" w:fill="FFFFFF"/>
          </w:tcPr>
          <w:p w:rsidR="00EA543A" w:rsidRPr="00EA543A" w:rsidRDefault="00EA543A" w:rsidP="00EA543A">
            <w:pPr>
              <w:spacing w:line="240" w:lineRule="auto"/>
              <w:jc w:val="center"/>
              <w:rPr>
                <w:rFonts w:ascii="Times New Roman" w:hAnsi="Times New Roman" w:cs="Times New Roman"/>
                <w:sz w:val="24"/>
                <w:szCs w:val="24"/>
              </w:rPr>
            </w:pPr>
            <w:r w:rsidRPr="00EA543A">
              <w:rPr>
                <w:rFonts w:ascii="Segoe UI Symbol" w:eastAsia="MS Gothic" w:hAnsi="Segoe UI Symbol" w:cs="Segoe UI Symbol"/>
                <w:sz w:val="24"/>
                <w:szCs w:val="24"/>
              </w:rPr>
              <w:t>☒</w:t>
            </w:r>
          </w:p>
        </w:tc>
        <w:tc>
          <w:tcPr>
            <w:tcW w:w="4263" w:type="dxa"/>
            <w:gridSpan w:val="6"/>
            <w:tcBorders>
              <w:left w:val="nil"/>
            </w:tcBorders>
            <w:shd w:val="clear" w:color="auto" w:fill="FFFFFF"/>
          </w:tcPr>
          <w:p w:rsidR="00EA543A" w:rsidRPr="00EA543A" w:rsidRDefault="00EA543A" w:rsidP="00EA543A">
            <w:pPr>
              <w:spacing w:line="240" w:lineRule="auto"/>
              <w:rPr>
                <w:rFonts w:ascii="Times New Roman" w:hAnsi="Times New Roman" w:cs="Times New Roman"/>
                <w:sz w:val="24"/>
                <w:szCs w:val="24"/>
              </w:rPr>
            </w:pPr>
            <w:r w:rsidRPr="00EA543A">
              <w:rPr>
                <w:rFonts w:ascii="Times New Roman" w:hAnsi="Times New Roman" w:cs="Times New Roman"/>
                <w:sz w:val="24"/>
                <w:szCs w:val="24"/>
              </w:rPr>
              <w:t>Transpozícia práva EÚ</w:t>
            </w:r>
          </w:p>
        </w:tc>
      </w:tr>
      <w:tr w:rsidR="00EA543A" w:rsidRPr="00EA543A" w:rsidTr="00EA543A">
        <w:tc>
          <w:tcPr>
            <w:tcW w:w="9180" w:type="dxa"/>
            <w:gridSpan w:val="10"/>
            <w:tcBorders>
              <w:bottom w:val="single" w:sz="4" w:space="0" w:color="FFFFFF"/>
            </w:tcBorders>
            <w:shd w:val="clear" w:color="auto" w:fill="FFFFFF"/>
          </w:tcPr>
          <w:p w:rsidR="00EA543A" w:rsidRPr="00EA543A" w:rsidRDefault="00EA543A" w:rsidP="00EA543A">
            <w:pPr>
              <w:spacing w:line="240" w:lineRule="auto"/>
              <w:rPr>
                <w:rFonts w:ascii="Times New Roman" w:hAnsi="Times New Roman" w:cs="Times New Roman"/>
                <w:i/>
                <w:sz w:val="24"/>
                <w:szCs w:val="24"/>
              </w:rPr>
            </w:pPr>
            <w:r w:rsidRPr="00EA543A">
              <w:rPr>
                <w:rFonts w:ascii="Times New Roman" w:hAnsi="Times New Roman" w:cs="Times New Roman"/>
                <w:i/>
                <w:sz w:val="24"/>
                <w:szCs w:val="24"/>
              </w:rPr>
              <w:t>V prípade transpozície uveďte zoznam transponovaných predpisov:</w:t>
            </w:r>
          </w:p>
          <w:p w:rsidR="00EA543A" w:rsidRPr="00EA543A" w:rsidRDefault="00EA543A" w:rsidP="00EA543A">
            <w:pPr>
              <w:spacing w:line="240" w:lineRule="auto"/>
              <w:jc w:val="both"/>
              <w:rPr>
                <w:rFonts w:ascii="Times New Roman" w:hAnsi="Times New Roman" w:cs="Times New Roman"/>
                <w:sz w:val="24"/>
                <w:szCs w:val="24"/>
              </w:rPr>
            </w:pPr>
            <w:r w:rsidRPr="00EA543A">
              <w:rPr>
                <w:rFonts w:ascii="Times New Roman" w:hAnsi="Times New Roman" w:cs="Times New Roman"/>
                <w:sz w:val="24"/>
                <w:szCs w:val="24"/>
              </w:rPr>
              <w:t>Smernica Rady (EU) 2017/952 z 29. mája 2017, ktorou sa mení smernica (EÚ) 2016/1164, pokiaľ ide o hybridné nesúlady s tretími krajinami</w:t>
            </w:r>
          </w:p>
        </w:tc>
      </w:tr>
      <w:tr w:rsidR="00EA543A" w:rsidRPr="00EA543A" w:rsidTr="00EA543A">
        <w:tc>
          <w:tcPr>
            <w:tcW w:w="5634" w:type="dxa"/>
            <w:gridSpan w:val="5"/>
            <w:tcBorders>
              <w:top w:val="single" w:sz="4" w:space="0" w:color="000000"/>
              <w:bottom w:val="single" w:sz="4" w:space="0" w:color="FFFFFF"/>
            </w:tcBorders>
            <w:shd w:val="clear" w:color="auto" w:fill="E2E2E2"/>
          </w:tcPr>
          <w:p w:rsidR="00EA543A" w:rsidRPr="00EA543A" w:rsidRDefault="00EA543A" w:rsidP="00EA543A">
            <w:pPr>
              <w:pStyle w:val="Odsekzoznamu"/>
              <w:spacing w:line="240" w:lineRule="auto"/>
              <w:ind w:left="142"/>
              <w:rPr>
                <w:rFonts w:ascii="Times New Roman" w:hAnsi="Times New Roman" w:cs="Times New Roman"/>
                <w:b/>
                <w:sz w:val="24"/>
                <w:szCs w:val="24"/>
              </w:rPr>
            </w:pPr>
            <w:r w:rsidRPr="00EA543A">
              <w:rPr>
                <w:rFonts w:ascii="Times New Roman" w:hAnsi="Times New Roman" w:cs="Times New Roman"/>
                <w:b/>
                <w:sz w:val="24"/>
                <w:szCs w:val="24"/>
              </w:rPr>
              <w:t>Termín začiatku a ukončenia PPK</w:t>
            </w:r>
          </w:p>
        </w:tc>
        <w:tc>
          <w:tcPr>
            <w:tcW w:w="3546" w:type="dxa"/>
            <w:gridSpan w:val="5"/>
            <w:tcBorders>
              <w:top w:val="single" w:sz="4" w:space="0" w:color="000000"/>
            </w:tcBorders>
            <w:shd w:val="clear" w:color="auto" w:fill="auto"/>
          </w:tcPr>
          <w:p w:rsidR="00EA543A" w:rsidRPr="00EA543A" w:rsidRDefault="00EA543A" w:rsidP="00EA543A">
            <w:pPr>
              <w:spacing w:line="240" w:lineRule="auto"/>
              <w:rPr>
                <w:rFonts w:ascii="Times New Roman" w:hAnsi="Times New Roman" w:cs="Times New Roman"/>
                <w:i/>
                <w:sz w:val="24"/>
                <w:szCs w:val="24"/>
              </w:rPr>
            </w:pPr>
          </w:p>
        </w:tc>
      </w:tr>
      <w:tr w:rsidR="00EA543A" w:rsidRPr="00EA543A" w:rsidTr="00EA543A">
        <w:tc>
          <w:tcPr>
            <w:tcW w:w="5634" w:type="dxa"/>
            <w:gridSpan w:val="5"/>
            <w:tcBorders>
              <w:bottom w:val="single" w:sz="4" w:space="0" w:color="FFFFFF"/>
            </w:tcBorders>
            <w:shd w:val="clear" w:color="auto" w:fill="E2E2E2"/>
          </w:tcPr>
          <w:p w:rsidR="00EA543A" w:rsidRPr="00EA543A" w:rsidRDefault="00EA543A" w:rsidP="00EA543A">
            <w:pPr>
              <w:pStyle w:val="Odsekzoznamu"/>
              <w:spacing w:line="240" w:lineRule="auto"/>
              <w:ind w:left="142"/>
              <w:rPr>
                <w:rFonts w:ascii="Times New Roman" w:hAnsi="Times New Roman" w:cs="Times New Roman"/>
                <w:b/>
                <w:sz w:val="24"/>
                <w:szCs w:val="24"/>
              </w:rPr>
            </w:pPr>
            <w:r w:rsidRPr="00EA543A">
              <w:rPr>
                <w:rFonts w:ascii="Times New Roman" w:hAnsi="Times New Roman" w:cs="Times New Roman"/>
                <w:b/>
                <w:sz w:val="24"/>
                <w:szCs w:val="24"/>
              </w:rPr>
              <w:t>Predpokladaný termín predloženia na MPK*</w:t>
            </w:r>
          </w:p>
        </w:tc>
        <w:tc>
          <w:tcPr>
            <w:tcW w:w="3546" w:type="dxa"/>
            <w:gridSpan w:val="5"/>
            <w:shd w:val="clear" w:color="auto" w:fill="auto"/>
          </w:tcPr>
          <w:p w:rsidR="00EA543A" w:rsidRPr="00EA543A" w:rsidRDefault="00EA543A" w:rsidP="00EA543A">
            <w:pPr>
              <w:spacing w:line="240" w:lineRule="auto"/>
              <w:rPr>
                <w:rFonts w:ascii="Times New Roman" w:hAnsi="Times New Roman" w:cs="Times New Roman"/>
                <w:i/>
                <w:sz w:val="24"/>
                <w:szCs w:val="24"/>
              </w:rPr>
            </w:pPr>
            <w:r w:rsidRPr="00EA543A">
              <w:rPr>
                <w:rFonts w:ascii="Times New Roman" w:hAnsi="Times New Roman" w:cs="Times New Roman"/>
                <w:i/>
                <w:sz w:val="24"/>
                <w:szCs w:val="24"/>
              </w:rPr>
              <w:t>Apríl 2019</w:t>
            </w:r>
          </w:p>
        </w:tc>
      </w:tr>
      <w:tr w:rsidR="00EA543A" w:rsidRPr="00EA543A" w:rsidTr="00EA543A">
        <w:tc>
          <w:tcPr>
            <w:tcW w:w="5634" w:type="dxa"/>
            <w:gridSpan w:val="5"/>
            <w:tcBorders>
              <w:bottom w:val="single" w:sz="4" w:space="0" w:color="FFFFFF"/>
            </w:tcBorders>
            <w:shd w:val="clear" w:color="auto" w:fill="E2E2E2"/>
          </w:tcPr>
          <w:p w:rsidR="00EA543A" w:rsidRPr="00EA543A" w:rsidRDefault="00EA543A" w:rsidP="00EA543A">
            <w:pPr>
              <w:pStyle w:val="Odsekzoznamu"/>
              <w:spacing w:line="240" w:lineRule="auto"/>
              <w:ind w:left="142"/>
              <w:rPr>
                <w:rFonts w:ascii="Times New Roman" w:hAnsi="Times New Roman" w:cs="Times New Roman"/>
                <w:b/>
                <w:sz w:val="24"/>
                <w:szCs w:val="24"/>
              </w:rPr>
            </w:pPr>
            <w:r w:rsidRPr="00EA543A">
              <w:rPr>
                <w:rFonts w:ascii="Times New Roman" w:hAnsi="Times New Roman" w:cs="Times New Roman"/>
                <w:b/>
                <w:sz w:val="24"/>
                <w:szCs w:val="24"/>
              </w:rPr>
              <w:t>Predpokladaný termín predloženia na Rokovanie vlády SR*</w:t>
            </w:r>
          </w:p>
        </w:tc>
        <w:tc>
          <w:tcPr>
            <w:tcW w:w="3546" w:type="dxa"/>
            <w:gridSpan w:val="5"/>
            <w:shd w:val="clear" w:color="auto" w:fill="auto"/>
          </w:tcPr>
          <w:p w:rsidR="00EA543A" w:rsidRPr="00EA543A" w:rsidRDefault="00EA543A" w:rsidP="00EA543A">
            <w:pPr>
              <w:spacing w:line="240" w:lineRule="auto"/>
              <w:rPr>
                <w:rFonts w:ascii="Times New Roman" w:hAnsi="Times New Roman" w:cs="Times New Roman"/>
                <w:i/>
                <w:sz w:val="24"/>
                <w:szCs w:val="24"/>
              </w:rPr>
            </w:pPr>
            <w:r w:rsidRPr="00EA543A">
              <w:rPr>
                <w:rFonts w:ascii="Times New Roman" w:hAnsi="Times New Roman" w:cs="Times New Roman"/>
                <w:i/>
                <w:sz w:val="24"/>
                <w:szCs w:val="24"/>
              </w:rPr>
              <w:t>Máj 2019</w:t>
            </w:r>
          </w:p>
        </w:tc>
      </w:tr>
      <w:tr w:rsidR="00EA543A" w:rsidRPr="00EA543A" w:rsidTr="00EA543A">
        <w:tc>
          <w:tcPr>
            <w:tcW w:w="9180" w:type="dxa"/>
            <w:gridSpan w:val="10"/>
            <w:tcBorders>
              <w:bottom w:val="single" w:sz="4" w:space="0" w:color="FFFFFF"/>
            </w:tcBorders>
            <w:shd w:val="clear" w:color="auto" w:fill="E2E2E2"/>
          </w:tcPr>
          <w:p w:rsidR="00EA543A" w:rsidRPr="00EA543A" w:rsidRDefault="00EA543A" w:rsidP="00EA543A">
            <w:pPr>
              <w:pStyle w:val="Odsekzoznamu"/>
              <w:numPr>
                <w:ilvl w:val="0"/>
                <w:numId w:val="6"/>
              </w:numPr>
              <w:spacing w:after="0" w:line="240" w:lineRule="auto"/>
              <w:ind w:left="426"/>
              <w:rPr>
                <w:rFonts w:ascii="Times New Roman" w:hAnsi="Times New Roman" w:cs="Times New Roman"/>
                <w:b/>
                <w:sz w:val="24"/>
                <w:szCs w:val="24"/>
              </w:rPr>
            </w:pPr>
            <w:r w:rsidRPr="00EA543A">
              <w:rPr>
                <w:rFonts w:ascii="Times New Roman" w:hAnsi="Times New Roman" w:cs="Times New Roman"/>
                <w:b/>
                <w:sz w:val="24"/>
                <w:szCs w:val="24"/>
              </w:rPr>
              <w:t>Definovanie problému</w:t>
            </w:r>
          </w:p>
        </w:tc>
      </w:tr>
      <w:tr w:rsidR="00EA543A" w:rsidRPr="00EA543A" w:rsidTr="00EA543A">
        <w:trPr>
          <w:trHeight w:val="718"/>
        </w:trPr>
        <w:tc>
          <w:tcPr>
            <w:tcW w:w="9180" w:type="dxa"/>
            <w:gridSpan w:val="10"/>
            <w:tcBorders>
              <w:top w:val="single" w:sz="4" w:space="0" w:color="FFFFFF"/>
            </w:tcBorders>
            <w:shd w:val="clear" w:color="auto" w:fill="FFFFFF"/>
          </w:tcPr>
          <w:p w:rsidR="00EA543A" w:rsidRPr="00EA543A" w:rsidRDefault="00EA543A" w:rsidP="00EA543A">
            <w:pPr>
              <w:spacing w:line="240" w:lineRule="auto"/>
              <w:ind w:right="85"/>
              <w:jc w:val="both"/>
              <w:rPr>
                <w:rFonts w:ascii="Times New Roman" w:hAnsi="Times New Roman" w:cs="Times New Roman"/>
                <w:sz w:val="24"/>
                <w:szCs w:val="24"/>
              </w:rPr>
            </w:pPr>
            <w:r w:rsidRPr="00EA543A">
              <w:rPr>
                <w:rFonts w:ascii="Times New Roman" w:hAnsi="Times New Roman" w:cs="Times New Roman"/>
                <w:sz w:val="24"/>
                <w:szCs w:val="24"/>
              </w:rPr>
              <w:t>Plnenie záväzku vlády Slovenskej republiky z Programového vyhlásenia vlády Slovenskej republiky na roky 2016 až 2020, povinnosť transpozície Smernice Rady (EU) 2017/952 z 29. mája 2017, ktorou sa mení smernica Rady (EÚ) 2016/1164, pokiaľ ide o hybridné nesúlady s tretími krajinami a plnenie úloh vyplývajúcich z uznesenia vlády SR č. 51/2019 zo dňa 6. februára 2019.</w:t>
            </w:r>
          </w:p>
        </w:tc>
      </w:tr>
      <w:tr w:rsidR="00EA543A" w:rsidRPr="00EA543A" w:rsidTr="00EA543A">
        <w:tc>
          <w:tcPr>
            <w:tcW w:w="9180" w:type="dxa"/>
            <w:gridSpan w:val="10"/>
            <w:tcBorders>
              <w:bottom w:val="nil"/>
            </w:tcBorders>
            <w:shd w:val="clear" w:color="auto" w:fill="E2E2E2"/>
          </w:tcPr>
          <w:p w:rsidR="00EA543A" w:rsidRPr="00EA543A" w:rsidRDefault="00EA543A" w:rsidP="00EA543A">
            <w:pPr>
              <w:pStyle w:val="Odsekzoznamu"/>
              <w:numPr>
                <w:ilvl w:val="0"/>
                <w:numId w:val="6"/>
              </w:numPr>
              <w:spacing w:after="0" w:line="240" w:lineRule="auto"/>
              <w:ind w:left="426"/>
              <w:rPr>
                <w:rFonts w:ascii="Times New Roman" w:hAnsi="Times New Roman" w:cs="Times New Roman"/>
                <w:b/>
                <w:sz w:val="24"/>
                <w:szCs w:val="24"/>
              </w:rPr>
            </w:pPr>
            <w:r w:rsidRPr="00EA543A">
              <w:rPr>
                <w:rFonts w:ascii="Times New Roman" w:hAnsi="Times New Roman" w:cs="Times New Roman"/>
                <w:b/>
                <w:sz w:val="24"/>
                <w:szCs w:val="24"/>
              </w:rPr>
              <w:t>Ciele a výsledný stav</w:t>
            </w:r>
          </w:p>
        </w:tc>
      </w:tr>
      <w:tr w:rsidR="00EA543A" w:rsidRPr="00EA543A" w:rsidTr="00EA543A">
        <w:trPr>
          <w:trHeight w:val="741"/>
        </w:trPr>
        <w:tc>
          <w:tcPr>
            <w:tcW w:w="9180" w:type="dxa"/>
            <w:gridSpan w:val="10"/>
            <w:tcBorders>
              <w:top w:val="nil"/>
            </w:tcBorders>
            <w:shd w:val="clear" w:color="auto" w:fill="FFFFFF"/>
          </w:tcPr>
          <w:p w:rsidR="00EA543A" w:rsidRPr="00EA543A" w:rsidRDefault="00EA543A" w:rsidP="00EA543A">
            <w:pPr>
              <w:spacing w:line="240" w:lineRule="auto"/>
              <w:ind w:right="85"/>
              <w:jc w:val="both"/>
              <w:rPr>
                <w:rFonts w:ascii="Times New Roman" w:hAnsi="Times New Roman" w:cs="Times New Roman"/>
                <w:sz w:val="24"/>
                <w:szCs w:val="24"/>
              </w:rPr>
            </w:pPr>
            <w:r w:rsidRPr="00EA543A">
              <w:rPr>
                <w:rFonts w:ascii="Times New Roman" w:hAnsi="Times New Roman" w:cs="Times New Roman"/>
                <w:sz w:val="24"/>
                <w:szCs w:val="24"/>
              </w:rPr>
              <w:t xml:space="preserve">Návrhom zákona reaguje na potrebu podpory malých a stredných podnikov, zvyšovanie ich konkurencieschopnosti s prihliadnutím na tvorbu nových pracovných miest, ako aj na potrebu transpozície smernice Rady (EÚ) 2017/952, pokiaľ ide o hybridné nesúlady s tretími krajinami. Rovnako je cieľom aj znižovanie administratívnej záťaže daňovníkov. </w:t>
            </w:r>
          </w:p>
        </w:tc>
      </w:tr>
      <w:tr w:rsidR="00EA543A" w:rsidRPr="00EA543A" w:rsidTr="00EA543A">
        <w:tc>
          <w:tcPr>
            <w:tcW w:w="9180" w:type="dxa"/>
            <w:gridSpan w:val="10"/>
            <w:tcBorders>
              <w:bottom w:val="nil"/>
            </w:tcBorders>
            <w:shd w:val="clear" w:color="auto" w:fill="E2E2E2"/>
          </w:tcPr>
          <w:p w:rsidR="00EA543A" w:rsidRPr="00EA543A" w:rsidRDefault="00EA543A" w:rsidP="00EA543A">
            <w:pPr>
              <w:pStyle w:val="Odsekzoznamu"/>
              <w:numPr>
                <w:ilvl w:val="0"/>
                <w:numId w:val="6"/>
              </w:numPr>
              <w:spacing w:after="0" w:line="240" w:lineRule="auto"/>
              <w:ind w:left="426"/>
              <w:rPr>
                <w:rFonts w:ascii="Times New Roman" w:hAnsi="Times New Roman" w:cs="Times New Roman"/>
                <w:b/>
                <w:sz w:val="24"/>
                <w:szCs w:val="24"/>
              </w:rPr>
            </w:pPr>
            <w:r w:rsidRPr="00EA543A">
              <w:rPr>
                <w:rFonts w:ascii="Times New Roman" w:hAnsi="Times New Roman" w:cs="Times New Roman"/>
                <w:b/>
                <w:sz w:val="24"/>
                <w:szCs w:val="24"/>
              </w:rPr>
              <w:t>Dotknuté subjekty</w:t>
            </w:r>
          </w:p>
        </w:tc>
      </w:tr>
      <w:tr w:rsidR="00EA543A" w:rsidRPr="00EA543A" w:rsidTr="00EA543A">
        <w:tc>
          <w:tcPr>
            <w:tcW w:w="9180" w:type="dxa"/>
            <w:gridSpan w:val="10"/>
            <w:tcBorders>
              <w:top w:val="nil"/>
            </w:tcBorders>
            <w:shd w:val="clear" w:color="auto" w:fill="FFFFFF"/>
          </w:tcPr>
          <w:p w:rsidR="00EA543A" w:rsidRPr="00EA543A" w:rsidRDefault="00EA543A" w:rsidP="00EA543A">
            <w:pPr>
              <w:spacing w:line="240" w:lineRule="auto"/>
              <w:jc w:val="both"/>
              <w:rPr>
                <w:rFonts w:ascii="Times New Roman" w:hAnsi="Times New Roman" w:cs="Times New Roman"/>
                <w:i/>
                <w:sz w:val="24"/>
                <w:szCs w:val="24"/>
              </w:rPr>
            </w:pPr>
            <w:r w:rsidRPr="00EA543A">
              <w:rPr>
                <w:rFonts w:ascii="Times New Roman" w:hAnsi="Times New Roman" w:cs="Times New Roman"/>
                <w:sz w:val="24"/>
                <w:szCs w:val="24"/>
              </w:rPr>
              <w:t xml:space="preserve">Navrhovaná právna úprava sa dotkne právnických osôb, na ktoré sa budú vzťahovať pravidlá implementovanej smernice, fyzických osôb – zamestnancov, </w:t>
            </w:r>
          </w:p>
        </w:tc>
      </w:tr>
      <w:tr w:rsidR="00EA543A" w:rsidRPr="00EA543A" w:rsidTr="00EA543A">
        <w:tc>
          <w:tcPr>
            <w:tcW w:w="9180" w:type="dxa"/>
            <w:gridSpan w:val="10"/>
            <w:tcBorders>
              <w:bottom w:val="nil"/>
            </w:tcBorders>
            <w:shd w:val="clear" w:color="auto" w:fill="E2E2E2"/>
          </w:tcPr>
          <w:p w:rsidR="00EA543A" w:rsidRPr="00EA543A" w:rsidRDefault="00EA543A" w:rsidP="00EA543A">
            <w:pPr>
              <w:pStyle w:val="Odsekzoznamu"/>
              <w:numPr>
                <w:ilvl w:val="0"/>
                <w:numId w:val="6"/>
              </w:numPr>
              <w:spacing w:after="0" w:line="240" w:lineRule="auto"/>
              <w:ind w:left="426"/>
              <w:rPr>
                <w:rFonts w:ascii="Times New Roman" w:hAnsi="Times New Roman" w:cs="Times New Roman"/>
                <w:b/>
                <w:sz w:val="24"/>
                <w:szCs w:val="24"/>
              </w:rPr>
            </w:pPr>
            <w:r w:rsidRPr="00EA543A">
              <w:rPr>
                <w:rFonts w:ascii="Times New Roman" w:hAnsi="Times New Roman" w:cs="Times New Roman"/>
                <w:b/>
                <w:sz w:val="24"/>
                <w:szCs w:val="24"/>
              </w:rPr>
              <w:t>Alternatívne riešenia</w:t>
            </w:r>
          </w:p>
        </w:tc>
      </w:tr>
      <w:tr w:rsidR="00EA543A" w:rsidRPr="00EA543A" w:rsidTr="00EA543A">
        <w:trPr>
          <w:trHeight w:val="709"/>
        </w:trPr>
        <w:tc>
          <w:tcPr>
            <w:tcW w:w="9180" w:type="dxa"/>
            <w:gridSpan w:val="10"/>
            <w:tcBorders>
              <w:top w:val="nil"/>
            </w:tcBorders>
            <w:shd w:val="clear" w:color="auto" w:fill="FFFFFF"/>
          </w:tcPr>
          <w:tbl>
            <w:tblPr>
              <w:tblW w:w="9075" w:type="dxa"/>
              <w:tblBorders>
                <w:top w:val="nil"/>
                <w:left w:val="nil"/>
                <w:bottom w:val="nil"/>
                <w:right w:val="nil"/>
              </w:tblBorders>
              <w:tblLayout w:type="fixed"/>
              <w:tblLook w:val="0000" w:firstRow="0" w:lastRow="0" w:firstColumn="0" w:lastColumn="0" w:noHBand="0" w:noVBand="0"/>
            </w:tblPr>
            <w:tblGrid>
              <w:gridCol w:w="9075"/>
            </w:tblGrid>
            <w:tr w:rsidR="00EA543A" w:rsidRPr="00EA543A" w:rsidTr="00EA543A">
              <w:trPr>
                <w:trHeight w:val="352"/>
              </w:trPr>
              <w:tc>
                <w:tcPr>
                  <w:tcW w:w="9075" w:type="dxa"/>
                </w:tcPr>
                <w:p w:rsidR="00EA543A" w:rsidRPr="00EA543A" w:rsidRDefault="00EA543A" w:rsidP="00EA543A">
                  <w:pPr>
                    <w:pStyle w:val="Default"/>
                    <w:jc w:val="both"/>
                    <w:rPr>
                      <w:color w:val="auto"/>
                    </w:rPr>
                  </w:pPr>
                  <w:r w:rsidRPr="00EA543A">
                    <w:t xml:space="preserve"> </w:t>
                  </w:r>
                  <w:r w:rsidRPr="00EA543A">
                    <w:rPr>
                      <w:color w:val="auto"/>
                    </w:rPr>
                    <w:t xml:space="preserve">Alternatívne riešenia neboli posudzované, pretože vzhľadom na úlohu uloženú v Pláne legislatívnych úloh vlády na rok 2018 ktorej obsahom je prijatie návrhu zákona, ku ktorému má dôjsť z dôvodu potreby transpozície smernice Rady ako aj s ohľadom na doterajšiu aplikačnú prax rešpektujúc požiadavky uvedené v Programovom vyhlásení vlády Slovenskej republiky na roky 2016-2020 a vzhľadom na množstvo podnetov z aplikačnej praxe, ktoré nemožno riešiť len výkladom uvedeného zákona, niet inej možnosti ako prijať uvedenú novelu zákona. </w:t>
                  </w:r>
                </w:p>
              </w:tc>
            </w:tr>
          </w:tbl>
          <w:p w:rsidR="00EA543A" w:rsidRPr="00EA543A" w:rsidRDefault="00EA543A" w:rsidP="00EA543A">
            <w:pPr>
              <w:spacing w:line="240" w:lineRule="auto"/>
              <w:rPr>
                <w:rFonts w:ascii="Times New Roman" w:hAnsi="Times New Roman" w:cs="Times New Roman"/>
                <w:sz w:val="24"/>
                <w:szCs w:val="24"/>
              </w:rPr>
            </w:pPr>
          </w:p>
        </w:tc>
      </w:tr>
      <w:tr w:rsidR="00EA543A" w:rsidRPr="00EA543A" w:rsidTr="00EA543A">
        <w:tc>
          <w:tcPr>
            <w:tcW w:w="9180" w:type="dxa"/>
            <w:gridSpan w:val="10"/>
            <w:tcBorders>
              <w:bottom w:val="single" w:sz="4" w:space="0" w:color="FFFFFF"/>
            </w:tcBorders>
            <w:shd w:val="clear" w:color="auto" w:fill="E2E2E2"/>
          </w:tcPr>
          <w:p w:rsidR="00EA543A" w:rsidRPr="00EA543A" w:rsidRDefault="00EA543A" w:rsidP="00EA543A">
            <w:pPr>
              <w:pStyle w:val="Odsekzoznamu"/>
              <w:numPr>
                <w:ilvl w:val="0"/>
                <w:numId w:val="6"/>
              </w:numPr>
              <w:spacing w:after="0" w:line="240" w:lineRule="auto"/>
              <w:ind w:left="426"/>
              <w:rPr>
                <w:rFonts w:ascii="Times New Roman" w:hAnsi="Times New Roman" w:cs="Times New Roman"/>
                <w:b/>
                <w:sz w:val="24"/>
                <w:szCs w:val="24"/>
              </w:rPr>
            </w:pPr>
            <w:r w:rsidRPr="00EA543A">
              <w:rPr>
                <w:rFonts w:ascii="Times New Roman" w:hAnsi="Times New Roman" w:cs="Times New Roman"/>
                <w:b/>
                <w:sz w:val="24"/>
                <w:szCs w:val="24"/>
              </w:rPr>
              <w:t>Vykonávacie predpisy</w:t>
            </w:r>
          </w:p>
        </w:tc>
      </w:tr>
      <w:tr w:rsidR="00EA543A" w:rsidRPr="00EA543A" w:rsidTr="00EA543A">
        <w:tc>
          <w:tcPr>
            <w:tcW w:w="6203" w:type="dxa"/>
            <w:gridSpan w:val="6"/>
            <w:tcBorders>
              <w:top w:val="single" w:sz="4" w:space="0" w:color="FFFFFF"/>
              <w:bottom w:val="nil"/>
              <w:right w:val="nil"/>
            </w:tcBorders>
            <w:shd w:val="clear" w:color="auto" w:fill="FFFFFF"/>
          </w:tcPr>
          <w:p w:rsidR="00EA543A" w:rsidRPr="00EA543A" w:rsidRDefault="00EA543A" w:rsidP="00EA543A">
            <w:pPr>
              <w:spacing w:line="240" w:lineRule="auto"/>
              <w:rPr>
                <w:rFonts w:ascii="Times New Roman" w:hAnsi="Times New Roman" w:cs="Times New Roman"/>
                <w:i/>
                <w:sz w:val="24"/>
                <w:szCs w:val="24"/>
              </w:rPr>
            </w:pPr>
            <w:r w:rsidRPr="00EA543A">
              <w:rPr>
                <w:rFonts w:ascii="Times New Roman" w:hAnsi="Times New Roman" w:cs="Times New Roman"/>
                <w:i/>
                <w:sz w:val="24"/>
                <w:szCs w:val="24"/>
              </w:rPr>
              <w:lastRenderedPageBreak/>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EA543A" w:rsidRPr="00EA543A" w:rsidRDefault="00EA543A" w:rsidP="00EA543A">
            <w:pPr>
              <w:spacing w:line="240" w:lineRule="auto"/>
              <w:jc w:val="center"/>
              <w:rPr>
                <w:rFonts w:ascii="Times New Roman" w:hAnsi="Times New Roman" w:cs="Times New Roman"/>
                <w:sz w:val="24"/>
                <w:szCs w:val="24"/>
              </w:rPr>
            </w:pPr>
            <w:r w:rsidRPr="00EA543A">
              <w:rPr>
                <w:rFonts w:ascii="Segoe UI Symbol" w:eastAsia="MS Gothic" w:hAnsi="Segoe UI Symbol" w:cs="Segoe UI Symbol"/>
                <w:sz w:val="24"/>
                <w:szCs w:val="24"/>
              </w:rPr>
              <w:t>☐</w:t>
            </w:r>
            <w:r w:rsidRPr="00EA543A">
              <w:rPr>
                <w:rFonts w:ascii="Times New Roman" w:hAnsi="Times New Roman" w:cs="Times New Roman"/>
                <w:sz w:val="24"/>
                <w:szCs w:val="24"/>
              </w:rPr>
              <w:t xml:space="preserve">  Áno</w:t>
            </w:r>
          </w:p>
        </w:tc>
        <w:tc>
          <w:tcPr>
            <w:tcW w:w="1560" w:type="dxa"/>
            <w:gridSpan w:val="2"/>
            <w:tcBorders>
              <w:top w:val="single" w:sz="4" w:space="0" w:color="FFFFFF"/>
              <w:left w:val="nil"/>
              <w:bottom w:val="nil"/>
            </w:tcBorders>
            <w:shd w:val="clear" w:color="auto" w:fill="FFFFFF"/>
          </w:tcPr>
          <w:p w:rsidR="00EA543A" w:rsidRPr="00EA543A" w:rsidRDefault="00EA543A" w:rsidP="00EA543A">
            <w:pPr>
              <w:spacing w:line="240" w:lineRule="auto"/>
              <w:jc w:val="center"/>
              <w:rPr>
                <w:rFonts w:ascii="Times New Roman" w:hAnsi="Times New Roman" w:cs="Times New Roman"/>
                <w:sz w:val="24"/>
                <w:szCs w:val="24"/>
              </w:rPr>
            </w:pPr>
            <w:r w:rsidRPr="00EA543A">
              <w:rPr>
                <w:rFonts w:ascii="Segoe UI Symbol" w:eastAsia="MS Gothic" w:hAnsi="Segoe UI Symbol" w:cs="Segoe UI Symbol"/>
                <w:sz w:val="24"/>
                <w:szCs w:val="24"/>
              </w:rPr>
              <w:t>☒</w:t>
            </w:r>
            <w:r w:rsidRPr="00EA543A">
              <w:rPr>
                <w:rFonts w:ascii="Times New Roman" w:hAnsi="Times New Roman" w:cs="Times New Roman"/>
                <w:sz w:val="24"/>
                <w:szCs w:val="24"/>
              </w:rPr>
              <w:t xml:space="preserve">  Nie</w:t>
            </w:r>
          </w:p>
        </w:tc>
      </w:tr>
      <w:tr w:rsidR="00EA543A" w:rsidRPr="00EA543A" w:rsidTr="00EA543A">
        <w:trPr>
          <w:trHeight w:val="87"/>
        </w:trPr>
        <w:tc>
          <w:tcPr>
            <w:tcW w:w="9180" w:type="dxa"/>
            <w:gridSpan w:val="10"/>
            <w:tcBorders>
              <w:top w:val="nil"/>
            </w:tcBorders>
            <w:shd w:val="clear" w:color="auto" w:fill="FFFFFF"/>
          </w:tcPr>
          <w:p w:rsidR="00EA543A" w:rsidRPr="00EA543A" w:rsidRDefault="00EA543A" w:rsidP="00EA543A">
            <w:pPr>
              <w:spacing w:line="240" w:lineRule="auto"/>
              <w:rPr>
                <w:rFonts w:ascii="Times New Roman" w:hAnsi="Times New Roman" w:cs="Times New Roman"/>
                <w:sz w:val="24"/>
                <w:szCs w:val="24"/>
              </w:rPr>
            </w:pPr>
          </w:p>
        </w:tc>
      </w:tr>
      <w:tr w:rsidR="00EA543A" w:rsidRPr="00EA543A" w:rsidTr="00EA543A">
        <w:tc>
          <w:tcPr>
            <w:tcW w:w="9180" w:type="dxa"/>
            <w:gridSpan w:val="10"/>
            <w:tcBorders>
              <w:bottom w:val="single" w:sz="4" w:space="0" w:color="FFFFFF"/>
            </w:tcBorders>
            <w:shd w:val="clear" w:color="auto" w:fill="E2E2E2"/>
          </w:tcPr>
          <w:p w:rsidR="00EA543A" w:rsidRPr="00EA543A" w:rsidRDefault="00EA543A" w:rsidP="00EA543A">
            <w:pPr>
              <w:pStyle w:val="Odsekzoznamu"/>
              <w:numPr>
                <w:ilvl w:val="0"/>
                <w:numId w:val="6"/>
              </w:numPr>
              <w:spacing w:after="0" w:line="240" w:lineRule="auto"/>
              <w:ind w:left="426"/>
              <w:rPr>
                <w:rFonts w:ascii="Times New Roman" w:hAnsi="Times New Roman" w:cs="Times New Roman"/>
                <w:b/>
                <w:sz w:val="24"/>
                <w:szCs w:val="24"/>
              </w:rPr>
            </w:pPr>
            <w:r w:rsidRPr="00EA543A">
              <w:rPr>
                <w:rFonts w:ascii="Times New Roman" w:hAnsi="Times New Roman" w:cs="Times New Roman"/>
                <w:b/>
                <w:sz w:val="24"/>
                <w:szCs w:val="24"/>
              </w:rPr>
              <w:t xml:space="preserve">Transpozícia práva EÚ </w:t>
            </w:r>
          </w:p>
        </w:tc>
      </w:tr>
      <w:tr w:rsidR="00EA543A" w:rsidRPr="00EA543A" w:rsidTr="00EA543A">
        <w:trPr>
          <w:trHeight w:val="157"/>
        </w:trPr>
        <w:tc>
          <w:tcPr>
            <w:tcW w:w="9180" w:type="dxa"/>
            <w:gridSpan w:val="10"/>
            <w:tcBorders>
              <w:top w:val="nil"/>
              <w:left w:val="single" w:sz="4" w:space="0" w:color="000000"/>
              <w:bottom w:val="nil"/>
            </w:tcBorders>
            <w:shd w:val="clear" w:color="auto" w:fill="FFFFFF"/>
          </w:tcPr>
          <w:p w:rsidR="00EA543A" w:rsidRPr="00EA543A" w:rsidRDefault="00EA543A" w:rsidP="00EA543A">
            <w:pPr>
              <w:spacing w:line="240" w:lineRule="auto"/>
              <w:jc w:val="both"/>
              <w:rPr>
                <w:rFonts w:ascii="Times New Roman" w:hAnsi="Times New Roman" w:cs="Times New Roman"/>
                <w:sz w:val="24"/>
                <w:szCs w:val="24"/>
              </w:rPr>
            </w:pPr>
            <w:r w:rsidRPr="00EA543A">
              <w:rPr>
                <w:rFonts w:ascii="Times New Roman" w:hAnsi="Times New Roman" w:cs="Times New Roman"/>
                <w:sz w:val="24"/>
                <w:szCs w:val="24"/>
              </w:rPr>
              <w:t>Smernica Rady (EU) 2017/952 z 29. mája 2017, ktorou sa mení smernica (EÚ) 2016/1164, pokiaľ ide o hybridné nesúlady s tretími krajinami</w:t>
            </w:r>
          </w:p>
        </w:tc>
      </w:tr>
      <w:tr w:rsidR="00EA543A" w:rsidRPr="00EA543A" w:rsidTr="00EA543A">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cPr>
          <w:p w:rsidR="00EA543A" w:rsidRPr="00EA543A" w:rsidRDefault="00EA543A" w:rsidP="00EA543A">
            <w:pPr>
              <w:spacing w:line="240" w:lineRule="auto"/>
              <w:rPr>
                <w:rFonts w:ascii="Times New Roman" w:hAnsi="Times New Roman" w:cs="Times New Roman"/>
                <w:sz w:val="24"/>
                <w:szCs w:val="24"/>
              </w:rPr>
            </w:pPr>
          </w:p>
        </w:tc>
      </w:tr>
      <w:tr w:rsidR="00EA543A" w:rsidRPr="00EA543A" w:rsidTr="00EA543A">
        <w:tc>
          <w:tcPr>
            <w:tcW w:w="9180" w:type="dxa"/>
            <w:gridSpan w:val="10"/>
            <w:tcBorders>
              <w:bottom w:val="single" w:sz="4" w:space="0" w:color="FFFFFF"/>
            </w:tcBorders>
            <w:shd w:val="clear" w:color="auto" w:fill="E2E2E2"/>
          </w:tcPr>
          <w:p w:rsidR="00EA543A" w:rsidRPr="00EA543A" w:rsidRDefault="00EA543A" w:rsidP="00EA543A">
            <w:pPr>
              <w:pStyle w:val="Odsekzoznamu"/>
              <w:numPr>
                <w:ilvl w:val="0"/>
                <w:numId w:val="6"/>
              </w:numPr>
              <w:spacing w:after="0" w:line="240" w:lineRule="auto"/>
              <w:ind w:left="426"/>
              <w:rPr>
                <w:rFonts w:ascii="Times New Roman" w:hAnsi="Times New Roman" w:cs="Times New Roman"/>
                <w:b/>
                <w:sz w:val="24"/>
                <w:szCs w:val="24"/>
              </w:rPr>
            </w:pPr>
            <w:r w:rsidRPr="00EA543A">
              <w:rPr>
                <w:rFonts w:ascii="Times New Roman" w:hAnsi="Times New Roman" w:cs="Times New Roman"/>
                <w:b/>
                <w:sz w:val="24"/>
                <w:szCs w:val="24"/>
              </w:rPr>
              <w:t>Preskúmanie účelnosti**</w:t>
            </w:r>
          </w:p>
        </w:tc>
      </w:tr>
      <w:tr w:rsidR="00EA543A" w:rsidRPr="00EA543A" w:rsidTr="00EA543A">
        <w:tc>
          <w:tcPr>
            <w:tcW w:w="9180" w:type="dxa"/>
            <w:gridSpan w:val="10"/>
            <w:tcBorders>
              <w:top w:val="single" w:sz="4" w:space="0" w:color="FFFFFF"/>
            </w:tcBorders>
            <w:shd w:val="clear" w:color="auto" w:fill="FFFFFF"/>
          </w:tcPr>
          <w:p w:rsidR="00EA543A" w:rsidRPr="00EA543A" w:rsidRDefault="00EA543A" w:rsidP="00EA543A">
            <w:pPr>
              <w:spacing w:line="240" w:lineRule="auto"/>
              <w:rPr>
                <w:rFonts w:ascii="Times New Roman" w:hAnsi="Times New Roman" w:cs="Times New Roman"/>
                <w:i/>
                <w:sz w:val="24"/>
                <w:szCs w:val="24"/>
              </w:rPr>
            </w:pPr>
          </w:p>
        </w:tc>
      </w:tr>
      <w:tr w:rsidR="00EA543A" w:rsidRPr="00EA543A" w:rsidTr="00EA543A">
        <w:trPr>
          <w:trHeight w:val="577"/>
        </w:trPr>
        <w:tc>
          <w:tcPr>
            <w:tcW w:w="9180" w:type="dxa"/>
            <w:gridSpan w:val="10"/>
            <w:tcBorders>
              <w:bottom w:val="single" w:sz="4" w:space="0" w:color="FFFFFF"/>
            </w:tcBorders>
            <w:shd w:val="clear" w:color="auto" w:fill="E2E2E2"/>
            <w:vAlign w:val="center"/>
          </w:tcPr>
          <w:p w:rsidR="00EA543A" w:rsidRPr="00EA543A" w:rsidRDefault="00EA543A" w:rsidP="00EA543A">
            <w:pPr>
              <w:pStyle w:val="Odsekzoznamu"/>
              <w:numPr>
                <w:ilvl w:val="0"/>
                <w:numId w:val="6"/>
              </w:numPr>
              <w:spacing w:after="0" w:line="240" w:lineRule="auto"/>
              <w:ind w:left="426"/>
              <w:rPr>
                <w:rFonts w:ascii="Times New Roman" w:hAnsi="Times New Roman" w:cs="Times New Roman"/>
                <w:b/>
                <w:sz w:val="24"/>
                <w:szCs w:val="24"/>
              </w:rPr>
            </w:pPr>
            <w:r w:rsidRPr="00EA543A">
              <w:rPr>
                <w:rFonts w:ascii="Times New Roman" w:hAnsi="Times New Roman" w:cs="Times New Roman"/>
                <w:b/>
                <w:sz w:val="24"/>
                <w:szCs w:val="24"/>
              </w:rPr>
              <w:t>Vplyvy navrhovaného materiálu</w:t>
            </w:r>
          </w:p>
        </w:tc>
      </w:tr>
      <w:tr w:rsidR="00EA543A" w:rsidRPr="00EA543A" w:rsidTr="00EA543A">
        <w:tc>
          <w:tcPr>
            <w:tcW w:w="3812" w:type="dxa"/>
            <w:tcBorders>
              <w:bottom w:val="nil"/>
            </w:tcBorders>
            <w:shd w:val="clear" w:color="auto" w:fill="E2E2E2"/>
          </w:tcPr>
          <w:p w:rsidR="00EA543A" w:rsidRPr="00EA543A" w:rsidRDefault="00EA543A" w:rsidP="00EA543A">
            <w:pPr>
              <w:spacing w:line="240" w:lineRule="auto"/>
              <w:rPr>
                <w:rFonts w:ascii="Times New Roman" w:hAnsi="Times New Roman" w:cs="Times New Roman"/>
                <w:b/>
                <w:sz w:val="24"/>
                <w:szCs w:val="24"/>
              </w:rPr>
            </w:pPr>
            <w:r w:rsidRPr="00EA543A">
              <w:rPr>
                <w:rFonts w:ascii="Times New Roman" w:hAnsi="Times New Roman" w:cs="Times New Roman"/>
                <w:b/>
                <w:sz w:val="24"/>
                <w:szCs w:val="24"/>
              </w:rPr>
              <w:t>Vplyvy na rozpočet verejnej správy</w:t>
            </w:r>
          </w:p>
        </w:tc>
        <w:tc>
          <w:tcPr>
            <w:tcW w:w="541" w:type="dxa"/>
            <w:gridSpan w:val="2"/>
            <w:tcBorders>
              <w:right w:val="nil"/>
            </w:tcBorders>
            <w:shd w:val="clear" w:color="auto" w:fill="auto"/>
          </w:tcPr>
          <w:p w:rsidR="00EA543A" w:rsidRPr="00EA543A" w:rsidRDefault="00EA543A" w:rsidP="00EA543A">
            <w:pPr>
              <w:spacing w:line="240" w:lineRule="auto"/>
              <w:jc w:val="center"/>
              <w:rPr>
                <w:rFonts w:ascii="Times New Roman" w:hAnsi="Times New Roman" w:cs="Times New Roman"/>
                <w:b/>
                <w:sz w:val="24"/>
                <w:szCs w:val="24"/>
              </w:rPr>
            </w:pPr>
            <w:r w:rsidRPr="00EA543A">
              <w:rPr>
                <w:rFonts w:ascii="Segoe UI Symbol" w:eastAsia="MS Mincho" w:hAnsi="Segoe UI Symbol" w:cs="Segoe UI Symbol"/>
                <w:sz w:val="24"/>
                <w:szCs w:val="24"/>
              </w:rPr>
              <w:t>☐</w:t>
            </w:r>
          </w:p>
        </w:tc>
        <w:tc>
          <w:tcPr>
            <w:tcW w:w="1281" w:type="dxa"/>
            <w:gridSpan w:val="2"/>
            <w:tcBorders>
              <w:left w:val="nil"/>
              <w:right w:val="nil"/>
            </w:tcBorders>
            <w:shd w:val="clear" w:color="auto" w:fill="auto"/>
          </w:tcPr>
          <w:p w:rsidR="00EA543A" w:rsidRPr="00EA543A" w:rsidRDefault="00EA543A" w:rsidP="00EA543A">
            <w:pPr>
              <w:spacing w:line="240" w:lineRule="auto"/>
              <w:rPr>
                <w:rFonts w:ascii="Times New Roman" w:hAnsi="Times New Roman" w:cs="Times New Roman"/>
                <w:b/>
                <w:sz w:val="24"/>
                <w:szCs w:val="24"/>
              </w:rPr>
            </w:pPr>
            <w:r w:rsidRPr="00EA543A">
              <w:rPr>
                <w:rFonts w:ascii="Times New Roman" w:hAnsi="Times New Roman" w:cs="Times New Roman"/>
                <w:b/>
                <w:sz w:val="24"/>
                <w:szCs w:val="24"/>
              </w:rPr>
              <w:t>Pozitívne</w:t>
            </w:r>
          </w:p>
        </w:tc>
        <w:tc>
          <w:tcPr>
            <w:tcW w:w="569" w:type="dxa"/>
            <w:tcBorders>
              <w:left w:val="nil"/>
              <w:right w:val="nil"/>
            </w:tcBorders>
            <w:shd w:val="clear" w:color="auto" w:fill="auto"/>
          </w:tcPr>
          <w:p w:rsidR="00EA543A" w:rsidRPr="00EA543A" w:rsidRDefault="00EA543A" w:rsidP="00EA543A">
            <w:pPr>
              <w:spacing w:line="240" w:lineRule="auto"/>
              <w:jc w:val="center"/>
              <w:rPr>
                <w:rFonts w:ascii="Times New Roman" w:hAnsi="Times New Roman" w:cs="Times New Roman"/>
                <w:b/>
                <w:sz w:val="24"/>
                <w:szCs w:val="24"/>
              </w:rPr>
            </w:pPr>
            <w:r w:rsidRPr="00EA543A">
              <w:rPr>
                <w:rFonts w:ascii="Segoe UI Symbol" w:eastAsia="MS Mincho" w:hAnsi="Segoe UI Symbol" w:cs="Segoe UI Symbol"/>
                <w:b/>
                <w:sz w:val="24"/>
                <w:szCs w:val="24"/>
              </w:rPr>
              <w:t>☐</w:t>
            </w:r>
          </w:p>
        </w:tc>
        <w:tc>
          <w:tcPr>
            <w:tcW w:w="1133" w:type="dxa"/>
            <w:tcBorders>
              <w:left w:val="nil"/>
              <w:right w:val="nil"/>
            </w:tcBorders>
            <w:shd w:val="clear" w:color="auto" w:fill="auto"/>
          </w:tcPr>
          <w:p w:rsidR="00EA543A" w:rsidRPr="00EA543A" w:rsidRDefault="00EA543A" w:rsidP="00EA543A">
            <w:pPr>
              <w:spacing w:line="240" w:lineRule="auto"/>
              <w:rPr>
                <w:rFonts w:ascii="Times New Roman" w:hAnsi="Times New Roman" w:cs="Times New Roman"/>
                <w:b/>
                <w:sz w:val="24"/>
                <w:szCs w:val="24"/>
              </w:rPr>
            </w:pPr>
            <w:r w:rsidRPr="00EA543A">
              <w:rPr>
                <w:rFonts w:ascii="Times New Roman" w:hAnsi="Times New Roman" w:cs="Times New Roman"/>
                <w:b/>
                <w:sz w:val="24"/>
                <w:szCs w:val="24"/>
              </w:rPr>
              <w:t>Žiadne</w:t>
            </w:r>
          </w:p>
        </w:tc>
        <w:tc>
          <w:tcPr>
            <w:tcW w:w="547" w:type="dxa"/>
            <w:gridSpan w:val="2"/>
            <w:tcBorders>
              <w:left w:val="nil"/>
              <w:right w:val="nil"/>
            </w:tcBorders>
            <w:shd w:val="clear" w:color="auto" w:fill="auto"/>
          </w:tcPr>
          <w:p w:rsidR="00EA543A" w:rsidRPr="00EA543A" w:rsidRDefault="00EA543A" w:rsidP="00EA543A">
            <w:pPr>
              <w:spacing w:line="240" w:lineRule="auto"/>
              <w:ind w:left="-107" w:right="-108"/>
              <w:jc w:val="center"/>
              <w:rPr>
                <w:rFonts w:ascii="Times New Roman" w:hAnsi="Times New Roman" w:cs="Times New Roman"/>
                <w:b/>
                <w:sz w:val="24"/>
                <w:szCs w:val="24"/>
              </w:rPr>
            </w:pPr>
            <w:r w:rsidRPr="00EA543A">
              <w:rPr>
                <w:rFonts w:ascii="Segoe UI Symbol" w:eastAsia="MS Gothic" w:hAnsi="Segoe UI Symbol" w:cs="Segoe UI Symbol"/>
                <w:b/>
                <w:sz w:val="24"/>
                <w:szCs w:val="24"/>
              </w:rPr>
              <w:t>☒</w:t>
            </w:r>
          </w:p>
        </w:tc>
        <w:tc>
          <w:tcPr>
            <w:tcW w:w="1297" w:type="dxa"/>
            <w:tcBorders>
              <w:left w:val="nil"/>
            </w:tcBorders>
            <w:shd w:val="clear" w:color="auto" w:fill="auto"/>
          </w:tcPr>
          <w:p w:rsidR="00EA543A" w:rsidRPr="00EA543A" w:rsidRDefault="00EA543A" w:rsidP="00EA543A">
            <w:pPr>
              <w:spacing w:line="240" w:lineRule="auto"/>
              <w:ind w:left="34"/>
              <w:rPr>
                <w:rFonts w:ascii="Times New Roman" w:hAnsi="Times New Roman" w:cs="Times New Roman"/>
                <w:b/>
                <w:sz w:val="24"/>
                <w:szCs w:val="24"/>
              </w:rPr>
            </w:pPr>
            <w:r w:rsidRPr="00EA543A">
              <w:rPr>
                <w:rFonts w:ascii="Times New Roman" w:hAnsi="Times New Roman" w:cs="Times New Roman"/>
                <w:b/>
                <w:sz w:val="24"/>
                <w:szCs w:val="24"/>
              </w:rPr>
              <w:t>Negatívne</w:t>
            </w:r>
          </w:p>
        </w:tc>
      </w:tr>
      <w:tr w:rsidR="00EA543A" w:rsidRPr="00EA543A" w:rsidTr="00EA543A">
        <w:tc>
          <w:tcPr>
            <w:tcW w:w="3812" w:type="dxa"/>
            <w:tcBorders>
              <w:top w:val="nil"/>
              <w:bottom w:val="single" w:sz="4" w:space="0" w:color="000000"/>
            </w:tcBorders>
            <w:shd w:val="clear" w:color="auto" w:fill="E2E2E2"/>
          </w:tcPr>
          <w:p w:rsidR="00EA543A" w:rsidRPr="00EA543A" w:rsidRDefault="00EA543A" w:rsidP="00EA543A">
            <w:pPr>
              <w:spacing w:line="240" w:lineRule="auto"/>
              <w:rPr>
                <w:rFonts w:ascii="Times New Roman" w:hAnsi="Times New Roman" w:cs="Times New Roman"/>
                <w:sz w:val="24"/>
                <w:szCs w:val="24"/>
              </w:rPr>
            </w:pPr>
            <w:r w:rsidRPr="00EA543A">
              <w:rPr>
                <w:rFonts w:ascii="Times New Roman" w:hAnsi="Times New Roman" w:cs="Times New Roman"/>
                <w:sz w:val="24"/>
                <w:szCs w:val="24"/>
              </w:rPr>
              <w:t xml:space="preserve">    z toho rozpočtovo zabezpečené vplyvy</w:t>
            </w:r>
          </w:p>
        </w:tc>
        <w:tc>
          <w:tcPr>
            <w:tcW w:w="541" w:type="dxa"/>
            <w:gridSpan w:val="2"/>
            <w:tcBorders>
              <w:right w:val="nil"/>
            </w:tcBorders>
            <w:shd w:val="clear" w:color="auto" w:fill="auto"/>
          </w:tcPr>
          <w:p w:rsidR="00EA543A" w:rsidRPr="00EA543A" w:rsidRDefault="00EA543A" w:rsidP="00EA543A">
            <w:pPr>
              <w:spacing w:line="240" w:lineRule="auto"/>
              <w:jc w:val="center"/>
              <w:rPr>
                <w:rFonts w:ascii="Times New Roman" w:hAnsi="Times New Roman" w:cs="Times New Roman"/>
                <w:sz w:val="24"/>
                <w:szCs w:val="24"/>
              </w:rPr>
            </w:pPr>
            <w:r w:rsidRPr="00EA543A">
              <w:rPr>
                <w:rFonts w:ascii="Segoe UI Symbol" w:eastAsia="MS Gothic" w:hAnsi="Segoe UI Symbol" w:cs="Segoe UI Symbol"/>
                <w:b/>
                <w:sz w:val="24"/>
                <w:szCs w:val="24"/>
              </w:rPr>
              <w:t>☒</w:t>
            </w:r>
          </w:p>
        </w:tc>
        <w:tc>
          <w:tcPr>
            <w:tcW w:w="1281" w:type="dxa"/>
            <w:gridSpan w:val="2"/>
            <w:tcBorders>
              <w:left w:val="nil"/>
              <w:right w:val="nil"/>
            </w:tcBorders>
            <w:shd w:val="clear" w:color="auto" w:fill="auto"/>
          </w:tcPr>
          <w:p w:rsidR="00EA543A" w:rsidRPr="00EA543A" w:rsidRDefault="00EA543A" w:rsidP="00EA543A">
            <w:pPr>
              <w:spacing w:line="240" w:lineRule="auto"/>
              <w:rPr>
                <w:rFonts w:ascii="Times New Roman" w:hAnsi="Times New Roman" w:cs="Times New Roman"/>
                <w:sz w:val="24"/>
                <w:szCs w:val="24"/>
              </w:rPr>
            </w:pPr>
            <w:r w:rsidRPr="00EA543A">
              <w:rPr>
                <w:rFonts w:ascii="Times New Roman" w:hAnsi="Times New Roman" w:cs="Times New Roman"/>
                <w:sz w:val="24"/>
                <w:szCs w:val="24"/>
              </w:rPr>
              <w:t>Áno</w:t>
            </w:r>
          </w:p>
        </w:tc>
        <w:tc>
          <w:tcPr>
            <w:tcW w:w="569" w:type="dxa"/>
            <w:tcBorders>
              <w:left w:val="nil"/>
              <w:right w:val="nil"/>
            </w:tcBorders>
            <w:shd w:val="clear" w:color="auto" w:fill="auto"/>
          </w:tcPr>
          <w:p w:rsidR="00EA543A" w:rsidRPr="00EA543A" w:rsidRDefault="00EA543A" w:rsidP="00EA543A">
            <w:pPr>
              <w:spacing w:line="240" w:lineRule="auto"/>
              <w:jc w:val="center"/>
              <w:rPr>
                <w:rFonts w:ascii="Times New Roman" w:hAnsi="Times New Roman" w:cs="Times New Roman"/>
                <w:sz w:val="24"/>
                <w:szCs w:val="24"/>
              </w:rPr>
            </w:pPr>
            <w:r w:rsidRPr="00EA543A">
              <w:rPr>
                <w:rFonts w:ascii="Segoe UI Symbol" w:eastAsia="MS Mincho" w:hAnsi="Segoe UI Symbol" w:cs="Segoe UI Symbol"/>
                <w:sz w:val="24"/>
                <w:szCs w:val="24"/>
              </w:rPr>
              <w:t>☐</w:t>
            </w:r>
          </w:p>
        </w:tc>
        <w:tc>
          <w:tcPr>
            <w:tcW w:w="1133" w:type="dxa"/>
            <w:tcBorders>
              <w:left w:val="nil"/>
              <w:right w:val="nil"/>
            </w:tcBorders>
            <w:shd w:val="clear" w:color="auto" w:fill="auto"/>
          </w:tcPr>
          <w:p w:rsidR="00EA543A" w:rsidRPr="00EA543A" w:rsidRDefault="00EA543A" w:rsidP="00EA543A">
            <w:pPr>
              <w:spacing w:line="240" w:lineRule="auto"/>
              <w:rPr>
                <w:rFonts w:ascii="Times New Roman" w:hAnsi="Times New Roman" w:cs="Times New Roman"/>
                <w:sz w:val="24"/>
                <w:szCs w:val="24"/>
              </w:rPr>
            </w:pPr>
            <w:r w:rsidRPr="00EA543A">
              <w:rPr>
                <w:rFonts w:ascii="Times New Roman" w:hAnsi="Times New Roman" w:cs="Times New Roman"/>
                <w:sz w:val="24"/>
                <w:szCs w:val="24"/>
              </w:rPr>
              <w:t>Nie</w:t>
            </w:r>
          </w:p>
        </w:tc>
        <w:tc>
          <w:tcPr>
            <w:tcW w:w="547" w:type="dxa"/>
            <w:gridSpan w:val="2"/>
            <w:tcBorders>
              <w:left w:val="nil"/>
              <w:right w:val="nil"/>
            </w:tcBorders>
            <w:shd w:val="clear" w:color="auto" w:fill="auto"/>
          </w:tcPr>
          <w:p w:rsidR="00EA543A" w:rsidRPr="00EA543A" w:rsidRDefault="00EA543A" w:rsidP="00EA543A">
            <w:pPr>
              <w:spacing w:line="240" w:lineRule="auto"/>
              <w:ind w:left="-107" w:right="-108"/>
              <w:jc w:val="center"/>
              <w:rPr>
                <w:rFonts w:ascii="Times New Roman" w:hAnsi="Times New Roman" w:cs="Times New Roman"/>
                <w:sz w:val="24"/>
                <w:szCs w:val="24"/>
              </w:rPr>
            </w:pPr>
            <w:r w:rsidRPr="00EA543A">
              <w:rPr>
                <w:rFonts w:ascii="Segoe UI Symbol" w:eastAsia="MS Mincho" w:hAnsi="Segoe UI Symbol" w:cs="Segoe UI Symbol"/>
                <w:sz w:val="24"/>
                <w:szCs w:val="24"/>
              </w:rPr>
              <w:t>☐</w:t>
            </w:r>
          </w:p>
        </w:tc>
        <w:tc>
          <w:tcPr>
            <w:tcW w:w="1297" w:type="dxa"/>
            <w:tcBorders>
              <w:left w:val="nil"/>
            </w:tcBorders>
            <w:shd w:val="clear" w:color="auto" w:fill="auto"/>
          </w:tcPr>
          <w:p w:rsidR="00EA543A" w:rsidRPr="00EA543A" w:rsidRDefault="00EA543A" w:rsidP="00EA543A">
            <w:pPr>
              <w:spacing w:line="240" w:lineRule="auto"/>
              <w:ind w:left="34"/>
              <w:rPr>
                <w:rFonts w:ascii="Times New Roman" w:hAnsi="Times New Roman" w:cs="Times New Roman"/>
                <w:sz w:val="24"/>
                <w:szCs w:val="24"/>
              </w:rPr>
            </w:pPr>
            <w:r w:rsidRPr="00EA543A">
              <w:rPr>
                <w:rFonts w:ascii="Times New Roman" w:hAnsi="Times New Roman" w:cs="Times New Roman"/>
                <w:sz w:val="24"/>
                <w:szCs w:val="24"/>
              </w:rPr>
              <w:t>Čiastočne</w:t>
            </w:r>
          </w:p>
        </w:tc>
      </w:tr>
      <w:tr w:rsidR="00EA543A" w:rsidRPr="00EA543A" w:rsidTr="00EA543A">
        <w:tc>
          <w:tcPr>
            <w:tcW w:w="3812" w:type="dxa"/>
            <w:tcBorders>
              <w:top w:val="single" w:sz="4" w:space="0" w:color="000000"/>
              <w:bottom w:val="nil"/>
            </w:tcBorders>
            <w:shd w:val="clear" w:color="auto" w:fill="E2E2E2"/>
          </w:tcPr>
          <w:p w:rsidR="00EA543A" w:rsidRPr="00EA543A" w:rsidRDefault="00EA543A" w:rsidP="00EA543A">
            <w:pPr>
              <w:spacing w:line="240" w:lineRule="auto"/>
              <w:rPr>
                <w:rFonts w:ascii="Times New Roman" w:hAnsi="Times New Roman" w:cs="Times New Roman"/>
                <w:b/>
                <w:sz w:val="24"/>
                <w:szCs w:val="24"/>
              </w:rPr>
            </w:pPr>
            <w:r w:rsidRPr="00EA543A">
              <w:rPr>
                <w:rFonts w:ascii="Times New Roman" w:hAnsi="Times New Roman" w:cs="Times New Roman"/>
                <w:b/>
                <w:sz w:val="24"/>
                <w:szCs w:val="24"/>
              </w:rPr>
              <w:t>Vplyvy na podnikateľské prostredie</w:t>
            </w:r>
          </w:p>
        </w:tc>
        <w:tc>
          <w:tcPr>
            <w:tcW w:w="541" w:type="dxa"/>
            <w:gridSpan w:val="2"/>
            <w:tcBorders>
              <w:right w:val="nil"/>
            </w:tcBorders>
            <w:shd w:val="clear" w:color="auto" w:fill="auto"/>
          </w:tcPr>
          <w:p w:rsidR="00EA543A" w:rsidRPr="00EA543A" w:rsidRDefault="00EA543A" w:rsidP="00EA543A">
            <w:pPr>
              <w:spacing w:line="240" w:lineRule="auto"/>
              <w:jc w:val="center"/>
              <w:rPr>
                <w:rFonts w:ascii="Times New Roman" w:hAnsi="Times New Roman" w:cs="Times New Roman"/>
                <w:b/>
                <w:sz w:val="24"/>
                <w:szCs w:val="24"/>
              </w:rPr>
            </w:pPr>
            <w:r w:rsidRPr="00EA543A">
              <w:rPr>
                <w:rFonts w:ascii="Segoe UI Symbol" w:eastAsia="MS Gothic" w:hAnsi="Segoe UI Symbol" w:cs="Segoe UI Symbol"/>
                <w:b/>
                <w:sz w:val="24"/>
                <w:szCs w:val="24"/>
              </w:rPr>
              <w:t>☒</w:t>
            </w:r>
          </w:p>
        </w:tc>
        <w:tc>
          <w:tcPr>
            <w:tcW w:w="1281" w:type="dxa"/>
            <w:gridSpan w:val="2"/>
            <w:tcBorders>
              <w:left w:val="nil"/>
              <w:right w:val="nil"/>
            </w:tcBorders>
            <w:shd w:val="clear" w:color="auto" w:fill="auto"/>
          </w:tcPr>
          <w:p w:rsidR="00EA543A" w:rsidRPr="00EA543A" w:rsidRDefault="00EA543A" w:rsidP="00EA543A">
            <w:pPr>
              <w:spacing w:line="240" w:lineRule="auto"/>
              <w:ind w:right="-108"/>
              <w:rPr>
                <w:rFonts w:ascii="Times New Roman" w:hAnsi="Times New Roman" w:cs="Times New Roman"/>
                <w:b/>
                <w:sz w:val="24"/>
                <w:szCs w:val="24"/>
              </w:rPr>
            </w:pPr>
            <w:r w:rsidRPr="00EA543A">
              <w:rPr>
                <w:rFonts w:ascii="Times New Roman" w:hAnsi="Times New Roman" w:cs="Times New Roman"/>
                <w:b/>
                <w:sz w:val="24"/>
                <w:szCs w:val="24"/>
              </w:rPr>
              <w:t>Pozitívne</w:t>
            </w:r>
          </w:p>
        </w:tc>
        <w:tc>
          <w:tcPr>
            <w:tcW w:w="569" w:type="dxa"/>
            <w:tcBorders>
              <w:left w:val="nil"/>
              <w:right w:val="nil"/>
            </w:tcBorders>
            <w:shd w:val="clear" w:color="auto" w:fill="auto"/>
          </w:tcPr>
          <w:p w:rsidR="00EA543A" w:rsidRPr="00EA543A" w:rsidRDefault="00EA543A" w:rsidP="00EA543A">
            <w:pPr>
              <w:spacing w:line="240" w:lineRule="auto"/>
              <w:jc w:val="center"/>
              <w:rPr>
                <w:rFonts w:ascii="Times New Roman" w:hAnsi="Times New Roman" w:cs="Times New Roman"/>
                <w:b/>
                <w:sz w:val="24"/>
                <w:szCs w:val="24"/>
              </w:rPr>
            </w:pPr>
            <w:r w:rsidRPr="00EA543A">
              <w:rPr>
                <w:rFonts w:ascii="Segoe UI Symbol" w:eastAsia="MS Mincho" w:hAnsi="Segoe UI Symbol" w:cs="Segoe UI Symbol"/>
                <w:b/>
                <w:sz w:val="24"/>
                <w:szCs w:val="24"/>
              </w:rPr>
              <w:t>☐</w:t>
            </w:r>
          </w:p>
        </w:tc>
        <w:tc>
          <w:tcPr>
            <w:tcW w:w="1133" w:type="dxa"/>
            <w:tcBorders>
              <w:left w:val="nil"/>
              <w:right w:val="nil"/>
            </w:tcBorders>
            <w:shd w:val="clear" w:color="auto" w:fill="auto"/>
          </w:tcPr>
          <w:p w:rsidR="00EA543A" w:rsidRPr="00EA543A" w:rsidRDefault="00EA543A" w:rsidP="00EA543A">
            <w:pPr>
              <w:spacing w:line="240" w:lineRule="auto"/>
              <w:rPr>
                <w:rFonts w:ascii="Times New Roman" w:hAnsi="Times New Roman" w:cs="Times New Roman"/>
                <w:b/>
                <w:sz w:val="24"/>
                <w:szCs w:val="24"/>
              </w:rPr>
            </w:pPr>
            <w:r w:rsidRPr="00EA543A">
              <w:rPr>
                <w:rFonts w:ascii="Times New Roman" w:hAnsi="Times New Roman" w:cs="Times New Roman"/>
                <w:b/>
                <w:sz w:val="24"/>
                <w:szCs w:val="24"/>
              </w:rPr>
              <w:t>Žiadne</w:t>
            </w:r>
          </w:p>
        </w:tc>
        <w:tc>
          <w:tcPr>
            <w:tcW w:w="547" w:type="dxa"/>
            <w:gridSpan w:val="2"/>
            <w:tcBorders>
              <w:left w:val="nil"/>
              <w:right w:val="nil"/>
            </w:tcBorders>
            <w:shd w:val="clear" w:color="auto" w:fill="auto"/>
          </w:tcPr>
          <w:p w:rsidR="00EA543A" w:rsidRPr="00EA543A" w:rsidRDefault="00EA543A" w:rsidP="00EA543A">
            <w:pPr>
              <w:spacing w:line="240" w:lineRule="auto"/>
              <w:jc w:val="center"/>
              <w:rPr>
                <w:rFonts w:ascii="Times New Roman" w:hAnsi="Times New Roman" w:cs="Times New Roman"/>
                <w:b/>
                <w:sz w:val="24"/>
                <w:szCs w:val="24"/>
              </w:rPr>
            </w:pPr>
            <w:r w:rsidRPr="00EA543A">
              <w:rPr>
                <w:rFonts w:ascii="Segoe UI Symbol" w:eastAsia="MS Gothic" w:hAnsi="Segoe UI Symbol" w:cs="Segoe UI Symbol"/>
                <w:b/>
                <w:sz w:val="24"/>
                <w:szCs w:val="24"/>
              </w:rPr>
              <w:t>☒</w:t>
            </w:r>
          </w:p>
        </w:tc>
        <w:tc>
          <w:tcPr>
            <w:tcW w:w="1297" w:type="dxa"/>
            <w:tcBorders>
              <w:left w:val="nil"/>
            </w:tcBorders>
            <w:shd w:val="clear" w:color="auto" w:fill="auto"/>
          </w:tcPr>
          <w:p w:rsidR="00EA543A" w:rsidRPr="00EA543A" w:rsidRDefault="00EA543A" w:rsidP="00EA543A">
            <w:pPr>
              <w:spacing w:line="240" w:lineRule="auto"/>
              <w:ind w:left="54"/>
              <w:rPr>
                <w:rFonts w:ascii="Times New Roman" w:hAnsi="Times New Roman" w:cs="Times New Roman"/>
                <w:b/>
                <w:sz w:val="24"/>
                <w:szCs w:val="24"/>
              </w:rPr>
            </w:pPr>
            <w:r w:rsidRPr="00EA543A">
              <w:rPr>
                <w:rFonts w:ascii="Times New Roman" w:hAnsi="Times New Roman" w:cs="Times New Roman"/>
                <w:b/>
                <w:sz w:val="24"/>
                <w:szCs w:val="24"/>
              </w:rPr>
              <w:t>Negatívne</w:t>
            </w:r>
          </w:p>
        </w:tc>
      </w:tr>
      <w:tr w:rsidR="00EA543A" w:rsidRPr="00EA543A" w:rsidTr="00EA543A">
        <w:tc>
          <w:tcPr>
            <w:tcW w:w="3812" w:type="dxa"/>
            <w:tcBorders>
              <w:top w:val="nil"/>
              <w:left w:val="single" w:sz="4" w:space="0" w:color="000000"/>
              <w:bottom w:val="single" w:sz="4" w:space="0" w:color="000000"/>
              <w:right w:val="single" w:sz="4" w:space="0" w:color="000000"/>
            </w:tcBorders>
            <w:shd w:val="clear" w:color="auto" w:fill="E2E2E2"/>
          </w:tcPr>
          <w:p w:rsidR="00EA543A" w:rsidRPr="00EA543A" w:rsidRDefault="00EA543A" w:rsidP="00EA543A">
            <w:pPr>
              <w:spacing w:line="240" w:lineRule="auto"/>
              <w:rPr>
                <w:rFonts w:ascii="Times New Roman" w:hAnsi="Times New Roman" w:cs="Times New Roman"/>
                <w:sz w:val="24"/>
                <w:szCs w:val="24"/>
              </w:rPr>
            </w:pPr>
            <w:r w:rsidRPr="00EA543A">
              <w:rPr>
                <w:rFonts w:ascii="Times New Roman" w:hAnsi="Times New Roman" w:cs="Times New Roman"/>
                <w:sz w:val="24"/>
                <w:szCs w:val="24"/>
              </w:rPr>
              <w:t xml:space="preserve">    z toho vplyvy na MSP</w:t>
            </w:r>
          </w:p>
        </w:tc>
        <w:tc>
          <w:tcPr>
            <w:tcW w:w="541" w:type="dxa"/>
            <w:gridSpan w:val="2"/>
            <w:tcBorders>
              <w:left w:val="single" w:sz="4" w:space="0" w:color="000000"/>
              <w:right w:val="nil"/>
            </w:tcBorders>
            <w:shd w:val="clear" w:color="auto" w:fill="auto"/>
          </w:tcPr>
          <w:p w:rsidR="00EA543A" w:rsidRPr="00EA543A" w:rsidRDefault="00EA543A" w:rsidP="00EA543A">
            <w:pPr>
              <w:spacing w:line="240" w:lineRule="auto"/>
              <w:jc w:val="center"/>
              <w:rPr>
                <w:rFonts w:ascii="Times New Roman" w:hAnsi="Times New Roman" w:cs="Times New Roman"/>
                <w:sz w:val="24"/>
                <w:szCs w:val="24"/>
              </w:rPr>
            </w:pPr>
            <w:r w:rsidRPr="00EA543A">
              <w:rPr>
                <w:rFonts w:ascii="Segoe UI Symbol" w:eastAsia="MS Gothic" w:hAnsi="Segoe UI Symbol" w:cs="Segoe UI Symbol"/>
                <w:b/>
                <w:sz w:val="24"/>
                <w:szCs w:val="24"/>
              </w:rPr>
              <w:t>☒</w:t>
            </w:r>
          </w:p>
        </w:tc>
        <w:tc>
          <w:tcPr>
            <w:tcW w:w="1281" w:type="dxa"/>
            <w:gridSpan w:val="2"/>
            <w:tcBorders>
              <w:left w:val="nil"/>
              <w:right w:val="nil"/>
            </w:tcBorders>
            <w:shd w:val="clear" w:color="auto" w:fill="auto"/>
          </w:tcPr>
          <w:p w:rsidR="00EA543A" w:rsidRPr="00EA543A" w:rsidRDefault="00EA543A" w:rsidP="00EA543A">
            <w:pPr>
              <w:spacing w:line="240" w:lineRule="auto"/>
              <w:ind w:right="-108"/>
              <w:rPr>
                <w:rFonts w:ascii="Times New Roman" w:hAnsi="Times New Roman" w:cs="Times New Roman"/>
                <w:sz w:val="24"/>
                <w:szCs w:val="24"/>
              </w:rPr>
            </w:pPr>
            <w:r w:rsidRPr="00EA543A">
              <w:rPr>
                <w:rFonts w:ascii="Times New Roman" w:hAnsi="Times New Roman" w:cs="Times New Roman"/>
                <w:sz w:val="24"/>
                <w:szCs w:val="24"/>
              </w:rPr>
              <w:t>Pozitívne</w:t>
            </w:r>
          </w:p>
        </w:tc>
        <w:tc>
          <w:tcPr>
            <w:tcW w:w="569" w:type="dxa"/>
            <w:tcBorders>
              <w:left w:val="nil"/>
              <w:right w:val="nil"/>
            </w:tcBorders>
            <w:shd w:val="clear" w:color="auto" w:fill="auto"/>
          </w:tcPr>
          <w:p w:rsidR="00EA543A" w:rsidRPr="00EA543A" w:rsidRDefault="00EA543A" w:rsidP="00EA543A">
            <w:pPr>
              <w:spacing w:line="240" w:lineRule="auto"/>
              <w:jc w:val="center"/>
              <w:rPr>
                <w:rFonts w:ascii="Times New Roman" w:hAnsi="Times New Roman" w:cs="Times New Roman"/>
                <w:sz w:val="24"/>
                <w:szCs w:val="24"/>
              </w:rPr>
            </w:pPr>
            <w:r w:rsidRPr="00EA543A">
              <w:rPr>
                <w:rFonts w:ascii="Segoe UI Symbol" w:eastAsia="MS Mincho" w:hAnsi="Segoe UI Symbol" w:cs="Segoe UI Symbol"/>
                <w:b/>
                <w:sz w:val="24"/>
                <w:szCs w:val="24"/>
              </w:rPr>
              <w:t>☐</w:t>
            </w:r>
          </w:p>
        </w:tc>
        <w:tc>
          <w:tcPr>
            <w:tcW w:w="1133" w:type="dxa"/>
            <w:tcBorders>
              <w:left w:val="nil"/>
              <w:right w:val="nil"/>
            </w:tcBorders>
            <w:shd w:val="clear" w:color="auto" w:fill="auto"/>
          </w:tcPr>
          <w:p w:rsidR="00EA543A" w:rsidRPr="00EA543A" w:rsidRDefault="00EA543A" w:rsidP="00EA543A">
            <w:pPr>
              <w:spacing w:line="240" w:lineRule="auto"/>
              <w:rPr>
                <w:rFonts w:ascii="Times New Roman" w:hAnsi="Times New Roman" w:cs="Times New Roman"/>
                <w:sz w:val="24"/>
                <w:szCs w:val="24"/>
              </w:rPr>
            </w:pPr>
            <w:r w:rsidRPr="00EA543A">
              <w:rPr>
                <w:rFonts w:ascii="Times New Roman" w:hAnsi="Times New Roman" w:cs="Times New Roman"/>
                <w:sz w:val="24"/>
                <w:szCs w:val="24"/>
              </w:rPr>
              <w:t>Žiadne</w:t>
            </w:r>
          </w:p>
        </w:tc>
        <w:tc>
          <w:tcPr>
            <w:tcW w:w="547" w:type="dxa"/>
            <w:gridSpan w:val="2"/>
            <w:tcBorders>
              <w:left w:val="nil"/>
              <w:right w:val="nil"/>
            </w:tcBorders>
            <w:shd w:val="clear" w:color="auto" w:fill="auto"/>
          </w:tcPr>
          <w:p w:rsidR="00EA543A" w:rsidRPr="00EA543A" w:rsidRDefault="00EA543A" w:rsidP="00EA543A">
            <w:pPr>
              <w:spacing w:line="240" w:lineRule="auto"/>
              <w:jc w:val="center"/>
              <w:rPr>
                <w:rFonts w:ascii="Times New Roman" w:hAnsi="Times New Roman" w:cs="Times New Roman"/>
                <w:sz w:val="24"/>
                <w:szCs w:val="24"/>
              </w:rPr>
            </w:pPr>
            <w:r w:rsidRPr="00EA543A">
              <w:rPr>
                <w:rFonts w:ascii="Segoe UI Symbol" w:eastAsia="MS Gothic" w:hAnsi="Segoe UI Symbol" w:cs="Segoe UI Symbol"/>
                <w:b/>
                <w:sz w:val="24"/>
                <w:szCs w:val="24"/>
              </w:rPr>
              <w:t>☒</w:t>
            </w:r>
          </w:p>
        </w:tc>
        <w:tc>
          <w:tcPr>
            <w:tcW w:w="1297" w:type="dxa"/>
            <w:tcBorders>
              <w:left w:val="nil"/>
            </w:tcBorders>
            <w:shd w:val="clear" w:color="auto" w:fill="auto"/>
          </w:tcPr>
          <w:p w:rsidR="00EA543A" w:rsidRPr="00EA543A" w:rsidRDefault="00EA543A" w:rsidP="00EA543A">
            <w:pPr>
              <w:spacing w:line="240" w:lineRule="auto"/>
              <w:ind w:left="54"/>
              <w:rPr>
                <w:rFonts w:ascii="Times New Roman" w:hAnsi="Times New Roman" w:cs="Times New Roman"/>
                <w:sz w:val="24"/>
                <w:szCs w:val="24"/>
              </w:rPr>
            </w:pPr>
            <w:r w:rsidRPr="00EA543A">
              <w:rPr>
                <w:rFonts w:ascii="Times New Roman" w:hAnsi="Times New Roman" w:cs="Times New Roman"/>
                <w:sz w:val="24"/>
                <w:szCs w:val="24"/>
              </w:rPr>
              <w:t>Negatívne</w:t>
            </w:r>
          </w:p>
        </w:tc>
      </w:tr>
      <w:tr w:rsidR="00EA543A" w:rsidRPr="00EA543A" w:rsidTr="00EA543A">
        <w:tc>
          <w:tcPr>
            <w:tcW w:w="3812" w:type="dxa"/>
            <w:tcBorders>
              <w:top w:val="single" w:sz="4" w:space="0" w:color="000000"/>
            </w:tcBorders>
            <w:shd w:val="clear" w:color="auto" w:fill="E2E2E2"/>
          </w:tcPr>
          <w:p w:rsidR="00EA543A" w:rsidRPr="00EA543A" w:rsidRDefault="00EA543A" w:rsidP="00EA543A">
            <w:pPr>
              <w:spacing w:line="240" w:lineRule="auto"/>
              <w:rPr>
                <w:rFonts w:ascii="Times New Roman" w:hAnsi="Times New Roman" w:cs="Times New Roman"/>
                <w:b/>
                <w:sz w:val="24"/>
                <w:szCs w:val="24"/>
              </w:rPr>
            </w:pPr>
            <w:r w:rsidRPr="00EA543A">
              <w:rPr>
                <w:rFonts w:ascii="Times New Roman" w:hAnsi="Times New Roman" w:cs="Times New Roman"/>
                <w:b/>
                <w:sz w:val="24"/>
                <w:szCs w:val="24"/>
              </w:rPr>
              <w:t>Sociálne vplyvy</w:t>
            </w:r>
          </w:p>
        </w:tc>
        <w:tc>
          <w:tcPr>
            <w:tcW w:w="541" w:type="dxa"/>
            <w:gridSpan w:val="2"/>
            <w:tcBorders>
              <w:right w:val="nil"/>
            </w:tcBorders>
            <w:shd w:val="clear" w:color="auto" w:fill="auto"/>
          </w:tcPr>
          <w:p w:rsidR="00EA543A" w:rsidRPr="00EA543A" w:rsidRDefault="00EA543A" w:rsidP="00EA543A">
            <w:pPr>
              <w:spacing w:line="240" w:lineRule="auto"/>
              <w:jc w:val="center"/>
              <w:rPr>
                <w:rFonts w:ascii="Times New Roman" w:hAnsi="Times New Roman" w:cs="Times New Roman"/>
                <w:b/>
                <w:sz w:val="24"/>
                <w:szCs w:val="24"/>
              </w:rPr>
            </w:pPr>
            <w:r w:rsidRPr="00EA543A">
              <w:rPr>
                <w:rFonts w:ascii="Segoe UI Symbol" w:eastAsia="MS Gothic" w:hAnsi="Segoe UI Symbol" w:cs="Segoe UI Symbol"/>
                <w:b/>
                <w:sz w:val="24"/>
                <w:szCs w:val="24"/>
              </w:rPr>
              <w:t>☒</w:t>
            </w:r>
          </w:p>
        </w:tc>
        <w:tc>
          <w:tcPr>
            <w:tcW w:w="1281" w:type="dxa"/>
            <w:gridSpan w:val="2"/>
            <w:tcBorders>
              <w:left w:val="nil"/>
              <w:right w:val="nil"/>
            </w:tcBorders>
            <w:shd w:val="clear" w:color="auto" w:fill="auto"/>
          </w:tcPr>
          <w:p w:rsidR="00EA543A" w:rsidRPr="00EA543A" w:rsidRDefault="00EA543A" w:rsidP="00EA543A">
            <w:pPr>
              <w:spacing w:line="240" w:lineRule="auto"/>
              <w:ind w:right="-108"/>
              <w:rPr>
                <w:rFonts w:ascii="Times New Roman" w:hAnsi="Times New Roman" w:cs="Times New Roman"/>
                <w:b/>
                <w:sz w:val="24"/>
                <w:szCs w:val="24"/>
              </w:rPr>
            </w:pPr>
            <w:r w:rsidRPr="00EA543A">
              <w:rPr>
                <w:rFonts w:ascii="Times New Roman" w:hAnsi="Times New Roman" w:cs="Times New Roman"/>
                <w:b/>
                <w:sz w:val="24"/>
                <w:szCs w:val="24"/>
              </w:rPr>
              <w:t>Pozitívne</w:t>
            </w:r>
          </w:p>
        </w:tc>
        <w:tc>
          <w:tcPr>
            <w:tcW w:w="569" w:type="dxa"/>
            <w:tcBorders>
              <w:left w:val="nil"/>
              <w:right w:val="nil"/>
            </w:tcBorders>
            <w:shd w:val="clear" w:color="auto" w:fill="auto"/>
          </w:tcPr>
          <w:p w:rsidR="00EA543A" w:rsidRPr="00EA543A" w:rsidRDefault="00EA543A" w:rsidP="00EA543A">
            <w:pPr>
              <w:spacing w:line="240" w:lineRule="auto"/>
              <w:jc w:val="center"/>
              <w:rPr>
                <w:rFonts w:ascii="Times New Roman" w:hAnsi="Times New Roman" w:cs="Times New Roman"/>
                <w:b/>
                <w:sz w:val="24"/>
                <w:szCs w:val="24"/>
              </w:rPr>
            </w:pPr>
            <w:r w:rsidRPr="00EA543A">
              <w:rPr>
                <w:rFonts w:ascii="Segoe UI Symbol" w:eastAsia="MS Mincho" w:hAnsi="Segoe UI Symbol" w:cs="Segoe UI Symbol"/>
                <w:b/>
                <w:sz w:val="24"/>
                <w:szCs w:val="24"/>
              </w:rPr>
              <w:t>☐</w:t>
            </w:r>
          </w:p>
        </w:tc>
        <w:tc>
          <w:tcPr>
            <w:tcW w:w="1133" w:type="dxa"/>
            <w:tcBorders>
              <w:left w:val="nil"/>
              <w:right w:val="nil"/>
            </w:tcBorders>
            <w:shd w:val="clear" w:color="auto" w:fill="auto"/>
          </w:tcPr>
          <w:p w:rsidR="00EA543A" w:rsidRPr="00EA543A" w:rsidRDefault="00EA543A" w:rsidP="00EA543A">
            <w:pPr>
              <w:spacing w:line="240" w:lineRule="auto"/>
              <w:rPr>
                <w:rFonts w:ascii="Times New Roman" w:hAnsi="Times New Roman" w:cs="Times New Roman"/>
                <w:b/>
                <w:sz w:val="24"/>
                <w:szCs w:val="24"/>
              </w:rPr>
            </w:pPr>
            <w:r w:rsidRPr="00EA543A">
              <w:rPr>
                <w:rFonts w:ascii="Times New Roman" w:hAnsi="Times New Roman" w:cs="Times New Roman"/>
                <w:b/>
                <w:sz w:val="24"/>
                <w:szCs w:val="24"/>
              </w:rPr>
              <w:t>Žiadne</w:t>
            </w:r>
          </w:p>
        </w:tc>
        <w:tc>
          <w:tcPr>
            <w:tcW w:w="547" w:type="dxa"/>
            <w:gridSpan w:val="2"/>
            <w:tcBorders>
              <w:left w:val="nil"/>
              <w:right w:val="nil"/>
            </w:tcBorders>
            <w:shd w:val="clear" w:color="auto" w:fill="auto"/>
          </w:tcPr>
          <w:p w:rsidR="00EA543A" w:rsidRPr="00EA543A" w:rsidRDefault="00EA543A" w:rsidP="00EA543A">
            <w:pPr>
              <w:spacing w:line="240" w:lineRule="auto"/>
              <w:jc w:val="center"/>
              <w:rPr>
                <w:rFonts w:ascii="Times New Roman" w:hAnsi="Times New Roman" w:cs="Times New Roman"/>
                <w:b/>
                <w:sz w:val="24"/>
                <w:szCs w:val="24"/>
              </w:rPr>
            </w:pPr>
            <w:r w:rsidRPr="00EA543A">
              <w:rPr>
                <w:rFonts w:ascii="Segoe UI Symbol" w:eastAsia="MS Mincho" w:hAnsi="Segoe UI Symbol" w:cs="Segoe UI Symbol"/>
                <w:sz w:val="24"/>
                <w:szCs w:val="24"/>
              </w:rPr>
              <w:t>☐</w:t>
            </w:r>
          </w:p>
        </w:tc>
        <w:tc>
          <w:tcPr>
            <w:tcW w:w="1297" w:type="dxa"/>
            <w:tcBorders>
              <w:left w:val="nil"/>
            </w:tcBorders>
            <w:shd w:val="clear" w:color="auto" w:fill="auto"/>
          </w:tcPr>
          <w:p w:rsidR="00EA543A" w:rsidRPr="00EA543A" w:rsidRDefault="00EA543A" w:rsidP="00EA543A">
            <w:pPr>
              <w:spacing w:line="240" w:lineRule="auto"/>
              <w:ind w:left="54"/>
              <w:rPr>
                <w:rFonts w:ascii="Times New Roman" w:hAnsi="Times New Roman" w:cs="Times New Roman"/>
                <w:b/>
                <w:sz w:val="24"/>
                <w:szCs w:val="24"/>
              </w:rPr>
            </w:pPr>
            <w:r w:rsidRPr="00EA543A">
              <w:rPr>
                <w:rFonts w:ascii="Times New Roman" w:hAnsi="Times New Roman" w:cs="Times New Roman"/>
                <w:b/>
                <w:sz w:val="24"/>
                <w:szCs w:val="24"/>
              </w:rPr>
              <w:t>Negatívne</w:t>
            </w:r>
          </w:p>
        </w:tc>
      </w:tr>
      <w:tr w:rsidR="00EA543A" w:rsidRPr="00EA543A" w:rsidTr="00EA543A">
        <w:tc>
          <w:tcPr>
            <w:tcW w:w="3812" w:type="dxa"/>
            <w:shd w:val="clear" w:color="auto" w:fill="E2E2E2"/>
          </w:tcPr>
          <w:p w:rsidR="00EA543A" w:rsidRPr="00EA543A" w:rsidRDefault="00EA543A" w:rsidP="00EA543A">
            <w:pPr>
              <w:spacing w:line="240" w:lineRule="auto"/>
              <w:rPr>
                <w:rFonts w:ascii="Times New Roman" w:hAnsi="Times New Roman" w:cs="Times New Roman"/>
                <w:b/>
                <w:sz w:val="24"/>
                <w:szCs w:val="24"/>
              </w:rPr>
            </w:pPr>
            <w:r w:rsidRPr="00EA543A">
              <w:rPr>
                <w:rFonts w:ascii="Times New Roman" w:hAnsi="Times New Roman" w:cs="Times New Roman"/>
                <w:b/>
                <w:sz w:val="24"/>
                <w:szCs w:val="24"/>
              </w:rPr>
              <w:t>Vplyvy na životné prostredie</w:t>
            </w:r>
          </w:p>
        </w:tc>
        <w:tc>
          <w:tcPr>
            <w:tcW w:w="541" w:type="dxa"/>
            <w:gridSpan w:val="2"/>
            <w:tcBorders>
              <w:right w:val="nil"/>
            </w:tcBorders>
            <w:shd w:val="clear" w:color="auto" w:fill="auto"/>
          </w:tcPr>
          <w:p w:rsidR="00EA543A" w:rsidRPr="00EA543A" w:rsidRDefault="00EA543A" w:rsidP="00EA543A">
            <w:pPr>
              <w:spacing w:line="240" w:lineRule="auto"/>
              <w:jc w:val="center"/>
              <w:rPr>
                <w:rFonts w:ascii="Times New Roman" w:hAnsi="Times New Roman" w:cs="Times New Roman"/>
                <w:b/>
                <w:sz w:val="24"/>
                <w:szCs w:val="24"/>
              </w:rPr>
            </w:pPr>
            <w:r w:rsidRPr="00EA543A">
              <w:rPr>
                <w:rFonts w:ascii="Segoe UI Symbol" w:eastAsia="MS Gothic" w:hAnsi="Segoe UI Symbol" w:cs="Segoe UI Symbol"/>
                <w:b/>
                <w:sz w:val="24"/>
                <w:szCs w:val="24"/>
              </w:rPr>
              <w:t>☒</w:t>
            </w:r>
          </w:p>
        </w:tc>
        <w:tc>
          <w:tcPr>
            <w:tcW w:w="1281" w:type="dxa"/>
            <w:gridSpan w:val="2"/>
            <w:tcBorders>
              <w:left w:val="nil"/>
              <w:right w:val="nil"/>
            </w:tcBorders>
            <w:shd w:val="clear" w:color="auto" w:fill="auto"/>
          </w:tcPr>
          <w:p w:rsidR="00EA543A" w:rsidRPr="00EA543A" w:rsidRDefault="00EA543A" w:rsidP="00EA543A">
            <w:pPr>
              <w:spacing w:line="240" w:lineRule="auto"/>
              <w:ind w:right="-108"/>
              <w:rPr>
                <w:rFonts w:ascii="Times New Roman" w:hAnsi="Times New Roman" w:cs="Times New Roman"/>
                <w:b/>
                <w:sz w:val="24"/>
                <w:szCs w:val="24"/>
              </w:rPr>
            </w:pPr>
            <w:r w:rsidRPr="00EA543A">
              <w:rPr>
                <w:rFonts w:ascii="Times New Roman" w:hAnsi="Times New Roman" w:cs="Times New Roman"/>
                <w:b/>
                <w:sz w:val="24"/>
                <w:szCs w:val="24"/>
              </w:rPr>
              <w:t>Pozitívne</w:t>
            </w:r>
          </w:p>
        </w:tc>
        <w:tc>
          <w:tcPr>
            <w:tcW w:w="569" w:type="dxa"/>
            <w:tcBorders>
              <w:left w:val="nil"/>
              <w:right w:val="nil"/>
            </w:tcBorders>
            <w:shd w:val="clear" w:color="auto" w:fill="auto"/>
          </w:tcPr>
          <w:p w:rsidR="00EA543A" w:rsidRPr="00EA543A" w:rsidRDefault="00EA543A" w:rsidP="00EA543A">
            <w:pPr>
              <w:spacing w:line="240" w:lineRule="auto"/>
              <w:jc w:val="center"/>
              <w:rPr>
                <w:rFonts w:ascii="Times New Roman" w:hAnsi="Times New Roman" w:cs="Times New Roman"/>
                <w:b/>
                <w:sz w:val="24"/>
                <w:szCs w:val="24"/>
              </w:rPr>
            </w:pPr>
            <w:r w:rsidRPr="00EA543A">
              <w:rPr>
                <w:rFonts w:ascii="Segoe UI Symbol" w:eastAsia="MS Mincho" w:hAnsi="Segoe UI Symbol" w:cs="Segoe UI Symbol"/>
                <w:b/>
                <w:sz w:val="24"/>
                <w:szCs w:val="24"/>
              </w:rPr>
              <w:t>☐</w:t>
            </w:r>
          </w:p>
        </w:tc>
        <w:tc>
          <w:tcPr>
            <w:tcW w:w="1133" w:type="dxa"/>
            <w:tcBorders>
              <w:left w:val="nil"/>
              <w:right w:val="nil"/>
            </w:tcBorders>
            <w:shd w:val="clear" w:color="auto" w:fill="auto"/>
          </w:tcPr>
          <w:p w:rsidR="00EA543A" w:rsidRPr="00EA543A" w:rsidRDefault="00EA543A" w:rsidP="00EA543A">
            <w:pPr>
              <w:spacing w:line="240" w:lineRule="auto"/>
              <w:rPr>
                <w:rFonts w:ascii="Times New Roman" w:hAnsi="Times New Roman" w:cs="Times New Roman"/>
                <w:b/>
                <w:sz w:val="24"/>
                <w:szCs w:val="24"/>
              </w:rPr>
            </w:pPr>
            <w:r w:rsidRPr="00EA543A">
              <w:rPr>
                <w:rFonts w:ascii="Times New Roman" w:hAnsi="Times New Roman" w:cs="Times New Roman"/>
                <w:b/>
                <w:sz w:val="24"/>
                <w:szCs w:val="24"/>
              </w:rPr>
              <w:t>Žiadne</w:t>
            </w:r>
          </w:p>
        </w:tc>
        <w:tc>
          <w:tcPr>
            <w:tcW w:w="547" w:type="dxa"/>
            <w:gridSpan w:val="2"/>
            <w:tcBorders>
              <w:left w:val="nil"/>
              <w:right w:val="nil"/>
            </w:tcBorders>
            <w:shd w:val="clear" w:color="auto" w:fill="auto"/>
          </w:tcPr>
          <w:p w:rsidR="00EA543A" w:rsidRPr="00EA543A" w:rsidRDefault="00EA543A" w:rsidP="00EA543A">
            <w:pPr>
              <w:spacing w:line="240" w:lineRule="auto"/>
              <w:jc w:val="center"/>
              <w:rPr>
                <w:rFonts w:ascii="Times New Roman" w:hAnsi="Times New Roman" w:cs="Times New Roman"/>
                <w:b/>
                <w:sz w:val="24"/>
                <w:szCs w:val="24"/>
              </w:rPr>
            </w:pPr>
            <w:r w:rsidRPr="00EA543A">
              <w:rPr>
                <w:rFonts w:ascii="Segoe UI Symbol" w:eastAsia="MS Mincho" w:hAnsi="Segoe UI Symbol" w:cs="Segoe UI Symbol"/>
                <w:b/>
                <w:sz w:val="24"/>
                <w:szCs w:val="24"/>
              </w:rPr>
              <w:t>☐</w:t>
            </w:r>
          </w:p>
        </w:tc>
        <w:tc>
          <w:tcPr>
            <w:tcW w:w="1297" w:type="dxa"/>
            <w:tcBorders>
              <w:left w:val="nil"/>
            </w:tcBorders>
            <w:shd w:val="clear" w:color="auto" w:fill="auto"/>
          </w:tcPr>
          <w:p w:rsidR="00EA543A" w:rsidRPr="00EA543A" w:rsidRDefault="00EA543A" w:rsidP="00EA543A">
            <w:pPr>
              <w:spacing w:line="240" w:lineRule="auto"/>
              <w:ind w:left="54"/>
              <w:rPr>
                <w:rFonts w:ascii="Times New Roman" w:hAnsi="Times New Roman" w:cs="Times New Roman"/>
                <w:b/>
                <w:sz w:val="24"/>
                <w:szCs w:val="24"/>
              </w:rPr>
            </w:pPr>
            <w:r w:rsidRPr="00EA543A">
              <w:rPr>
                <w:rFonts w:ascii="Times New Roman" w:hAnsi="Times New Roman" w:cs="Times New Roman"/>
                <w:b/>
                <w:sz w:val="24"/>
                <w:szCs w:val="24"/>
              </w:rPr>
              <w:t>Negatívne</w:t>
            </w:r>
          </w:p>
        </w:tc>
      </w:tr>
      <w:tr w:rsidR="00EA543A" w:rsidRPr="00EA543A" w:rsidTr="00EA543A">
        <w:tc>
          <w:tcPr>
            <w:tcW w:w="3812" w:type="dxa"/>
            <w:shd w:val="clear" w:color="auto" w:fill="E2E2E2"/>
          </w:tcPr>
          <w:p w:rsidR="00EA543A" w:rsidRPr="00EA543A" w:rsidRDefault="00EA543A" w:rsidP="00EA543A">
            <w:pPr>
              <w:spacing w:line="240" w:lineRule="auto"/>
              <w:rPr>
                <w:rFonts w:ascii="Times New Roman" w:hAnsi="Times New Roman" w:cs="Times New Roman"/>
                <w:b/>
                <w:sz w:val="24"/>
                <w:szCs w:val="24"/>
              </w:rPr>
            </w:pPr>
            <w:r w:rsidRPr="00EA543A">
              <w:rPr>
                <w:rFonts w:ascii="Times New Roman" w:hAnsi="Times New Roman" w:cs="Times New Roman"/>
                <w:b/>
                <w:sz w:val="24"/>
                <w:szCs w:val="24"/>
              </w:rPr>
              <w:t>Vplyvy na informatizáciu</w:t>
            </w:r>
          </w:p>
        </w:tc>
        <w:tc>
          <w:tcPr>
            <w:tcW w:w="541" w:type="dxa"/>
            <w:gridSpan w:val="2"/>
            <w:tcBorders>
              <w:right w:val="nil"/>
            </w:tcBorders>
            <w:shd w:val="clear" w:color="auto" w:fill="auto"/>
          </w:tcPr>
          <w:p w:rsidR="00EA543A" w:rsidRPr="00EA543A" w:rsidRDefault="00EA543A" w:rsidP="00EA543A">
            <w:pPr>
              <w:spacing w:line="240" w:lineRule="auto"/>
              <w:jc w:val="center"/>
              <w:rPr>
                <w:rFonts w:ascii="Times New Roman" w:hAnsi="Times New Roman" w:cs="Times New Roman"/>
                <w:b/>
                <w:sz w:val="24"/>
                <w:szCs w:val="24"/>
              </w:rPr>
            </w:pPr>
            <w:r w:rsidRPr="00EA543A">
              <w:rPr>
                <w:rFonts w:ascii="Segoe UI Symbol" w:eastAsia="MS Mincho" w:hAnsi="Segoe UI Symbol" w:cs="Segoe UI Symbol"/>
                <w:b/>
                <w:sz w:val="24"/>
                <w:szCs w:val="24"/>
              </w:rPr>
              <w:t>☐</w:t>
            </w:r>
          </w:p>
        </w:tc>
        <w:tc>
          <w:tcPr>
            <w:tcW w:w="1281" w:type="dxa"/>
            <w:gridSpan w:val="2"/>
            <w:tcBorders>
              <w:left w:val="nil"/>
              <w:right w:val="nil"/>
            </w:tcBorders>
            <w:shd w:val="clear" w:color="auto" w:fill="auto"/>
          </w:tcPr>
          <w:p w:rsidR="00EA543A" w:rsidRPr="00EA543A" w:rsidRDefault="00EA543A" w:rsidP="00EA543A">
            <w:pPr>
              <w:spacing w:line="240" w:lineRule="auto"/>
              <w:ind w:right="-108"/>
              <w:rPr>
                <w:rFonts w:ascii="Times New Roman" w:hAnsi="Times New Roman" w:cs="Times New Roman"/>
                <w:b/>
                <w:sz w:val="24"/>
                <w:szCs w:val="24"/>
              </w:rPr>
            </w:pPr>
            <w:r w:rsidRPr="00EA543A">
              <w:rPr>
                <w:rFonts w:ascii="Times New Roman" w:hAnsi="Times New Roman" w:cs="Times New Roman"/>
                <w:b/>
                <w:sz w:val="24"/>
                <w:szCs w:val="24"/>
              </w:rPr>
              <w:t>Pozitívne</w:t>
            </w:r>
          </w:p>
        </w:tc>
        <w:tc>
          <w:tcPr>
            <w:tcW w:w="569" w:type="dxa"/>
            <w:tcBorders>
              <w:left w:val="nil"/>
              <w:right w:val="nil"/>
            </w:tcBorders>
            <w:shd w:val="clear" w:color="auto" w:fill="auto"/>
          </w:tcPr>
          <w:p w:rsidR="00EA543A" w:rsidRPr="00EA543A" w:rsidRDefault="00EA543A" w:rsidP="00EA543A">
            <w:pPr>
              <w:spacing w:line="240" w:lineRule="auto"/>
              <w:jc w:val="center"/>
              <w:rPr>
                <w:rFonts w:ascii="Times New Roman" w:hAnsi="Times New Roman" w:cs="Times New Roman"/>
                <w:b/>
                <w:sz w:val="24"/>
                <w:szCs w:val="24"/>
              </w:rPr>
            </w:pPr>
            <w:r w:rsidRPr="00EA543A">
              <w:rPr>
                <w:rFonts w:ascii="Segoe UI Symbol" w:eastAsia="MS Gothic" w:hAnsi="Segoe UI Symbol" w:cs="Segoe UI Symbol"/>
                <w:b/>
                <w:sz w:val="24"/>
                <w:szCs w:val="24"/>
              </w:rPr>
              <w:t>☒</w:t>
            </w:r>
          </w:p>
        </w:tc>
        <w:tc>
          <w:tcPr>
            <w:tcW w:w="1133" w:type="dxa"/>
            <w:tcBorders>
              <w:left w:val="nil"/>
              <w:right w:val="nil"/>
            </w:tcBorders>
            <w:shd w:val="clear" w:color="auto" w:fill="auto"/>
          </w:tcPr>
          <w:p w:rsidR="00EA543A" w:rsidRPr="00EA543A" w:rsidRDefault="00EA543A" w:rsidP="00EA543A">
            <w:pPr>
              <w:spacing w:line="240" w:lineRule="auto"/>
              <w:rPr>
                <w:rFonts w:ascii="Times New Roman" w:hAnsi="Times New Roman" w:cs="Times New Roman"/>
                <w:b/>
                <w:sz w:val="24"/>
                <w:szCs w:val="24"/>
              </w:rPr>
            </w:pPr>
            <w:r w:rsidRPr="00EA543A">
              <w:rPr>
                <w:rFonts w:ascii="Times New Roman" w:hAnsi="Times New Roman" w:cs="Times New Roman"/>
                <w:b/>
                <w:sz w:val="24"/>
                <w:szCs w:val="24"/>
              </w:rPr>
              <w:t>Žiadne</w:t>
            </w:r>
          </w:p>
        </w:tc>
        <w:tc>
          <w:tcPr>
            <w:tcW w:w="547" w:type="dxa"/>
            <w:gridSpan w:val="2"/>
            <w:tcBorders>
              <w:left w:val="nil"/>
              <w:right w:val="nil"/>
            </w:tcBorders>
            <w:shd w:val="clear" w:color="auto" w:fill="auto"/>
          </w:tcPr>
          <w:p w:rsidR="00EA543A" w:rsidRPr="00EA543A" w:rsidRDefault="00EA543A" w:rsidP="00EA543A">
            <w:pPr>
              <w:spacing w:line="240" w:lineRule="auto"/>
              <w:jc w:val="center"/>
              <w:rPr>
                <w:rFonts w:ascii="Times New Roman" w:hAnsi="Times New Roman" w:cs="Times New Roman"/>
                <w:b/>
                <w:sz w:val="24"/>
                <w:szCs w:val="24"/>
              </w:rPr>
            </w:pPr>
            <w:r w:rsidRPr="00EA543A">
              <w:rPr>
                <w:rFonts w:ascii="Segoe UI Symbol" w:eastAsia="MS Mincho" w:hAnsi="Segoe UI Symbol" w:cs="Segoe UI Symbol"/>
                <w:b/>
                <w:sz w:val="24"/>
                <w:szCs w:val="24"/>
              </w:rPr>
              <w:t>☐</w:t>
            </w:r>
          </w:p>
        </w:tc>
        <w:tc>
          <w:tcPr>
            <w:tcW w:w="1297" w:type="dxa"/>
            <w:tcBorders>
              <w:left w:val="nil"/>
            </w:tcBorders>
            <w:shd w:val="clear" w:color="auto" w:fill="auto"/>
          </w:tcPr>
          <w:p w:rsidR="00EA543A" w:rsidRPr="00EA543A" w:rsidRDefault="00EA543A" w:rsidP="00EA543A">
            <w:pPr>
              <w:spacing w:line="240" w:lineRule="auto"/>
              <w:ind w:left="54"/>
              <w:rPr>
                <w:rFonts w:ascii="Times New Roman" w:hAnsi="Times New Roman" w:cs="Times New Roman"/>
                <w:b/>
                <w:sz w:val="24"/>
                <w:szCs w:val="24"/>
              </w:rPr>
            </w:pPr>
            <w:r w:rsidRPr="00EA543A">
              <w:rPr>
                <w:rFonts w:ascii="Times New Roman" w:hAnsi="Times New Roman" w:cs="Times New Roman"/>
                <w:b/>
                <w:sz w:val="24"/>
                <w:szCs w:val="24"/>
              </w:rPr>
              <w:t>Negatívne</w:t>
            </w:r>
          </w:p>
        </w:tc>
      </w:tr>
    </w:tbl>
    <w:p w:rsidR="00EA543A" w:rsidRPr="00EA543A" w:rsidRDefault="00EA543A" w:rsidP="00EA543A">
      <w:pPr>
        <w:spacing w:line="240" w:lineRule="auto"/>
        <w:rPr>
          <w:rFonts w:ascii="Times New Roman" w:hAnsi="Times New Roman" w:cs="Times New Roman"/>
          <w:vanish/>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569"/>
        <w:gridCol w:w="1133"/>
        <w:gridCol w:w="547"/>
        <w:gridCol w:w="1297"/>
      </w:tblGrid>
      <w:tr w:rsidR="00EA543A" w:rsidRPr="00EA543A" w:rsidTr="00F45C2A">
        <w:tc>
          <w:tcPr>
            <w:tcW w:w="3812" w:type="dxa"/>
            <w:tcBorders>
              <w:bottom w:val="nil"/>
            </w:tcBorders>
            <w:shd w:val="clear" w:color="auto" w:fill="E2E2E2"/>
          </w:tcPr>
          <w:p w:rsidR="00EA543A" w:rsidRPr="00EA543A" w:rsidRDefault="00EA543A" w:rsidP="00EA543A">
            <w:pPr>
              <w:spacing w:line="240" w:lineRule="auto"/>
              <w:rPr>
                <w:rFonts w:ascii="Times New Roman" w:hAnsi="Times New Roman" w:cs="Times New Roman"/>
                <w:b/>
                <w:sz w:val="24"/>
                <w:szCs w:val="24"/>
              </w:rPr>
            </w:pPr>
            <w:r w:rsidRPr="00EA543A">
              <w:rPr>
                <w:rFonts w:ascii="Times New Roman" w:hAnsi="Times New Roman" w:cs="Times New Roman"/>
                <w:b/>
                <w:sz w:val="24"/>
                <w:szCs w:val="24"/>
              </w:rPr>
              <w:t>Vplyvy na služby verejnej správy pre občana, z toho</w:t>
            </w:r>
          </w:p>
        </w:tc>
        <w:tc>
          <w:tcPr>
            <w:tcW w:w="541" w:type="dxa"/>
            <w:tcBorders>
              <w:bottom w:val="nil"/>
              <w:right w:val="nil"/>
            </w:tcBorders>
          </w:tcPr>
          <w:p w:rsidR="00EA543A" w:rsidRPr="00EA543A" w:rsidRDefault="00EA543A" w:rsidP="00EA543A">
            <w:pPr>
              <w:spacing w:line="240" w:lineRule="auto"/>
              <w:jc w:val="center"/>
              <w:rPr>
                <w:rFonts w:ascii="Times New Roman" w:eastAsia="MS Mincho" w:hAnsi="Times New Roman" w:cs="Times New Roman"/>
                <w:b/>
                <w:sz w:val="24"/>
                <w:szCs w:val="24"/>
              </w:rPr>
            </w:pPr>
          </w:p>
        </w:tc>
        <w:tc>
          <w:tcPr>
            <w:tcW w:w="1281" w:type="dxa"/>
            <w:tcBorders>
              <w:left w:val="nil"/>
              <w:bottom w:val="nil"/>
              <w:right w:val="nil"/>
            </w:tcBorders>
          </w:tcPr>
          <w:p w:rsidR="00EA543A" w:rsidRPr="00EA543A" w:rsidRDefault="00EA543A" w:rsidP="00EA543A">
            <w:pPr>
              <w:spacing w:line="240" w:lineRule="auto"/>
              <w:ind w:right="-108"/>
              <w:rPr>
                <w:rFonts w:ascii="Times New Roman" w:hAnsi="Times New Roman" w:cs="Times New Roman"/>
                <w:b/>
                <w:sz w:val="24"/>
                <w:szCs w:val="24"/>
              </w:rPr>
            </w:pPr>
          </w:p>
        </w:tc>
        <w:tc>
          <w:tcPr>
            <w:tcW w:w="569" w:type="dxa"/>
            <w:tcBorders>
              <w:left w:val="nil"/>
              <w:bottom w:val="nil"/>
              <w:right w:val="nil"/>
            </w:tcBorders>
          </w:tcPr>
          <w:p w:rsidR="00EA543A" w:rsidRPr="00EA543A" w:rsidRDefault="00EA543A" w:rsidP="00EA543A">
            <w:pPr>
              <w:spacing w:line="240" w:lineRule="auto"/>
              <w:jc w:val="center"/>
              <w:rPr>
                <w:rFonts w:ascii="Times New Roman" w:eastAsia="MS Mincho" w:hAnsi="Times New Roman" w:cs="Times New Roman"/>
                <w:b/>
                <w:sz w:val="24"/>
                <w:szCs w:val="24"/>
              </w:rPr>
            </w:pPr>
          </w:p>
        </w:tc>
        <w:tc>
          <w:tcPr>
            <w:tcW w:w="1133" w:type="dxa"/>
            <w:tcBorders>
              <w:left w:val="nil"/>
              <w:bottom w:val="nil"/>
              <w:right w:val="nil"/>
            </w:tcBorders>
          </w:tcPr>
          <w:p w:rsidR="00EA543A" w:rsidRPr="00EA543A" w:rsidRDefault="00EA543A" w:rsidP="00EA543A">
            <w:pPr>
              <w:spacing w:line="240" w:lineRule="auto"/>
              <w:rPr>
                <w:rFonts w:ascii="Times New Roman" w:hAnsi="Times New Roman" w:cs="Times New Roman"/>
                <w:b/>
                <w:sz w:val="24"/>
                <w:szCs w:val="24"/>
              </w:rPr>
            </w:pPr>
          </w:p>
        </w:tc>
        <w:tc>
          <w:tcPr>
            <w:tcW w:w="547" w:type="dxa"/>
            <w:tcBorders>
              <w:left w:val="nil"/>
              <w:bottom w:val="nil"/>
              <w:right w:val="nil"/>
            </w:tcBorders>
          </w:tcPr>
          <w:p w:rsidR="00EA543A" w:rsidRPr="00EA543A" w:rsidRDefault="00EA543A" w:rsidP="00EA543A">
            <w:pPr>
              <w:spacing w:line="240" w:lineRule="auto"/>
              <w:jc w:val="center"/>
              <w:rPr>
                <w:rFonts w:ascii="Times New Roman" w:eastAsia="MS Mincho" w:hAnsi="Times New Roman" w:cs="Times New Roman"/>
                <w:b/>
                <w:sz w:val="24"/>
                <w:szCs w:val="24"/>
              </w:rPr>
            </w:pPr>
          </w:p>
        </w:tc>
        <w:tc>
          <w:tcPr>
            <w:tcW w:w="1297" w:type="dxa"/>
            <w:tcBorders>
              <w:left w:val="nil"/>
              <w:bottom w:val="nil"/>
            </w:tcBorders>
          </w:tcPr>
          <w:p w:rsidR="00EA543A" w:rsidRPr="00EA543A" w:rsidRDefault="00EA543A" w:rsidP="00EA543A">
            <w:pPr>
              <w:spacing w:line="240" w:lineRule="auto"/>
              <w:ind w:left="54"/>
              <w:rPr>
                <w:rFonts w:ascii="Times New Roman" w:hAnsi="Times New Roman" w:cs="Times New Roman"/>
                <w:b/>
                <w:sz w:val="24"/>
                <w:szCs w:val="24"/>
              </w:rPr>
            </w:pPr>
          </w:p>
        </w:tc>
      </w:tr>
      <w:tr w:rsidR="00EA543A" w:rsidRPr="00EA543A" w:rsidTr="00F45C2A">
        <w:tc>
          <w:tcPr>
            <w:tcW w:w="3812" w:type="dxa"/>
            <w:tcBorders>
              <w:top w:val="nil"/>
              <w:bottom w:val="nil"/>
            </w:tcBorders>
            <w:shd w:val="clear" w:color="auto" w:fill="E2E2E2"/>
          </w:tcPr>
          <w:p w:rsidR="00EA543A" w:rsidRPr="00EA543A" w:rsidRDefault="00EA543A" w:rsidP="00EA543A">
            <w:pPr>
              <w:spacing w:line="240" w:lineRule="auto"/>
              <w:ind w:left="196" w:hanging="196"/>
              <w:rPr>
                <w:rFonts w:ascii="Times New Roman" w:hAnsi="Times New Roman" w:cs="Times New Roman"/>
                <w:b/>
                <w:sz w:val="24"/>
                <w:szCs w:val="24"/>
              </w:rPr>
            </w:pPr>
            <w:r w:rsidRPr="00EA543A">
              <w:rPr>
                <w:rFonts w:ascii="Times New Roman" w:hAnsi="Times New Roman" w:cs="Times New Roman"/>
                <w:b/>
                <w:sz w:val="24"/>
                <w:szCs w:val="24"/>
              </w:rPr>
              <w:t xml:space="preserve">    vplyvy služieb verejnej správy na občana</w:t>
            </w:r>
          </w:p>
        </w:tc>
        <w:tc>
          <w:tcPr>
            <w:tcW w:w="541" w:type="dxa"/>
            <w:tcBorders>
              <w:top w:val="nil"/>
              <w:bottom w:val="nil"/>
              <w:right w:val="nil"/>
            </w:tcBorders>
          </w:tcPr>
          <w:p w:rsidR="00EA543A" w:rsidRPr="00EA543A" w:rsidRDefault="00EA543A" w:rsidP="00EA543A">
            <w:pPr>
              <w:spacing w:line="240" w:lineRule="auto"/>
              <w:jc w:val="center"/>
              <w:rPr>
                <w:rFonts w:ascii="Times New Roman" w:eastAsia="MS Mincho" w:hAnsi="Times New Roman" w:cs="Times New Roman"/>
                <w:b/>
                <w:sz w:val="24"/>
                <w:szCs w:val="24"/>
              </w:rPr>
            </w:pPr>
            <w:r w:rsidRPr="00EA543A">
              <w:rPr>
                <w:rFonts w:ascii="Segoe UI Symbol" w:eastAsia="MS Mincho" w:hAnsi="Segoe UI Symbol" w:cs="Segoe UI Symbol"/>
                <w:sz w:val="24"/>
                <w:szCs w:val="24"/>
              </w:rPr>
              <w:t>☐</w:t>
            </w:r>
          </w:p>
        </w:tc>
        <w:tc>
          <w:tcPr>
            <w:tcW w:w="1281" w:type="dxa"/>
            <w:tcBorders>
              <w:top w:val="nil"/>
              <w:left w:val="nil"/>
              <w:bottom w:val="nil"/>
              <w:right w:val="nil"/>
            </w:tcBorders>
          </w:tcPr>
          <w:p w:rsidR="00EA543A" w:rsidRPr="00EA543A" w:rsidRDefault="00EA543A" w:rsidP="00EA543A">
            <w:pPr>
              <w:spacing w:line="240" w:lineRule="auto"/>
              <w:ind w:right="-108"/>
              <w:rPr>
                <w:rFonts w:ascii="Times New Roman" w:hAnsi="Times New Roman" w:cs="Times New Roman"/>
                <w:b/>
                <w:sz w:val="24"/>
                <w:szCs w:val="24"/>
              </w:rPr>
            </w:pPr>
            <w:r w:rsidRPr="00EA543A">
              <w:rPr>
                <w:rFonts w:ascii="Times New Roman" w:hAnsi="Times New Roman" w:cs="Times New Roman"/>
                <w:b/>
                <w:sz w:val="24"/>
                <w:szCs w:val="24"/>
              </w:rPr>
              <w:t>Pozitívne</w:t>
            </w:r>
          </w:p>
        </w:tc>
        <w:tc>
          <w:tcPr>
            <w:tcW w:w="569" w:type="dxa"/>
            <w:tcBorders>
              <w:top w:val="nil"/>
              <w:left w:val="nil"/>
              <w:bottom w:val="nil"/>
              <w:right w:val="nil"/>
            </w:tcBorders>
          </w:tcPr>
          <w:p w:rsidR="00EA543A" w:rsidRPr="00EA543A" w:rsidRDefault="00EA543A" w:rsidP="00EA543A">
            <w:pPr>
              <w:spacing w:line="240" w:lineRule="auto"/>
              <w:jc w:val="center"/>
              <w:rPr>
                <w:rFonts w:ascii="Times New Roman" w:eastAsia="MS Mincho" w:hAnsi="Times New Roman" w:cs="Times New Roman"/>
                <w:b/>
                <w:sz w:val="24"/>
                <w:szCs w:val="24"/>
              </w:rPr>
            </w:pPr>
            <w:r w:rsidRPr="00EA543A">
              <w:rPr>
                <w:rFonts w:ascii="Segoe UI Symbol" w:eastAsia="MS Gothic" w:hAnsi="Segoe UI Symbol" w:cs="Segoe UI Symbol"/>
                <w:b/>
                <w:sz w:val="24"/>
                <w:szCs w:val="24"/>
              </w:rPr>
              <w:t>☒</w:t>
            </w:r>
          </w:p>
        </w:tc>
        <w:tc>
          <w:tcPr>
            <w:tcW w:w="1133" w:type="dxa"/>
            <w:tcBorders>
              <w:top w:val="nil"/>
              <w:left w:val="nil"/>
              <w:bottom w:val="nil"/>
              <w:right w:val="nil"/>
            </w:tcBorders>
          </w:tcPr>
          <w:p w:rsidR="00EA543A" w:rsidRPr="00EA543A" w:rsidRDefault="00EA543A" w:rsidP="00EA543A">
            <w:pPr>
              <w:spacing w:line="240" w:lineRule="auto"/>
              <w:rPr>
                <w:rFonts w:ascii="Times New Roman" w:hAnsi="Times New Roman" w:cs="Times New Roman"/>
                <w:b/>
                <w:sz w:val="24"/>
                <w:szCs w:val="24"/>
              </w:rPr>
            </w:pPr>
            <w:r w:rsidRPr="00EA543A">
              <w:rPr>
                <w:rFonts w:ascii="Times New Roman" w:hAnsi="Times New Roman" w:cs="Times New Roman"/>
                <w:b/>
                <w:sz w:val="24"/>
                <w:szCs w:val="24"/>
              </w:rPr>
              <w:t>Žiadne</w:t>
            </w:r>
          </w:p>
        </w:tc>
        <w:tc>
          <w:tcPr>
            <w:tcW w:w="547" w:type="dxa"/>
            <w:tcBorders>
              <w:top w:val="nil"/>
              <w:left w:val="nil"/>
              <w:bottom w:val="nil"/>
              <w:right w:val="nil"/>
            </w:tcBorders>
          </w:tcPr>
          <w:p w:rsidR="00EA543A" w:rsidRPr="00EA543A" w:rsidRDefault="00EA543A" w:rsidP="00EA543A">
            <w:pPr>
              <w:spacing w:line="240" w:lineRule="auto"/>
              <w:jc w:val="center"/>
              <w:rPr>
                <w:rFonts w:ascii="Times New Roman" w:eastAsia="MS Mincho" w:hAnsi="Times New Roman" w:cs="Times New Roman"/>
                <w:b/>
                <w:sz w:val="24"/>
                <w:szCs w:val="24"/>
              </w:rPr>
            </w:pPr>
            <w:r w:rsidRPr="00EA543A">
              <w:rPr>
                <w:rFonts w:ascii="Segoe UI Symbol" w:eastAsia="MS Mincho" w:hAnsi="Segoe UI Symbol" w:cs="Segoe UI Symbol"/>
                <w:sz w:val="24"/>
                <w:szCs w:val="24"/>
              </w:rPr>
              <w:t>☐</w:t>
            </w:r>
          </w:p>
        </w:tc>
        <w:tc>
          <w:tcPr>
            <w:tcW w:w="1297" w:type="dxa"/>
            <w:tcBorders>
              <w:top w:val="nil"/>
              <w:left w:val="nil"/>
              <w:bottom w:val="nil"/>
            </w:tcBorders>
          </w:tcPr>
          <w:p w:rsidR="00EA543A" w:rsidRPr="00EA543A" w:rsidRDefault="00EA543A" w:rsidP="00EA543A">
            <w:pPr>
              <w:spacing w:line="240" w:lineRule="auto"/>
              <w:ind w:left="54"/>
              <w:rPr>
                <w:rFonts w:ascii="Times New Roman" w:hAnsi="Times New Roman" w:cs="Times New Roman"/>
                <w:b/>
                <w:sz w:val="24"/>
                <w:szCs w:val="24"/>
              </w:rPr>
            </w:pPr>
            <w:r w:rsidRPr="00EA543A">
              <w:rPr>
                <w:rFonts w:ascii="Times New Roman" w:hAnsi="Times New Roman" w:cs="Times New Roman"/>
                <w:b/>
                <w:sz w:val="24"/>
                <w:szCs w:val="24"/>
              </w:rPr>
              <w:t>Negatívne</w:t>
            </w:r>
          </w:p>
        </w:tc>
      </w:tr>
      <w:tr w:rsidR="00EA543A" w:rsidRPr="00EA543A" w:rsidTr="00F45C2A">
        <w:tc>
          <w:tcPr>
            <w:tcW w:w="3812" w:type="dxa"/>
            <w:tcBorders>
              <w:top w:val="nil"/>
              <w:bottom w:val="single" w:sz="4" w:space="0" w:color="auto"/>
            </w:tcBorders>
            <w:shd w:val="clear" w:color="auto" w:fill="E2E2E2"/>
          </w:tcPr>
          <w:p w:rsidR="00EA543A" w:rsidRPr="00EA543A" w:rsidRDefault="00EA543A" w:rsidP="00EA543A">
            <w:pPr>
              <w:spacing w:line="240" w:lineRule="auto"/>
              <w:ind w:left="168" w:hanging="168"/>
              <w:rPr>
                <w:rFonts w:ascii="Times New Roman" w:hAnsi="Times New Roman" w:cs="Times New Roman"/>
                <w:b/>
                <w:sz w:val="24"/>
                <w:szCs w:val="24"/>
              </w:rPr>
            </w:pPr>
            <w:r w:rsidRPr="00EA543A">
              <w:rPr>
                <w:rFonts w:ascii="Times New Roman" w:hAnsi="Times New Roman" w:cs="Times New Roman"/>
                <w:b/>
                <w:sz w:val="24"/>
                <w:szCs w:val="24"/>
              </w:rPr>
              <w:t xml:space="preserve">    vplyvy na procesy služieb vo verejnej správe</w:t>
            </w:r>
          </w:p>
        </w:tc>
        <w:tc>
          <w:tcPr>
            <w:tcW w:w="541" w:type="dxa"/>
            <w:tcBorders>
              <w:top w:val="nil"/>
              <w:bottom w:val="single" w:sz="4" w:space="0" w:color="auto"/>
              <w:right w:val="nil"/>
            </w:tcBorders>
          </w:tcPr>
          <w:p w:rsidR="00EA543A" w:rsidRPr="00EA543A" w:rsidRDefault="00EA543A" w:rsidP="00EA543A">
            <w:pPr>
              <w:spacing w:line="240" w:lineRule="auto"/>
              <w:jc w:val="center"/>
              <w:rPr>
                <w:rFonts w:ascii="Times New Roman" w:eastAsia="MS Mincho" w:hAnsi="Times New Roman" w:cs="Times New Roman"/>
                <w:b/>
                <w:sz w:val="24"/>
                <w:szCs w:val="24"/>
              </w:rPr>
            </w:pPr>
            <w:r w:rsidRPr="00EA543A">
              <w:rPr>
                <w:rFonts w:ascii="Segoe UI Symbol" w:eastAsia="MS Mincho" w:hAnsi="Segoe UI Symbol" w:cs="Segoe UI Symbol"/>
                <w:sz w:val="24"/>
                <w:szCs w:val="24"/>
              </w:rPr>
              <w:t>☐</w:t>
            </w:r>
          </w:p>
        </w:tc>
        <w:tc>
          <w:tcPr>
            <w:tcW w:w="1281" w:type="dxa"/>
            <w:tcBorders>
              <w:top w:val="nil"/>
              <w:left w:val="nil"/>
              <w:bottom w:val="single" w:sz="4" w:space="0" w:color="auto"/>
              <w:right w:val="nil"/>
            </w:tcBorders>
          </w:tcPr>
          <w:p w:rsidR="00EA543A" w:rsidRPr="00EA543A" w:rsidRDefault="00EA543A" w:rsidP="00EA543A">
            <w:pPr>
              <w:spacing w:line="240" w:lineRule="auto"/>
              <w:ind w:right="-108"/>
              <w:rPr>
                <w:rFonts w:ascii="Times New Roman" w:hAnsi="Times New Roman" w:cs="Times New Roman"/>
                <w:b/>
                <w:sz w:val="24"/>
                <w:szCs w:val="24"/>
              </w:rPr>
            </w:pPr>
            <w:r w:rsidRPr="00EA543A">
              <w:rPr>
                <w:rFonts w:ascii="Times New Roman" w:hAnsi="Times New Roman" w:cs="Times New Roman"/>
                <w:b/>
                <w:sz w:val="24"/>
                <w:szCs w:val="24"/>
              </w:rPr>
              <w:t>Pozitívne</w:t>
            </w:r>
          </w:p>
        </w:tc>
        <w:tc>
          <w:tcPr>
            <w:tcW w:w="569" w:type="dxa"/>
            <w:tcBorders>
              <w:top w:val="nil"/>
              <w:left w:val="nil"/>
              <w:bottom w:val="single" w:sz="4" w:space="0" w:color="auto"/>
              <w:right w:val="nil"/>
            </w:tcBorders>
          </w:tcPr>
          <w:p w:rsidR="00EA543A" w:rsidRPr="00EA543A" w:rsidRDefault="00EA543A" w:rsidP="00EA543A">
            <w:pPr>
              <w:spacing w:line="240" w:lineRule="auto"/>
              <w:jc w:val="center"/>
              <w:rPr>
                <w:rFonts w:ascii="Times New Roman" w:eastAsia="MS Mincho" w:hAnsi="Times New Roman" w:cs="Times New Roman"/>
                <w:b/>
                <w:sz w:val="24"/>
                <w:szCs w:val="24"/>
              </w:rPr>
            </w:pPr>
            <w:r w:rsidRPr="00EA543A">
              <w:rPr>
                <w:rFonts w:ascii="Segoe UI Symbol" w:eastAsia="MS Gothic" w:hAnsi="Segoe UI Symbol" w:cs="Segoe UI Symbol"/>
                <w:b/>
                <w:sz w:val="24"/>
                <w:szCs w:val="24"/>
              </w:rPr>
              <w:t>☒</w:t>
            </w:r>
          </w:p>
        </w:tc>
        <w:tc>
          <w:tcPr>
            <w:tcW w:w="1133" w:type="dxa"/>
            <w:tcBorders>
              <w:top w:val="nil"/>
              <w:left w:val="nil"/>
              <w:bottom w:val="single" w:sz="4" w:space="0" w:color="auto"/>
              <w:right w:val="nil"/>
            </w:tcBorders>
          </w:tcPr>
          <w:p w:rsidR="00EA543A" w:rsidRPr="00EA543A" w:rsidRDefault="00EA543A" w:rsidP="00EA543A">
            <w:pPr>
              <w:spacing w:line="240" w:lineRule="auto"/>
              <w:rPr>
                <w:rFonts w:ascii="Times New Roman" w:hAnsi="Times New Roman" w:cs="Times New Roman"/>
                <w:b/>
                <w:sz w:val="24"/>
                <w:szCs w:val="24"/>
              </w:rPr>
            </w:pPr>
            <w:r w:rsidRPr="00EA543A">
              <w:rPr>
                <w:rFonts w:ascii="Times New Roman" w:hAnsi="Times New Roman" w:cs="Times New Roman"/>
                <w:b/>
                <w:sz w:val="24"/>
                <w:szCs w:val="24"/>
              </w:rPr>
              <w:t>Žiadne</w:t>
            </w:r>
          </w:p>
        </w:tc>
        <w:tc>
          <w:tcPr>
            <w:tcW w:w="547" w:type="dxa"/>
            <w:tcBorders>
              <w:top w:val="nil"/>
              <w:left w:val="nil"/>
              <w:bottom w:val="single" w:sz="4" w:space="0" w:color="auto"/>
              <w:right w:val="nil"/>
            </w:tcBorders>
          </w:tcPr>
          <w:p w:rsidR="00EA543A" w:rsidRPr="00EA543A" w:rsidRDefault="00EA543A" w:rsidP="00EA543A">
            <w:pPr>
              <w:spacing w:line="240" w:lineRule="auto"/>
              <w:jc w:val="center"/>
              <w:rPr>
                <w:rFonts w:ascii="Times New Roman" w:eastAsia="MS Mincho" w:hAnsi="Times New Roman" w:cs="Times New Roman"/>
                <w:b/>
                <w:sz w:val="24"/>
                <w:szCs w:val="24"/>
              </w:rPr>
            </w:pPr>
            <w:r w:rsidRPr="00EA543A">
              <w:rPr>
                <w:rFonts w:ascii="Segoe UI Symbol" w:eastAsia="MS Mincho" w:hAnsi="Segoe UI Symbol" w:cs="Segoe UI Symbol"/>
                <w:sz w:val="24"/>
                <w:szCs w:val="24"/>
              </w:rPr>
              <w:t>☐</w:t>
            </w:r>
          </w:p>
        </w:tc>
        <w:tc>
          <w:tcPr>
            <w:tcW w:w="1297" w:type="dxa"/>
            <w:tcBorders>
              <w:top w:val="nil"/>
              <w:left w:val="nil"/>
              <w:bottom w:val="single" w:sz="4" w:space="0" w:color="auto"/>
            </w:tcBorders>
          </w:tcPr>
          <w:p w:rsidR="00EA543A" w:rsidRPr="00EA543A" w:rsidRDefault="00EA543A" w:rsidP="00EA543A">
            <w:pPr>
              <w:spacing w:line="240" w:lineRule="auto"/>
              <w:ind w:left="54"/>
              <w:rPr>
                <w:rFonts w:ascii="Times New Roman" w:hAnsi="Times New Roman" w:cs="Times New Roman"/>
                <w:b/>
                <w:sz w:val="24"/>
                <w:szCs w:val="24"/>
              </w:rPr>
            </w:pPr>
            <w:r w:rsidRPr="00EA543A">
              <w:rPr>
                <w:rFonts w:ascii="Times New Roman" w:hAnsi="Times New Roman" w:cs="Times New Roman"/>
                <w:b/>
                <w:sz w:val="24"/>
                <w:szCs w:val="24"/>
              </w:rPr>
              <w:t>Negatívne</w:t>
            </w:r>
          </w:p>
        </w:tc>
      </w:tr>
      <w:tr w:rsidR="00EA543A" w:rsidRPr="00EA543A" w:rsidTr="00F45C2A">
        <w:tc>
          <w:tcPr>
            <w:tcW w:w="3812" w:type="dxa"/>
            <w:tcBorders>
              <w:top w:val="single" w:sz="4" w:space="0" w:color="auto"/>
            </w:tcBorders>
            <w:shd w:val="clear" w:color="auto" w:fill="E2E2E2"/>
          </w:tcPr>
          <w:p w:rsidR="00EA543A" w:rsidRPr="00EA543A" w:rsidRDefault="00EA543A" w:rsidP="00EA543A">
            <w:pPr>
              <w:spacing w:line="240" w:lineRule="auto"/>
              <w:rPr>
                <w:rFonts w:ascii="Times New Roman" w:hAnsi="Times New Roman" w:cs="Times New Roman"/>
                <w:b/>
                <w:sz w:val="24"/>
                <w:szCs w:val="24"/>
              </w:rPr>
            </w:pPr>
            <w:r w:rsidRPr="00EA543A">
              <w:rPr>
                <w:rFonts w:ascii="Times New Roman" w:hAnsi="Times New Roman" w:cs="Times New Roman"/>
                <w:b/>
                <w:sz w:val="24"/>
                <w:szCs w:val="24"/>
              </w:rPr>
              <w:t>Vplyvy na manželstvo, rodičovstvo a rodinu</w:t>
            </w:r>
          </w:p>
        </w:tc>
        <w:tc>
          <w:tcPr>
            <w:tcW w:w="541" w:type="dxa"/>
            <w:tcBorders>
              <w:top w:val="single" w:sz="4" w:space="0" w:color="auto"/>
              <w:right w:val="nil"/>
            </w:tcBorders>
            <w:vAlign w:val="center"/>
          </w:tcPr>
          <w:p w:rsidR="00EA543A" w:rsidRPr="00EA543A" w:rsidRDefault="00EA543A" w:rsidP="00EA543A">
            <w:pPr>
              <w:spacing w:line="240" w:lineRule="auto"/>
              <w:jc w:val="center"/>
              <w:rPr>
                <w:rFonts w:ascii="Times New Roman" w:hAnsi="Times New Roman" w:cs="Times New Roman"/>
                <w:b/>
                <w:sz w:val="24"/>
                <w:szCs w:val="24"/>
              </w:rPr>
            </w:pPr>
            <w:r w:rsidRPr="00EA543A">
              <w:rPr>
                <w:rFonts w:ascii="Segoe UI Symbol" w:eastAsia="MS Mincho" w:hAnsi="Segoe UI Symbol" w:cs="Segoe UI Symbol"/>
                <w:b/>
                <w:sz w:val="24"/>
                <w:szCs w:val="24"/>
              </w:rPr>
              <w:t>☐</w:t>
            </w:r>
          </w:p>
        </w:tc>
        <w:tc>
          <w:tcPr>
            <w:tcW w:w="1281" w:type="dxa"/>
            <w:tcBorders>
              <w:top w:val="single" w:sz="4" w:space="0" w:color="auto"/>
              <w:left w:val="nil"/>
              <w:right w:val="nil"/>
            </w:tcBorders>
            <w:vAlign w:val="center"/>
          </w:tcPr>
          <w:p w:rsidR="00EA543A" w:rsidRPr="00EA543A" w:rsidRDefault="00EA543A" w:rsidP="00EA543A">
            <w:pPr>
              <w:spacing w:line="240" w:lineRule="auto"/>
              <w:ind w:right="-108"/>
              <w:jc w:val="center"/>
              <w:rPr>
                <w:rFonts w:ascii="Times New Roman" w:hAnsi="Times New Roman" w:cs="Times New Roman"/>
                <w:b/>
                <w:sz w:val="24"/>
                <w:szCs w:val="24"/>
              </w:rPr>
            </w:pPr>
            <w:r w:rsidRPr="00EA543A">
              <w:rPr>
                <w:rFonts w:ascii="Times New Roman" w:hAnsi="Times New Roman" w:cs="Times New Roman"/>
                <w:b/>
                <w:sz w:val="24"/>
                <w:szCs w:val="24"/>
              </w:rPr>
              <w:t>Pozitívne</w:t>
            </w:r>
          </w:p>
        </w:tc>
        <w:tc>
          <w:tcPr>
            <w:tcW w:w="569" w:type="dxa"/>
            <w:tcBorders>
              <w:top w:val="single" w:sz="4" w:space="0" w:color="auto"/>
              <w:left w:val="nil"/>
              <w:right w:val="nil"/>
            </w:tcBorders>
            <w:vAlign w:val="center"/>
          </w:tcPr>
          <w:p w:rsidR="00EA543A" w:rsidRPr="00EA543A" w:rsidRDefault="00EA543A" w:rsidP="00EA543A">
            <w:pPr>
              <w:spacing w:line="240" w:lineRule="auto"/>
              <w:jc w:val="center"/>
              <w:rPr>
                <w:rFonts w:ascii="Times New Roman" w:hAnsi="Times New Roman" w:cs="Times New Roman"/>
                <w:b/>
                <w:sz w:val="24"/>
                <w:szCs w:val="24"/>
              </w:rPr>
            </w:pPr>
            <w:r w:rsidRPr="00EA543A">
              <w:rPr>
                <w:rFonts w:ascii="Segoe UI Symbol" w:eastAsia="MS Gothic" w:hAnsi="Segoe UI Symbol" w:cs="Segoe UI Symbol"/>
                <w:b/>
                <w:sz w:val="24"/>
                <w:szCs w:val="24"/>
              </w:rPr>
              <w:t>☒</w:t>
            </w:r>
          </w:p>
        </w:tc>
        <w:tc>
          <w:tcPr>
            <w:tcW w:w="1133" w:type="dxa"/>
            <w:tcBorders>
              <w:top w:val="single" w:sz="4" w:space="0" w:color="auto"/>
              <w:left w:val="nil"/>
              <w:right w:val="nil"/>
            </w:tcBorders>
            <w:vAlign w:val="center"/>
          </w:tcPr>
          <w:p w:rsidR="00EA543A" w:rsidRPr="00EA543A" w:rsidRDefault="00EA543A" w:rsidP="00EA543A">
            <w:pPr>
              <w:spacing w:line="240" w:lineRule="auto"/>
              <w:jc w:val="center"/>
              <w:rPr>
                <w:rFonts w:ascii="Times New Roman" w:hAnsi="Times New Roman" w:cs="Times New Roman"/>
                <w:b/>
                <w:sz w:val="24"/>
                <w:szCs w:val="24"/>
              </w:rPr>
            </w:pPr>
            <w:r w:rsidRPr="00EA543A">
              <w:rPr>
                <w:rFonts w:ascii="Times New Roman" w:hAnsi="Times New Roman" w:cs="Times New Roman"/>
                <w:b/>
                <w:sz w:val="24"/>
                <w:szCs w:val="24"/>
              </w:rPr>
              <w:t>Žiadne</w:t>
            </w:r>
          </w:p>
        </w:tc>
        <w:tc>
          <w:tcPr>
            <w:tcW w:w="547" w:type="dxa"/>
            <w:tcBorders>
              <w:top w:val="single" w:sz="4" w:space="0" w:color="auto"/>
              <w:left w:val="nil"/>
              <w:right w:val="nil"/>
            </w:tcBorders>
            <w:vAlign w:val="center"/>
          </w:tcPr>
          <w:p w:rsidR="00EA543A" w:rsidRPr="00EA543A" w:rsidRDefault="00EA543A" w:rsidP="00EA543A">
            <w:pPr>
              <w:spacing w:line="240" w:lineRule="auto"/>
              <w:jc w:val="center"/>
              <w:rPr>
                <w:rFonts w:ascii="Times New Roman" w:hAnsi="Times New Roman" w:cs="Times New Roman"/>
                <w:b/>
                <w:sz w:val="24"/>
                <w:szCs w:val="24"/>
              </w:rPr>
            </w:pPr>
            <w:r w:rsidRPr="00EA543A">
              <w:rPr>
                <w:rFonts w:ascii="Segoe UI Symbol" w:eastAsia="MS Mincho" w:hAnsi="Segoe UI Symbol" w:cs="Segoe UI Symbol"/>
                <w:b/>
                <w:sz w:val="24"/>
                <w:szCs w:val="24"/>
              </w:rPr>
              <w:t>☐</w:t>
            </w:r>
          </w:p>
        </w:tc>
        <w:tc>
          <w:tcPr>
            <w:tcW w:w="1297" w:type="dxa"/>
            <w:tcBorders>
              <w:top w:val="single" w:sz="4" w:space="0" w:color="auto"/>
              <w:left w:val="nil"/>
            </w:tcBorders>
            <w:vAlign w:val="center"/>
          </w:tcPr>
          <w:p w:rsidR="00EA543A" w:rsidRPr="00EA543A" w:rsidRDefault="00EA543A" w:rsidP="00EA543A">
            <w:pPr>
              <w:spacing w:line="240" w:lineRule="auto"/>
              <w:ind w:left="54"/>
              <w:jc w:val="center"/>
              <w:rPr>
                <w:rFonts w:ascii="Times New Roman" w:hAnsi="Times New Roman" w:cs="Times New Roman"/>
                <w:b/>
                <w:sz w:val="24"/>
                <w:szCs w:val="24"/>
              </w:rPr>
            </w:pPr>
            <w:r w:rsidRPr="00EA543A">
              <w:rPr>
                <w:rFonts w:ascii="Times New Roman" w:hAnsi="Times New Roman" w:cs="Times New Roman"/>
                <w:b/>
                <w:sz w:val="24"/>
                <w:szCs w:val="24"/>
              </w:rPr>
              <w:t>Negatívne</w:t>
            </w:r>
          </w:p>
        </w:tc>
      </w:tr>
      <w:tr w:rsidR="00EA543A" w:rsidRPr="00EA543A" w:rsidTr="00F45C2A">
        <w:tc>
          <w:tcPr>
            <w:tcW w:w="9176" w:type="dxa"/>
            <w:gridSpan w:val="7"/>
            <w:tcBorders>
              <w:bottom w:val="nil"/>
            </w:tcBorders>
            <w:shd w:val="clear" w:color="auto" w:fill="E2E2E2"/>
          </w:tcPr>
          <w:p w:rsidR="00EA543A" w:rsidRPr="00EA543A" w:rsidRDefault="00EA543A" w:rsidP="00EA543A">
            <w:pPr>
              <w:pStyle w:val="Odsekzoznamu"/>
              <w:numPr>
                <w:ilvl w:val="0"/>
                <w:numId w:val="6"/>
              </w:numPr>
              <w:spacing w:after="0" w:line="240" w:lineRule="auto"/>
              <w:ind w:left="426"/>
              <w:rPr>
                <w:rFonts w:ascii="Times New Roman" w:hAnsi="Times New Roman" w:cs="Times New Roman"/>
                <w:b/>
                <w:sz w:val="24"/>
                <w:szCs w:val="24"/>
              </w:rPr>
            </w:pPr>
            <w:r w:rsidRPr="00EA543A">
              <w:rPr>
                <w:rFonts w:ascii="Times New Roman" w:hAnsi="Times New Roman" w:cs="Times New Roman"/>
                <w:b/>
                <w:sz w:val="24"/>
                <w:szCs w:val="24"/>
              </w:rPr>
              <w:t>Poznámky</w:t>
            </w:r>
          </w:p>
        </w:tc>
      </w:tr>
      <w:tr w:rsidR="00EA543A" w:rsidRPr="00EA543A" w:rsidTr="00F45C2A">
        <w:trPr>
          <w:trHeight w:val="713"/>
        </w:trPr>
        <w:tc>
          <w:tcPr>
            <w:tcW w:w="9176" w:type="dxa"/>
            <w:gridSpan w:val="7"/>
            <w:tcBorders>
              <w:top w:val="nil"/>
              <w:bottom w:val="single" w:sz="4" w:space="0" w:color="FFFFFF"/>
            </w:tcBorders>
            <w:shd w:val="clear" w:color="auto" w:fill="auto"/>
          </w:tcPr>
          <w:p w:rsidR="00EA543A" w:rsidRPr="00EA543A" w:rsidRDefault="00EA543A" w:rsidP="00EA543A">
            <w:pPr>
              <w:pStyle w:val="Odsekzoznamu"/>
              <w:spacing w:after="0" w:line="240" w:lineRule="auto"/>
              <w:ind w:left="426"/>
              <w:rPr>
                <w:rFonts w:ascii="Times New Roman" w:hAnsi="Times New Roman" w:cs="Times New Roman"/>
                <w:b/>
                <w:sz w:val="24"/>
                <w:szCs w:val="24"/>
              </w:rPr>
            </w:pPr>
          </w:p>
        </w:tc>
      </w:tr>
      <w:tr w:rsidR="00EA543A" w:rsidRPr="00EA543A" w:rsidTr="00F45C2A">
        <w:tc>
          <w:tcPr>
            <w:tcW w:w="9176" w:type="dxa"/>
            <w:gridSpan w:val="7"/>
            <w:tcBorders>
              <w:bottom w:val="single" w:sz="4" w:space="0" w:color="FFFFFF"/>
            </w:tcBorders>
            <w:shd w:val="clear" w:color="auto" w:fill="E2E2E2"/>
          </w:tcPr>
          <w:p w:rsidR="00EA543A" w:rsidRPr="00EA543A" w:rsidRDefault="00EA543A" w:rsidP="00EA543A">
            <w:pPr>
              <w:pStyle w:val="Odsekzoznamu"/>
              <w:numPr>
                <w:ilvl w:val="0"/>
                <w:numId w:val="6"/>
              </w:numPr>
              <w:spacing w:after="0" w:line="240" w:lineRule="auto"/>
              <w:ind w:left="426"/>
              <w:rPr>
                <w:rFonts w:ascii="Times New Roman" w:hAnsi="Times New Roman" w:cs="Times New Roman"/>
                <w:b/>
                <w:sz w:val="24"/>
                <w:szCs w:val="24"/>
              </w:rPr>
            </w:pPr>
            <w:r w:rsidRPr="00EA543A">
              <w:rPr>
                <w:rFonts w:ascii="Times New Roman" w:hAnsi="Times New Roman" w:cs="Times New Roman"/>
                <w:b/>
                <w:sz w:val="24"/>
                <w:szCs w:val="24"/>
              </w:rPr>
              <w:t>Kontakt na spracovateľa</w:t>
            </w:r>
          </w:p>
        </w:tc>
      </w:tr>
      <w:tr w:rsidR="00EA543A" w:rsidRPr="00EA543A" w:rsidTr="00F45C2A">
        <w:trPr>
          <w:trHeight w:val="586"/>
        </w:trPr>
        <w:tc>
          <w:tcPr>
            <w:tcW w:w="9176" w:type="dxa"/>
            <w:gridSpan w:val="7"/>
            <w:tcBorders>
              <w:top w:val="single" w:sz="4" w:space="0" w:color="FFFFFF"/>
            </w:tcBorders>
            <w:shd w:val="clear" w:color="auto" w:fill="FFFFFF"/>
          </w:tcPr>
          <w:p w:rsidR="00EA543A" w:rsidRDefault="00EA543A" w:rsidP="00EA543A">
            <w:pPr>
              <w:spacing w:line="240" w:lineRule="auto"/>
              <w:rPr>
                <w:rFonts w:ascii="Times New Roman" w:hAnsi="Times New Roman" w:cs="Times New Roman"/>
                <w:sz w:val="24"/>
                <w:szCs w:val="24"/>
              </w:rPr>
            </w:pPr>
            <w:hyperlink r:id="rId8" w:history="1">
              <w:r w:rsidRPr="00EA543A">
                <w:rPr>
                  <w:rStyle w:val="Hypertextovprepojenie"/>
                  <w:rFonts w:ascii="Times New Roman" w:hAnsi="Times New Roman"/>
                  <w:sz w:val="24"/>
                  <w:szCs w:val="24"/>
                </w:rPr>
                <w:t>michaela.vidova@mfsr.sk</w:t>
              </w:r>
            </w:hyperlink>
            <w:r w:rsidRPr="00EA543A">
              <w:rPr>
                <w:rFonts w:ascii="Times New Roman" w:hAnsi="Times New Roman" w:cs="Times New Roman"/>
                <w:sz w:val="24"/>
                <w:szCs w:val="24"/>
              </w:rPr>
              <w:t>, tel.: 5958 3480</w:t>
            </w:r>
          </w:p>
          <w:p w:rsidR="00F45C2A" w:rsidRPr="00EA543A" w:rsidRDefault="00F45C2A" w:rsidP="00EA543A">
            <w:pPr>
              <w:spacing w:line="240" w:lineRule="auto"/>
              <w:rPr>
                <w:rFonts w:ascii="Times New Roman" w:hAnsi="Times New Roman" w:cs="Times New Roman"/>
                <w:sz w:val="24"/>
                <w:szCs w:val="24"/>
              </w:rPr>
            </w:pPr>
          </w:p>
        </w:tc>
      </w:tr>
      <w:tr w:rsidR="00EA543A" w:rsidRPr="00EA543A" w:rsidTr="00F45C2A">
        <w:tc>
          <w:tcPr>
            <w:tcW w:w="9176" w:type="dxa"/>
            <w:gridSpan w:val="7"/>
            <w:tcBorders>
              <w:bottom w:val="single" w:sz="4" w:space="0" w:color="FFFFFF"/>
            </w:tcBorders>
            <w:shd w:val="clear" w:color="auto" w:fill="E2E2E2"/>
          </w:tcPr>
          <w:p w:rsidR="00EA543A" w:rsidRPr="00EA543A" w:rsidRDefault="00EA543A" w:rsidP="00EA543A">
            <w:pPr>
              <w:pStyle w:val="Odsekzoznamu"/>
              <w:numPr>
                <w:ilvl w:val="0"/>
                <w:numId w:val="6"/>
              </w:numPr>
              <w:spacing w:after="0" w:line="240" w:lineRule="auto"/>
              <w:ind w:left="426"/>
              <w:rPr>
                <w:rFonts w:ascii="Times New Roman" w:hAnsi="Times New Roman" w:cs="Times New Roman"/>
                <w:b/>
                <w:sz w:val="24"/>
                <w:szCs w:val="24"/>
              </w:rPr>
            </w:pPr>
            <w:r w:rsidRPr="00EA543A">
              <w:rPr>
                <w:rFonts w:ascii="Times New Roman" w:hAnsi="Times New Roman" w:cs="Times New Roman"/>
                <w:b/>
                <w:sz w:val="24"/>
                <w:szCs w:val="24"/>
              </w:rPr>
              <w:t>Zdroje</w:t>
            </w:r>
          </w:p>
        </w:tc>
      </w:tr>
      <w:tr w:rsidR="00EA543A" w:rsidRPr="00EA543A" w:rsidTr="00F45C2A">
        <w:trPr>
          <w:trHeight w:val="401"/>
        </w:trPr>
        <w:tc>
          <w:tcPr>
            <w:tcW w:w="9176" w:type="dxa"/>
            <w:gridSpan w:val="7"/>
            <w:tcBorders>
              <w:top w:val="single" w:sz="4" w:space="0" w:color="FFFFFF"/>
            </w:tcBorders>
            <w:shd w:val="clear" w:color="auto" w:fill="FFFFFF"/>
          </w:tcPr>
          <w:p w:rsidR="00EA543A" w:rsidRDefault="00EA543A" w:rsidP="00EA543A">
            <w:pPr>
              <w:spacing w:line="240" w:lineRule="auto"/>
              <w:rPr>
                <w:rFonts w:ascii="Times New Roman" w:hAnsi="Times New Roman" w:cs="Times New Roman"/>
                <w:sz w:val="24"/>
                <w:szCs w:val="24"/>
              </w:rPr>
            </w:pPr>
            <w:r w:rsidRPr="00EA543A">
              <w:rPr>
                <w:rFonts w:ascii="Times New Roman" w:hAnsi="Times New Roman" w:cs="Times New Roman"/>
                <w:sz w:val="24"/>
                <w:szCs w:val="24"/>
              </w:rPr>
              <w:t xml:space="preserve">Inštitút finančnej politiky, MF SR </w:t>
            </w:r>
          </w:p>
          <w:p w:rsidR="00F45C2A" w:rsidRPr="00EA543A" w:rsidRDefault="00F45C2A" w:rsidP="00EA543A">
            <w:pPr>
              <w:spacing w:line="240" w:lineRule="auto"/>
              <w:rPr>
                <w:rFonts w:ascii="Times New Roman" w:hAnsi="Times New Roman" w:cs="Times New Roman"/>
                <w:b/>
                <w:sz w:val="24"/>
                <w:szCs w:val="24"/>
              </w:rPr>
            </w:pPr>
          </w:p>
        </w:tc>
      </w:tr>
      <w:tr w:rsidR="00EA543A" w:rsidRPr="00EA543A" w:rsidTr="00F45C2A">
        <w:tc>
          <w:tcPr>
            <w:tcW w:w="9176" w:type="dxa"/>
            <w:gridSpan w:val="7"/>
            <w:tcBorders>
              <w:bottom w:val="single" w:sz="4" w:space="0" w:color="auto"/>
            </w:tcBorders>
            <w:shd w:val="clear" w:color="auto" w:fill="E2E2E2"/>
          </w:tcPr>
          <w:p w:rsidR="00EA543A" w:rsidRPr="00EA543A" w:rsidRDefault="00EA543A" w:rsidP="00EA543A">
            <w:pPr>
              <w:pStyle w:val="Odsekzoznamu"/>
              <w:numPr>
                <w:ilvl w:val="0"/>
                <w:numId w:val="6"/>
              </w:numPr>
              <w:spacing w:after="0" w:line="240" w:lineRule="auto"/>
              <w:ind w:left="426"/>
              <w:rPr>
                <w:rFonts w:ascii="Times New Roman" w:hAnsi="Times New Roman" w:cs="Times New Roman"/>
                <w:b/>
                <w:sz w:val="24"/>
                <w:szCs w:val="24"/>
              </w:rPr>
            </w:pPr>
            <w:r w:rsidRPr="00EA543A">
              <w:rPr>
                <w:rFonts w:ascii="Times New Roman" w:hAnsi="Times New Roman" w:cs="Times New Roman"/>
                <w:b/>
                <w:sz w:val="24"/>
                <w:szCs w:val="24"/>
              </w:rPr>
              <w:lastRenderedPageBreak/>
              <w:t>Stanovisko Komisie pre posudzovanie vybraných vplyvov z PPK</w:t>
            </w:r>
          </w:p>
        </w:tc>
      </w:tr>
      <w:tr w:rsidR="00EA543A" w:rsidRPr="00EA543A" w:rsidTr="00F45C2A">
        <w:tc>
          <w:tcPr>
            <w:tcW w:w="9176" w:type="dxa"/>
            <w:gridSpan w:val="7"/>
            <w:tcBorders>
              <w:top w:val="single" w:sz="4" w:space="0" w:color="auto"/>
            </w:tcBorders>
            <w:shd w:val="clear" w:color="auto" w:fill="FFFFFF"/>
          </w:tcPr>
          <w:p w:rsidR="00EA543A" w:rsidRPr="00EA543A" w:rsidRDefault="00EA543A" w:rsidP="00EA543A">
            <w:pPr>
              <w:spacing w:line="240" w:lineRule="auto"/>
              <w:jc w:val="both"/>
              <w:rPr>
                <w:rFonts w:ascii="Times New Roman" w:hAnsi="Times New Roman" w:cs="Times New Roman"/>
                <w:bCs/>
                <w:sz w:val="24"/>
                <w:szCs w:val="24"/>
              </w:rPr>
            </w:pPr>
            <w:r w:rsidRPr="00EA543A">
              <w:rPr>
                <w:rFonts w:ascii="Times New Roman" w:hAnsi="Times New Roman" w:cs="Times New Roman"/>
                <w:bCs/>
                <w:sz w:val="24"/>
                <w:szCs w:val="24"/>
              </w:rPr>
              <w:t>V rámci záverečného posúdenia komisia pre posudzovanie vybraných vplyvov k predmetnému materiálu zaslala nesúhlasné stanovisko uvedené nižšie:</w:t>
            </w:r>
          </w:p>
          <w:p w:rsidR="00EA543A" w:rsidRPr="00EA543A" w:rsidRDefault="00EA543A" w:rsidP="00EA543A">
            <w:pPr>
              <w:spacing w:line="240" w:lineRule="auto"/>
              <w:jc w:val="both"/>
              <w:rPr>
                <w:rFonts w:ascii="Times New Roman" w:hAnsi="Times New Roman" w:cs="Times New Roman"/>
                <w:b/>
                <w:bCs/>
                <w:sz w:val="24"/>
                <w:szCs w:val="24"/>
              </w:rPr>
            </w:pPr>
            <w:r w:rsidRPr="00EA543A">
              <w:rPr>
                <w:rFonts w:ascii="Times New Roman" w:hAnsi="Times New Roman" w:cs="Times New Roman"/>
                <w:b/>
                <w:bCs/>
                <w:sz w:val="24"/>
                <w:szCs w:val="24"/>
              </w:rPr>
              <w:t>K vplyvom na podnikateľské prostredie</w:t>
            </w:r>
          </w:p>
          <w:p w:rsidR="00EA543A" w:rsidRPr="00EA543A" w:rsidRDefault="00EA543A" w:rsidP="00EA543A">
            <w:pPr>
              <w:spacing w:line="240" w:lineRule="auto"/>
              <w:jc w:val="both"/>
              <w:rPr>
                <w:rFonts w:ascii="Times New Roman" w:hAnsi="Times New Roman" w:cs="Times New Roman"/>
                <w:bCs/>
                <w:sz w:val="24"/>
                <w:szCs w:val="24"/>
              </w:rPr>
            </w:pPr>
            <w:r w:rsidRPr="00EA543A">
              <w:rPr>
                <w:rFonts w:ascii="Times New Roman" w:hAnsi="Times New Roman" w:cs="Times New Roman"/>
                <w:bCs/>
                <w:sz w:val="24"/>
                <w:szCs w:val="24"/>
              </w:rPr>
              <w:t>Komisia žiada predkladateľa o vyznačenie negatívneho vplyvu na podnikateľské prostredie, vrátane negatívneho vplyvu na malé a stredné podniky  v časti 9. Vplyvy navrhovaného materiálu Doložky vybraných vplyvov, čím uvedie do súladu Doložku s tvrdením uvádzaným v Analýze vplyvov na podnikateľské prostredie.</w:t>
            </w:r>
          </w:p>
          <w:p w:rsidR="00EA543A" w:rsidRPr="00EA543A" w:rsidRDefault="00EA543A" w:rsidP="00EA543A">
            <w:pPr>
              <w:spacing w:line="240" w:lineRule="auto"/>
              <w:jc w:val="both"/>
              <w:rPr>
                <w:rFonts w:ascii="Times New Roman" w:hAnsi="Times New Roman" w:cs="Times New Roman"/>
                <w:bCs/>
                <w:sz w:val="24"/>
                <w:szCs w:val="24"/>
              </w:rPr>
            </w:pPr>
            <w:r w:rsidRPr="00EA543A">
              <w:rPr>
                <w:rFonts w:ascii="Times New Roman" w:hAnsi="Times New Roman" w:cs="Times New Roman"/>
                <w:bCs/>
                <w:sz w:val="24"/>
                <w:szCs w:val="24"/>
              </w:rPr>
              <w:t>Odôvodnenie: Predloženou reguláciou sa zavádza rozšírenie výdavkov (nákladov) po zaplatení o služby týkajúce sa vedenia firiem a poradenské služby v oblasti podnikového riadenia podľa kódu 70.1 a 70.22.1</w:t>
            </w:r>
          </w:p>
          <w:p w:rsidR="00EA543A" w:rsidRPr="00EA543A" w:rsidRDefault="00EA543A" w:rsidP="00EA543A">
            <w:pPr>
              <w:spacing w:line="240" w:lineRule="auto"/>
              <w:jc w:val="both"/>
              <w:rPr>
                <w:rFonts w:ascii="Times New Roman" w:hAnsi="Times New Roman" w:cs="Times New Roman"/>
                <w:b/>
                <w:bCs/>
                <w:sz w:val="24"/>
                <w:szCs w:val="24"/>
              </w:rPr>
            </w:pPr>
            <w:r w:rsidRPr="00EA543A">
              <w:rPr>
                <w:rFonts w:ascii="Times New Roman" w:hAnsi="Times New Roman" w:cs="Times New Roman"/>
                <w:b/>
                <w:bCs/>
                <w:sz w:val="24"/>
                <w:szCs w:val="24"/>
              </w:rPr>
              <w:t>K analýze vplyvov na podnikateľské prostredie</w:t>
            </w:r>
          </w:p>
          <w:p w:rsidR="00EA543A" w:rsidRPr="00EA543A" w:rsidRDefault="00EA543A" w:rsidP="00EA543A">
            <w:pPr>
              <w:spacing w:line="240" w:lineRule="auto"/>
              <w:jc w:val="both"/>
              <w:rPr>
                <w:rFonts w:ascii="Times New Roman" w:hAnsi="Times New Roman" w:cs="Times New Roman"/>
                <w:bCs/>
                <w:sz w:val="24"/>
                <w:szCs w:val="24"/>
              </w:rPr>
            </w:pPr>
            <w:r w:rsidRPr="00EA543A">
              <w:rPr>
                <w:rFonts w:ascii="Times New Roman" w:hAnsi="Times New Roman" w:cs="Times New Roman"/>
                <w:bCs/>
                <w:sz w:val="24"/>
                <w:szCs w:val="24"/>
              </w:rPr>
              <w:t>V bode 3.1 komisia žiada predkladateľa o doplnenie vyčíslenia počtu daňovníkov, ktorých sa regulácie dotkne k nejakému dátumu (napr. k 31. 12. 2018, 31. 03. 2019) podľa uváženia.</w:t>
            </w:r>
          </w:p>
          <w:p w:rsidR="00EA543A" w:rsidRPr="00EA543A" w:rsidRDefault="00EA543A" w:rsidP="00EA543A">
            <w:pPr>
              <w:spacing w:line="240" w:lineRule="auto"/>
              <w:jc w:val="both"/>
              <w:rPr>
                <w:rFonts w:ascii="Times New Roman" w:hAnsi="Times New Roman" w:cs="Times New Roman"/>
                <w:bCs/>
                <w:sz w:val="24"/>
                <w:szCs w:val="24"/>
              </w:rPr>
            </w:pPr>
            <w:r w:rsidRPr="00EA543A">
              <w:rPr>
                <w:rFonts w:ascii="Times New Roman" w:hAnsi="Times New Roman" w:cs="Times New Roman"/>
                <w:bCs/>
                <w:sz w:val="24"/>
                <w:szCs w:val="24"/>
              </w:rPr>
              <w:t>Odôvodnenie: Komisia má za to, že predkladateľ by mal disponovať informáciami o tom, pre koľko podnikateľských subjektov sa regulácia znižuje (</w:t>
            </w:r>
            <w:proofErr w:type="spellStart"/>
            <w:r w:rsidRPr="00EA543A">
              <w:rPr>
                <w:rFonts w:ascii="Times New Roman" w:hAnsi="Times New Roman" w:cs="Times New Roman"/>
                <w:bCs/>
                <w:sz w:val="24"/>
                <w:szCs w:val="24"/>
              </w:rPr>
              <w:t>mikrodaňovníkov</w:t>
            </w:r>
            <w:proofErr w:type="spellEnd"/>
            <w:r w:rsidRPr="00EA543A">
              <w:rPr>
                <w:rFonts w:ascii="Times New Roman" w:hAnsi="Times New Roman" w:cs="Times New Roman"/>
                <w:bCs/>
                <w:sz w:val="24"/>
                <w:szCs w:val="24"/>
              </w:rPr>
              <w:t>), alebo koľkých sa dotkne, pričom ale máme za to, že určité ustanovenia sa týkajú všetkých. Minimálne Komisia žiada uviesť číselný údaj koľko takýchto subjektov mala finančná správa v predchádzajúcom období. Ide o dodržanie postupu podľa Jednotenej metodiky na posudzovanie vybraných vplyvov.</w:t>
            </w:r>
          </w:p>
          <w:p w:rsidR="00EA543A" w:rsidRPr="00EA543A" w:rsidRDefault="00EA543A" w:rsidP="00EA543A">
            <w:pPr>
              <w:spacing w:line="240" w:lineRule="auto"/>
              <w:jc w:val="both"/>
              <w:rPr>
                <w:rFonts w:ascii="Times New Roman" w:hAnsi="Times New Roman" w:cs="Times New Roman"/>
                <w:bCs/>
                <w:sz w:val="24"/>
                <w:szCs w:val="24"/>
              </w:rPr>
            </w:pPr>
            <w:r w:rsidRPr="00EA543A">
              <w:rPr>
                <w:rFonts w:ascii="Times New Roman" w:hAnsi="Times New Roman" w:cs="Times New Roman"/>
                <w:bCs/>
                <w:sz w:val="24"/>
                <w:szCs w:val="24"/>
              </w:rPr>
              <w:t>V bode 3.3.4 komisia žiada predkladateľa o vyčíslenie pozitívnych a negatívnych vplyvov danej regulácie do časti 3.3.4 analýzy vplyvov na podnikateľské prostredie.</w:t>
            </w:r>
          </w:p>
          <w:p w:rsidR="00EA543A" w:rsidRPr="00EA543A" w:rsidRDefault="00EA543A" w:rsidP="00EA543A">
            <w:pPr>
              <w:spacing w:line="240" w:lineRule="auto"/>
              <w:jc w:val="both"/>
              <w:rPr>
                <w:rFonts w:ascii="Times New Roman" w:hAnsi="Times New Roman" w:cs="Times New Roman"/>
                <w:bCs/>
                <w:sz w:val="24"/>
                <w:szCs w:val="24"/>
              </w:rPr>
            </w:pPr>
            <w:r w:rsidRPr="00EA543A">
              <w:rPr>
                <w:rFonts w:ascii="Times New Roman" w:hAnsi="Times New Roman" w:cs="Times New Roman"/>
                <w:bCs/>
                <w:sz w:val="24"/>
                <w:szCs w:val="24"/>
              </w:rPr>
              <w:t>Odôvodnenie: Predkladateľ na viacerých miestach uvádza zníženie nákladov podnikateľských subjektov, pričom ale nie je jasné aké reálne vplyvy navrhovaná regulácia prinesie a s akou úsporou je možné rátať. Komisia odporúča tieto pozitívne vplyvy vyčísliť aspoň na jedného podnikateľa. Zároveň Komisia odporúča vyčísliť aj odhadované negatívne vplyvy spojené s nepriamymi náklady regulácie (softvérové zabezpečenie) a to vo forme buď rozpätia alebo priemernou cenou a tiež nákladov spojených so zavedením § 17, prípadne ďalších, ktoré identifikuje predkladateľ. Metodika výpočtu bude súčasnosťou tabuľky 3.3.4.</w:t>
            </w:r>
          </w:p>
          <w:p w:rsidR="00EA543A" w:rsidRPr="00EA543A" w:rsidRDefault="00EA543A" w:rsidP="00EA543A">
            <w:pPr>
              <w:spacing w:line="240" w:lineRule="auto"/>
              <w:jc w:val="both"/>
              <w:rPr>
                <w:rFonts w:ascii="Times New Roman" w:hAnsi="Times New Roman" w:cs="Times New Roman"/>
                <w:b/>
                <w:bCs/>
                <w:sz w:val="24"/>
                <w:szCs w:val="24"/>
              </w:rPr>
            </w:pPr>
            <w:r w:rsidRPr="00EA543A">
              <w:rPr>
                <w:rFonts w:ascii="Times New Roman" w:hAnsi="Times New Roman" w:cs="Times New Roman"/>
                <w:b/>
                <w:bCs/>
                <w:sz w:val="24"/>
                <w:szCs w:val="24"/>
              </w:rPr>
              <w:t>K vplyvom na životné prostredie</w:t>
            </w:r>
          </w:p>
          <w:p w:rsidR="00EA543A" w:rsidRPr="00EA543A" w:rsidRDefault="00EA543A" w:rsidP="00EA543A">
            <w:pPr>
              <w:spacing w:line="240" w:lineRule="auto"/>
              <w:jc w:val="both"/>
              <w:rPr>
                <w:rFonts w:ascii="Times New Roman" w:hAnsi="Times New Roman" w:cs="Times New Roman"/>
                <w:bCs/>
                <w:sz w:val="24"/>
                <w:szCs w:val="24"/>
              </w:rPr>
            </w:pPr>
            <w:r w:rsidRPr="00EA543A">
              <w:rPr>
                <w:rFonts w:ascii="Times New Roman" w:hAnsi="Times New Roman" w:cs="Times New Roman"/>
                <w:bCs/>
                <w:sz w:val="24"/>
                <w:szCs w:val="24"/>
              </w:rPr>
              <w:t>Komisia žiada uviesť pozitívne vplyvy na životné prostredie a rozpracovať príslušnú analýzu, keďže sa plánuje zaviesť daňové zvýhodnenie elektromobilov.</w:t>
            </w:r>
          </w:p>
          <w:p w:rsidR="00EA543A" w:rsidRPr="00EA543A" w:rsidRDefault="00EA543A" w:rsidP="00EA543A">
            <w:pPr>
              <w:spacing w:line="240" w:lineRule="auto"/>
              <w:jc w:val="both"/>
              <w:rPr>
                <w:rFonts w:ascii="Times New Roman" w:hAnsi="Times New Roman" w:cs="Times New Roman"/>
                <w:b/>
                <w:bCs/>
                <w:sz w:val="24"/>
                <w:szCs w:val="24"/>
              </w:rPr>
            </w:pPr>
            <w:r w:rsidRPr="00EA543A">
              <w:rPr>
                <w:rFonts w:ascii="Times New Roman" w:hAnsi="Times New Roman" w:cs="Times New Roman"/>
                <w:b/>
                <w:bCs/>
                <w:sz w:val="24"/>
                <w:szCs w:val="24"/>
              </w:rPr>
              <w:t>Vyhodnotenie pripomienok MF SR:</w:t>
            </w:r>
          </w:p>
          <w:p w:rsidR="00EA543A" w:rsidRPr="00EA543A" w:rsidRDefault="00EA543A" w:rsidP="00EA543A">
            <w:pPr>
              <w:spacing w:line="240" w:lineRule="auto"/>
              <w:jc w:val="both"/>
              <w:rPr>
                <w:rFonts w:ascii="Times New Roman" w:hAnsi="Times New Roman" w:cs="Times New Roman"/>
                <w:b/>
                <w:bCs/>
                <w:sz w:val="24"/>
                <w:szCs w:val="24"/>
              </w:rPr>
            </w:pPr>
            <w:r w:rsidRPr="00EA543A">
              <w:rPr>
                <w:rFonts w:ascii="Times New Roman" w:hAnsi="Times New Roman" w:cs="Times New Roman"/>
                <w:b/>
                <w:bCs/>
                <w:sz w:val="24"/>
                <w:szCs w:val="24"/>
              </w:rPr>
              <w:t>K vplyvom na podnikateľské prostredie</w:t>
            </w:r>
          </w:p>
          <w:p w:rsidR="00EA543A" w:rsidRPr="00EA543A" w:rsidRDefault="00EA543A" w:rsidP="00EA543A">
            <w:pPr>
              <w:spacing w:line="240" w:lineRule="auto"/>
              <w:jc w:val="both"/>
              <w:rPr>
                <w:rFonts w:ascii="Times New Roman" w:hAnsi="Times New Roman" w:cs="Times New Roman"/>
                <w:bCs/>
                <w:sz w:val="24"/>
                <w:szCs w:val="24"/>
              </w:rPr>
            </w:pPr>
            <w:r w:rsidRPr="00EA543A">
              <w:rPr>
                <w:rFonts w:ascii="Times New Roman" w:hAnsi="Times New Roman" w:cs="Times New Roman"/>
                <w:bCs/>
                <w:sz w:val="24"/>
                <w:szCs w:val="24"/>
              </w:rPr>
              <w:t>V zmysle uplatnených pripomienok komisie bola doložka vybraných vplyvov upravená v časti „9. Vplyvy navrhovaného materiálu“.</w:t>
            </w:r>
          </w:p>
          <w:p w:rsidR="00EA543A" w:rsidRPr="00EA543A" w:rsidRDefault="00EA543A" w:rsidP="00EA543A">
            <w:pPr>
              <w:spacing w:line="240" w:lineRule="auto"/>
              <w:jc w:val="both"/>
              <w:rPr>
                <w:rFonts w:ascii="Times New Roman" w:hAnsi="Times New Roman" w:cs="Times New Roman"/>
                <w:b/>
                <w:bCs/>
                <w:sz w:val="24"/>
                <w:szCs w:val="24"/>
              </w:rPr>
            </w:pPr>
            <w:r w:rsidRPr="00EA543A">
              <w:rPr>
                <w:rFonts w:ascii="Times New Roman" w:hAnsi="Times New Roman" w:cs="Times New Roman"/>
                <w:b/>
                <w:bCs/>
                <w:sz w:val="24"/>
                <w:szCs w:val="24"/>
              </w:rPr>
              <w:t>K analýze vplyvov na podnikateľské prostredie</w:t>
            </w:r>
          </w:p>
          <w:p w:rsidR="00EA543A" w:rsidRDefault="00EA543A" w:rsidP="00EA543A">
            <w:pPr>
              <w:spacing w:line="240" w:lineRule="auto"/>
              <w:jc w:val="both"/>
              <w:rPr>
                <w:rFonts w:ascii="Times New Roman" w:hAnsi="Times New Roman" w:cs="Times New Roman"/>
                <w:bCs/>
                <w:sz w:val="24"/>
                <w:szCs w:val="24"/>
              </w:rPr>
            </w:pPr>
            <w:r w:rsidRPr="00EA543A">
              <w:rPr>
                <w:rFonts w:ascii="Times New Roman" w:hAnsi="Times New Roman" w:cs="Times New Roman"/>
                <w:bCs/>
                <w:sz w:val="24"/>
                <w:szCs w:val="24"/>
              </w:rPr>
              <w:t>V zmysle uplatnených pripomienok komisie bola analýza vplyvov na podnikateľské prostredie v časti 3.1. a 3.3.4. upravená.</w:t>
            </w:r>
          </w:p>
          <w:p w:rsidR="00F45C2A" w:rsidRPr="00EA543A" w:rsidRDefault="00F45C2A" w:rsidP="00EA543A">
            <w:pPr>
              <w:spacing w:line="240" w:lineRule="auto"/>
              <w:jc w:val="both"/>
              <w:rPr>
                <w:rFonts w:ascii="Times New Roman" w:hAnsi="Times New Roman" w:cs="Times New Roman"/>
                <w:bCs/>
                <w:sz w:val="24"/>
                <w:szCs w:val="24"/>
              </w:rPr>
            </w:pPr>
          </w:p>
          <w:p w:rsidR="00EA543A" w:rsidRPr="00EA543A" w:rsidRDefault="00EA543A" w:rsidP="00EA543A">
            <w:pPr>
              <w:spacing w:line="240" w:lineRule="auto"/>
              <w:jc w:val="both"/>
              <w:rPr>
                <w:rFonts w:ascii="Times New Roman" w:hAnsi="Times New Roman" w:cs="Times New Roman"/>
                <w:b/>
                <w:bCs/>
                <w:sz w:val="24"/>
                <w:szCs w:val="24"/>
              </w:rPr>
            </w:pPr>
            <w:r w:rsidRPr="00EA543A">
              <w:rPr>
                <w:rFonts w:ascii="Times New Roman" w:hAnsi="Times New Roman" w:cs="Times New Roman"/>
                <w:b/>
                <w:bCs/>
                <w:sz w:val="24"/>
                <w:szCs w:val="24"/>
              </w:rPr>
              <w:lastRenderedPageBreak/>
              <w:t>K vplyvom na životné prostredie</w:t>
            </w:r>
          </w:p>
          <w:p w:rsidR="00EA543A" w:rsidRPr="00EA543A" w:rsidRDefault="00EA543A" w:rsidP="00EA543A">
            <w:pPr>
              <w:spacing w:line="240" w:lineRule="auto"/>
              <w:rPr>
                <w:rFonts w:ascii="Times New Roman" w:hAnsi="Times New Roman" w:cs="Times New Roman"/>
                <w:bCs/>
                <w:sz w:val="24"/>
                <w:szCs w:val="24"/>
              </w:rPr>
            </w:pPr>
            <w:r w:rsidRPr="00EA543A">
              <w:rPr>
                <w:rFonts w:ascii="Times New Roman" w:hAnsi="Times New Roman" w:cs="Times New Roman"/>
                <w:bCs/>
                <w:sz w:val="24"/>
                <w:szCs w:val="24"/>
              </w:rPr>
              <w:t>Odporúčaniu komisie o uvedenie pozitívnych vplyvov na životné prostredie a rozpracovanie príslušnej analýzy bolo vyhovené a doložka bola dopracovaná.</w:t>
            </w:r>
          </w:p>
        </w:tc>
      </w:tr>
    </w:tbl>
    <w:p w:rsidR="00EA543A" w:rsidRPr="00EA543A" w:rsidRDefault="00EA543A" w:rsidP="00EA543A">
      <w:pPr>
        <w:spacing w:after="0" w:line="240" w:lineRule="auto"/>
        <w:jc w:val="both"/>
        <w:rPr>
          <w:rFonts w:ascii="Times New Roman" w:hAnsi="Times New Roman" w:cs="Times New Roman"/>
          <w:b/>
          <w:sz w:val="24"/>
          <w:szCs w:val="24"/>
        </w:rPr>
      </w:pPr>
    </w:p>
    <w:p w:rsidR="00EA543A" w:rsidRP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F45C2A" w:rsidRDefault="00F45C2A" w:rsidP="00EA543A">
      <w:pPr>
        <w:spacing w:after="0" w:line="240" w:lineRule="auto"/>
        <w:jc w:val="both"/>
        <w:rPr>
          <w:rFonts w:ascii="Times New Roman" w:hAnsi="Times New Roman" w:cs="Times New Roman"/>
          <w:b/>
          <w:sz w:val="24"/>
          <w:szCs w:val="24"/>
        </w:rPr>
      </w:pPr>
    </w:p>
    <w:p w:rsidR="00F45C2A" w:rsidRDefault="00F45C2A" w:rsidP="00EA543A">
      <w:pPr>
        <w:spacing w:after="0" w:line="240" w:lineRule="auto"/>
        <w:jc w:val="both"/>
        <w:rPr>
          <w:rFonts w:ascii="Times New Roman" w:hAnsi="Times New Roman" w:cs="Times New Roman"/>
          <w:b/>
          <w:sz w:val="24"/>
          <w:szCs w:val="24"/>
        </w:rPr>
      </w:pPr>
    </w:p>
    <w:p w:rsidR="00F45C2A" w:rsidRDefault="00F45C2A" w:rsidP="00EA543A">
      <w:pPr>
        <w:spacing w:after="0" w:line="240" w:lineRule="auto"/>
        <w:jc w:val="both"/>
        <w:rPr>
          <w:rFonts w:ascii="Times New Roman" w:hAnsi="Times New Roman" w:cs="Times New Roman"/>
          <w:b/>
          <w:sz w:val="24"/>
          <w:szCs w:val="24"/>
        </w:rPr>
      </w:pPr>
    </w:p>
    <w:p w:rsidR="00F45C2A" w:rsidRDefault="00F45C2A" w:rsidP="00EA543A">
      <w:pPr>
        <w:spacing w:after="0" w:line="240" w:lineRule="auto"/>
        <w:jc w:val="both"/>
        <w:rPr>
          <w:rFonts w:ascii="Times New Roman" w:hAnsi="Times New Roman" w:cs="Times New Roman"/>
          <w:b/>
          <w:sz w:val="24"/>
          <w:szCs w:val="24"/>
        </w:rPr>
      </w:pPr>
    </w:p>
    <w:p w:rsidR="00F45C2A" w:rsidRDefault="00F45C2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Pr="007D5748" w:rsidRDefault="00EA543A" w:rsidP="00EA543A">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lastRenderedPageBreak/>
        <w:t>Analýza vplyvov na rozpočet verejnej správy,</w:t>
      </w:r>
    </w:p>
    <w:p w:rsidR="00EA543A" w:rsidRPr="007D5748" w:rsidRDefault="00EA543A" w:rsidP="00EA543A">
      <w:pPr>
        <w:spacing w:after="0" w:line="240" w:lineRule="auto"/>
        <w:jc w:val="center"/>
        <w:rPr>
          <w:rFonts w:ascii="Times New Roman" w:eastAsia="Times New Roman" w:hAnsi="Times New Roman" w:cs="Times New Roman"/>
          <w:b/>
          <w:bCs/>
          <w:sz w:val="28"/>
          <w:szCs w:val="28"/>
          <w:lang w:eastAsia="sk-SK"/>
        </w:rPr>
      </w:pPr>
      <w:r w:rsidRPr="007D5748">
        <w:rPr>
          <w:rFonts w:ascii="Times New Roman" w:eastAsia="Times New Roman" w:hAnsi="Times New Roman" w:cs="Times New Roman"/>
          <w:b/>
          <w:bCs/>
          <w:sz w:val="28"/>
          <w:szCs w:val="28"/>
          <w:lang w:eastAsia="sk-SK"/>
        </w:rPr>
        <w:t>na zamestnanosť vo verejnej správe a financovanie návrhu</w:t>
      </w:r>
    </w:p>
    <w:p w:rsidR="00EA543A" w:rsidRPr="00212894" w:rsidRDefault="00EA543A" w:rsidP="00EA543A">
      <w:pPr>
        <w:spacing w:after="0" w:line="240" w:lineRule="auto"/>
        <w:jc w:val="right"/>
        <w:rPr>
          <w:rFonts w:ascii="Times New Roman" w:eastAsia="Times New Roman" w:hAnsi="Times New Roman" w:cs="Times New Roman"/>
          <w:b/>
          <w:bCs/>
          <w:sz w:val="24"/>
          <w:szCs w:val="24"/>
          <w:lang w:eastAsia="sk-SK"/>
        </w:rPr>
      </w:pPr>
    </w:p>
    <w:p w:rsidR="00EA543A" w:rsidRPr="00212894" w:rsidRDefault="00EA543A" w:rsidP="00EA543A">
      <w:pPr>
        <w:spacing w:after="0" w:line="240" w:lineRule="auto"/>
        <w:rPr>
          <w:rFonts w:ascii="Times New Roman" w:eastAsia="Times New Roman" w:hAnsi="Times New Roman" w:cs="Times New Roman"/>
          <w:b/>
          <w:bCs/>
          <w:sz w:val="24"/>
          <w:szCs w:val="24"/>
          <w:lang w:eastAsia="sk-SK"/>
        </w:rPr>
      </w:pPr>
      <w:r w:rsidRPr="00212894">
        <w:rPr>
          <w:rFonts w:ascii="Times New Roman" w:eastAsia="Times New Roman" w:hAnsi="Times New Roman" w:cs="Times New Roman"/>
          <w:b/>
          <w:bCs/>
          <w:sz w:val="24"/>
          <w:szCs w:val="24"/>
          <w:lang w:eastAsia="sk-SK"/>
        </w:rPr>
        <w:t>2.1 Zhrnutie vplyvov na rozpočet verejnej správy v návrhu</w:t>
      </w:r>
    </w:p>
    <w:p w:rsidR="00EA543A" w:rsidRDefault="00EA543A" w:rsidP="00EA543A">
      <w:pPr>
        <w:spacing w:after="0" w:line="240" w:lineRule="auto"/>
        <w:jc w:val="right"/>
        <w:rPr>
          <w:rFonts w:ascii="Times New Roman" w:eastAsia="Times New Roman" w:hAnsi="Times New Roman" w:cs="Times New Roman"/>
          <w:sz w:val="20"/>
          <w:szCs w:val="20"/>
          <w:lang w:eastAsia="sk-SK"/>
        </w:rPr>
      </w:pPr>
    </w:p>
    <w:p w:rsidR="00EA543A" w:rsidRPr="007D5748" w:rsidRDefault="00EA543A" w:rsidP="00EA543A">
      <w:pPr>
        <w:spacing w:after="0" w:line="240" w:lineRule="auto"/>
        <w:jc w:val="right"/>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4"/>
        <w:gridCol w:w="1276"/>
        <w:gridCol w:w="1559"/>
        <w:gridCol w:w="1418"/>
        <w:gridCol w:w="1512"/>
      </w:tblGrid>
      <w:tr w:rsidR="00EA543A" w:rsidRPr="007D5748" w:rsidTr="00EA543A">
        <w:trPr>
          <w:cantSplit/>
          <w:trHeight w:val="194"/>
          <w:jc w:val="center"/>
        </w:trPr>
        <w:tc>
          <w:tcPr>
            <w:tcW w:w="3964" w:type="dxa"/>
            <w:vMerge w:val="restart"/>
            <w:shd w:val="clear" w:color="auto" w:fill="BFBFBF" w:themeFill="background1" w:themeFillShade="BF"/>
            <w:vAlign w:val="center"/>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bookmarkStart w:id="0" w:name="OLE_LINK1"/>
            <w:r w:rsidRPr="007D5748">
              <w:rPr>
                <w:rFonts w:ascii="Times New Roman" w:eastAsia="Times New Roman" w:hAnsi="Times New Roman" w:cs="Times New Roman"/>
                <w:b/>
                <w:bCs/>
                <w:sz w:val="24"/>
                <w:szCs w:val="24"/>
                <w:lang w:eastAsia="sk-SK"/>
              </w:rPr>
              <w:t>Vplyvy na rozpočet verejnej správy</w:t>
            </w:r>
          </w:p>
        </w:tc>
        <w:tc>
          <w:tcPr>
            <w:tcW w:w="5765" w:type="dxa"/>
            <w:gridSpan w:val="4"/>
            <w:shd w:val="clear" w:color="auto" w:fill="BFBFBF" w:themeFill="background1" w:themeFillShade="BF"/>
            <w:vAlign w:val="center"/>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Vplyv na rozpočet verejnej správy (v </w:t>
            </w:r>
            <w:r>
              <w:rPr>
                <w:rFonts w:ascii="Times New Roman" w:eastAsia="Times New Roman" w:hAnsi="Times New Roman" w:cs="Times New Roman"/>
                <w:b/>
                <w:bCs/>
                <w:sz w:val="24"/>
                <w:szCs w:val="24"/>
                <w:lang w:eastAsia="sk-SK"/>
              </w:rPr>
              <w:t xml:space="preserve">tis. </w:t>
            </w:r>
            <w:r w:rsidRPr="007D5748">
              <w:rPr>
                <w:rFonts w:ascii="Times New Roman" w:eastAsia="Times New Roman" w:hAnsi="Times New Roman" w:cs="Times New Roman"/>
                <w:b/>
                <w:bCs/>
                <w:sz w:val="24"/>
                <w:szCs w:val="24"/>
                <w:lang w:eastAsia="sk-SK"/>
              </w:rPr>
              <w:t>eurách)</w:t>
            </w:r>
          </w:p>
        </w:tc>
      </w:tr>
      <w:tr w:rsidR="00EA543A" w:rsidRPr="007D5748" w:rsidTr="00EA543A">
        <w:trPr>
          <w:cantSplit/>
          <w:trHeight w:val="70"/>
          <w:jc w:val="center"/>
        </w:trPr>
        <w:tc>
          <w:tcPr>
            <w:tcW w:w="3964" w:type="dxa"/>
            <w:vMerge/>
            <w:shd w:val="clear" w:color="auto" w:fill="BFBFBF" w:themeFill="background1" w:themeFillShade="BF"/>
            <w:vAlign w:val="center"/>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p>
        </w:tc>
        <w:tc>
          <w:tcPr>
            <w:tcW w:w="1276" w:type="dxa"/>
            <w:shd w:val="clear" w:color="auto" w:fill="BFBFBF" w:themeFill="background1" w:themeFillShade="BF"/>
            <w:vAlign w:val="center"/>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2019</w:t>
            </w:r>
          </w:p>
        </w:tc>
        <w:tc>
          <w:tcPr>
            <w:tcW w:w="1559" w:type="dxa"/>
            <w:shd w:val="clear" w:color="auto" w:fill="BFBFBF" w:themeFill="background1" w:themeFillShade="BF"/>
            <w:vAlign w:val="center"/>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2020</w:t>
            </w:r>
          </w:p>
        </w:tc>
        <w:tc>
          <w:tcPr>
            <w:tcW w:w="1418" w:type="dxa"/>
            <w:shd w:val="clear" w:color="auto" w:fill="BFBFBF" w:themeFill="background1" w:themeFillShade="BF"/>
            <w:vAlign w:val="center"/>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2021</w:t>
            </w:r>
          </w:p>
        </w:tc>
        <w:tc>
          <w:tcPr>
            <w:tcW w:w="1512" w:type="dxa"/>
            <w:shd w:val="clear" w:color="auto" w:fill="BFBFBF" w:themeFill="background1" w:themeFillShade="BF"/>
            <w:vAlign w:val="center"/>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r>
      <w:tr w:rsidR="00EA543A" w:rsidRPr="007D5748" w:rsidTr="00EA543A">
        <w:trPr>
          <w:trHeight w:val="70"/>
          <w:jc w:val="center"/>
        </w:trPr>
        <w:tc>
          <w:tcPr>
            <w:tcW w:w="3964" w:type="dxa"/>
            <w:shd w:val="clear" w:color="auto" w:fill="C0C0C0"/>
            <w:noWrap/>
            <w:vAlign w:val="center"/>
          </w:tcPr>
          <w:p w:rsidR="00EA543A" w:rsidRPr="007D5748" w:rsidRDefault="00EA543A" w:rsidP="00EA543A">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Príjmy verejnej správy celkom</w:t>
            </w:r>
          </w:p>
        </w:tc>
        <w:tc>
          <w:tcPr>
            <w:tcW w:w="1276" w:type="dxa"/>
            <w:shd w:val="clear" w:color="auto" w:fill="C0C0C0"/>
          </w:tcPr>
          <w:p w:rsidR="00EA543A" w:rsidRPr="006F1FD4" w:rsidRDefault="00EA543A" w:rsidP="00EA543A">
            <w:pPr>
              <w:spacing w:after="0" w:line="240" w:lineRule="auto"/>
              <w:jc w:val="right"/>
              <w:rPr>
                <w:rFonts w:ascii="Times New Roman" w:hAnsi="Times New Roman" w:cs="Times New Roman"/>
                <w:b/>
              </w:rPr>
            </w:pPr>
            <w:r w:rsidRPr="006F1FD4">
              <w:rPr>
                <w:rFonts w:ascii="Times New Roman" w:hAnsi="Times New Roman" w:cs="Times New Roman"/>
                <w:b/>
              </w:rPr>
              <w:t>-12 372</w:t>
            </w:r>
          </w:p>
        </w:tc>
        <w:tc>
          <w:tcPr>
            <w:tcW w:w="1559" w:type="dxa"/>
            <w:shd w:val="clear" w:color="auto" w:fill="C0C0C0"/>
          </w:tcPr>
          <w:p w:rsidR="00EA543A" w:rsidRPr="006F1FD4" w:rsidRDefault="00EA543A" w:rsidP="00EA543A">
            <w:pPr>
              <w:spacing w:after="0" w:line="240" w:lineRule="auto"/>
              <w:jc w:val="right"/>
              <w:rPr>
                <w:rFonts w:ascii="Times New Roman" w:hAnsi="Times New Roman" w:cs="Times New Roman"/>
                <w:b/>
              </w:rPr>
            </w:pPr>
            <w:r w:rsidRPr="006F1FD4">
              <w:rPr>
                <w:rFonts w:ascii="Times New Roman" w:hAnsi="Times New Roman" w:cs="Times New Roman"/>
                <w:b/>
              </w:rPr>
              <w:t>-36 264</w:t>
            </w:r>
          </w:p>
        </w:tc>
        <w:tc>
          <w:tcPr>
            <w:tcW w:w="1418" w:type="dxa"/>
            <w:shd w:val="clear" w:color="auto" w:fill="C0C0C0"/>
          </w:tcPr>
          <w:p w:rsidR="00EA543A" w:rsidRPr="006F1FD4" w:rsidRDefault="00EA543A" w:rsidP="00EA543A">
            <w:pPr>
              <w:spacing w:after="0" w:line="240" w:lineRule="auto"/>
              <w:jc w:val="right"/>
              <w:rPr>
                <w:rFonts w:ascii="Times New Roman" w:hAnsi="Times New Roman" w:cs="Times New Roman"/>
                <w:b/>
              </w:rPr>
            </w:pPr>
            <w:r w:rsidRPr="006F1FD4">
              <w:rPr>
                <w:rFonts w:ascii="Times New Roman" w:hAnsi="Times New Roman" w:cs="Times New Roman"/>
                <w:b/>
              </w:rPr>
              <w:t>-40 589</w:t>
            </w:r>
          </w:p>
        </w:tc>
        <w:tc>
          <w:tcPr>
            <w:tcW w:w="1512" w:type="dxa"/>
            <w:shd w:val="clear" w:color="auto" w:fill="C0C0C0"/>
          </w:tcPr>
          <w:p w:rsidR="00EA543A" w:rsidRPr="006F1FD4" w:rsidRDefault="00EA543A" w:rsidP="00EA543A">
            <w:pPr>
              <w:spacing w:after="0" w:line="240" w:lineRule="auto"/>
              <w:jc w:val="right"/>
              <w:rPr>
                <w:rFonts w:ascii="Times New Roman" w:hAnsi="Times New Roman" w:cs="Times New Roman"/>
                <w:b/>
              </w:rPr>
            </w:pPr>
            <w:r w:rsidRPr="006F1FD4">
              <w:rPr>
                <w:rFonts w:ascii="Times New Roman" w:hAnsi="Times New Roman" w:cs="Times New Roman"/>
                <w:b/>
              </w:rPr>
              <w:t>-36 501</w:t>
            </w:r>
          </w:p>
        </w:tc>
      </w:tr>
      <w:tr w:rsidR="00EA543A" w:rsidRPr="007D5748" w:rsidTr="00EA543A">
        <w:trPr>
          <w:trHeight w:val="132"/>
          <w:jc w:val="center"/>
        </w:trPr>
        <w:tc>
          <w:tcPr>
            <w:tcW w:w="3964" w:type="dxa"/>
            <w:noWrap/>
            <w:vAlign w:val="center"/>
          </w:tcPr>
          <w:p w:rsidR="00EA543A" w:rsidRPr="007D5748" w:rsidRDefault="00EA543A" w:rsidP="00EA543A">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v tom: za každý subjekt verejnej správy zvlášť</w:t>
            </w:r>
          </w:p>
        </w:tc>
        <w:tc>
          <w:tcPr>
            <w:tcW w:w="1276" w:type="dxa"/>
            <w:noWrap/>
          </w:tcPr>
          <w:p w:rsidR="00EA543A" w:rsidRPr="006F1FD4" w:rsidRDefault="00EA543A" w:rsidP="00EA543A">
            <w:pPr>
              <w:spacing w:after="0" w:line="240" w:lineRule="auto"/>
              <w:jc w:val="right"/>
              <w:rPr>
                <w:rFonts w:ascii="Times New Roman" w:hAnsi="Times New Roman" w:cs="Times New Roman"/>
              </w:rPr>
            </w:pPr>
            <w:r w:rsidRPr="006F1FD4">
              <w:rPr>
                <w:rFonts w:ascii="Times New Roman" w:hAnsi="Times New Roman" w:cs="Times New Roman"/>
              </w:rPr>
              <w:t>0</w:t>
            </w:r>
          </w:p>
        </w:tc>
        <w:tc>
          <w:tcPr>
            <w:tcW w:w="1559" w:type="dxa"/>
            <w:noWrap/>
          </w:tcPr>
          <w:p w:rsidR="00EA543A" w:rsidRPr="006F1FD4" w:rsidRDefault="00EA543A" w:rsidP="00EA543A">
            <w:pPr>
              <w:spacing w:after="0" w:line="240" w:lineRule="auto"/>
              <w:jc w:val="right"/>
              <w:rPr>
                <w:rFonts w:ascii="Times New Roman" w:hAnsi="Times New Roman" w:cs="Times New Roman"/>
              </w:rPr>
            </w:pPr>
            <w:r w:rsidRPr="006F1FD4">
              <w:rPr>
                <w:rFonts w:ascii="Times New Roman" w:hAnsi="Times New Roman" w:cs="Times New Roman"/>
              </w:rPr>
              <w:t>0</w:t>
            </w:r>
          </w:p>
        </w:tc>
        <w:tc>
          <w:tcPr>
            <w:tcW w:w="1418" w:type="dxa"/>
            <w:noWrap/>
          </w:tcPr>
          <w:p w:rsidR="00EA543A" w:rsidRPr="006F1FD4" w:rsidRDefault="00EA543A" w:rsidP="00EA543A">
            <w:pPr>
              <w:spacing w:after="0" w:line="240" w:lineRule="auto"/>
              <w:jc w:val="right"/>
              <w:rPr>
                <w:rFonts w:ascii="Times New Roman" w:hAnsi="Times New Roman" w:cs="Times New Roman"/>
              </w:rPr>
            </w:pPr>
            <w:r w:rsidRPr="006F1FD4">
              <w:rPr>
                <w:rFonts w:ascii="Times New Roman" w:hAnsi="Times New Roman" w:cs="Times New Roman"/>
              </w:rPr>
              <w:t>0</w:t>
            </w:r>
          </w:p>
        </w:tc>
        <w:tc>
          <w:tcPr>
            <w:tcW w:w="1512" w:type="dxa"/>
            <w:noWrap/>
          </w:tcPr>
          <w:p w:rsidR="00EA543A" w:rsidRPr="006F1FD4" w:rsidRDefault="00EA543A" w:rsidP="00EA543A">
            <w:pPr>
              <w:spacing w:after="0" w:line="240" w:lineRule="auto"/>
              <w:jc w:val="right"/>
              <w:rPr>
                <w:rFonts w:ascii="Times New Roman" w:hAnsi="Times New Roman" w:cs="Times New Roman"/>
              </w:rPr>
            </w:pPr>
            <w:r w:rsidRPr="006F1FD4">
              <w:rPr>
                <w:rFonts w:ascii="Times New Roman" w:hAnsi="Times New Roman" w:cs="Times New Roman"/>
              </w:rPr>
              <w:t>0</w:t>
            </w:r>
          </w:p>
        </w:tc>
      </w:tr>
      <w:tr w:rsidR="00EA543A" w:rsidRPr="007D5748" w:rsidTr="00EA543A">
        <w:trPr>
          <w:trHeight w:val="70"/>
          <w:jc w:val="center"/>
        </w:trPr>
        <w:tc>
          <w:tcPr>
            <w:tcW w:w="3964" w:type="dxa"/>
            <w:noWrap/>
            <w:vAlign w:val="center"/>
          </w:tcPr>
          <w:p w:rsidR="00EA543A" w:rsidRPr="007D5748" w:rsidRDefault="00EA543A" w:rsidP="00EA543A">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xml:space="preserve">z toho:  </w:t>
            </w:r>
          </w:p>
        </w:tc>
        <w:tc>
          <w:tcPr>
            <w:tcW w:w="1276" w:type="dxa"/>
            <w:noWrap/>
          </w:tcPr>
          <w:p w:rsidR="00EA543A" w:rsidRPr="006F1FD4" w:rsidRDefault="00EA543A" w:rsidP="00EA543A">
            <w:pPr>
              <w:spacing w:after="0" w:line="240" w:lineRule="auto"/>
              <w:jc w:val="right"/>
              <w:rPr>
                <w:rFonts w:ascii="Times New Roman" w:hAnsi="Times New Roman" w:cs="Times New Roman"/>
              </w:rPr>
            </w:pPr>
          </w:p>
        </w:tc>
        <w:tc>
          <w:tcPr>
            <w:tcW w:w="1559" w:type="dxa"/>
            <w:noWrap/>
          </w:tcPr>
          <w:p w:rsidR="00EA543A" w:rsidRPr="006F1FD4" w:rsidRDefault="00EA543A" w:rsidP="00EA543A">
            <w:pPr>
              <w:spacing w:after="0" w:line="240" w:lineRule="auto"/>
              <w:jc w:val="right"/>
              <w:rPr>
                <w:rFonts w:ascii="Times New Roman" w:hAnsi="Times New Roman" w:cs="Times New Roman"/>
              </w:rPr>
            </w:pPr>
          </w:p>
        </w:tc>
        <w:tc>
          <w:tcPr>
            <w:tcW w:w="1418" w:type="dxa"/>
            <w:noWrap/>
          </w:tcPr>
          <w:p w:rsidR="00EA543A" w:rsidRPr="006F1FD4" w:rsidRDefault="00EA543A" w:rsidP="00EA543A">
            <w:pPr>
              <w:spacing w:after="0" w:line="240" w:lineRule="auto"/>
              <w:jc w:val="right"/>
              <w:rPr>
                <w:rFonts w:ascii="Times New Roman" w:hAnsi="Times New Roman" w:cs="Times New Roman"/>
              </w:rPr>
            </w:pPr>
          </w:p>
        </w:tc>
        <w:tc>
          <w:tcPr>
            <w:tcW w:w="1512" w:type="dxa"/>
            <w:noWrap/>
          </w:tcPr>
          <w:p w:rsidR="00EA543A" w:rsidRPr="006F1FD4" w:rsidRDefault="00EA543A" w:rsidP="00EA543A">
            <w:pPr>
              <w:spacing w:after="0" w:line="240" w:lineRule="auto"/>
              <w:jc w:val="right"/>
              <w:rPr>
                <w:rFonts w:ascii="Times New Roman" w:hAnsi="Times New Roman" w:cs="Times New Roman"/>
              </w:rPr>
            </w:pPr>
          </w:p>
        </w:tc>
      </w:tr>
      <w:tr w:rsidR="00EA543A" w:rsidRPr="007D5748" w:rsidTr="00EA543A">
        <w:trPr>
          <w:trHeight w:val="125"/>
          <w:jc w:val="center"/>
        </w:trPr>
        <w:tc>
          <w:tcPr>
            <w:tcW w:w="3964" w:type="dxa"/>
            <w:noWrap/>
            <w:vAlign w:val="center"/>
          </w:tcPr>
          <w:p w:rsidR="00EA543A" w:rsidRPr="007D5748" w:rsidRDefault="00EA543A" w:rsidP="00EA543A">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76" w:type="dxa"/>
            <w:noWrap/>
          </w:tcPr>
          <w:p w:rsidR="00EA543A" w:rsidRPr="006F1FD4" w:rsidRDefault="00EA543A" w:rsidP="00EA543A">
            <w:pPr>
              <w:spacing w:after="0" w:line="240" w:lineRule="auto"/>
              <w:jc w:val="right"/>
              <w:rPr>
                <w:rFonts w:ascii="Times New Roman" w:hAnsi="Times New Roman" w:cs="Times New Roman"/>
              </w:rPr>
            </w:pPr>
            <w:r w:rsidRPr="006F1FD4">
              <w:rPr>
                <w:rFonts w:ascii="Times New Roman" w:hAnsi="Times New Roman" w:cs="Times New Roman"/>
              </w:rPr>
              <w:t>-12 372</w:t>
            </w:r>
          </w:p>
        </w:tc>
        <w:tc>
          <w:tcPr>
            <w:tcW w:w="1559" w:type="dxa"/>
            <w:noWrap/>
          </w:tcPr>
          <w:p w:rsidR="00EA543A" w:rsidRPr="006F1FD4" w:rsidRDefault="00EA543A" w:rsidP="00EA543A">
            <w:pPr>
              <w:spacing w:after="0" w:line="240" w:lineRule="auto"/>
              <w:jc w:val="right"/>
              <w:rPr>
                <w:rFonts w:ascii="Times New Roman" w:hAnsi="Times New Roman" w:cs="Times New Roman"/>
              </w:rPr>
            </w:pPr>
            <w:r w:rsidRPr="006F1FD4">
              <w:rPr>
                <w:rFonts w:ascii="Times New Roman" w:hAnsi="Times New Roman" w:cs="Times New Roman"/>
              </w:rPr>
              <w:t>-30 322</w:t>
            </w:r>
          </w:p>
        </w:tc>
        <w:tc>
          <w:tcPr>
            <w:tcW w:w="1418" w:type="dxa"/>
            <w:noWrap/>
          </w:tcPr>
          <w:p w:rsidR="00EA543A" w:rsidRPr="006F1FD4" w:rsidRDefault="00EA543A" w:rsidP="00EA543A">
            <w:pPr>
              <w:spacing w:after="0" w:line="240" w:lineRule="auto"/>
              <w:jc w:val="right"/>
              <w:rPr>
                <w:rFonts w:ascii="Times New Roman" w:hAnsi="Times New Roman" w:cs="Times New Roman"/>
              </w:rPr>
            </w:pPr>
            <w:r w:rsidRPr="006F1FD4">
              <w:rPr>
                <w:rFonts w:ascii="Times New Roman" w:hAnsi="Times New Roman" w:cs="Times New Roman"/>
              </w:rPr>
              <w:t>-19 175</w:t>
            </w:r>
          </w:p>
        </w:tc>
        <w:tc>
          <w:tcPr>
            <w:tcW w:w="1512" w:type="dxa"/>
            <w:noWrap/>
          </w:tcPr>
          <w:p w:rsidR="00EA543A" w:rsidRPr="006F1FD4" w:rsidRDefault="00EA543A" w:rsidP="00EA543A">
            <w:pPr>
              <w:spacing w:after="0" w:line="240" w:lineRule="auto"/>
              <w:jc w:val="right"/>
              <w:rPr>
                <w:rFonts w:ascii="Times New Roman" w:hAnsi="Times New Roman" w:cs="Times New Roman"/>
              </w:rPr>
            </w:pPr>
            <w:r w:rsidRPr="006F1FD4">
              <w:rPr>
                <w:rFonts w:ascii="Times New Roman" w:hAnsi="Times New Roman" w:cs="Times New Roman"/>
              </w:rPr>
              <w:t>-17 815</w:t>
            </w:r>
          </w:p>
        </w:tc>
      </w:tr>
      <w:tr w:rsidR="00EA543A" w:rsidRPr="007D5748" w:rsidTr="00EA543A">
        <w:trPr>
          <w:trHeight w:val="125"/>
          <w:jc w:val="center"/>
        </w:trPr>
        <w:tc>
          <w:tcPr>
            <w:tcW w:w="3964" w:type="dxa"/>
            <w:noWrap/>
            <w:vAlign w:val="center"/>
          </w:tcPr>
          <w:p w:rsidR="00EA543A" w:rsidRPr="007D5748" w:rsidRDefault="00EA543A" w:rsidP="00EA543A">
            <w:pPr>
              <w:spacing w:after="0" w:line="240" w:lineRule="auto"/>
              <w:ind w:left="259"/>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Všeobecná pokladničná správa</w:t>
            </w:r>
          </w:p>
        </w:tc>
        <w:tc>
          <w:tcPr>
            <w:tcW w:w="1276" w:type="dxa"/>
            <w:noWrap/>
          </w:tcPr>
          <w:p w:rsidR="00EA543A" w:rsidRPr="006F1FD4" w:rsidRDefault="00EA543A" w:rsidP="00EA543A">
            <w:pPr>
              <w:spacing w:after="0" w:line="240" w:lineRule="auto"/>
              <w:jc w:val="right"/>
              <w:rPr>
                <w:rFonts w:ascii="Times New Roman" w:hAnsi="Times New Roman" w:cs="Times New Roman"/>
              </w:rPr>
            </w:pPr>
            <w:r w:rsidRPr="006F1FD4">
              <w:rPr>
                <w:rFonts w:ascii="Times New Roman" w:hAnsi="Times New Roman" w:cs="Times New Roman"/>
              </w:rPr>
              <w:t>-12 372</w:t>
            </w:r>
          </w:p>
        </w:tc>
        <w:tc>
          <w:tcPr>
            <w:tcW w:w="1559" w:type="dxa"/>
            <w:noWrap/>
          </w:tcPr>
          <w:p w:rsidR="00EA543A" w:rsidRPr="006F1FD4" w:rsidRDefault="00EA543A" w:rsidP="00EA543A">
            <w:pPr>
              <w:spacing w:after="0" w:line="240" w:lineRule="auto"/>
              <w:jc w:val="right"/>
              <w:rPr>
                <w:rFonts w:ascii="Times New Roman" w:hAnsi="Times New Roman" w:cs="Times New Roman"/>
              </w:rPr>
            </w:pPr>
            <w:r w:rsidRPr="006F1FD4">
              <w:rPr>
                <w:rFonts w:ascii="Times New Roman" w:hAnsi="Times New Roman" w:cs="Times New Roman"/>
              </w:rPr>
              <w:t>-30 322</w:t>
            </w:r>
          </w:p>
        </w:tc>
        <w:tc>
          <w:tcPr>
            <w:tcW w:w="1418" w:type="dxa"/>
            <w:noWrap/>
          </w:tcPr>
          <w:p w:rsidR="00EA543A" w:rsidRPr="006F1FD4" w:rsidRDefault="00EA543A" w:rsidP="00EA543A">
            <w:pPr>
              <w:spacing w:after="0" w:line="240" w:lineRule="auto"/>
              <w:jc w:val="right"/>
              <w:rPr>
                <w:rFonts w:ascii="Times New Roman" w:hAnsi="Times New Roman" w:cs="Times New Roman"/>
              </w:rPr>
            </w:pPr>
            <w:r w:rsidRPr="006F1FD4">
              <w:rPr>
                <w:rFonts w:ascii="Times New Roman" w:hAnsi="Times New Roman" w:cs="Times New Roman"/>
              </w:rPr>
              <w:t>-19 175</w:t>
            </w:r>
          </w:p>
        </w:tc>
        <w:tc>
          <w:tcPr>
            <w:tcW w:w="1512" w:type="dxa"/>
            <w:noWrap/>
          </w:tcPr>
          <w:p w:rsidR="00EA543A" w:rsidRPr="006F1FD4" w:rsidRDefault="00EA543A" w:rsidP="00EA543A">
            <w:pPr>
              <w:spacing w:after="0" w:line="240" w:lineRule="auto"/>
              <w:jc w:val="right"/>
              <w:rPr>
                <w:rFonts w:ascii="Times New Roman" w:hAnsi="Times New Roman" w:cs="Times New Roman"/>
              </w:rPr>
            </w:pPr>
            <w:r w:rsidRPr="006F1FD4">
              <w:rPr>
                <w:rFonts w:ascii="Times New Roman" w:hAnsi="Times New Roman" w:cs="Times New Roman"/>
              </w:rPr>
              <w:t>-17 815</w:t>
            </w:r>
          </w:p>
        </w:tc>
      </w:tr>
      <w:tr w:rsidR="00EA543A" w:rsidRPr="007D5748" w:rsidTr="00EA543A">
        <w:trPr>
          <w:trHeight w:val="125"/>
          <w:jc w:val="center"/>
        </w:trPr>
        <w:tc>
          <w:tcPr>
            <w:tcW w:w="3964" w:type="dxa"/>
            <w:noWrap/>
            <w:vAlign w:val="center"/>
          </w:tcPr>
          <w:p w:rsidR="00EA543A" w:rsidDel="00713461" w:rsidRDefault="00EA543A" w:rsidP="00EA543A">
            <w:pPr>
              <w:spacing w:after="0" w:line="240" w:lineRule="auto"/>
              <w:ind w:left="259"/>
              <w:rPr>
                <w:rFonts w:ascii="Times New Roman" w:eastAsia="Times New Roman" w:hAnsi="Times New Roman" w:cs="Times New Roman"/>
                <w:bCs/>
                <w:i/>
                <w:iCs/>
                <w:sz w:val="24"/>
                <w:szCs w:val="24"/>
                <w:lang w:eastAsia="sk-SK"/>
              </w:rPr>
            </w:pPr>
            <w:r>
              <w:rPr>
                <w:rFonts w:ascii="Times New Roman" w:eastAsia="Times New Roman" w:hAnsi="Times New Roman" w:cs="Times New Roman"/>
                <w:bCs/>
                <w:i/>
                <w:iCs/>
                <w:sz w:val="24"/>
                <w:szCs w:val="24"/>
                <w:lang w:eastAsia="sk-SK"/>
              </w:rPr>
              <w:t>Rozpočtové prostriedky</w:t>
            </w:r>
          </w:p>
        </w:tc>
        <w:tc>
          <w:tcPr>
            <w:tcW w:w="1276" w:type="dxa"/>
            <w:noWrap/>
          </w:tcPr>
          <w:p w:rsidR="00EA543A" w:rsidRPr="006F1FD4" w:rsidRDefault="00EA543A" w:rsidP="00EA543A">
            <w:pPr>
              <w:spacing w:after="0" w:line="240" w:lineRule="auto"/>
              <w:jc w:val="right"/>
              <w:rPr>
                <w:rFonts w:ascii="Times New Roman" w:hAnsi="Times New Roman" w:cs="Times New Roman"/>
              </w:rPr>
            </w:pPr>
            <w:r w:rsidRPr="006F1FD4">
              <w:rPr>
                <w:rFonts w:ascii="Times New Roman" w:hAnsi="Times New Roman" w:cs="Times New Roman"/>
              </w:rPr>
              <w:t>0</w:t>
            </w:r>
          </w:p>
        </w:tc>
        <w:tc>
          <w:tcPr>
            <w:tcW w:w="1559" w:type="dxa"/>
            <w:noWrap/>
          </w:tcPr>
          <w:p w:rsidR="00EA543A" w:rsidRPr="006F1FD4" w:rsidRDefault="00EA543A" w:rsidP="00EA543A">
            <w:pPr>
              <w:spacing w:after="0" w:line="240" w:lineRule="auto"/>
              <w:jc w:val="right"/>
              <w:rPr>
                <w:rFonts w:ascii="Times New Roman" w:hAnsi="Times New Roman" w:cs="Times New Roman"/>
              </w:rPr>
            </w:pPr>
            <w:r w:rsidRPr="006F1FD4">
              <w:rPr>
                <w:rFonts w:ascii="Times New Roman" w:hAnsi="Times New Roman" w:cs="Times New Roman"/>
              </w:rPr>
              <w:t>0</w:t>
            </w:r>
          </w:p>
        </w:tc>
        <w:tc>
          <w:tcPr>
            <w:tcW w:w="1418" w:type="dxa"/>
            <w:noWrap/>
          </w:tcPr>
          <w:p w:rsidR="00EA543A" w:rsidRPr="006F1FD4" w:rsidRDefault="00EA543A" w:rsidP="00EA543A">
            <w:pPr>
              <w:spacing w:after="0" w:line="240" w:lineRule="auto"/>
              <w:jc w:val="right"/>
              <w:rPr>
                <w:rFonts w:ascii="Times New Roman" w:hAnsi="Times New Roman" w:cs="Times New Roman"/>
              </w:rPr>
            </w:pPr>
            <w:r w:rsidRPr="006F1FD4">
              <w:rPr>
                <w:rFonts w:ascii="Times New Roman" w:hAnsi="Times New Roman" w:cs="Times New Roman"/>
              </w:rPr>
              <w:t>0</w:t>
            </w:r>
          </w:p>
        </w:tc>
        <w:tc>
          <w:tcPr>
            <w:tcW w:w="1512" w:type="dxa"/>
            <w:noWrap/>
          </w:tcPr>
          <w:p w:rsidR="00EA543A" w:rsidRPr="006F1FD4" w:rsidRDefault="00EA543A" w:rsidP="00EA543A">
            <w:pPr>
              <w:spacing w:after="0" w:line="240" w:lineRule="auto"/>
              <w:jc w:val="right"/>
              <w:rPr>
                <w:rFonts w:ascii="Times New Roman" w:hAnsi="Times New Roman" w:cs="Times New Roman"/>
              </w:rPr>
            </w:pPr>
            <w:r w:rsidRPr="006F1FD4">
              <w:rPr>
                <w:rFonts w:ascii="Times New Roman" w:hAnsi="Times New Roman" w:cs="Times New Roman"/>
              </w:rPr>
              <w:t>0</w:t>
            </w:r>
          </w:p>
        </w:tc>
      </w:tr>
      <w:tr w:rsidR="00EA543A" w:rsidRPr="007D5748" w:rsidTr="00EA543A">
        <w:trPr>
          <w:trHeight w:val="125"/>
          <w:jc w:val="center"/>
        </w:trPr>
        <w:tc>
          <w:tcPr>
            <w:tcW w:w="3964" w:type="dxa"/>
            <w:noWrap/>
            <w:vAlign w:val="center"/>
          </w:tcPr>
          <w:p w:rsidR="00EA543A" w:rsidRPr="007D5748" w:rsidRDefault="00EA543A" w:rsidP="00EA543A">
            <w:pPr>
              <w:spacing w:after="0" w:line="240" w:lineRule="auto"/>
              <w:ind w:left="259"/>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EÚ zdroje</w:t>
            </w:r>
          </w:p>
        </w:tc>
        <w:tc>
          <w:tcPr>
            <w:tcW w:w="1276" w:type="dxa"/>
            <w:noWrap/>
          </w:tcPr>
          <w:p w:rsidR="00EA543A" w:rsidRPr="006F1FD4" w:rsidRDefault="00EA543A" w:rsidP="00EA543A">
            <w:pPr>
              <w:spacing w:after="0" w:line="240" w:lineRule="auto"/>
              <w:jc w:val="right"/>
              <w:rPr>
                <w:rFonts w:ascii="Times New Roman" w:hAnsi="Times New Roman" w:cs="Times New Roman"/>
              </w:rPr>
            </w:pPr>
            <w:r w:rsidRPr="006F1FD4">
              <w:rPr>
                <w:rFonts w:ascii="Times New Roman" w:hAnsi="Times New Roman" w:cs="Times New Roman"/>
              </w:rPr>
              <w:t>0</w:t>
            </w:r>
          </w:p>
        </w:tc>
        <w:tc>
          <w:tcPr>
            <w:tcW w:w="1559" w:type="dxa"/>
            <w:noWrap/>
          </w:tcPr>
          <w:p w:rsidR="00EA543A" w:rsidRPr="006F1FD4" w:rsidRDefault="00EA543A" w:rsidP="00EA543A">
            <w:pPr>
              <w:spacing w:after="0" w:line="240" w:lineRule="auto"/>
              <w:jc w:val="right"/>
              <w:rPr>
                <w:rFonts w:ascii="Times New Roman" w:hAnsi="Times New Roman" w:cs="Times New Roman"/>
              </w:rPr>
            </w:pPr>
            <w:r w:rsidRPr="006F1FD4">
              <w:rPr>
                <w:rFonts w:ascii="Times New Roman" w:hAnsi="Times New Roman" w:cs="Times New Roman"/>
              </w:rPr>
              <w:t>0</w:t>
            </w:r>
          </w:p>
        </w:tc>
        <w:tc>
          <w:tcPr>
            <w:tcW w:w="1418" w:type="dxa"/>
            <w:noWrap/>
          </w:tcPr>
          <w:p w:rsidR="00EA543A" w:rsidRPr="006F1FD4" w:rsidRDefault="00EA543A" w:rsidP="00EA543A">
            <w:pPr>
              <w:spacing w:after="0" w:line="240" w:lineRule="auto"/>
              <w:jc w:val="right"/>
              <w:rPr>
                <w:rFonts w:ascii="Times New Roman" w:hAnsi="Times New Roman" w:cs="Times New Roman"/>
              </w:rPr>
            </w:pPr>
            <w:r w:rsidRPr="006F1FD4">
              <w:rPr>
                <w:rFonts w:ascii="Times New Roman" w:hAnsi="Times New Roman" w:cs="Times New Roman"/>
              </w:rPr>
              <w:t>0</w:t>
            </w:r>
          </w:p>
        </w:tc>
        <w:tc>
          <w:tcPr>
            <w:tcW w:w="1512" w:type="dxa"/>
            <w:noWrap/>
          </w:tcPr>
          <w:p w:rsidR="00EA543A" w:rsidRPr="006F1FD4" w:rsidRDefault="00EA543A" w:rsidP="00EA543A">
            <w:pPr>
              <w:spacing w:after="0" w:line="240" w:lineRule="auto"/>
              <w:jc w:val="right"/>
              <w:rPr>
                <w:rFonts w:ascii="Times New Roman" w:hAnsi="Times New Roman" w:cs="Times New Roman"/>
              </w:rPr>
            </w:pPr>
            <w:r w:rsidRPr="006F1FD4">
              <w:rPr>
                <w:rFonts w:ascii="Times New Roman" w:hAnsi="Times New Roman" w:cs="Times New Roman"/>
              </w:rPr>
              <w:t>0</w:t>
            </w:r>
          </w:p>
        </w:tc>
      </w:tr>
      <w:tr w:rsidR="00EA543A" w:rsidRPr="007D5748" w:rsidTr="00EA543A">
        <w:trPr>
          <w:trHeight w:val="125"/>
          <w:jc w:val="center"/>
        </w:trPr>
        <w:tc>
          <w:tcPr>
            <w:tcW w:w="3964" w:type="dxa"/>
            <w:noWrap/>
            <w:vAlign w:val="center"/>
          </w:tcPr>
          <w:p w:rsidR="00EA543A" w:rsidRPr="007D5748" w:rsidRDefault="00EA543A" w:rsidP="00EA543A">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76" w:type="dxa"/>
            <w:noWrap/>
          </w:tcPr>
          <w:p w:rsidR="00EA543A" w:rsidRPr="006F1FD4" w:rsidRDefault="00EA543A" w:rsidP="00EA543A">
            <w:pPr>
              <w:spacing w:after="0" w:line="240" w:lineRule="auto"/>
              <w:jc w:val="right"/>
              <w:rPr>
                <w:rFonts w:ascii="Times New Roman" w:hAnsi="Times New Roman" w:cs="Times New Roman"/>
              </w:rPr>
            </w:pPr>
            <w:r w:rsidRPr="006F1FD4">
              <w:rPr>
                <w:rFonts w:ascii="Times New Roman" w:hAnsi="Times New Roman" w:cs="Times New Roman"/>
              </w:rPr>
              <w:t>0</w:t>
            </w:r>
          </w:p>
        </w:tc>
        <w:tc>
          <w:tcPr>
            <w:tcW w:w="1559" w:type="dxa"/>
            <w:noWrap/>
          </w:tcPr>
          <w:p w:rsidR="00EA543A" w:rsidRPr="006F1FD4" w:rsidRDefault="00EA543A" w:rsidP="00EA543A">
            <w:pPr>
              <w:spacing w:after="0" w:line="240" w:lineRule="auto"/>
              <w:jc w:val="right"/>
              <w:rPr>
                <w:rFonts w:ascii="Times New Roman" w:hAnsi="Times New Roman" w:cs="Times New Roman"/>
              </w:rPr>
            </w:pPr>
            <w:r w:rsidRPr="006F1FD4">
              <w:rPr>
                <w:rFonts w:ascii="Times New Roman" w:hAnsi="Times New Roman" w:cs="Times New Roman"/>
              </w:rPr>
              <w:t>-2 203</w:t>
            </w:r>
          </w:p>
        </w:tc>
        <w:tc>
          <w:tcPr>
            <w:tcW w:w="1418" w:type="dxa"/>
            <w:noWrap/>
          </w:tcPr>
          <w:p w:rsidR="00EA543A" w:rsidRPr="006F1FD4" w:rsidRDefault="00EA543A" w:rsidP="00EA543A">
            <w:pPr>
              <w:spacing w:after="0" w:line="240" w:lineRule="auto"/>
              <w:jc w:val="right"/>
              <w:rPr>
                <w:rFonts w:ascii="Times New Roman" w:hAnsi="Times New Roman" w:cs="Times New Roman"/>
              </w:rPr>
            </w:pPr>
            <w:r w:rsidRPr="006F1FD4">
              <w:rPr>
                <w:rFonts w:ascii="Times New Roman" w:hAnsi="Times New Roman" w:cs="Times New Roman"/>
              </w:rPr>
              <w:t>-9 119</w:t>
            </w:r>
          </w:p>
        </w:tc>
        <w:tc>
          <w:tcPr>
            <w:tcW w:w="1512" w:type="dxa"/>
            <w:noWrap/>
          </w:tcPr>
          <w:p w:rsidR="00EA543A" w:rsidRPr="006F1FD4" w:rsidRDefault="00EA543A" w:rsidP="00EA543A">
            <w:pPr>
              <w:spacing w:after="0" w:line="240" w:lineRule="auto"/>
              <w:jc w:val="right"/>
              <w:rPr>
                <w:rFonts w:ascii="Times New Roman" w:hAnsi="Times New Roman" w:cs="Times New Roman"/>
              </w:rPr>
            </w:pPr>
            <w:r w:rsidRPr="006F1FD4">
              <w:rPr>
                <w:rFonts w:ascii="Times New Roman" w:hAnsi="Times New Roman" w:cs="Times New Roman"/>
              </w:rPr>
              <w:t>-7 209</w:t>
            </w:r>
          </w:p>
        </w:tc>
      </w:tr>
      <w:tr w:rsidR="00EA543A" w:rsidRPr="007D5748" w:rsidTr="00EA543A">
        <w:trPr>
          <w:trHeight w:val="125"/>
          <w:jc w:val="center"/>
        </w:trPr>
        <w:tc>
          <w:tcPr>
            <w:tcW w:w="3964" w:type="dxa"/>
            <w:noWrap/>
            <w:vAlign w:val="center"/>
          </w:tcPr>
          <w:p w:rsidR="00EA543A" w:rsidRPr="007D5748" w:rsidRDefault="00EA543A" w:rsidP="00EA543A">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76" w:type="dxa"/>
            <w:noWrap/>
          </w:tcPr>
          <w:p w:rsidR="00EA543A" w:rsidRPr="006F1FD4" w:rsidRDefault="00EA543A" w:rsidP="00EA543A">
            <w:pPr>
              <w:spacing w:after="0" w:line="240" w:lineRule="auto"/>
              <w:jc w:val="right"/>
              <w:rPr>
                <w:rFonts w:ascii="Times New Roman" w:hAnsi="Times New Roman" w:cs="Times New Roman"/>
              </w:rPr>
            </w:pPr>
            <w:r w:rsidRPr="006F1FD4">
              <w:rPr>
                <w:rFonts w:ascii="Times New Roman" w:hAnsi="Times New Roman" w:cs="Times New Roman"/>
              </w:rPr>
              <w:t>0</w:t>
            </w:r>
          </w:p>
        </w:tc>
        <w:tc>
          <w:tcPr>
            <w:tcW w:w="1559" w:type="dxa"/>
            <w:noWrap/>
          </w:tcPr>
          <w:p w:rsidR="00EA543A" w:rsidRPr="006F1FD4" w:rsidRDefault="00EA543A" w:rsidP="00EA543A">
            <w:pPr>
              <w:spacing w:after="0" w:line="240" w:lineRule="auto"/>
              <w:jc w:val="right"/>
              <w:rPr>
                <w:rFonts w:ascii="Times New Roman" w:hAnsi="Times New Roman" w:cs="Times New Roman"/>
              </w:rPr>
            </w:pPr>
            <w:r w:rsidRPr="006F1FD4">
              <w:rPr>
                <w:rFonts w:ascii="Times New Roman" w:hAnsi="Times New Roman" w:cs="Times New Roman"/>
              </w:rPr>
              <w:t>-944</w:t>
            </w:r>
          </w:p>
        </w:tc>
        <w:tc>
          <w:tcPr>
            <w:tcW w:w="1418" w:type="dxa"/>
            <w:noWrap/>
          </w:tcPr>
          <w:p w:rsidR="00EA543A" w:rsidRPr="006F1FD4" w:rsidRDefault="00EA543A" w:rsidP="00EA543A">
            <w:pPr>
              <w:spacing w:after="0" w:line="240" w:lineRule="auto"/>
              <w:jc w:val="right"/>
              <w:rPr>
                <w:rFonts w:ascii="Times New Roman" w:hAnsi="Times New Roman" w:cs="Times New Roman"/>
              </w:rPr>
            </w:pPr>
            <w:r w:rsidRPr="006F1FD4">
              <w:rPr>
                <w:rFonts w:ascii="Times New Roman" w:hAnsi="Times New Roman" w:cs="Times New Roman"/>
              </w:rPr>
              <w:t>-3 908</w:t>
            </w:r>
          </w:p>
        </w:tc>
        <w:tc>
          <w:tcPr>
            <w:tcW w:w="1512" w:type="dxa"/>
            <w:noWrap/>
          </w:tcPr>
          <w:p w:rsidR="00EA543A" w:rsidRPr="006F1FD4" w:rsidRDefault="00EA543A" w:rsidP="00EA543A">
            <w:pPr>
              <w:spacing w:after="0" w:line="240" w:lineRule="auto"/>
              <w:jc w:val="right"/>
              <w:rPr>
                <w:rFonts w:ascii="Times New Roman" w:hAnsi="Times New Roman" w:cs="Times New Roman"/>
              </w:rPr>
            </w:pPr>
            <w:r w:rsidRPr="006F1FD4">
              <w:rPr>
                <w:rFonts w:ascii="Times New Roman" w:hAnsi="Times New Roman" w:cs="Times New Roman"/>
              </w:rPr>
              <w:t>-3 090</w:t>
            </w:r>
          </w:p>
        </w:tc>
      </w:tr>
      <w:tr w:rsidR="00EA543A" w:rsidRPr="007D5748" w:rsidTr="00EA543A">
        <w:trPr>
          <w:trHeight w:val="125"/>
          <w:jc w:val="center"/>
        </w:trPr>
        <w:tc>
          <w:tcPr>
            <w:tcW w:w="3964" w:type="dxa"/>
            <w:noWrap/>
            <w:vAlign w:val="center"/>
          </w:tcPr>
          <w:p w:rsidR="00EA543A" w:rsidRPr="007D5748" w:rsidRDefault="00EA543A" w:rsidP="00EA543A">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76" w:type="dxa"/>
            <w:noWrap/>
          </w:tcPr>
          <w:p w:rsidR="00EA543A" w:rsidRPr="006F1FD4" w:rsidRDefault="00EA543A" w:rsidP="00EA543A">
            <w:pPr>
              <w:spacing w:after="0" w:line="240" w:lineRule="auto"/>
              <w:jc w:val="right"/>
              <w:rPr>
                <w:rFonts w:ascii="Times New Roman" w:hAnsi="Times New Roman" w:cs="Times New Roman"/>
              </w:rPr>
            </w:pPr>
            <w:r w:rsidRPr="006F1FD4">
              <w:rPr>
                <w:rFonts w:ascii="Times New Roman" w:hAnsi="Times New Roman" w:cs="Times New Roman"/>
              </w:rPr>
              <w:t>0</w:t>
            </w:r>
          </w:p>
        </w:tc>
        <w:tc>
          <w:tcPr>
            <w:tcW w:w="1559" w:type="dxa"/>
            <w:noWrap/>
          </w:tcPr>
          <w:p w:rsidR="00EA543A" w:rsidRPr="006F1FD4" w:rsidRDefault="00EA543A" w:rsidP="00EA543A">
            <w:pPr>
              <w:spacing w:after="0" w:line="240" w:lineRule="auto"/>
              <w:jc w:val="right"/>
              <w:rPr>
                <w:rFonts w:ascii="Times New Roman" w:hAnsi="Times New Roman" w:cs="Times New Roman"/>
              </w:rPr>
            </w:pPr>
            <w:r w:rsidRPr="006F1FD4">
              <w:rPr>
                <w:rFonts w:ascii="Times New Roman" w:hAnsi="Times New Roman" w:cs="Times New Roman"/>
              </w:rPr>
              <w:t>-2 795</w:t>
            </w:r>
          </w:p>
        </w:tc>
        <w:tc>
          <w:tcPr>
            <w:tcW w:w="1418" w:type="dxa"/>
            <w:noWrap/>
          </w:tcPr>
          <w:p w:rsidR="00EA543A" w:rsidRPr="006F1FD4" w:rsidRDefault="00EA543A" w:rsidP="00EA543A">
            <w:pPr>
              <w:spacing w:after="0" w:line="240" w:lineRule="auto"/>
              <w:jc w:val="right"/>
              <w:rPr>
                <w:rFonts w:ascii="Times New Roman" w:hAnsi="Times New Roman" w:cs="Times New Roman"/>
              </w:rPr>
            </w:pPr>
            <w:r w:rsidRPr="006F1FD4">
              <w:rPr>
                <w:rFonts w:ascii="Times New Roman" w:hAnsi="Times New Roman" w:cs="Times New Roman"/>
              </w:rPr>
              <w:t>-8 387</w:t>
            </w:r>
          </w:p>
        </w:tc>
        <w:tc>
          <w:tcPr>
            <w:tcW w:w="1512" w:type="dxa"/>
            <w:noWrap/>
          </w:tcPr>
          <w:p w:rsidR="00EA543A" w:rsidRPr="006F1FD4" w:rsidRDefault="00EA543A" w:rsidP="00EA543A">
            <w:pPr>
              <w:spacing w:after="0" w:line="240" w:lineRule="auto"/>
              <w:jc w:val="right"/>
              <w:rPr>
                <w:rFonts w:ascii="Times New Roman" w:hAnsi="Times New Roman" w:cs="Times New Roman"/>
              </w:rPr>
            </w:pPr>
            <w:r w:rsidRPr="006F1FD4">
              <w:rPr>
                <w:rFonts w:ascii="Times New Roman" w:hAnsi="Times New Roman" w:cs="Times New Roman"/>
              </w:rPr>
              <w:t>-8 387</w:t>
            </w:r>
          </w:p>
        </w:tc>
      </w:tr>
      <w:tr w:rsidR="00EA543A" w:rsidRPr="007D5748" w:rsidTr="00EA543A">
        <w:trPr>
          <w:trHeight w:val="125"/>
          <w:jc w:val="center"/>
        </w:trPr>
        <w:tc>
          <w:tcPr>
            <w:tcW w:w="3964" w:type="dxa"/>
            <w:shd w:val="clear" w:color="auto" w:fill="C0C0C0"/>
            <w:noWrap/>
            <w:vAlign w:val="center"/>
          </w:tcPr>
          <w:p w:rsidR="00EA543A" w:rsidRPr="007D5748" w:rsidRDefault="00EA543A" w:rsidP="00EA543A">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Výdavky verejnej správy celkom</w:t>
            </w:r>
          </w:p>
        </w:tc>
        <w:tc>
          <w:tcPr>
            <w:tcW w:w="1276" w:type="dxa"/>
            <w:shd w:val="clear" w:color="auto" w:fill="C0C0C0"/>
            <w:noWrap/>
            <w:vAlign w:val="center"/>
          </w:tcPr>
          <w:p w:rsidR="00EA543A" w:rsidRPr="007D5748" w:rsidRDefault="00EA543A" w:rsidP="00EA543A">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1 608</w:t>
            </w:r>
          </w:p>
        </w:tc>
        <w:tc>
          <w:tcPr>
            <w:tcW w:w="1559" w:type="dxa"/>
            <w:shd w:val="clear" w:color="auto" w:fill="C0C0C0"/>
            <w:noWrap/>
            <w:vAlign w:val="center"/>
          </w:tcPr>
          <w:p w:rsidR="00EA543A" w:rsidRPr="007D5748" w:rsidRDefault="00EA543A" w:rsidP="00EA543A">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418" w:type="dxa"/>
            <w:shd w:val="clear" w:color="auto" w:fill="C0C0C0"/>
            <w:noWrap/>
            <w:vAlign w:val="center"/>
          </w:tcPr>
          <w:p w:rsidR="00EA543A" w:rsidRPr="007D5748" w:rsidRDefault="00EA543A" w:rsidP="00EA543A">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12" w:type="dxa"/>
            <w:shd w:val="clear" w:color="auto" w:fill="C0C0C0"/>
            <w:noWrap/>
            <w:vAlign w:val="center"/>
          </w:tcPr>
          <w:p w:rsidR="00EA543A" w:rsidRPr="007D5748" w:rsidRDefault="00EA543A" w:rsidP="00EA543A">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r>
      <w:tr w:rsidR="00EA543A" w:rsidRPr="007D5748" w:rsidTr="00EA543A">
        <w:trPr>
          <w:trHeight w:val="70"/>
          <w:jc w:val="center"/>
        </w:trPr>
        <w:tc>
          <w:tcPr>
            <w:tcW w:w="3964" w:type="dxa"/>
            <w:noWrap/>
            <w:vAlign w:val="center"/>
          </w:tcPr>
          <w:p w:rsidR="00EA543A" w:rsidRPr="007D5748" w:rsidRDefault="00EA543A" w:rsidP="00EA543A">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v tom: za každý subjekt verejnej správy / program zvlášť</w:t>
            </w:r>
          </w:p>
        </w:tc>
        <w:tc>
          <w:tcPr>
            <w:tcW w:w="1276" w:type="dxa"/>
            <w:noWrap/>
            <w:vAlign w:val="center"/>
          </w:tcPr>
          <w:p w:rsidR="00EA543A" w:rsidRPr="007D5748" w:rsidRDefault="00EA543A" w:rsidP="00EA543A">
            <w:pPr>
              <w:spacing w:after="0" w:line="240" w:lineRule="auto"/>
              <w:jc w:val="right"/>
              <w:rPr>
                <w:rFonts w:ascii="Times New Roman" w:eastAsia="Times New Roman" w:hAnsi="Times New Roman" w:cs="Times New Roman"/>
                <w:sz w:val="24"/>
                <w:szCs w:val="24"/>
                <w:lang w:eastAsia="sk-SK"/>
              </w:rPr>
            </w:pPr>
          </w:p>
        </w:tc>
        <w:tc>
          <w:tcPr>
            <w:tcW w:w="1559" w:type="dxa"/>
            <w:noWrap/>
            <w:vAlign w:val="center"/>
          </w:tcPr>
          <w:p w:rsidR="00EA543A" w:rsidRPr="007D5748" w:rsidRDefault="00EA543A" w:rsidP="00EA543A">
            <w:pPr>
              <w:spacing w:after="0" w:line="240" w:lineRule="auto"/>
              <w:jc w:val="right"/>
              <w:rPr>
                <w:rFonts w:ascii="Times New Roman" w:eastAsia="Times New Roman" w:hAnsi="Times New Roman" w:cs="Times New Roman"/>
                <w:sz w:val="24"/>
                <w:szCs w:val="24"/>
                <w:lang w:eastAsia="sk-SK"/>
              </w:rPr>
            </w:pPr>
          </w:p>
        </w:tc>
        <w:tc>
          <w:tcPr>
            <w:tcW w:w="1418" w:type="dxa"/>
            <w:noWrap/>
            <w:vAlign w:val="center"/>
          </w:tcPr>
          <w:p w:rsidR="00EA543A" w:rsidRPr="007D5748" w:rsidRDefault="00EA543A" w:rsidP="00EA543A">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512" w:type="dxa"/>
            <w:noWrap/>
            <w:vAlign w:val="center"/>
          </w:tcPr>
          <w:p w:rsidR="00EA543A" w:rsidRPr="007D5748" w:rsidRDefault="00EA543A" w:rsidP="00EA543A">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EA543A" w:rsidRPr="007D5748" w:rsidTr="00EA543A">
        <w:trPr>
          <w:trHeight w:val="70"/>
          <w:jc w:val="center"/>
        </w:trPr>
        <w:tc>
          <w:tcPr>
            <w:tcW w:w="3964" w:type="dxa"/>
            <w:noWrap/>
            <w:vAlign w:val="center"/>
          </w:tcPr>
          <w:p w:rsidR="00EA543A" w:rsidRDefault="00EA543A" w:rsidP="00EA543A">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Kapitola MF SR (organizácia FR SR)</w:t>
            </w:r>
          </w:p>
          <w:p w:rsidR="00EA543A" w:rsidRPr="007D5748" w:rsidRDefault="00EA543A" w:rsidP="00EA543A">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RP 718006 podprogram 0EK0D – Informačné technológie</w:t>
            </w:r>
          </w:p>
        </w:tc>
        <w:tc>
          <w:tcPr>
            <w:tcW w:w="1276" w:type="dxa"/>
            <w:noWrap/>
            <w:vAlign w:val="center"/>
          </w:tcPr>
          <w:p w:rsidR="00EA543A" w:rsidRPr="004D10E4" w:rsidRDefault="00EA543A" w:rsidP="00EA543A">
            <w:pPr>
              <w:spacing w:after="0" w:line="240" w:lineRule="auto"/>
              <w:jc w:val="right"/>
              <w:rPr>
                <w:rFonts w:ascii="Times New Roman" w:eastAsia="Times New Roman" w:hAnsi="Times New Roman" w:cs="Times New Roman"/>
                <w:b/>
                <w:sz w:val="24"/>
                <w:szCs w:val="24"/>
                <w:lang w:eastAsia="sk-SK"/>
              </w:rPr>
            </w:pPr>
            <w:r w:rsidRPr="004D10E4">
              <w:rPr>
                <w:rFonts w:ascii="Times New Roman" w:eastAsia="Times New Roman" w:hAnsi="Times New Roman" w:cs="Times New Roman"/>
                <w:b/>
                <w:sz w:val="24"/>
                <w:szCs w:val="24"/>
                <w:lang w:eastAsia="sk-SK"/>
              </w:rPr>
              <w:t>1 608</w:t>
            </w:r>
          </w:p>
        </w:tc>
        <w:tc>
          <w:tcPr>
            <w:tcW w:w="1559" w:type="dxa"/>
            <w:noWrap/>
            <w:vAlign w:val="center"/>
          </w:tcPr>
          <w:p w:rsidR="00EA543A" w:rsidRPr="007D5748" w:rsidRDefault="00EA543A" w:rsidP="00EA543A">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418" w:type="dxa"/>
            <w:noWrap/>
            <w:vAlign w:val="center"/>
          </w:tcPr>
          <w:p w:rsidR="00EA543A" w:rsidRPr="007D5748" w:rsidRDefault="00EA543A" w:rsidP="00EA543A">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512" w:type="dxa"/>
            <w:noWrap/>
            <w:vAlign w:val="center"/>
          </w:tcPr>
          <w:p w:rsidR="00EA543A" w:rsidRPr="007D5748" w:rsidRDefault="00EA543A" w:rsidP="00EA543A">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r>
      <w:tr w:rsidR="00EA543A" w:rsidRPr="007D5748" w:rsidTr="00EA543A">
        <w:trPr>
          <w:trHeight w:val="70"/>
          <w:jc w:val="center"/>
        </w:trPr>
        <w:tc>
          <w:tcPr>
            <w:tcW w:w="3964" w:type="dxa"/>
            <w:noWrap/>
            <w:vAlign w:val="center"/>
          </w:tcPr>
          <w:p w:rsidR="00EA543A" w:rsidRPr="007D5748" w:rsidRDefault="00EA543A" w:rsidP="00EA543A">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xml:space="preserve">z toho: </w:t>
            </w:r>
          </w:p>
        </w:tc>
        <w:tc>
          <w:tcPr>
            <w:tcW w:w="1276"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p>
        </w:tc>
        <w:tc>
          <w:tcPr>
            <w:tcW w:w="1559"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p>
        </w:tc>
        <w:tc>
          <w:tcPr>
            <w:tcW w:w="1418"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p>
        </w:tc>
        <w:tc>
          <w:tcPr>
            <w:tcW w:w="1512"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p>
        </w:tc>
      </w:tr>
      <w:tr w:rsidR="00EA543A" w:rsidRPr="007D5748" w:rsidTr="00EA543A">
        <w:trPr>
          <w:trHeight w:val="70"/>
          <w:jc w:val="center"/>
        </w:trPr>
        <w:tc>
          <w:tcPr>
            <w:tcW w:w="3964" w:type="dxa"/>
            <w:noWrap/>
            <w:vAlign w:val="center"/>
          </w:tcPr>
          <w:p w:rsidR="00EA543A" w:rsidRPr="007D5748" w:rsidRDefault="00EA543A" w:rsidP="00EA543A">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76"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1 608</w:t>
            </w:r>
          </w:p>
        </w:tc>
        <w:tc>
          <w:tcPr>
            <w:tcW w:w="1559"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418"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512"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r>
      <w:tr w:rsidR="00EA543A" w:rsidRPr="007D5748" w:rsidTr="00EA543A">
        <w:trPr>
          <w:trHeight w:val="70"/>
          <w:jc w:val="center"/>
        </w:trPr>
        <w:tc>
          <w:tcPr>
            <w:tcW w:w="3964" w:type="dxa"/>
            <w:noWrap/>
            <w:vAlign w:val="center"/>
          </w:tcPr>
          <w:p w:rsidR="00EA543A" w:rsidRPr="007D5748" w:rsidRDefault="00EA543A" w:rsidP="00EA543A">
            <w:pPr>
              <w:spacing w:after="0" w:line="240" w:lineRule="auto"/>
              <w:ind w:left="259"/>
              <w:rPr>
                <w:rFonts w:ascii="Times New Roman" w:eastAsia="Times New Roman" w:hAnsi="Times New Roman" w:cs="Times New Roman"/>
                <w:b/>
                <w:bCs/>
                <w:i/>
                <w:iCs/>
                <w:sz w:val="24"/>
                <w:szCs w:val="24"/>
                <w:lang w:eastAsia="sk-SK"/>
              </w:rPr>
            </w:pPr>
            <w:r>
              <w:rPr>
                <w:rFonts w:ascii="Times New Roman" w:eastAsia="Times New Roman" w:hAnsi="Times New Roman" w:cs="Times New Roman"/>
                <w:bCs/>
                <w:i/>
                <w:iCs/>
                <w:sz w:val="24"/>
                <w:szCs w:val="24"/>
                <w:lang w:eastAsia="sk-SK"/>
              </w:rPr>
              <w:t>Rozpočtové prostriedky</w:t>
            </w:r>
          </w:p>
        </w:tc>
        <w:tc>
          <w:tcPr>
            <w:tcW w:w="1276"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559"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418"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512"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r>
      <w:tr w:rsidR="00EA543A" w:rsidRPr="007D5748" w:rsidTr="00EA543A">
        <w:trPr>
          <w:trHeight w:val="70"/>
          <w:jc w:val="center"/>
        </w:trPr>
        <w:tc>
          <w:tcPr>
            <w:tcW w:w="3964" w:type="dxa"/>
            <w:noWrap/>
            <w:vAlign w:val="center"/>
          </w:tcPr>
          <w:p w:rsidR="00EA543A" w:rsidRPr="007D5748" w:rsidRDefault="00EA543A" w:rsidP="00EA543A">
            <w:pPr>
              <w:spacing w:after="0" w:line="240" w:lineRule="auto"/>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 xml:space="preserve">    EÚ zdroje</w:t>
            </w:r>
          </w:p>
        </w:tc>
        <w:tc>
          <w:tcPr>
            <w:tcW w:w="1276" w:type="dxa"/>
            <w:noWrap/>
            <w:vAlign w:val="center"/>
          </w:tcPr>
          <w:p w:rsidR="00EA543A" w:rsidRPr="007D5748" w:rsidRDefault="00EA543A" w:rsidP="00EA543A">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559" w:type="dxa"/>
            <w:noWrap/>
            <w:vAlign w:val="center"/>
          </w:tcPr>
          <w:p w:rsidR="00EA543A" w:rsidRPr="007D5748" w:rsidRDefault="00EA543A" w:rsidP="00EA543A">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418" w:type="dxa"/>
            <w:noWrap/>
            <w:vAlign w:val="center"/>
          </w:tcPr>
          <w:p w:rsidR="00EA543A" w:rsidRPr="007D5748" w:rsidRDefault="00EA543A" w:rsidP="00EA543A">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512" w:type="dxa"/>
            <w:noWrap/>
            <w:vAlign w:val="center"/>
          </w:tcPr>
          <w:p w:rsidR="00EA543A" w:rsidRPr="007D5748" w:rsidRDefault="00EA543A" w:rsidP="00EA543A">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EA543A" w:rsidRPr="007D5748" w:rsidTr="00EA543A">
        <w:trPr>
          <w:trHeight w:val="70"/>
          <w:jc w:val="center"/>
        </w:trPr>
        <w:tc>
          <w:tcPr>
            <w:tcW w:w="3964" w:type="dxa"/>
            <w:noWrap/>
            <w:vAlign w:val="center"/>
          </w:tcPr>
          <w:p w:rsidR="00EA543A" w:rsidRPr="007D5748" w:rsidRDefault="00EA543A" w:rsidP="00EA543A">
            <w:pPr>
              <w:spacing w:after="0" w:line="240" w:lineRule="auto"/>
              <w:rPr>
                <w:rFonts w:ascii="Times New Roman" w:eastAsia="Times New Roman" w:hAnsi="Times New Roman" w:cs="Times New Roman"/>
                <w:bCs/>
                <w:i/>
                <w:iCs/>
                <w:sz w:val="24"/>
                <w:szCs w:val="24"/>
                <w:lang w:eastAsia="sk-SK"/>
              </w:rPr>
            </w:pPr>
            <w:r w:rsidRPr="007D5748">
              <w:rPr>
                <w:rFonts w:ascii="Times New Roman" w:eastAsia="Times New Roman" w:hAnsi="Times New Roman" w:cs="Times New Roman"/>
                <w:bCs/>
                <w:i/>
                <w:iCs/>
                <w:sz w:val="24"/>
                <w:szCs w:val="24"/>
                <w:lang w:eastAsia="sk-SK"/>
              </w:rPr>
              <w:t xml:space="preserve">    spolufinancovanie</w:t>
            </w:r>
          </w:p>
        </w:tc>
        <w:tc>
          <w:tcPr>
            <w:tcW w:w="1276" w:type="dxa"/>
            <w:noWrap/>
            <w:vAlign w:val="center"/>
          </w:tcPr>
          <w:p w:rsidR="00EA543A" w:rsidRPr="007D5748" w:rsidRDefault="00EA543A" w:rsidP="00EA543A">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559" w:type="dxa"/>
            <w:noWrap/>
            <w:vAlign w:val="center"/>
          </w:tcPr>
          <w:p w:rsidR="00EA543A" w:rsidRPr="007D5748" w:rsidRDefault="00EA543A" w:rsidP="00EA543A">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418" w:type="dxa"/>
            <w:noWrap/>
            <w:vAlign w:val="center"/>
          </w:tcPr>
          <w:p w:rsidR="00EA543A" w:rsidRPr="007D5748" w:rsidRDefault="00EA543A" w:rsidP="00EA543A">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512" w:type="dxa"/>
            <w:noWrap/>
            <w:vAlign w:val="center"/>
          </w:tcPr>
          <w:p w:rsidR="00EA543A" w:rsidRPr="007D5748" w:rsidRDefault="00EA543A" w:rsidP="00EA543A">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EA543A" w:rsidRPr="007D5748" w:rsidTr="00EA543A">
        <w:trPr>
          <w:trHeight w:val="125"/>
          <w:jc w:val="center"/>
        </w:trPr>
        <w:tc>
          <w:tcPr>
            <w:tcW w:w="3964" w:type="dxa"/>
            <w:noWrap/>
            <w:vAlign w:val="center"/>
          </w:tcPr>
          <w:p w:rsidR="00EA543A" w:rsidRPr="007D5748" w:rsidRDefault="00EA543A" w:rsidP="00EA543A">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76"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59"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8"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12"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EA543A" w:rsidRPr="007D5748" w:rsidTr="00EA543A">
        <w:trPr>
          <w:trHeight w:val="125"/>
          <w:jc w:val="center"/>
        </w:trPr>
        <w:tc>
          <w:tcPr>
            <w:tcW w:w="3964" w:type="dxa"/>
            <w:noWrap/>
            <w:vAlign w:val="center"/>
          </w:tcPr>
          <w:p w:rsidR="00EA543A" w:rsidRPr="007D5748" w:rsidRDefault="00EA543A" w:rsidP="00EA543A">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76"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59"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8"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12"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EA543A" w:rsidRPr="007D5748" w:rsidTr="00EA543A">
        <w:trPr>
          <w:trHeight w:val="70"/>
          <w:jc w:val="center"/>
        </w:trPr>
        <w:tc>
          <w:tcPr>
            <w:tcW w:w="3964" w:type="dxa"/>
            <w:noWrap/>
            <w:vAlign w:val="center"/>
          </w:tcPr>
          <w:p w:rsidR="00EA543A" w:rsidRPr="007D5748" w:rsidRDefault="00EA543A" w:rsidP="00EA543A">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76"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59"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8"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12"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EA543A" w:rsidRPr="007D5748" w:rsidTr="00EA543A">
        <w:trPr>
          <w:trHeight w:val="70"/>
          <w:jc w:val="center"/>
        </w:trPr>
        <w:tc>
          <w:tcPr>
            <w:tcW w:w="3964" w:type="dxa"/>
            <w:shd w:val="clear" w:color="auto" w:fill="BFBFBF" w:themeFill="background1" w:themeFillShade="BF"/>
            <w:noWrap/>
            <w:vAlign w:val="center"/>
          </w:tcPr>
          <w:p w:rsidR="00EA543A" w:rsidRPr="007D5748" w:rsidRDefault="00EA543A" w:rsidP="00EA543A">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Vplyv na počet zamestnancov </w:t>
            </w:r>
          </w:p>
        </w:tc>
        <w:tc>
          <w:tcPr>
            <w:tcW w:w="1276" w:type="dxa"/>
            <w:shd w:val="clear" w:color="auto" w:fill="BFBFBF" w:themeFill="background1" w:themeFillShade="BF"/>
            <w:noWrap/>
            <w:vAlign w:val="center"/>
          </w:tcPr>
          <w:p w:rsidR="00EA543A" w:rsidRPr="007D5748" w:rsidRDefault="00EA543A" w:rsidP="00EA543A">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59" w:type="dxa"/>
            <w:shd w:val="clear" w:color="auto" w:fill="BFBFBF" w:themeFill="background1" w:themeFillShade="BF"/>
            <w:noWrap/>
            <w:vAlign w:val="center"/>
          </w:tcPr>
          <w:p w:rsidR="00EA543A" w:rsidRPr="007D5748" w:rsidRDefault="00EA543A" w:rsidP="00EA543A">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418" w:type="dxa"/>
            <w:shd w:val="clear" w:color="auto" w:fill="BFBFBF" w:themeFill="background1" w:themeFillShade="BF"/>
            <w:noWrap/>
            <w:vAlign w:val="center"/>
          </w:tcPr>
          <w:p w:rsidR="00EA543A" w:rsidRPr="007D5748" w:rsidRDefault="00EA543A" w:rsidP="00EA543A">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12" w:type="dxa"/>
            <w:shd w:val="clear" w:color="auto" w:fill="BFBFBF" w:themeFill="background1" w:themeFillShade="BF"/>
            <w:noWrap/>
            <w:vAlign w:val="center"/>
          </w:tcPr>
          <w:p w:rsidR="00EA543A" w:rsidRPr="007D5748" w:rsidRDefault="00EA543A" w:rsidP="00EA543A">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EA543A" w:rsidRPr="007D5748" w:rsidTr="00EA543A">
        <w:trPr>
          <w:trHeight w:val="70"/>
          <w:jc w:val="center"/>
        </w:trPr>
        <w:tc>
          <w:tcPr>
            <w:tcW w:w="3964" w:type="dxa"/>
            <w:noWrap/>
            <w:vAlign w:val="center"/>
          </w:tcPr>
          <w:p w:rsidR="00EA543A" w:rsidRPr="007D5748" w:rsidRDefault="00EA543A" w:rsidP="00EA543A">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76"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59"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8"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12"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EA543A" w:rsidRPr="007D5748" w:rsidTr="00EA543A">
        <w:trPr>
          <w:trHeight w:val="70"/>
          <w:jc w:val="center"/>
        </w:trPr>
        <w:tc>
          <w:tcPr>
            <w:tcW w:w="3964" w:type="dxa"/>
            <w:noWrap/>
            <w:vAlign w:val="center"/>
          </w:tcPr>
          <w:p w:rsidR="00EA543A" w:rsidRPr="007D5748" w:rsidRDefault="00EA543A" w:rsidP="00EA543A">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76"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59"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8"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12"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EA543A" w:rsidRPr="007D5748" w:rsidTr="00EA543A">
        <w:trPr>
          <w:trHeight w:val="70"/>
          <w:jc w:val="center"/>
        </w:trPr>
        <w:tc>
          <w:tcPr>
            <w:tcW w:w="3964" w:type="dxa"/>
            <w:noWrap/>
            <w:vAlign w:val="center"/>
          </w:tcPr>
          <w:p w:rsidR="00EA543A" w:rsidRPr="007D5748" w:rsidRDefault="00EA543A" w:rsidP="00EA543A">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76"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59"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8"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12"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EA543A" w:rsidRPr="007D5748" w:rsidTr="00EA543A">
        <w:trPr>
          <w:trHeight w:val="70"/>
          <w:jc w:val="center"/>
        </w:trPr>
        <w:tc>
          <w:tcPr>
            <w:tcW w:w="3964" w:type="dxa"/>
            <w:noWrap/>
            <w:vAlign w:val="center"/>
          </w:tcPr>
          <w:p w:rsidR="00EA543A" w:rsidRPr="007D5748" w:rsidRDefault="00EA543A" w:rsidP="00EA543A">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76"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59"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8"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12"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EA543A" w:rsidRPr="007D5748" w:rsidTr="00EA543A">
        <w:trPr>
          <w:trHeight w:val="70"/>
          <w:jc w:val="center"/>
        </w:trPr>
        <w:tc>
          <w:tcPr>
            <w:tcW w:w="3964" w:type="dxa"/>
            <w:shd w:val="clear" w:color="auto" w:fill="BFBFBF" w:themeFill="background1" w:themeFillShade="BF"/>
            <w:noWrap/>
            <w:vAlign w:val="center"/>
          </w:tcPr>
          <w:p w:rsidR="00EA543A" w:rsidRPr="007D5748" w:rsidRDefault="00EA543A" w:rsidP="00EA543A">
            <w:pPr>
              <w:spacing w:after="0" w:line="240" w:lineRule="auto"/>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Vplyv na mzdové výdavky</w:t>
            </w:r>
          </w:p>
        </w:tc>
        <w:tc>
          <w:tcPr>
            <w:tcW w:w="1276" w:type="dxa"/>
            <w:shd w:val="clear" w:color="auto" w:fill="BFBFBF" w:themeFill="background1" w:themeFillShade="BF"/>
            <w:noWrap/>
            <w:vAlign w:val="center"/>
          </w:tcPr>
          <w:p w:rsidR="00EA543A" w:rsidRPr="007D5748" w:rsidRDefault="00EA543A" w:rsidP="00EA543A">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c>
          <w:tcPr>
            <w:tcW w:w="1559" w:type="dxa"/>
            <w:shd w:val="clear" w:color="auto" w:fill="BFBFBF" w:themeFill="background1" w:themeFillShade="BF"/>
            <w:noWrap/>
            <w:vAlign w:val="center"/>
          </w:tcPr>
          <w:p w:rsidR="00EA543A" w:rsidRPr="007D5748" w:rsidRDefault="00EA543A" w:rsidP="00EA543A">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c>
          <w:tcPr>
            <w:tcW w:w="1418" w:type="dxa"/>
            <w:shd w:val="clear" w:color="auto" w:fill="BFBFBF" w:themeFill="background1" w:themeFillShade="BF"/>
            <w:noWrap/>
            <w:vAlign w:val="center"/>
          </w:tcPr>
          <w:p w:rsidR="00EA543A" w:rsidRPr="007D5748" w:rsidRDefault="00EA543A" w:rsidP="00EA543A">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c>
          <w:tcPr>
            <w:tcW w:w="1512" w:type="dxa"/>
            <w:shd w:val="clear" w:color="auto" w:fill="BFBFBF" w:themeFill="background1" w:themeFillShade="BF"/>
            <w:noWrap/>
            <w:vAlign w:val="center"/>
          </w:tcPr>
          <w:p w:rsidR="00EA543A" w:rsidRPr="007D5748" w:rsidRDefault="00EA543A" w:rsidP="00EA543A">
            <w:pPr>
              <w:spacing w:after="0" w:line="240" w:lineRule="auto"/>
              <w:jc w:val="right"/>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0</w:t>
            </w:r>
          </w:p>
        </w:tc>
      </w:tr>
      <w:tr w:rsidR="00EA543A" w:rsidRPr="007D5748" w:rsidTr="00EA543A">
        <w:trPr>
          <w:trHeight w:val="70"/>
          <w:jc w:val="center"/>
        </w:trPr>
        <w:tc>
          <w:tcPr>
            <w:tcW w:w="3964" w:type="dxa"/>
            <w:noWrap/>
            <w:vAlign w:val="center"/>
          </w:tcPr>
          <w:p w:rsidR="00EA543A" w:rsidRPr="007D5748" w:rsidRDefault="00EA543A" w:rsidP="00EA543A">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ŠR</w:t>
            </w:r>
          </w:p>
        </w:tc>
        <w:tc>
          <w:tcPr>
            <w:tcW w:w="1276"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59"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8"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12"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EA543A" w:rsidRPr="007D5748" w:rsidTr="00EA543A">
        <w:trPr>
          <w:trHeight w:val="70"/>
          <w:jc w:val="center"/>
        </w:trPr>
        <w:tc>
          <w:tcPr>
            <w:tcW w:w="3964" w:type="dxa"/>
            <w:noWrap/>
            <w:vAlign w:val="center"/>
          </w:tcPr>
          <w:p w:rsidR="00EA543A" w:rsidRPr="007D5748" w:rsidRDefault="00EA543A" w:rsidP="00EA543A">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obce</w:t>
            </w:r>
          </w:p>
        </w:tc>
        <w:tc>
          <w:tcPr>
            <w:tcW w:w="1276"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59"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8"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12"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EA543A" w:rsidRPr="007D5748" w:rsidTr="00EA543A">
        <w:trPr>
          <w:trHeight w:val="70"/>
          <w:jc w:val="center"/>
        </w:trPr>
        <w:tc>
          <w:tcPr>
            <w:tcW w:w="3964" w:type="dxa"/>
            <w:noWrap/>
            <w:vAlign w:val="center"/>
          </w:tcPr>
          <w:p w:rsidR="00EA543A" w:rsidRPr="007D5748" w:rsidRDefault="00EA543A" w:rsidP="00EA543A">
            <w:pPr>
              <w:spacing w:after="0" w:line="240" w:lineRule="auto"/>
              <w:rPr>
                <w:rFonts w:ascii="Times New Roman" w:eastAsia="Times New Roman" w:hAnsi="Times New Roman" w:cs="Times New Roman"/>
                <w:b/>
                <w:bCs/>
                <w:i/>
                <w:iCs/>
                <w:sz w:val="24"/>
                <w:szCs w:val="24"/>
                <w:lang w:eastAsia="sk-SK"/>
              </w:rPr>
            </w:pPr>
            <w:r w:rsidRPr="007D5748">
              <w:rPr>
                <w:rFonts w:ascii="Times New Roman" w:eastAsia="Times New Roman" w:hAnsi="Times New Roman" w:cs="Times New Roman"/>
                <w:b/>
                <w:bCs/>
                <w:i/>
                <w:iCs/>
                <w:sz w:val="24"/>
                <w:szCs w:val="24"/>
                <w:lang w:eastAsia="sk-SK"/>
              </w:rPr>
              <w:t>- vplyv na vyššie územné celky</w:t>
            </w:r>
          </w:p>
        </w:tc>
        <w:tc>
          <w:tcPr>
            <w:tcW w:w="1276"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59"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8"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12"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EA543A" w:rsidRPr="007D5748" w:rsidTr="00EA543A">
        <w:trPr>
          <w:trHeight w:val="70"/>
          <w:jc w:val="center"/>
        </w:trPr>
        <w:tc>
          <w:tcPr>
            <w:tcW w:w="3964" w:type="dxa"/>
            <w:noWrap/>
            <w:vAlign w:val="center"/>
          </w:tcPr>
          <w:p w:rsidR="00EA543A" w:rsidRPr="007D5748" w:rsidRDefault="00EA543A" w:rsidP="00EA543A">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i/>
                <w:iCs/>
                <w:sz w:val="24"/>
                <w:szCs w:val="24"/>
                <w:lang w:eastAsia="sk-SK"/>
              </w:rPr>
              <w:t>- vplyv na ostatné subjekty verejnej správy</w:t>
            </w:r>
          </w:p>
        </w:tc>
        <w:tc>
          <w:tcPr>
            <w:tcW w:w="1276"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59"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418"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c>
          <w:tcPr>
            <w:tcW w:w="1512" w:type="dxa"/>
            <w:noWrap/>
            <w:vAlign w:val="center"/>
          </w:tcPr>
          <w:p w:rsidR="00EA543A" w:rsidRPr="007D5748" w:rsidRDefault="00EA543A" w:rsidP="00EA543A">
            <w:pPr>
              <w:spacing w:after="0" w:line="240" w:lineRule="auto"/>
              <w:jc w:val="right"/>
              <w:rPr>
                <w:rFonts w:ascii="Times New Roman" w:eastAsia="Times New Roman" w:hAnsi="Times New Roman" w:cs="Times New Roman"/>
                <w:b/>
                <w:bCs/>
                <w:iCs/>
                <w:sz w:val="24"/>
                <w:szCs w:val="24"/>
                <w:lang w:eastAsia="sk-SK"/>
              </w:rPr>
            </w:pPr>
            <w:r w:rsidRPr="007D5748">
              <w:rPr>
                <w:rFonts w:ascii="Times New Roman" w:eastAsia="Times New Roman" w:hAnsi="Times New Roman" w:cs="Times New Roman"/>
                <w:b/>
                <w:bCs/>
                <w:iCs/>
                <w:sz w:val="24"/>
                <w:szCs w:val="24"/>
                <w:lang w:eastAsia="sk-SK"/>
              </w:rPr>
              <w:t>0</w:t>
            </w:r>
          </w:p>
        </w:tc>
      </w:tr>
      <w:tr w:rsidR="00EA543A" w:rsidRPr="007D5748" w:rsidTr="00EA543A">
        <w:trPr>
          <w:trHeight w:val="70"/>
          <w:jc w:val="center"/>
        </w:trPr>
        <w:tc>
          <w:tcPr>
            <w:tcW w:w="3964" w:type="dxa"/>
            <w:shd w:val="clear" w:color="auto" w:fill="C0C0C0"/>
            <w:noWrap/>
            <w:vAlign w:val="center"/>
          </w:tcPr>
          <w:p w:rsidR="00EA543A" w:rsidRPr="007D5748" w:rsidRDefault="00EA543A" w:rsidP="00EA543A">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Financovanie zabezpečené v</w:t>
            </w:r>
            <w:r>
              <w:rPr>
                <w:rFonts w:ascii="Times New Roman" w:eastAsia="Times New Roman" w:hAnsi="Times New Roman" w:cs="Times New Roman"/>
                <w:b/>
                <w:bCs/>
                <w:sz w:val="24"/>
                <w:szCs w:val="24"/>
                <w:lang w:eastAsia="sk-SK"/>
              </w:rPr>
              <w:t> </w:t>
            </w:r>
            <w:r w:rsidRPr="007D5748">
              <w:rPr>
                <w:rFonts w:ascii="Times New Roman" w:eastAsia="Times New Roman" w:hAnsi="Times New Roman" w:cs="Times New Roman"/>
                <w:b/>
                <w:bCs/>
                <w:sz w:val="24"/>
                <w:szCs w:val="24"/>
                <w:lang w:eastAsia="sk-SK"/>
              </w:rPr>
              <w:t>rozpočte</w:t>
            </w:r>
            <w:r>
              <w:rPr>
                <w:rFonts w:ascii="Times New Roman" w:eastAsia="Times New Roman" w:hAnsi="Times New Roman" w:cs="Times New Roman"/>
                <w:b/>
                <w:bCs/>
                <w:sz w:val="24"/>
                <w:szCs w:val="24"/>
                <w:lang w:eastAsia="sk-SK"/>
              </w:rPr>
              <w:t xml:space="preserve"> verejnej správy</w:t>
            </w:r>
          </w:p>
        </w:tc>
        <w:tc>
          <w:tcPr>
            <w:tcW w:w="1276" w:type="dxa"/>
            <w:shd w:val="clear" w:color="auto" w:fill="C0C0C0"/>
            <w:noWrap/>
            <w:vAlign w:val="center"/>
          </w:tcPr>
          <w:p w:rsidR="00EA543A" w:rsidRPr="007D5748" w:rsidRDefault="00EA543A" w:rsidP="00EA543A">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1 608</w:t>
            </w:r>
          </w:p>
        </w:tc>
        <w:tc>
          <w:tcPr>
            <w:tcW w:w="1559" w:type="dxa"/>
            <w:shd w:val="clear" w:color="auto" w:fill="C0C0C0"/>
            <w:noWrap/>
            <w:vAlign w:val="center"/>
          </w:tcPr>
          <w:p w:rsidR="00EA543A" w:rsidRPr="007D5748" w:rsidRDefault="00EA543A" w:rsidP="00EA543A">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418" w:type="dxa"/>
            <w:shd w:val="clear" w:color="auto" w:fill="C0C0C0"/>
            <w:noWrap/>
            <w:vAlign w:val="center"/>
          </w:tcPr>
          <w:p w:rsidR="00EA543A" w:rsidRPr="007D5748" w:rsidRDefault="00EA543A" w:rsidP="00EA543A">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12" w:type="dxa"/>
            <w:shd w:val="clear" w:color="auto" w:fill="C0C0C0"/>
            <w:noWrap/>
            <w:vAlign w:val="center"/>
          </w:tcPr>
          <w:p w:rsidR="00EA543A" w:rsidRPr="007D5748" w:rsidRDefault="00EA543A" w:rsidP="00EA543A">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r>
      <w:tr w:rsidR="00EA543A" w:rsidRPr="007D5748" w:rsidTr="00EA543A">
        <w:trPr>
          <w:trHeight w:val="70"/>
          <w:jc w:val="center"/>
        </w:trPr>
        <w:tc>
          <w:tcPr>
            <w:tcW w:w="3964" w:type="dxa"/>
            <w:noWrap/>
            <w:vAlign w:val="center"/>
          </w:tcPr>
          <w:p w:rsidR="00EA543A" w:rsidRPr="007D5748" w:rsidRDefault="00EA543A" w:rsidP="00EA543A">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lastRenderedPageBreak/>
              <w:t>v tom: za každý subjekt verejnej správy / program zvlášť</w:t>
            </w:r>
          </w:p>
        </w:tc>
        <w:tc>
          <w:tcPr>
            <w:tcW w:w="1276" w:type="dxa"/>
            <w:noWrap/>
            <w:vAlign w:val="center"/>
          </w:tcPr>
          <w:p w:rsidR="00EA543A" w:rsidRPr="007D5748" w:rsidRDefault="00EA543A" w:rsidP="00EA543A">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559" w:type="dxa"/>
            <w:noWrap/>
            <w:vAlign w:val="center"/>
          </w:tcPr>
          <w:p w:rsidR="00EA543A" w:rsidRPr="007D5748" w:rsidRDefault="00EA543A" w:rsidP="00EA543A">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418" w:type="dxa"/>
            <w:noWrap/>
            <w:vAlign w:val="center"/>
          </w:tcPr>
          <w:p w:rsidR="00EA543A" w:rsidRPr="007D5748" w:rsidRDefault="00EA543A" w:rsidP="00EA543A">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c>
          <w:tcPr>
            <w:tcW w:w="1512" w:type="dxa"/>
            <w:noWrap/>
            <w:vAlign w:val="center"/>
          </w:tcPr>
          <w:p w:rsidR="00EA543A" w:rsidRPr="007D5748" w:rsidRDefault="00EA543A" w:rsidP="00EA543A">
            <w:pPr>
              <w:spacing w:after="0" w:line="240" w:lineRule="auto"/>
              <w:jc w:val="right"/>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0</w:t>
            </w:r>
          </w:p>
        </w:tc>
      </w:tr>
      <w:tr w:rsidR="00EA543A" w:rsidRPr="007D5748" w:rsidTr="00EA543A">
        <w:trPr>
          <w:trHeight w:val="70"/>
          <w:jc w:val="center"/>
        </w:trPr>
        <w:tc>
          <w:tcPr>
            <w:tcW w:w="3964" w:type="dxa"/>
            <w:shd w:val="clear" w:color="auto" w:fill="BFBFBF" w:themeFill="background1" w:themeFillShade="BF"/>
            <w:noWrap/>
            <w:vAlign w:val="center"/>
          </w:tcPr>
          <w:p w:rsidR="00EA543A" w:rsidRPr="007D5748" w:rsidRDefault="00EA543A" w:rsidP="00EA543A">
            <w:pPr>
              <w:spacing w:after="0" w:line="240" w:lineRule="auto"/>
              <w:rPr>
                <w:rFonts w:ascii="Times New Roman" w:eastAsia="Times New Roman" w:hAnsi="Times New Roman" w:cs="Times New Roman"/>
                <w:b/>
                <w:sz w:val="24"/>
                <w:szCs w:val="24"/>
                <w:lang w:eastAsia="sk-SK"/>
              </w:rPr>
            </w:pPr>
            <w:r w:rsidRPr="007D5748">
              <w:rPr>
                <w:rFonts w:ascii="Times New Roman" w:eastAsia="Times New Roman" w:hAnsi="Times New Roman" w:cs="Times New Roman"/>
                <w:b/>
                <w:sz w:val="24"/>
                <w:szCs w:val="24"/>
                <w:lang w:eastAsia="sk-SK"/>
              </w:rPr>
              <w:t>Iné ako rozpočtové zdroje</w:t>
            </w:r>
          </w:p>
        </w:tc>
        <w:tc>
          <w:tcPr>
            <w:tcW w:w="1276" w:type="dxa"/>
            <w:shd w:val="clear" w:color="auto" w:fill="BFBFBF" w:themeFill="background1" w:themeFillShade="BF"/>
            <w:noWrap/>
            <w:vAlign w:val="center"/>
          </w:tcPr>
          <w:p w:rsidR="00EA543A" w:rsidRPr="007D5748" w:rsidRDefault="00EA543A" w:rsidP="00EA543A">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59" w:type="dxa"/>
            <w:shd w:val="clear" w:color="auto" w:fill="BFBFBF" w:themeFill="background1" w:themeFillShade="BF"/>
            <w:noWrap/>
            <w:vAlign w:val="center"/>
          </w:tcPr>
          <w:p w:rsidR="00EA543A" w:rsidRPr="007D5748" w:rsidRDefault="00EA543A" w:rsidP="00EA543A">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418" w:type="dxa"/>
            <w:shd w:val="clear" w:color="auto" w:fill="BFBFBF" w:themeFill="background1" w:themeFillShade="BF"/>
            <w:noWrap/>
            <w:vAlign w:val="center"/>
          </w:tcPr>
          <w:p w:rsidR="00EA543A" w:rsidRPr="007D5748" w:rsidRDefault="00EA543A" w:rsidP="00EA543A">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12" w:type="dxa"/>
            <w:shd w:val="clear" w:color="auto" w:fill="BFBFBF" w:themeFill="background1" w:themeFillShade="BF"/>
            <w:noWrap/>
            <w:vAlign w:val="center"/>
          </w:tcPr>
          <w:p w:rsidR="00EA543A" w:rsidRPr="007D5748" w:rsidRDefault="00EA543A" w:rsidP="00EA543A">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r>
      <w:tr w:rsidR="00EA543A" w:rsidRPr="007D5748" w:rsidTr="00EA543A">
        <w:trPr>
          <w:trHeight w:val="70"/>
          <w:jc w:val="center"/>
        </w:trPr>
        <w:tc>
          <w:tcPr>
            <w:tcW w:w="3964" w:type="dxa"/>
            <w:shd w:val="clear" w:color="auto" w:fill="A6A6A6" w:themeFill="background1" w:themeFillShade="A6"/>
            <w:noWrap/>
            <w:vAlign w:val="center"/>
          </w:tcPr>
          <w:p w:rsidR="00EA543A" w:rsidRPr="007D5748" w:rsidRDefault="00EA543A" w:rsidP="00EA543A">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Rozpočtovo nekrytý vplyv / úspora</w:t>
            </w:r>
          </w:p>
        </w:tc>
        <w:tc>
          <w:tcPr>
            <w:tcW w:w="1276" w:type="dxa"/>
            <w:shd w:val="clear" w:color="auto" w:fill="A6A6A6" w:themeFill="background1" w:themeFillShade="A6"/>
            <w:noWrap/>
            <w:vAlign w:val="center"/>
          </w:tcPr>
          <w:p w:rsidR="00EA543A" w:rsidRPr="007D5748" w:rsidRDefault="00EA543A" w:rsidP="00EA543A">
            <w:pPr>
              <w:spacing w:after="0" w:line="240" w:lineRule="auto"/>
              <w:jc w:val="right"/>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559" w:type="dxa"/>
            <w:shd w:val="clear" w:color="auto" w:fill="A6A6A6" w:themeFill="background1" w:themeFillShade="A6"/>
            <w:noWrap/>
            <w:vAlign w:val="center"/>
          </w:tcPr>
          <w:p w:rsidR="00EA543A" w:rsidRPr="007D5748" w:rsidRDefault="00EA543A" w:rsidP="00EA543A">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418" w:type="dxa"/>
            <w:shd w:val="clear" w:color="auto" w:fill="A6A6A6" w:themeFill="background1" w:themeFillShade="A6"/>
            <w:noWrap/>
            <w:vAlign w:val="center"/>
          </w:tcPr>
          <w:p w:rsidR="00EA543A" w:rsidRPr="007D5748" w:rsidRDefault="00EA543A" w:rsidP="00EA543A">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12" w:type="dxa"/>
            <w:shd w:val="clear" w:color="auto" w:fill="A6A6A6" w:themeFill="background1" w:themeFillShade="A6"/>
            <w:noWrap/>
            <w:vAlign w:val="center"/>
          </w:tcPr>
          <w:p w:rsidR="00EA543A" w:rsidRPr="007D5748" w:rsidRDefault="00EA543A" w:rsidP="00EA543A">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r>
      <w:bookmarkEnd w:id="0"/>
    </w:tbl>
    <w:p w:rsidR="00EA543A" w:rsidRDefault="00EA543A" w:rsidP="00EA543A">
      <w:pPr>
        <w:rPr>
          <w:rFonts w:ascii="Times New Roman" w:eastAsia="Times New Roman" w:hAnsi="Times New Roman" w:cs="Times New Roman"/>
          <w:b/>
          <w:bCs/>
          <w:sz w:val="24"/>
          <w:szCs w:val="24"/>
          <w:lang w:eastAsia="sk-SK"/>
        </w:rPr>
      </w:pPr>
    </w:p>
    <w:p w:rsidR="00EA543A" w:rsidRPr="007D5748" w:rsidRDefault="00EA543A" w:rsidP="00EA543A">
      <w:pP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rsidR="00EA543A" w:rsidRDefault="00EA543A" w:rsidP="00EA543A">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Negatívny vplyv vyplývajúci z nákladov na implementáciu návrhu zákona v oblasti informačného systému Finančnej správy SR bude rozpočtovo zabezpečený v rámci schválených limitov výdavkov verejnej správy.</w:t>
      </w:r>
    </w:p>
    <w:p w:rsidR="00EA543A" w:rsidRDefault="00EA543A" w:rsidP="00EA543A">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sidRPr="000E1143">
        <w:rPr>
          <w:rFonts w:ascii="Times New Roman" w:eastAsia="Times New Roman" w:hAnsi="Times New Roman" w:cs="Times New Roman"/>
          <w:bCs/>
          <w:sz w:val="24"/>
          <w:szCs w:val="24"/>
          <w:lang w:eastAsia="sk-SK"/>
        </w:rPr>
        <w:t xml:space="preserve">Úbytok príjmov </w:t>
      </w:r>
      <w:r>
        <w:rPr>
          <w:rFonts w:ascii="Times New Roman" w:eastAsia="Times New Roman" w:hAnsi="Times New Roman" w:cs="Times New Roman"/>
          <w:bCs/>
          <w:sz w:val="24"/>
          <w:szCs w:val="24"/>
          <w:lang w:eastAsia="sk-SK"/>
        </w:rPr>
        <w:t>verejných financií bude finančne krytý očakávaným zvýšeným výberom ostatných druhov daní ako aj z opatrení.</w:t>
      </w:r>
      <w:r w:rsidRPr="000E1143">
        <w:rPr>
          <w:rFonts w:ascii="Times New Roman" w:eastAsia="Times New Roman" w:hAnsi="Times New Roman" w:cs="Times New Roman"/>
          <w:bCs/>
          <w:sz w:val="24"/>
          <w:szCs w:val="24"/>
          <w:lang w:eastAsia="sk-SK"/>
        </w:rPr>
        <w:t xml:space="preserve"> </w:t>
      </w:r>
      <w:r>
        <w:rPr>
          <w:rFonts w:ascii="Times New Roman" w:eastAsia="Times New Roman" w:hAnsi="Times New Roman" w:cs="Times New Roman"/>
          <w:bCs/>
          <w:sz w:val="24"/>
          <w:szCs w:val="24"/>
          <w:lang w:eastAsia="sk-SK"/>
        </w:rPr>
        <w:t xml:space="preserve"> Predpokladá sa krytie výpadku príjmov štátneho rozpočtu aj z opatrení obsiahnutých v návrhu zákona, ktoré nie je možné vyčísliť a to predovšetkým z opatrení týkajúcich sa:</w:t>
      </w:r>
    </w:p>
    <w:p w:rsidR="00EA543A" w:rsidRDefault="00EA543A" w:rsidP="00EA543A">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-boja proti daňovým únikom – zavedenie pravidiel proti hybridným nesúladom</w:t>
      </w:r>
    </w:p>
    <w:p w:rsidR="00EA543A" w:rsidRDefault="00EA543A" w:rsidP="00EA543A">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-zjednodušenia administratívnej náročnosti zamestnávateľov prostredníctvom zníženia ich nákladov</w:t>
      </w:r>
    </w:p>
    <w:p w:rsidR="00EA543A" w:rsidRDefault="00EA543A" w:rsidP="00EA543A">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-zavedením nových zdrojov príjmov.</w:t>
      </w:r>
    </w:p>
    <w:p w:rsidR="00EA543A" w:rsidRPr="007B4144" w:rsidRDefault="00EA543A" w:rsidP="00EA543A">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 xml:space="preserve">Zároveň je potrebné podotknúť, že negatívny vplyv niektorých opatrení (napr. uplatnenie daňových odpisov </w:t>
      </w:r>
      <w:proofErr w:type="spellStart"/>
      <w:r>
        <w:rPr>
          <w:rFonts w:ascii="Times New Roman" w:eastAsia="Times New Roman" w:hAnsi="Times New Roman" w:cs="Times New Roman"/>
          <w:bCs/>
          <w:sz w:val="24"/>
          <w:szCs w:val="24"/>
          <w:lang w:eastAsia="sk-SK"/>
        </w:rPr>
        <w:t>mikrodaňovníkov</w:t>
      </w:r>
      <w:proofErr w:type="spellEnd"/>
      <w:r>
        <w:rPr>
          <w:rFonts w:ascii="Times New Roman" w:eastAsia="Times New Roman" w:hAnsi="Times New Roman" w:cs="Times New Roman"/>
          <w:bCs/>
          <w:sz w:val="24"/>
          <w:szCs w:val="24"/>
          <w:lang w:eastAsia="sk-SK"/>
        </w:rPr>
        <w:t>) predstavuje iba vplyv z dôvodu časového posunu uplatnenia daňových výdavkov.</w:t>
      </w:r>
    </w:p>
    <w:p w:rsidR="00EA543A" w:rsidRPr="007D5748" w:rsidRDefault="00EA543A" w:rsidP="00EA543A">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r w:rsidRPr="00752C01">
        <w:rPr>
          <w:rFonts w:ascii="Times New Roman" w:eastAsia="Times New Roman" w:hAnsi="Times New Roman" w:cs="Times New Roman"/>
          <w:bCs/>
          <w:sz w:val="24"/>
          <w:szCs w:val="24"/>
          <w:lang w:eastAsia="sk-SK"/>
        </w:rPr>
        <w:t>Úbytok príjmov obcí a vyšších územných celkov bude finančne krytý očakávaným zvýšeným výberom dane z príjmov fyzických osôb.</w:t>
      </w:r>
    </w:p>
    <w:p w:rsidR="00EA543A" w:rsidRDefault="00EA543A" w:rsidP="00EA543A">
      <w:pPr>
        <w:spacing w:after="0" w:line="240" w:lineRule="auto"/>
        <w:rPr>
          <w:rFonts w:ascii="Times New Roman" w:eastAsia="Times New Roman" w:hAnsi="Times New Roman" w:cs="Times New Roman"/>
          <w:b/>
          <w:bCs/>
          <w:sz w:val="24"/>
          <w:szCs w:val="24"/>
          <w:lang w:eastAsia="sk-SK"/>
        </w:rPr>
      </w:pPr>
    </w:p>
    <w:p w:rsidR="00EA543A" w:rsidRPr="007D5748" w:rsidRDefault="00EA543A" w:rsidP="00EA543A">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 Popis a charakteristika návrhu</w:t>
      </w:r>
    </w:p>
    <w:p w:rsidR="00EA543A" w:rsidRPr="007D5748" w:rsidRDefault="00EA543A" w:rsidP="00EA543A">
      <w:pPr>
        <w:spacing w:after="0" w:line="240" w:lineRule="auto"/>
        <w:rPr>
          <w:rFonts w:ascii="Times New Roman" w:eastAsia="Times New Roman" w:hAnsi="Times New Roman" w:cs="Times New Roman"/>
          <w:sz w:val="24"/>
          <w:szCs w:val="24"/>
          <w:lang w:eastAsia="sk-SK"/>
        </w:rPr>
      </w:pPr>
    </w:p>
    <w:p w:rsidR="00EA543A" w:rsidRPr="007D5748" w:rsidRDefault="00EA543A" w:rsidP="00EA543A">
      <w:pPr>
        <w:spacing w:after="0" w:line="240" w:lineRule="auto"/>
        <w:jc w:val="both"/>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2.2.1. Popis návrhu:</w:t>
      </w:r>
    </w:p>
    <w:p w:rsidR="00EA543A" w:rsidRPr="007D5748" w:rsidRDefault="00EA543A" w:rsidP="00EA543A">
      <w:pPr>
        <w:spacing w:after="0" w:line="240" w:lineRule="auto"/>
        <w:jc w:val="both"/>
        <w:rPr>
          <w:rFonts w:ascii="Times New Roman" w:eastAsia="Times New Roman" w:hAnsi="Times New Roman" w:cs="Times New Roman"/>
          <w:b/>
          <w:bCs/>
          <w:sz w:val="24"/>
          <w:szCs w:val="24"/>
          <w:lang w:eastAsia="sk-SK"/>
        </w:rPr>
      </w:pPr>
    </w:p>
    <w:p w:rsidR="00EA543A" w:rsidRPr="0051689A" w:rsidRDefault="00EA543A" w:rsidP="00EA543A">
      <w:pPr>
        <w:spacing w:after="0" w:line="240" w:lineRule="auto"/>
        <w:ind w:firstLine="708"/>
        <w:jc w:val="both"/>
        <w:rPr>
          <w:rFonts w:ascii="Times New Roman" w:eastAsia="Times New Roman" w:hAnsi="Times New Roman" w:cs="Times New Roman"/>
          <w:sz w:val="24"/>
          <w:szCs w:val="24"/>
          <w:lang w:eastAsia="sk-SK"/>
        </w:rPr>
      </w:pPr>
      <w:r w:rsidRPr="0051689A">
        <w:rPr>
          <w:rFonts w:ascii="Times New Roman" w:eastAsia="Times New Roman" w:hAnsi="Times New Roman" w:cs="Times New Roman"/>
          <w:sz w:val="24"/>
          <w:szCs w:val="24"/>
          <w:lang w:eastAsia="sk-SK"/>
        </w:rPr>
        <w:t xml:space="preserve">Návrh zákona, ktorým sa mení a dopĺňa zákon č. 595/2003 Z. z. o dani z príjmov v znení neskorších predpisov </w:t>
      </w:r>
    </w:p>
    <w:p w:rsidR="00EA543A" w:rsidRDefault="00EA543A" w:rsidP="00EA543A">
      <w:pPr>
        <w:spacing w:after="0" w:line="240" w:lineRule="auto"/>
        <w:ind w:firstLine="708"/>
        <w:jc w:val="both"/>
        <w:rPr>
          <w:rFonts w:ascii="Times New Roman" w:eastAsia="Times New Roman" w:hAnsi="Times New Roman" w:cs="Times New Roman"/>
          <w:sz w:val="24"/>
          <w:szCs w:val="24"/>
          <w:lang w:eastAsia="sk-SK"/>
        </w:rPr>
      </w:pPr>
    </w:p>
    <w:p w:rsidR="00EA543A" w:rsidRDefault="00EA543A" w:rsidP="00EA543A">
      <w:pPr>
        <w:pStyle w:val="Odsekzoznamu"/>
        <w:numPr>
          <w:ilvl w:val="0"/>
          <w:numId w:val="10"/>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Zavedenie paušálu na príspevok zamestnávateľa na dopravu</w:t>
      </w:r>
    </w:p>
    <w:p w:rsidR="00EA543A" w:rsidRDefault="00EA543A" w:rsidP="00EA543A">
      <w:pPr>
        <w:pStyle w:val="Odsekzoznamu"/>
        <w:numPr>
          <w:ilvl w:val="0"/>
          <w:numId w:val="10"/>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Zvýšenie príspevku zamestnávateľa na nájomné bývanie na 100 eur</w:t>
      </w:r>
    </w:p>
    <w:p w:rsidR="00EA543A" w:rsidRDefault="00EA543A" w:rsidP="00EA543A">
      <w:pPr>
        <w:pStyle w:val="Odsekzoznamu"/>
        <w:numPr>
          <w:ilvl w:val="0"/>
          <w:numId w:val="10"/>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Zmena pravidiel odpočtu daňovej straty u </w:t>
      </w:r>
      <w:proofErr w:type="spellStart"/>
      <w:r>
        <w:rPr>
          <w:rFonts w:ascii="Times New Roman" w:eastAsia="Times New Roman" w:hAnsi="Times New Roman" w:cs="Times New Roman"/>
          <w:sz w:val="24"/>
          <w:szCs w:val="24"/>
          <w:lang w:eastAsia="sk-SK"/>
        </w:rPr>
        <w:t>mikrodaňovníkov</w:t>
      </w:r>
      <w:proofErr w:type="spellEnd"/>
    </w:p>
    <w:p w:rsidR="00EA543A" w:rsidRDefault="00EA543A" w:rsidP="00EA543A">
      <w:pPr>
        <w:pStyle w:val="Odsekzoznamu"/>
        <w:numPr>
          <w:ilvl w:val="0"/>
          <w:numId w:val="10"/>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Zmena pravidiel odpočtu daňovej straty pre ostatné firmy</w:t>
      </w:r>
    </w:p>
    <w:p w:rsidR="00EA543A" w:rsidRDefault="00EA543A" w:rsidP="00EA543A">
      <w:pPr>
        <w:pStyle w:val="Odsekzoznamu"/>
        <w:numPr>
          <w:ilvl w:val="0"/>
          <w:numId w:val="10"/>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Zavedenie nových podmienok na odpisovanie hmotného majetku u </w:t>
      </w:r>
      <w:proofErr w:type="spellStart"/>
      <w:r>
        <w:rPr>
          <w:rFonts w:ascii="Times New Roman" w:eastAsia="Times New Roman" w:hAnsi="Times New Roman" w:cs="Times New Roman"/>
          <w:sz w:val="24"/>
          <w:szCs w:val="24"/>
          <w:lang w:eastAsia="sk-SK"/>
        </w:rPr>
        <w:t>mikrodaňovníkov</w:t>
      </w:r>
      <w:proofErr w:type="spellEnd"/>
    </w:p>
    <w:p w:rsidR="00EA543A" w:rsidRPr="00C373AC" w:rsidRDefault="00EA543A" w:rsidP="00EA543A">
      <w:pPr>
        <w:pStyle w:val="Odsekzoznamu"/>
        <w:numPr>
          <w:ilvl w:val="0"/>
          <w:numId w:val="10"/>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Podpora </w:t>
      </w:r>
      <w:proofErr w:type="spellStart"/>
      <w:r>
        <w:rPr>
          <w:rFonts w:ascii="Times New Roman" w:eastAsia="Times New Roman" w:hAnsi="Times New Roman" w:cs="Times New Roman"/>
          <w:sz w:val="24"/>
          <w:szCs w:val="24"/>
          <w:lang w:eastAsia="sk-SK"/>
        </w:rPr>
        <w:t>elektromobility</w:t>
      </w:r>
      <w:proofErr w:type="spellEnd"/>
      <w:r>
        <w:rPr>
          <w:rFonts w:ascii="Times New Roman" w:eastAsia="Times New Roman" w:hAnsi="Times New Roman" w:cs="Times New Roman"/>
          <w:sz w:val="24"/>
          <w:szCs w:val="24"/>
          <w:lang w:eastAsia="sk-SK"/>
        </w:rPr>
        <w:t xml:space="preserve"> prostredníctvom daňových odpisov</w:t>
      </w:r>
    </w:p>
    <w:p w:rsidR="00EA543A" w:rsidRDefault="00EA543A" w:rsidP="00EA543A">
      <w:pPr>
        <w:pStyle w:val="Odsekzoznamu"/>
        <w:numPr>
          <w:ilvl w:val="0"/>
          <w:numId w:val="10"/>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Zmena pri uplatňovaní </w:t>
      </w:r>
      <w:proofErr w:type="spellStart"/>
      <w:r>
        <w:rPr>
          <w:rFonts w:ascii="Times New Roman" w:eastAsia="Times New Roman" w:hAnsi="Times New Roman" w:cs="Times New Roman"/>
          <w:sz w:val="24"/>
          <w:szCs w:val="24"/>
          <w:lang w:eastAsia="sk-SK"/>
        </w:rPr>
        <w:t>superodpočtu</w:t>
      </w:r>
      <w:proofErr w:type="spellEnd"/>
      <w:r>
        <w:rPr>
          <w:rFonts w:ascii="Times New Roman" w:eastAsia="Times New Roman" w:hAnsi="Times New Roman" w:cs="Times New Roman"/>
          <w:sz w:val="24"/>
          <w:szCs w:val="24"/>
          <w:lang w:eastAsia="sk-SK"/>
        </w:rPr>
        <w:t xml:space="preserve"> výdavkov na vedu a výskum</w:t>
      </w:r>
    </w:p>
    <w:p w:rsidR="00EA543A" w:rsidRDefault="00EA543A" w:rsidP="00EA543A">
      <w:pPr>
        <w:pStyle w:val="Odsekzoznamu"/>
        <w:numPr>
          <w:ilvl w:val="0"/>
          <w:numId w:val="10"/>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Zavedenie možnosti tvorby daňových opravných položiek k pohľadávkam </w:t>
      </w:r>
      <w:proofErr w:type="spellStart"/>
      <w:r>
        <w:rPr>
          <w:rFonts w:ascii="Times New Roman" w:eastAsia="Times New Roman" w:hAnsi="Times New Roman" w:cs="Times New Roman"/>
          <w:sz w:val="24"/>
          <w:szCs w:val="24"/>
          <w:lang w:eastAsia="sk-SK"/>
        </w:rPr>
        <w:t>mikrodaňovníkov</w:t>
      </w:r>
      <w:proofErr w:type="spellEnd"/>
      <w:r>
        <w:rPr>
          <w:rFonts w:ascii="Times New Roman" w:eastAsia="Times New Roman" w:hAnsi="Times New Roman" w:cs="Times New Roman"/>
          <w:sz w:val="24"/>
          <w:szCs w:val="24"/>
          <w:lang w:eastAsia="sk-SK"/>
        </w:rPr>
        <w:t xml:space="preserve"> v súlade s účtovníctvom</w:t>
      </w:r>
    </w:p>
    <w:p w:rsidR="00EA543A" w:rsidRDefault="00EA543A" w:rsidP="00EA543A">
      <w:pPr>
        <w:pStyle w:val="Odsekzoznamu"/>
        <w:numPr>
          <w:ilvl w:val="0"/>
          <w:numId w:val="10"/>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Zvýšenie hranice pre platenie preddavkov u fyzických aj právnických osôb z 2 500 eur na 5 000 eur</w:t>
      </w:r>
    </w:p>
    <w:p w:rsidR="00EA543A" w:rsidRPr="007D5748" w:rsidRDefault="00EA543A" w:rsidP="00EA543A">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w:t>
      </w:r>
    </w:p>
    <w:p w:rsidR="00EA543A" w:rsidRPr="007D5748" w:rsidRDefault="00EA543A" w:rsidP="00EA543A">
      <w:pPr>
        <w:spacing w:after="0" w:line="240" w:lineRule="auto"/>
        <w:rPr>
          <w:rFonts w:ascii="Times New Roman" w:eastAsia="Times New Roman" w:hAnsi="Times New Roman" w:cs="Times New Roman"/>
          <w:sz w:val="24"/>
          <w:szCs w:val="24"/>
          <w:lang w:eastAsia="sk-SK"/>
        </w:rPr>
      </w:pPr>
    </w:p>
    <w:p w:rsidR="00EA543A" w:rsidRDefault="00EA543A" w:rsidP="00EA543A">
      <w:pPr>
        <w:spacing w:after="0" w:line="240" w:lineRule="auto"/>
        <w:rPr>
          <w:rFonts w:ascii="Times New Roman" w:eastAsia="Times New Roman" w:hAnsi="Times New Roman" w:cs="Times New Roman"/>
          <w:b/>
          <w:bCs/>
          <w:sz w:val="24"/>
          <w:szCs w:val="24"/>
          <w:lang w:eastAsia="sk-SK"/>
        </w:rPr>
      </w:pPr>
    </w:p>
    <w:p w:rsidR="00EA543A" w:rsidRDefault="00EA543A" w:rsidP="00EA543A">
      <w:pPr>
        <w:spacing w:after="0" w:line="240" w:lineRule="auto"/>
        <w:rPr>
          <w:rFonts w:ascii="Times New Roman" w:eastAsia="Times New Roman" w:hAnsi="Times New Roman" w:cs="Times New Roman"/>
          <w:b/>
          <w:bCs/>
          <w:sz w:val="24"/>
          <w:szCs w:val="24"/>
          <w:lang w:eastAsia="sk-SK"/>
        </w:rPr>
      </w:pPr>
    </w:p>
    <w:p w:rsidR="00EA543A" w:rsidRDefault="00EA543A" w:rsidP="00EA543A">
      <w:pPr>
        <w:spacing w:after="0" w:line="240" w:lineRule="auto"/>
        <w:rPr>
          <w:rFonts w:ascii="Times New Roman" w:eastAsia="Times New Roman" w:hAnsi="Times New Roman" w:cs="Times New Roman"/>
          <w:b/>
          <w:bCs/>
          <w:sz w:val="24"/>
          <w:szCs w:val="24"/>
          <w:lang w:eastAsia="sk-SK"/>
        </w:rPr>
      </w:pPr>
    </w:p>
    <w:p w:rsidR="00EA543A" w:rsidRPr="007D5748" w:rsidRDefault="00EA543A" w:rsidP="00EA543A">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lastRenderedPageBreak/>
        <w:t>2.2.2. Charakteristika návrhu:</w:t>
      </w:r>
    </w:p>
    <w:p w:rsidR="00EA543A" w:rsidRPr="007D5748" w:rsidRDefault="00EA543A" w:rsidP="00EA543A">
      <w:pPr>
        <w:spacing w:after="0" w:line="240" w:lineRule="auto"/>
        <w:rPr>
          <w:rFonts w:ascii="Times New Roman" w:eastAsia="Times New Roman" w:hAnsi="Times New Roman" w:cs="Times New Roman"/>
          <w:sz w:val="24"/>
          <w:szCs w:val="24"/>
          <w:lang w:eastAsia="sk-SK"/>
        </w:rPr>
      </w:pPr>
    </w:p>
    <w:p w:rsidR="00EA543A" w:rsidRPr="007D5748" w:rsidRDefault="00EA543A" w:rsidP="00EA543A">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sz w:val="24"/>
          <w:szCs w:val="24"/>
          <w:bdr w:val="single" w:sz="4" w:space="0" w:color="auto"/>
          <w:lang w:eastAsia="sk-SK"/>
        </w:rPr>
        <w:t xml:space="preserve">  </w:t>
      </w:r>
      <w:r>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bdr w:val="single" w:sz="4" w:space="0" w:color="auto"/>
          <w:lang w:eastAsia="sk-SK"/>
        </w:rPr>
        <w:t xml:space="preserve">   </w:t>
      </w:r>
      <w:r w:rsidRPr="007D5748">
        <w:rPr>
          <w:rFonts w:ascii="Times New Roman" w:eastAsia="Times New Roman" w:hAnsi="Times New Roman" w:cs="Times New Roman"/>
          <w:b/>
          <w:sz w:val="24"/>
          <w:szCs w:val="24"/>
          <w:lang w:eastAsia="sk-SK"/>
        </w:rPr>
        <w:t xml:space="preserve">  </w:t>
      </w:r>
      <w:r w:rsidRPr="007D5748">
        <w:rPr>
          <w:rFonts w:ascii="Times New Roman" w:eastAsia="Times New Roman" w:hAnsi="Times New Roman" w:cs="Times New Roman"/>
          <w:sz w:val="24"/>
          <w:szCs w:val="24"/>
          <w:lang w:eastAsia="sk-SK"/>
        </w:rPr>
        <w:t>zmena sadzby</w:t>
      </w:r>
    </w:p>
    <w:p w:rsidR="00EA543A" w:rsidRPr="007D5748" w:rsidRDefault="00EA543A" w:rsidP="00EA543A">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zmena v nároku</w:t>
      </w:r>
    </w:p>
    <w:p w:rsidR="00EA543A" w:rsidRPr="007D5748" w:rsidRDefault="00EA543A" w:rsidP="00EA543A">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nová služba alebo nariadenie (alebo ich zrušenie)</w:t>
      </w:r>
    </w:p>
    <w:p w:rsidR="00EA543A" w:rsidRPr="007D5748" w:rsidRDefault="00EA543A" w:rsidP="00EA543A">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kombinovaný návrh</w:t>
      </w:r>
    </w:p>
    <w:p w:rsidR="00EA543A" w:rsidRPr="007D5748" w:rsidRDefault="00EA543A" w:rsidP="00EA543A">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bdr w:val="single" w:sz="4" w:space="0" w:color="auto"/>
          <w:lang w:eastAsia="sk-SK"/>
        </w:rPr>
        <w:t xml:space="preserve">  </w:t>
      </w:r>
      <w:r>
        <w:rPr>
          <w:rFonts w:ascii="Times New Roman" w:eastAsia="Times New Roman" w:hAnsi="Times New Roman" w:cs="Times New Roman"/>
          <w:sz w:val="24"/>
          <w:szCs w:val="24"/>
          <w:bdr w:val="single" w:sz="4" w:space="0" w:color="auto"/>
          <w:lang w:eastAsia="sk-SK"/>
        </w:rPr>
        <w:t>x</w:t>
      </w:r>
      <w:r w:rsidRPr="007D5748">
        <w:rPr>
          <w:rFonts w:ascii="Times New Roman" w:eastAsia="Times New Roman" w:hAnsi="Times New Roman" w:cs="Times New Roman"/>
          <w:sz w:val="24"/>
          <w:szCs w:val="24"/>
          <w:bdr w:val="single" w:sz="4" w:space="0" w:color="auto"/>
          <w:lang w:eastAsia="sk-SK"/>
        </w:rPr>
        <w:t xml:space="preserve">   </w:t>
      </w:r>
      <w:r w:rsidRPr="007D5748">
        <w:rPr>
          <w:rFonts w:ascii="Times New Roman" w:eastAsia="Times New Roman" w:hAnsi="Times New Roman" w:cs="Times New Roman"/>
          <w:sz w:val="24"/>
          <w:szCs w:val="24"/>
          <w:lang w:eastAsia="sk-SK"/>
        </w:rPr>
        <w:t xml:space="preserve">  iné </w:t>
      </w:r>
    </w:p>
    <w:p w:rsidR="00EA543A" w:rsidRPr="007D5748" w:rsidRDefault="00EA543A" w:rsidP="00EA543A">
      <w:pPr>
        <w:spacing w:after="0" w:line="240" w:lineRule="auto"/>
        <w:rPr>
          <w:rFonts w:ascii="Times New Roman" w:eastAsia="Times New Roman" w:hAnsi="Times New Roman" w:cs="Times New Roman"/>
          <w:sz w:val="24"/>
          <w:szCs w:val="24"/>
          <w:lang w:eastAsia="sk-SK"/>
        </w:rPr>
      </w:pPr>
    </w:p>
    <w:p w:rsidR="00EA543A" w:rsidRPr="007D5748" w:rsidRDefault="00EA543A" w:rsidP="00EA543A">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2.2.3. Predpoklady vývoja objemu aktivít:</w:t>
      </w:r>
    </w:p>
    <w:p w:rsidR="00EA543A" w:rsidRPr="007D5748" w:rsidRDefault="00EA543A" w:rsidP="00EA543A">
      <w:pPr>
        <w:spacing w:after="0" w:line="240" w:lineRule="auto"/>
        <w:rPr>
          <w:rFonts w:ascii="Times New Roman" w:eastAsia="Times New Roman" w:hAnsi="Times New Roman" w:cs="Times New Roman"/>
          <w:sz w:val="24"/>
          <w:szCs w:val="24"/>
          <w:lang w:eastAsia="sk-SK"/>
        </w:rPr>
      </w:pPr>
    </w:p>
    <w:p w:rsidR="00EA543A" w:rsidRPr="007D5748" w:rsidRDefault="00EA543A" w:rsidP="00EA543A">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p>
    <w:p w:rsidR="00EA543A" w:rsidRPr="007D5748" w:rsidRDefault="00EA543A" w:rsidP="00EA543A">
      <w:pPr>
        <w:spacing w:after="0" w:line="240" w:lineRule="auto"/>
        <w:rPr>
          <w:rFonts w:ascii="Times New Roman" w:eastAsia="Times New Roman" w:hAnsi="Times New Roman" w:cs="Times New Roman"/>
          <w:sz w:val="24"/>
          <w:szCs w:val="24"/>
          <w:lang w:eastAsia="sk-SK"/>
        </w:rPr>
      </w:pPr>
    </w:p>
    <w:p w:rsidR="00EA543A" w:rsidRPr="007D5748" w:rsidRDefault="00EA543A" w:rsidP="00EA543A">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2.2.4. Výpočty vplyvov na verejné financie</w:t>
      </w:r>
    </w:p>
    <w:p w:rsidR="00EA543A" w:rsidRPr="007D5748" w:rsidRDefault="00EA543A" w:rsidP="00EA543A">
      <w:pPr>
        <w:spacing w:after="0" w:line="240" w:lineRule="auto"/>
        <w:rPr>
          <w:rFonts w:ascii="Times New Roman" w:eastAsia="Times New Roman" w:hAnsi="Times New Roman" w:cs="Times New Roman"/>
          <w:sz w:val="24"/>
          <w:szCs w:val="24"/>
          <w:lang w:eastAsia="sk-SK"/>
        </w:rPr>
      </w:pPr>
    </w:p>
    <w:p w:rsidR="00EA543A" w:rsidRDefault="00EA543A" w:rsidP="00EA543A">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Kvantifikácia predpokladá negatívny akruálny vplyv na rozpočet verejnej správy na úrovni 12 372 tis. eur v roku 2019,  36 264 tis. eur v roku 2020, 40 589 tis. eur v roku 2021 a 36 501 tis. eur v roku 2022. </w:t>
      </w:r>
    </w:p>
    <w:p w:rsidR="00EA543A" w:rsidRDefault="00EA543A" w:rsidP="00EA543A">
      <w:pPr>
        <w:spacing w:after="0" w:line="240" w:lineRule="auto"/>
        <w:jc w:val="both"/>
        <w:rPr>
          <w:rFonts w:ascii="Times New Roman" w:eastAsia="Times New Roman" w:hAnsi="Times New Roman" w:cs="Times New Roman"/>
          <w:sz w:val="24"/>
          <w:szCs w:val="24"/>
          <w:lang w:eastAsia="sk-SK"/>
        </w:rPr>
      </w:pPr>
    </w:p>
    <w:p w:rsidR="00EA543A" w:rsidRPr="00600500" w:rsidRDefault="00EA543A" w:rsidP="00EA543A">
      <w:pPr>
        <w:spacing w:after="0" w:line="240" w:lineRule="auto"/>
        <w:jc w:val="both"/>
        <w:rPr>
          <w:rFonts w:ascii="Times New Roman" w:eastAsia="Times New Roman" w:hAnsi="Times New Roman" w:cs="Times New Roman"/>
          <w:b/>
          <w:sz w:val="24"/>
          <w:szCs w:val="24"/>
          <w:lang w:eastAsia="sk-SK"/>
        </w:rPr>
      </w:pPr>
      <w:r w:rsidRPr="00600500">
        <w:rPr>
          <w:rFonts w:ascii="Times New Roman" w:eastAsia="Times New Roman" w:hAnsi="Times New Roman" w:cs="Times New Roman"/>
          <w:b/>
          <w:sz w:val="24"/>
          <w:szCs w:val="24"/>
          <w:lang w:eastAsia="sk-SK"/>
        </w:rPr>
        <w:t>Kvantifikácia príjmov</w:t>
      </w:r>
    </w:p>
    <w:p w:rsidR="00EA543A" w:rsidRDefault="00EA543A" w:rsidP="00EA543A">
      <w:pPr>
        <w:tabs>
          <w:tab w:val="num" w:pos="1080"/>
        </w:tabs>
        <w:spacing w:after="0" w:line="240" w:lineRule="auto"/>
        <w:jc w:val="both"/>
        <w:rPr>
          <w:rFonts w:ascii="Times New Roman" w:eastAsia="Times New Roman" w:hAnsi="Times New Roman" w:cs="Times New Roman"/>
          <w:bCs/>
          <w:sz w:val="24"/>
          <w:szCs w:val="24"/>
          <w:lang w:eastAsia="sk-SK"/>
        </w:rPr>
      </w:pPr>
    </w:p>
    <w:p w:rsidR="00EA543A" w:rsidRPr="00C373AC" w:rsidRDefault="00EA543A" w:rsidP="00EA543A">
      <w:pPr>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bCs/>
          <w:sz w:val="24"/>
          <w:szCs w:val="24"/>
          <w:lang w:eastAsia="sk-SK"/>
        </w:rPr>
        <w:t>A</w:t>
      </w:r>
      <w:r w:rsidRPr="00C373AC">
        <w:rPr>
          <w:rFonts w:ascii="Times New Roman" w:eastAsia="Times New Roman" w:hAnsi="Times New Roman" w:cs="Times New Roman"/>
          <w:b/>
          <w:bCs/>
          <w:sz w:val="24"/>
          <w:szCs w:val="24"/>
          <w:lang w:eastAsia="sk-SK"/>
        </w:rPr>
        <w:t xml:space="preserve"> – </w:t>
      </w:r>
      <w:r w:rsidRPr="00C373AC">
        <w:rPr>
          <w:rFonts w:ascii="Times New Roman" w:eastAsia="Times New Roman" w:hAnsi="Times New Roman" w:cs="Times New Roman"/>
          <w:b/>
          <w:sz w:val="24"/>
          <w:szCs w:val="24"/>
          <w:lang w:eastAsia="sk-SK"/>
        </w:rPr>
        <w:t>Zavedenie paušálu na príspevok zamestnávateľa na dopravu</w:t>
      </w:r>
    </w:p>
    <w:p w:rsidR="00EA543A" w:rsidRPr="00600500" w:rsidRDefault="00EA543A" w:rsidP="00EA543A">
      <w:pPr>
        <w:tabs>
          <w:tab w:val="num" w:pos="1080"/>
        </w:tabs>
        <w:spacing w:after="0" w:line="240" w:lineRule="auto"/>
        <w:jc w:val="both"/>
        <w:rPr>
          <w:rFonts w:ascii="Times New Roman" w:eastAsia="Times New Roman" w:hAnsi="Times New Roman" w:cs="Times New Roman"/>
          <w:bCs/>
          <w:sz w:val="24"/>
          <w:szCs w:val="24"/>
          <w:lang w:eastAsia="sk-SK"/>
        </w:rPr>
      </w:pPr>
      <w:r w:rsidRPr="00600500">
        <w:rPr>
          <w:rFonts w:ascii="Times New Roman" w:eastAsia="Times New Roman" w:hAnsi="Times New Roman" w:cs="Times New Roman"/>
          <w:bCs/>
          <w:sz w:val="24"/>
          <w:szCs w:val="24"/>
          <w:lang w:eastAsia="sk-SK"/>
        </w:rPr>
        <w:t>Opatrenie má viac pokryť náklady spojené s dopravou zamestnancov a zároveň zabezpečiť čo najefektívnejšie využívanie autobusov zo strany zamestnávateľa na dopravu zamestnancov. Rozširuje limit už existujúceho opatrenia bez úpravy ostatných predpokladov. Zároveň sa dopĺňa podmienka na vyťaženosť autobusov, ktoré budú používané na prepravu, čo môže mať mierne pozitívny fiškálny vplyv. Kvantifikácia vychádza zo skutočných dát o prepravovaných osobách vybranej firmy v sektore, cez ktoré bol odhadnutý vplyv na zvyšok ekonomiky.</w:t>
      </w:r>
    </w:p>
    <w:p w:rsidR="00EA543A" w:rsidRPr="003C33E6" w:rsidRDefault="00EA543A" w:rsidP="00EA543A">
      <w:pPr>
        <w:tabs>
          <w:tab w:val="num" w:pos="1080"/>
        </w:tabs>
        <w:spacing w:after="0" w:line="240" w:lineRule="auto"/>
        <w:jc w:val="both"/>
        <w:rPr>
          <w:rFonts w:ascii="Times New Roman" w:eastAsia="Times New Roman" w:hAnsi="Times New Roman" w:cs="Times New Roman"/>
          <w:bCs/>
          <w:sz w:val="24"/>
          <w:szCs w:val="24"/>
          <w:lang w:eastAsia="sk-SK"/>
        </w:rPr>
      </w:pPr>
    </w:p>
    <w:p w:rsidR="00EA543A" w:rsidRPr="00C373AC" w:rsidRDefault="00EA543A" w:rsidP="00EA543A">
      <w:pPr>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bCs/>
          <w:sz w:val="24"/>
          <w:szCs w:val="24"/>
          <w:lang w:eastAsia="sk-SK"/>
        </w:rPr>
        <w:t>B</w:t>
      </w:r>
      <w:r w:rsidRPr="00C373AC">
        <w:rPr>
          <w:rFonts w:ascii="Times New Roman" w:eastAsia="Times New Roman" w:hAnsi="Times New Roman" w:cs="Times New Roman"/>
          <w:b/>
          <w:bCs/>
          <w:sz w:val="24"/>
          <w:szCs w:val="24"/>
          <w:lang w:eastAsia="sk-SK"/>
        </w:rPr>
        <w:t xml:space="preserve"> – </w:t>
      </w:r>
      <w:r w:rsidRPr="00C373AC">
        <w:rPr>
          <w:rFonts w:ascii="Times New Roman" w:eastAsia="Times New Roman" w:hAnsi="Times New Roman" w:cs="Times New Roman"/>
          <w:b/>
          <w:sz w:val="24"/>
          <w:szCs w:val="24"/>
          <w:lang w:eastAsia="sk-SK"/>
        </w:rPr>
        <w:t>Zvýšenie príspevku zamestnávateľa na nájomné bývanie na 100 eur</w:t>
      </w:r>
    </w:p>
    <w:p w:rsidR="00EA543A" w:rsidRPr="00600500" w:rsidRDefault="00EA543A" w:rsidP="00EA543A">
      <w:pPr>
        <w:tabs>
          <w:tab w:val="num" w:pos="1080"/>
        </w:tabs>
        <w:spacing w:after="0" w:line="240" w:lineRule="auto"/>
        <w:jc w:val="both"/>
        <w:rPr>
          <w:rFonts w:ascii="Times New Roman" w:eastAsia="Times New Roman" w:hAnsi="Times New Roman" w:cs="Times New Roman"/>
          <w:bCs/>
          <w:sz w:val="24"/>
          <w:szCs w:val="24"/>
          <w:lang w:eastAsia="sk-SK"/>
        </w:rPr>
      </w:pPr>
      <w:r w:rsidRPr="00600500">
        <w:rPr>
          <w:rFonts w:ascii="Times New Roman" w:eastAsia="Times New Roman" w:hAnsi="Times New Roman" w:cs="Times New Roman"/>
          <w:bCs/>
          <w:sz w:val="24"/>
          <w:szCs w:val="24"/>
          <w:lang w:eastAsia="sk-SK"/>
        </w:rPr>
        <w:t xml:space="preserve">Zvýšenie limitu má pokryť zvýšené náklady spojené s prehrievaním na trhu nehnuteľností a z toho prameniacich vyšších cien nájmov. Kvantifikácia navyšuje limit pri existujúcom opatrení. Pri kvantifikácií boli použité dáta od vybraného subjektu o počte ubytovaných osôb, na základe ktorých boli </w:t>
      </w:r>
      <w:proofErr w:type="spellStart"/>
      <w:r w:rsidRPr="00600500">
        <w:rPr>
          <w:rFonts w:ascii="Times New Roman" w:eastAsia="Times New Roman" w:hAnsi="Times New Roman" w:cs="Times New Roman"/>
          <w:bCs/>
          <w:sz w:val="24"/>
          <w:szCs w:val="24"/>
          <w:lang w:eastAsia="sk-SK"/>
        </w:rPr>
        <w:t>aproximované</w:t>
      </w:r>
      <w:proofErr w:type="spellEnd"/>
      <w:r w:rsidRPr="00600500">
        <w:rPr>
          <w:rFonts w:ascii="Times New Roman" w:eastAsia="Times New Roman" w:hAnsi="Times New Roman" w:cs="Times New Roman"/>
          <w:bCs/>
          <w:sz w:val="24"/>
          <w:szCs w:val="24"/>
          <w:lang w:eastAsia="sk-SK"/>
        </w:rPr>
        <w:t xml:space="preserve"> vplyvy na zvyšok sektora.</w:t>
      </w:r>
    </w:p>
    <w:p w:rsidR="00EA543A" w:rsidRDefault="00EA543A" w:rsidP="00EA543A">
      <w:pPr>
        <w:spacing w:after="0" w:line="240" w:lineRule="auto"/>
        <w:jc w:val="both"/>
        <w:rPr>
          <w:rFonts w:ascii="Times New Roman" w:eastAsia="Times New Roman" w:hAnsi="Times New Roman" w:cs="Times New Roman"/>
          <w:sz w:val="24"/>
          <w:szCs w:val="24"/>
          <w:lang w:eastAsia="sk-SK"/>
        </w:rPr>
      </w:pPr>
    </w:p>
    <w:p w:rsidR="00EA543A" w:rsidRDefault="00EA543A" w:rsidP="00EA543A">
      <w:pPr>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C</w:t>
      </w:r>
      <w:r w:rsidRPr="00C373AC">
        <w:rPr>
          <w:rFonts w:ascii="Times New Roman" w:eastAsia="Times New Roman" w:hAnsi="Times New Roman" w:cs="Times New Roman"/>
          <w:b/>
          <w:sz w:val="24"/>
          <w:szCs w:val="24"/>
          <w:lang w:eastAsia="sk-SK"/>
        </w:rPr>
        <w:t xml:space="preserve"> - Zmena pravidiel odpočtu daňovej straty u</w:t>
      </w:r>
      <w:r>
        <w:rPr>
          <w:rFonts w:ascii="Times New Roman" w:eastAsia="Times New Roman" w:hAnsi="Times New Roman" w:cs="Times New Roman"/>
          <w:b/>
          <w:sz w:val="24"/>
          <w:szCs w:val="24"/>
          <w:lang w:eastAsia="sk-SK"/>
        </w:rPr>
        <w:t> </w:t>
      </w:r>
      <w:proofErr w:type="spellStart"/>
      <w:r w:rsidRPr="00C373AC">
        <w:rPr>
          <w:rFonts w:ascii="Times New Roman" w:eastAsia="Times New Roman" w:hAnsi="Times New Roman" w:cs="Times New Roman"/>
          <w:b/>
          <w:sz w:val="24"/>
          <w:szCs w:val="24"/>
          <w:lang w:eastAsia="sk-SK"/>
        </w:rPr>
        <w:t>mikrodaňovníkov</w:t>
      </w:r>
      <w:proofErr w:type="spellEnd"/>
    </w:p>
    <w:p w:rsidR="00EA543A" w:rsidRPr="00600500" w:rsidRDefault="00EA543A" w:rsidP="00EA543A">
      <w:pPr>
        <w:spacing w:after="0" w:line="240" w:lineRule="auto"/>
        <w:jc w:val="both"/>
        <w:rPr>
          <w:rFonts w:ascii="Times New Roman" w:eastAsia="Times New Roman" w:hAnsi="Times New Roman" w:cs="Times New Roman"/>
          <w:sz w:val="24"/>
          <w:szCs w:val="24"/>
          <w:lang w:eastAsia="sk-SK"/>
        </w:rPr>
      </w:pPr>
      <w:r w:rsidRPr="00600500">
        <w:rPr>
          <w:rFonts w:ascii="Times New Roman" w:eastAsia="Times New Roman" w:hAnsi="Times New Roman" w:cs="Times New Roman"/>
          <w:sz w:val="24"/>
          <w:szCs w:val="24"/>
          <w:lang w:eastAsia="sk-SK"/>
        </w:rPr>
        <w:t xml:space="preserve">Uvedené opatrenie po prvýkrát vstúpi do platnosti od roku 2021, keď si firmy budú môcť umoriť straty za rok 2020. Zdrojom dát sú individuálne daňové priznania dane z príjmu právnických osôb (DPPO) za obdobie 2010 až 2017. Za uvedené obdobie je spočítaný objem daňových strát dostupných pre firmu k umoreniu. Odhad fiškálneho vplyvu je postavený na odhade zavedenia zmeny odpočtu daňovej straty na historických dátach za obdobie 2014 až 2017. U malých a stredných podnikov nie je odhad fiškálneho vplyvu upravený pretože na základe historického vývoja nepozorujeme významný nárast ziskov v období 2014 až 2017 v porovnaní s predchádzajúcimi rokmi. V prípade malých a stredných podnikov predpokladáme čiastočnú optimalizáciu najmä pokiaľ sú blízko hranice obratu. Pomer skutočne zaplatenej dane a dane, ktorá by vznikla ak by v danom období bola zavedená zmena odpočtu je následne uplatnený na prognózu DPPO v období rokov 2021 a 2022.  </w:t>
      </w:r>
    </w:p>
    <w:p w:rsidR="00EA543A" w:rsidRDefault="00EA543A" w:rsidP="00EA543A">
      <w:pPr>
        <w:spacing w:after="0" w:line="240" w:lineRule="auto"/>
        <w:jc w:val="both"/>
        <w:rPr>
          <w:rFonts w:ascii="Times New Roman" w:eastAsia="Times New Roman" w:hAnsi="Times New Roman" w:cs="Times New Roman"/>
          <w:b/>
          <w:sz w:val="24"/>
          <w:szCs w:val="24"/>
          <w:lang w:eastAsia="sk-SK"/>
        </w:rPr>
      </w:pPr>
    </w:p>
    <w:p w:rsidR="00EA543A" w:rsidRPr="00C373AC" w:rsidRDefault="00EA543A" w:rsidP="00EA543A">
      <w:pPr>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 xml:space="preserve">D - </w:t>
      </w:r>
      <w:r w:rsidRPr="00C373AC">
        <w:rPr>
          <w:rFonts w:ascii="Times New Roman" w:eastAsia="Times New Roman" w:hAnsi="Times New Roman" w:cs="Times New Roman"/>
          <w:b/>
          <w:sz w:val="24"/>
          <w:szCs w:val="24"/>
          <w:lang w:eastAsia="sk-SK"/>
        </w:rPr>
        <w:t>Zmena pravidiel odpočtu daňovej straty pre ostatné firmy</w:t>
      </w:r>
    </w:p>
    <w:p w:rsidR="00EA543A" w:rsidRDefault="00EA543A" w:rsidP="00EA543A">
      <w:pPr>
        <w:spacing w:after="0" w:line="240" w:lineRule="auto"/>
        <w:jc w:val="both"/>
        <w:rPr>
          <w:rFonts w:ascii="Times New Roman" w:eastAsia="Times New Roman" w:hAnsi="Times New Roman" w:cs="Times New Roman"/>
          <w:sz w:val="24"/>
          <w:szCs w:val="24"/>
          <w:lang w:eastAsia="sk-SK"/>
        </w:rPr>
      </w:pPr>
      <w:r w:rsidRPr="00600500">
        <w:rPr>
          <w:rFonts w:ascii="Times New Roman" w:eastAsia="Times New Roman" w:hAnsi="Times New Roman" w:cs="Times New Roman"/>
          <w:sz w:val="24"/>
          <w:szCs w:val="24"/>
          <w:lang w:eastAsia="sk-SK"/>
        </w:rPr>
        <w:t xml:space="preserve">Uvedené opatrenie po prvýkrát vstúpi do platnosti od roku 2021, keď si firmy budú môcť umoriť straty za rok 2020. Zdrojom dát sú individuálne daňové priznania dane z príjmu právnických osôb (DPPO) za obdobie 2010 až 2017. Za uvedené obdobie je spočítaný objem </w:t>
      </w:r>
      <w:r w:rsidRPr="00600500">
        <w:rPr>
          <w:rFonts w:ascii="Times New Roman" w:eastAsia="Times New Roman" w:hAnsi="Times New Roman" w:cs="Times New Roman"/>
          <w:sz w:val="24"/>
          <w:szCs w:val="24"/>
          <w:lang w:eastAsia="sk-SK"/>
        </w:rPr>
        <w:lastRenderedPageBreak/>
        <w:t xml:space="preserve">daňových strát dostupných pre firmu k umoreniu. Odhad fiškálneho vplyvu je postavený na odhade zavedenia zmeny odpočtu daňovej straty na historických dátach za obdobie 2014 až 2017. Odhad fiškálneho vplyvu za toto obdobie je ponížený , nakoľko obdobie rokov 2014 až 2017 je možné považovať za vrchol hospodárskeho cyklu keď zisk firiem rástol. Čím vyšší zisk firma dosiahne tým spravidla má k dispozícii vyšší základ dane k umoreniu strát. Bez úpravy základu dane o vplyv pozitívneho ekonomického vývoja by bol fiškálny vplyv nadhodnotený pretože od roku 2020 nepredpokladáme rast ziskov na úrovni obdobia 2014 až 2017. Pomer skutočne zaplatenej dane a dane, ktorá by vznikla ak by v danom období bola zavedená zmena odpočtu je následne uplatnený na prognózu DPPO v období rokov 2021 a 2022.  </w:t>
      </w:r>
    </w:p>
    <w:p w:rsidR="00EA543A" w:rsidRPr="00600500" w:rsidRDefault="00EA543A" w:rsidP="00EA543A">
      <w:pPr>
        <w:spacing w:after="0" w:line="240" w:lineRule="auto"/>
        <w:jc w:val="both"/>
        <w:rPr>
          <w:rFonts w:ascii="Times New Roman" w:eastAsia="Times New Roman" w:hAnsi="Times New Roman" w:cs="Times New Roman"/>
          <w:sz w:val="24"/>
          <w:szCs w:val="24"/>
          <w:lang w:eastAsia="sk-SK"/>
        </w:rPr>
      </w:pPr>
    </w:p>
    <w:p w:rsidR="00EA543A" w:rsidRDefault="00EA543A" w:rsidP="00EA543A">
      <w:pPr>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E</w:t>
      </w:r>
      <w:r w:rsidRPr="00C373AC">
        <w:rPr>
          <w:rFonts w:ascii="Times New Roman" w:eastAsia="Times New Roman" w:hAnsi="Times New Roman" w:cs="Times New Roman"/>
          <w:b/>
          <w:sz w:val="24"/>
          <w:szCs w:val="24"/>
          <w:lang w:eastAsia="sk-SK"/>
        </w:rPr>
        <w:t xml:space="preserve"> -</w:t>
      </w:r>
      <w:r>
        <w:rPr>
          <w:rFonts w:ascii="Times New Roman" w:eastAsia="Times New Roman" w:hAnsi="Times New Roman" w:cs="Times New Roman"/>
          <w:sz w:val="24"/>
          <w:szCs w:val="24"/>
          <w:lang w:eastAsia="sk-SK"/>
        </w:rPr>
        <w:t xml:space="preserve"> </w:t>
      </w:r>
      <w:r w:rsidRPr="00C373AC">
        <w:rPr>
          <w:rFonts w:ascii="Times New Roman" w:eastAsia="Times New Roman" w:hAnsi="Times New Roman" w:cs="Times New Roman"/>
          <w:b/>
          <w:sz w:val="24"/>
          <w:szCs w:val="24"/>
          <w:lang w:eastAsia="sk-SK"/>
        </w:rPr>
        <w:t>Zavedenie nových podmienok na odpisovanie hmotného majetku u</w:t>
      </w:r>
      <w:r>
        <w:rPr>
          <w:rFonts w:ascii="Times New Roman" w:eastAsia="Times New Roman" w:hAnsi="Times New Roman" w:cs="Times New Roman"/>
          <w:b/>
          <w:sz w:val="24"/>
          <w:szCs w:val="24"/>
          <w:lang w:eastAsia="sk-SK"/>
        </w:rPr>
        <w:t> </w:t>
      </w:r>
      <w:proofErr w:type="spellStart"/>
      <w:r w:rsidRPr="00C373AC">
        <w:rPr>
          <w:rFonts w:ascii="Times New Roman" w:eastAsia="Times New Roman" w:hAnsi="Times New Roman" w:cs="Times New Roman"/>
          <w:b/>
          <w:sz w:val="24"/>
          <w:szCs w:val="24"/>
          <w:lang w:eastAsia="sk-SK"/>
        </w:rPr>
        <w:t>mikrodaňovníkov</w:t>
      </w:r>
      <w:proofErr w:type="spellEnd"/>
    </w:p>
    <w:p w:rsidR="00EA543A" w:rsidRPr="00600500" w:rsidRDefault="00EA543A" w:rsidP="00EA543A">
      <w:pPr>
        <w:spacing w:after="0" w:line="240" w:lineRule="auto"/>
        <w:jc w:val="both"/>
        <w:rPr>
          <w:rFonts w:ascii="Times New Roman" w:eastAsia="Times New Roman" w:hAnsi="Times New Roman" w:cs="Times New Roman"/>
          <w:sz w:val="24"/>
          <w:szCs w:val="24"/>
          <w:lang w:eastAsia="sk-SK"/>
        </w:rPr>
      </w:pPr>
      <w:r w:rsidRPr="00600500">
        <w:rPr>
          <w:rFonts w:ascii="Times New Roman" w:eastAsia="Times New Roman" w:hAnsi="Times New Roman" w:cs="Times New Roman"/>
          <w:sz w:val="24"/>
          <w:szCs w:val="24"/>
          <w:lang w:eastAsia="sk-SK"/>
        </w:rPr>
        <w:t xml:space="preserve">Zdrojom dát sú individuálne daňové priznania dane z príjmu právnických osôb (DPPO) a finančné výkazy od spoločnosti FINSTAT za obdobie 2010 až 2017. Za uvedené obdobie je spočítaný objem aktív dostupných k odpisu. Odhad fiškálneho vplyvu je postavený na aproximácii zavedenia zmeny odpočtu daňovej straty na historických dátach za obdobie 2014 až 2017. V prípade malých a stredných podnikov predpokladáme čiastočnú optimalizáciu najmä pokiaľ sú blízko hranice obratu. Pomer skutočne zaplatenej dane a dane, ktorá by vznikla ak by v danom období bola zavedená zmena odpočtu je následne uplatnený na prognózu DPPO v období rokov 2021 a 2022.  </w:t>
      </w:r>
    </w:p>
    <w:p w:rsidR="00EA543A" w:rsidRDefault="00EA543A" w:rsidP="00EA543A">
      <w:pPr>
        <w:spacing w:after="0" w:line="240" w:lineRule="auto"/>
        <w:jc w:val="both"/>
        <w:rPr>
          <w:rFonts w:ascii="Times New Roman" w:eastAsia="Times New Roman" w:hAnsi="Times New Roman" w:cs="Times New Roman"/>
          <w:sz w:val="24"/>
          <w:szCs w:val="24"/>
          <w:lang w:eastAsia="sk-SK"/>
        </w:rPr>
      </w:pPr>
    </w:p>
    <w:p w:rsidR="00EA543A" w:rsidRDefault="00EA543A" w:rsidP="00EA543A">
      <w:pPr>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F</w:t>
      </w:r>
      <w:r w:rsidRPr="00C373AC">
        <w:rPr>
          <w:rFonts w:ascii="Times New Roman" w:eastAsia="Times New Roman" w:hAnsi="Times New Roman" w:cs="Times New Roman"/>
          <w:b/>
          <w:sz w:val="24"/>
          <w:szCs w:val="24"/>
          <w:lang w:eastAsia="sk-SK"/>
        </w:rPr>
        <w:t xml:space="preserve"> - Podpora </w:t>
      </w:r>
      <w:proofErr w:type="spellStart"/>
      <w:r w:rsidRPr="00C373AC">
        <w:rPr>
          <w:rFonts w:ascii="Times New Roman" w:eastAsia="Times New Roman" w:hAnsi="Times New Roman" w:cs="Times New Roman"/>
          <w:b/>
          <w:sz w:val="24"/>
          <w:szCs w:val="24"/>
          <w:lang w:eastAsia="sk-SK"/>
        </w:rPr>
        <w:t>elektromobility</w:t>
      </w:r>
      <w:proofErr w:type="spellEnd"/>
      <w:r w:rsidRPr="00C373AC">
        <w:rPr>
          <w:rFonts w:ascii="Times New Roman" w:eastAsia="Times New Roman" w:hAnsi="Times New Roman" w:cs="Times New Roman"/>
          <w:b/>
          <w:sz w:val="24"/>
          <w:szCs w:val="24"/>
          <w:lang w:eastAsia="sk-SK"/>
        </w:rPr>
        <w:t xml:space="preserve"> prostredníctvom daňových odpisov</w:t>
      </w:r>
    </w:p>
    <w:p w:rsidR="00EA543A" w:rsidRDefault="00EA543A" w:rsidP="00EA543A">
      <w:pPr>
        <w:spacing w:after="0" w:line="240" w:lineRule="auto"/>
        <w:jc w:val="both"/>
        <w:rPr>
          <w:rFonts w:ascii="Times New Roman" w:eastAsia="Times New Roman" w:hAnsi="Times New Roman" w:cs="Times New Roman"/>
          <w:sz w:val="24"/>
          <w:szCs w:val="24"/>
          <w:lang w:eastAsia="sk-SK"/>
        </w:rPr>
      </w:pPr>
      <w:r w:rsidRPr="00600500">
        <w:rPr>
          <w:rFonts w:ascii="Times New Roman" w:eastAsia="Times New Roman" w:hAnsi="Times New Roman" w:cs="Times New Roman"/>
          <w:sz w:val="24"/>
          <w:szCs w:val="24"/>
          <w:lang w:eastAsia="sk-SK"/>
        </w:rPr>
        <w:t xml:space="preserve">Kvantifikácia vychádza z prognózy Ministerstva Hospodárstva o počte </w:t>
      </w:r>
      <w:proofErr w:type="spellStart"/>
      <w:r w:rsidRPr="00600500">
        <w:rPr>
          <w:rFonts w:ascii="Times New Roman" w:eastAsia="Times New Roman" w:hAnsi="Times New Roman" w:cs="Times New Roman"/>
          <w:sz w:val="24"/>
          <w:szCs w:val="24"/>
          <w:lang w:eastAsia="sk-SK"/>
        </w:rPr>
        <w:t>elektrombilov</w:t>
      </w:r>
      <w:proofErr w:type="spellEnd"/>
      <w:r w:rsidRPr="00600500">
        <w:rPr>
          <w:rFonts w:ascii="Times New Roman" w:eastAsia="Times New Roman" w:hAnsi="Times New Roman" w:cs="Times New Roman"/>
          <w:sz w:val="24"/>
          <w:szCs w:val="24"/>
          <w:lang w:eastAsia="sk-SK"/>
        </w:rPr>
        <w:t xml:space="preserve"> a </w:t>
      </w:r>
      <w:proofErr w:type="spellStart"/>
      <w:r w:rsidRPr="00600500">
        <w:rPr>
          <w:rFonts w:ascii="Times New Roman" w:eastAsia="Times New Roman" w:hAnsi="Times New Roman" w:cs="Times New Roman"/>
          <w:sz w:val="24"/>
          <w:szCs w:val="24"/>
          <w:lang w:eastAsia="sk-SK"/>
        </w:rPr>
        <w:t>plug</w:t>
      </w:r>
      <w:proofErr w:type="spellEnd"/>
      <w:r w:rsidRPr="00600500">
        <w:rPr>
          <w:rFonts w:ascii="Times New Roman" w:eastAsia="Times New Roman" w:hAnsi="Times New Roman" w:cs="Times New Roman"/>
          <w:sz w:val="24"/>
          <w:szCs w:val="24"/>
          <w:lang w:eastAsia="sk-SK"/>
        </w:rPr>
        <w:t xml:space="preserve">-in hybridov na obdobie 2016 až 2030. Prognóza je upravená na základe pomeru (skutočný počet/prognóza) za obdobie rokov 2016 a 2018. Skutočný počet elektromobilov a </w:t>
      </w:r>
      <w:proofErr w:type="spellStart"/>
      <w:r w:rsidRPr="00600500">
        <w:rPr>
          <w:rFonts w:ascii="Times New Roman" w:eastAsia="Times New Roman" w:hAnsi="Times New Roman" w:cs="Times New Roman"/>
          <w:sz w:val="24"/>
          <w:szCs w:val="24"/>
          <w:lang w:eastAsia="sk-SK"/>
        </w:rPr>
        <w:t>plug</w:t>
      </w:r>
      <w:proofErr w:type="spellEnd"/>
      <w:r w:rsidRPr="00600500">
        <w:rPr>
          <w:rFonts w:ascii="Times New Roman" w:eastAsia="Times New Roman" w:hAnsi="Times New Roman" w:cs="Times New Roman"/>
          <w:sz w:val="24"/>
          <w:szCs w:val="24"/>
          <w:lang w:eastAsia="sk-SK"/>
        </w:rPr>
        <w:t>-in hybridov je dostupný z policajne databázy áut. Kvantifikácia predpokladá priemernú cenu elektromobilu 35 tisíc eur. Predpokladáme dynamický vplyv nákupu nových áut z titulu daňovej úspory po zavedení skrátenej doby odpisu. Kvantifikácia berie do úvahy zavedenie zmeny legislatívy na už nakúpené autá. Fiškálny vplyv je rozdiel medzi súčinom počtu áut a priemernej ceny pri aplikácii aktuálnej odpisovej politiky v porovnaní so skrátenou dobou odpisovania.</w:t>
      </w:r>
    </w:p>
    <w:p w:rsidR="00EA543A" w:rsidRPr="00600500" w:rsidRDefault="00EA543A" w:rsidP="00EA543A">
      <w:pPr>
        <w:spacing w:after="0" w:line="240" w:lineRule="auto"/>
        <w:jc w:val="both"/>
        <w:rPr>
          <w:rFonts w:ascii="Times New Roman" w:eastAsia="Times New Roman" w:hAnsi="Times New Roman" w:cs="Times New Roman"/>
          <w:sz w:val="24"/>
          <w:szCs w:val="24"/>
          <w:lang w:eastAsia="sk-SK"/>
        </w:rPr>
      </w:pPr>
    </w:p>
    <w:p w:rsidR="00EA543A" w:rsidRDefault="00EA543A" w:rsidP="00EA543A">
      <w:pPr>
        <w:spacing w:after="0" w:line="240" w:lineRule="auto"/>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G</w:t>
      </w:r>
      <w:r w:rsidRPr="00C373AC">
        <w:rPr>
          <w:rFonts w:ascii="Times New Roman" w:eastAsia="Times New Roman" w:hAnsi="Times New Roman" w:cs="Times New Roman"/>
          <w:b/>
          <w:sz w:val="24"/>
          <w:szCs w:val="24"/>
          <w:lang w:eastAsia="sk-SK"/>
        </w:rPr>
        <w:t xml:space="preserve"> - Zmena pri uplatňovaní </w:t>
      </w:r>
      <w:proofErr w:type="spellStart"/>
      <w:r w:rsidRPr="00C373AC">
        <w:rPr>
          <w:rFonts w:ascii="Times New Roman" w:eastAsia="Times New Roman" w:hAnsi="Times New Roman" w:cs="Times New Roman"/>
          <w:b/>
          <w:sz w:val="24"/>
          <w:szCs w:val="24"/>
          <w:lang w:eastAsia="sk-SK"/>
        </w:rPr>
        <w:t>superodpočtu</w:t>
      </w:r>
      <w:proofErr w:type="spellEnd"/>
      <w:r w:rsidRPr="00C373AC">
        <w:rPr>
          <w:rFonts w:ascii="Times New Roman" w:eastAsia="Times New Roman" w:hAnsi="Times New Roman" w:cs="Times New Roman"/>
          <w:b/>
          <w:sz w:val="24"/>
          <w:szCs w:val="24"/>
          <w:lang w:eastAsia="sk-SK"/>
        </w:rPr>
        <w:t xml:space="preserve"> výdavkov na vedu a</w:t>
      </w:r>
      <w:r>
        <w:rPr>
          <w:rFonts w:ascii="Times New Roman" w:eastAsia="Times New Roman" w:hAnsi="Times New Roman" w:cs="Times New Roman"/>
          <w:b/>
          <w:sz w:val="24"/>
          <w:szCs w:val="24"/>
          <w:lang w:eastAsia="sk-SK"/>
        </w:rPr>
        <w:t> </w:t>
      </w:r>
      <w:r w:rsidRPr="00C373AC">
        <w:rPr>
          <w:rFonts w:ascii="Times New Roman" w:eastAsia="Times New Roman" w:hAnsi="Times New Roman" w:cs="Times New Roman"/>
          <w:b/>
          <w:sz w:val="24"/>
          <w:szCs w:val="24"/>
          <w:lang w:eastAsia="sk-SK"/>
        </w:rPr>
        <w:t>výskum</w:t>
      </w:r>
    </w:p>
    <w:p w:rsidR="00EA543A" w:rsidRDefault="00EA543A" w:rsidP="00EA543A">
      <w:pPr>
        <w:spacing w:after="0" w:line="240" w:lineRule="auto"/>
        <w:jc w:val="both"/>
        <w:rPr>
          <w:rFonts w:ascii="Times New Roman" w:eastAsia="Times New Roman" w:hAnsi="Times New Roman" w:cs="Times New Roman"/>
          <w:sz w:val="24"/>
          <w:szCs w:val="24"/>
          <w:lang w:eastAsia="sk-SK"/>
        </w:rPr>
      </w:pPr>
      <w:r w:rsidRPr="00600500">
        <w:rPr>
          <w:rFonts w:ascii="Times New Roman" w:eastAsia="Times New Roman" w:hAnsi="Times New Roman" w:cs="Times New Roman"/>
          <w:sz w:val="24"/>
          <w:szCs w:val="24"/>
          <w:lang w:eastAsia="sk-SK"/>
        </w:rPr>
        <w:t xml:space="preserve">Zdrojom dát sú individuálne daňové priznania za rok 2015 až 2017. Výsledný kvantifikovaný vplyv je priemerom minimálneho a maximálneho vplyvu. Minimálny vplyv je statický vplyv, ktorý bude rásť na horizonte rozpočtu v súlade s vývojom HDP. U maximálneho vplyvu sa uvažuje s kombináciou dvoch zdrojov rastu. V prvom prípade ide o 3 % medziročný nárast výdavkov na </w:t>
      </w:r>
      <w:proofErr w:type="spellStart"/>
      <w:r w:rsidRPr="00600500">
        <w:rPr>
          <w:rFonts w:ascii="Times New Roman" w:eastAsia="Times New Roman" w:hAnsi="Times New Roman" w:cs="Times New Roman"/>
          <w:sz w:val="24"/>
          <w:szCs w:val="24"/>
          <w:lang w:eastAsia="sk-SK"/>
        </w:rPr>
        <w:t>VaV</w:t>
      </w:r>
      <w:proofErr w:type="spellEnd"/>
      <w:r w:rsidRPr="00600500">
        <w:rPr>
          <w:rFonts w:ascii="Times New Roman" w:eastAsia="Times New Roman" w:hAnsi="Times New Roman" w:cs="Times New Roman"/>
          <w:sz w:val="24"/>
          <w:szCs w:val="24"/>
          <w:lang w:eastAsia="sk-SK"/>
        </w:rPr>
        <w:t xml:space="preserve">, ktorý predpokladá dynamický efekt zo zvýšenia </w:t>
      </w:r>
      <w:proofErr w:type="spellStart"/>
      <w:r w:rsidRPr="00600500">
        <w:rPr>
          <w:rFonts w:ascii="Times New Roman" w:eastAsia="Times New Roman" w:hAnsi="Times New Roman" w:cs="Times New Roman"/>
          <w:sz w:val="24"/>
          <w:szCs w:val="24"/>
          <w:lang w:eastAsia="sk-SK"/>
        </w:rPr>
        <w:t>superodpočtu</w:t>
      </w:r>
      <w:proofErr w:type="spellEnd"/>
      <w:r w:rsidRPr="00600500">
        <w:rPr>
          <w:rFonts w:ascii="Times New Roman" w:eastAsia="Times New Roman" w:hAnsi="Times New Roman" w:cs="Times New Roman"/>
          <w:sz w:val="24"/>
          <w:szCs w:val="24"/>
          <w:lang w:eastAsia="sk-SK"/>
        </w:rPr>
        <w:t xml:space="preserve"> (zodpovedá priemernému nárastu počtu subjektov realizujúcich výdavky na </w:t>
      </w:r>
      <w:proofErr w:type="spellStart"/>
      <w:r w:rsidRPr="00600500">
        <w:rPr>
          <w:rFonts w:ascii="Times New Roman" w:eastAsia="Times New Roman" w:hAnsi="Times New Roman" w:cs="Times New Roman"/>
          <w:sz w:val="24"/>
          <w:szCs w:val="24"/>
          <w:lang w:eastAsia="sk-SK"/>
        </w:rPr>
        <w:t>VaV</w:t>
      </w:r>
      <w:proofErr w:type="spellEnd"/>
      <w:r w:rsidRPr="00600500">
        <w:rPr>
          <w:rFonts w:ascii="Times New Roman" w:eastAsia="Times New Roman" w:hAnsi="Times New Roman" w:cs="Times New Roman"/>
          <w:sz w:val="24"/>
          <w:szCs w:val="24"/>
          <w:lang w:eastAsia="sk-SK"/>
        </w:rPr>
        <w:t xml:space="preserve"> o 3 % ročne po zavedení obdobnej zmeny v ČR v roku 2005). V druhom prípade sa predpokladá, že úsporu na dani z príjmov (z dôvodu zvýšenia </w:t>
      </w:r>
      <w:proofErr w:type="spellStart"/>
      <w:r w:rsidRPr="00600500">
        <w:rPr>
          <w:rFonts w:ascii="Times New Roman" w:eastAsia="Times New Roman" w:hAnsi="Times New Roman" w:cs="Times New Roman"/>
          <w:sz w:val="24"/>
          <w:szCs w:val="24"/>
          <w:lang w:eastAsia="sk-SK"/>
        </w:rPr>
        <w:t>superodpočtu</w:t>
      </w:r>
      <w:proofErr w:type="spellEnd"/>
      <w:r w:rsidRPr="00600500">
        <w:rPr>
          <w:rFonts w:ascii="Times New Roman" w:eastAsia="Times New Roman" w:hAnsi="Times New Roman" w:cs="Times New Roman"/>
          <w:sz w:val="24"/>
          <w:szCs w:val="24"/>
          <w:lang w:eastAsia="sk-SK"/>
        </w:rPr>
        <w:t>) podniky opätovne reinvestujú do oblasti vedy a výskumu.</w:t>
      </w:r>
    </w:p>
    <w:p w:rsidR="00EA543A" w:rsidRPr="00600500" w:rsidRDefault="00EA543A" w:rsidP="00EA543A">
      <w:pPr>
        <w:spacing w:after="0" w:line="240" w:lineRule="auto"/>
        <w:jc w:val="both"/>
        <w:rPr>
          <w:rFonts w:ascii="Times New Roman" w:eastAsia="Times New Roman" w:hAnsi="Times New Roman" w:cs="Times New Roman"/>
          <w:sz w:val="24"/>
          <w:szCs w:val="24"/>
          <w:lang w:eastAsia="sk-SK"/>
        </w:rPr>
      </w:pPr>
    </w:p>
    <w:p w:rsidR="00EA543A" w:rsidRDefault="00EA543A" w:rsidP="00EA543A">
      <w:pPr>
        <w:spacing w:after="0" w:line="240" w:lineRule="auto"/>
        <w:ind w:left="426" w:hanging="426"/>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H</w:t>
      </w:r>
      <w:r w:rsidRPr="00C373AC">
        <w:rPr>
          <w:rFonts w:ascii="Times New Roman" w:eastAsia="Times New Roman" w:hAnsi="Times New Roman" w:cs="Times New Roman"/>
          <w:b/>
          <w:sz w:val="24"/>
          <w:szCs w:val="24"/>
          <w:lang w:eastAsia="sk-SK"/>
        </w:rPr>
        <w:t xml:space="preserve"> - Zavedenie možnosti tvorby daňových opravných položiek k pohľadávkam </w:t>
      </w:r>
      <w:proofErr w:type="spellStart"/>
      <w:r w:rsidRPr="00C373AC">
        <w:rPr>
          <w:rFonts w:ascii="Times New Roman" w:eastAsia="Times New Roman" w:hAnsi="Times New Roman" w:cs="Times New Roman"/>
          <w:b/>
          <w:sz w:val="24"/>
          <w:szCs w:val="24"/>
          <w:lang w:eastAsia="sk-SK"/>
        </w:rPr>
        <w:t>mikrodaňovníkov</w:t>
      </w:r>
      <w:proofErr w:type="spellEnd"/>
      <w:r w:rsidRPr="00C373AC">
        <w:rPr>
          <w:rFonts w:ascii="Times New Roman" w:eastAsia="Times New Roman" w:hAnsi="Times New Roman" w:cs="Times New Roman"/>
          <w:b/>
          <w:sz w:val="24"/>
          <w:szCs w:val="24"/>
          <w:lang w:eastAsia="sk-SK"/>
        </w:rPr>
        <w:t xml:space="preserve"> v súlade s</w:t>
      </w:r>
      <w:r>
        <w:rPr>
          <w:rFonts w:ascii="Times New Roman" w:eastAsia="Times New Roman" w:hAnsi="Times New Roman" w:cs="Times New Roman"/>
          <w:b/>
          <w:sz w:val="24"/>
          <w:szCs w:val="24"/>
          <w:lang w:eastAsia="sk-SK"/>
        </w:rPr>
        <w:t> </w:t>
      </w:r>
      <w:r w:rsidRPr="00C373AC">
        <w:rPr>
          <w:rFonts w:ascii="Times New Roman" w:eastAsia="Times New Roman" w:hAnsi="Times New Roman" w:cs="Times New Roman"/>
          <w:b/>
          <w:sz w:val="24"/>
          <w:szCs w:val="24"/>
          <w:lang w:eastAsia="sk-SK"/>
        </w:rPr>
        <w:t>účtovníctvom</w:t>
      </w:r>
    </w:p>
    <w:p w:rsidR="00EA543A" w:rsidRPr="00600500" w:rsidRDefault="00EA543A" w:rsidP="00EA543A">
      <w:pPr>
        <w:spacing w:after="0" w:line="240" w:lineRule="auto"/>
        <w:jc w:val="both"/>
        <w:rPr>
          <w:rFonts w:ascii="Times New Roman" w:eastAsia="Times New Roman" w:hAnsi="Times New Roman" w:cs="Times New Roman"/>
          <w:sz w:val="24"/>
          <w:szCs w:val="24"/>
          <w:lang w:eastAsia="sk-SK"/>
        </w:rPr>
      </w:pPr>
      <w:r w:rsidRPr="00600500">
        <w:rPr>
          <w:rFonts w:ascii="Times New Roman" w:eastAsia="Times New Roman" w:hAnsi="Times New Roman" w:cs="Times New Roman"/>
          <w:sz w:val="24"/>
          <w:szCs w:val="24"/>
          <w:lang w:eastAsia="sk-SK"/>
        </w:rPr>
        <w:t>Zdrojom dát sú individuálne daňové priznania DPPO a finančné výkazy od spoločnosti FINSTAT za obdobie 2014 až 2017. Odhad fiškálneho vplyvu pracuje s predpokladom, že objem opravných položiek pre malé a stredné podniky s kladným základom dane bude vždy uplatnený v súlade s účtovníctvom a nebude už zvyšovať základ dane ako opravná položka neuznaná za daňový výdavok kvôli limitácii a časovému testu. V prípade malých a stredných podnikov predpokladáme čiastočnú optimalizáciu pre podniky blízko hranice obratu.</w:t>
      </w:r>
    </w:p>
    <w:p w:rsidR="00EA543A" w:rsidRDefault="00EA543A" w:rsidP="00EA543A">
      <w:pPr>
        <w:spacing w:after="0" w:line="240" w:lineRule="auto"/>
        <w:ind w:left="426" w:hanging="426"/>
        <w:jc w:val="both"/>
        <w:rPr>
          <w:rFonts w:ascii="Times New Roman" w:eastAsia="Times New Roman" w:hAnsi="Times New Roman" w:cs="Times New Roman"/>
          <w:b/>
          <w:sz w:val="24"/>
          <w:szCs w:val="24"/>
          <w:lang w:eastAsia="sk-SK"/>
        </w:rPr>
      </w:pPr>
    </w:p>
    <w:p w:rsidR="00EA543A" w:rsidRPr="003B74F5" w:rsidRDefault="00EA543A" w:rsidP="00EA543A">
      <w:pPr>
        <w:spacing w:after="0" w:line="240" w:lineRule="auto"/>
        <w:ind w:left="426" w:hanging="426"/>
        <w:jc w:val="both"/>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lastRenderedPageBreak/>
        <w:t>I</w:t>
      </w:r>
      <w:r w:rsidRPr="003B74F5">
        <w:rPr>
          <w:rFonts w:ascii="Times New Roman" w:eastAsia="Times New Roman" w:hAnsi="Times New Roman" w:cs="Times New Roman"/>
          <w:b/>
          <w:sz w:val="24"/>
          <w:szCs w:val="24"/>
          <w:lang w:eastAsia="sk-SK"/>
        </w:rPr>
        <w:t xml:space="preserve"> - Zvýšenie hranice pre platenie preddavkov u fyzických aj právnických osôb z 2 500 eur na 5 000 eur</w:t>
      </w:r>
    </w:p>
    <w:p w:rsidR="00EA543A" w:rsidRPr="00600500" w:rsidRDefault="00EA543A" w:rsidP="00EA543A">
      <w:pPr>
        <w:spacing w:after="0" w:line="240" w:lineRule="auto"/>
        <w:jc w:val="both"/>
        <w:rPr>
          <w:rFonts w:ascii="Times New Roman" w:eastAsia="Times New Roman" w:hAnsi="Times New Roman" w:cs="Times New Roman"/>
          <w:sz w:val="24"/>
          <w:szCs w:val="24"/>
          <w:lang w:eastAsia="sk-SK"/>
        </w:rPr>
      </w:pPr>
      <w:r w:rsidRPr="00600500">
        <w:rPr>
          <w:rFonts w:ascii="Times New Roman" w:eastAsia="Times New Roman" w:hAnsi="Times New Roman" w:cs="Times New Roman"/>
          <w:sz w:val="24"/>
          <w:szCs w:val="24"/>
          <w:lang w:eastAsia="sk-SK"/>
        </w:rPr>
        <w:t>Zdrojom dát je štruktúra preddavkov na dani z príjmu na individuálnej báze poskytnutá Finančnou správou. Z individuálnych dát je možné vypočítať meškanie platieb kvartálnych preddavkov pri hranici 2500 až 5000 eur. 15 % subjektov (firmy aj SZČO), respektíve 20 % objemu preddavkov je splatených viac ako mesiac po termíne splatnosti. Legislatívna zmen</w:t>
      </w:r>
      <w:r>
        <w:rPr>
          <w:rFonts w:ascii="Times New Roman" w:eastAsia="Times New Roman" w:hAnsi="Times New Roman" w:cs="Times New Roman"/>
          <w:sz w:val="24"/>
          <w:szCs w:val="24"/>
          <w:lang w:eastAsia="sk-SK"/>
        </w:rPr>
        <w:t>a</w:t>
      </w:r>
      <w:r w:rsidRPr="00600500">
        <w:rPr>
          <w:rFonts w:ascii="Times New Roman" w:eastAsia="Times New Roman" w:hAnsi="Times New Roman" w:cs="Times New Roman"/>
          <w:sz w:val="24"/>
          <w:szCs w:val="24"/>
          <w:lang w:eastAsia="sk-SK"/>
        </w:rPr>
        <w:t xml:space="preserve"> by mala za následok, že viacej subjektov bude mať jednor</w:t>
      </w:r>
      <w:r>
        <w:rPr>
          <w:rFonts w:ascii="Times New Roman" w:eastAsia="Times New Roman" w:hAnsi="Times New Roman" w:cs="Times New Roman"/>
          <w:sz w:val="24"/>
          <w:szCs w:val="24"/>
          <w:lang w:eastAsia="sk-SK"/>
        </w:rPr>
        <w:t>a</w:t>
      </w:r>
      <w:r w:rsidRPr="00600500">
        <w:rPr>
          <w:rFonts w:ascii="Times New Roman" w:eastAsia="Times New Roman" w:hAnsi="Times New Roman" w:cs="Times New Roman"/>
          <w:sz w:val="24"/>
          <w:szCs w:val="24"/>
          <w:lang w:eastAsia="sk-SK"/>
        </w:rPr>
        <w:t>zov</w:t>
      </w:r>
      <w:r>
        <w:rPr>
          <w:rFonts w:ascii="Times New Roman" w:eastAsia="Times New Roman" w:hAnsi="Times New Roman" w:cs="Times New Roman"/>
          <w:sz w:val="24"/>
          <w:szCs w:val="24"/>
          <w:lang w:eastAsia="sk-SK"/>
        </w:rPr>
        <w:t>ú</w:t>
      </w:r>
      <w:r w:rsidRPr="00600500">
        <w:rPr>
          <w:rFonts w:ascii="Times New Roman" w:eastAsia="Times New Roman" w:hAnsi="Times New Roman" w:cs="Times New Roman"/>
          <w:sz w:val="24"/>
          <w:szCs w:val="24"/>
          <w:lang w:eastAsia="sk-SK"/>
        </w:rPr>
        <w:t xml:space="preserve"> platbu dane, bez predošlej platby preddavk</w:t>
      </w:r>
      <w:r>
        <w:rPr>
          <w:rFonts w:ascii="Times New Roman" w:eastAsia="Times New Roman" w:hAnsi="Times New Roman" w:cs="Times New Roman"/>
          <w:sz w:val="24"/>
          <w:szCs w:val="24"/>
          <w:lang w:eastAsia="sk-SK"/>
        </w:rPr>
        <w:t>ov. U týchto subjektov predpokladá</w:t>
      </w:r>
      <w:r w:rsidRPr="00600500">
        <w:rPr>
          <w:rFonts w:ascii="Times New Roman" w:eastAsia="Times New Roman" w:hAnsi="Times New Roman" w:cs="Times New Roman"/>
          <w:sz w:val="24"/>
          <w:szCs w:val="24"/>
          <w:lang w:eastAsia="sk-SK"/>
        </w:rPr>
        <w:t>me</w:t>
      </w:r>
      <w:r>
        <w:rPr>
          <w:rFonts w:ascii="Times New Roman" w:eastAsia="Times New Roman" w:hAnsi="Times New Roman" w:cs="Times New Roman"/>
          <w:sz w:val="24"/>
          <w:szCs w:val="24"/>
          <w:lang w:eastAsia="sk-SK"/>
        </w:rPr>
        <w:t>,</w:t>
      </w:r>
      <w:r w:rsidRPr="00600500">
        <w:rPr>
          <w:rFonts w:ascii="Times New Roman" w:eastAsia="Times New Roman" w:hAnsi="Times New Roman" w:cs="Times New Roman"/>
          <w:sz w:val="24"/>
          <w:szCs w:val="24"/>
          <w:lang w:eastAsia="sk-SK"/>
        </w:rPr>
        <w:t xml:space="preserve"> že po podaní daňového priznania nebude platba uhradená do 1 roka. Posun hotovostného výpadku (nezaplatené vyrovnanie dane za rok 2020 v roku 2021) až do roku 2022 spôsobí akruálny výpadok v roku 2021.</w:t>
      </w:r>
    </w:p>
    <w:p w:rsidR="00EA543A" w:rsidRDefault="00EA543A" w:rsidP="00EA543A">
      <w:pPr>
        <w:rPr>
          <w:rFonts w:ascii="Times New Roman" w:eastAsia="Times New Roman" w:hAnsi="Times New Roman" w:cs="Times New Roman"/>
          <w:b/>
          <w:bCs/>
          <w:sz w:val="24"/>
          <w:szCs w:val="20"/>
          <w:lang w:eastAsia="sk-SK"/>
        </w:rPr>
        <w:sectPr w:rsidR="00EA543A" w:rsidSect="00EA543A">
          <w:headerReference w:type="even" r:id="rId9"/>
          <w:footerReference w:type="even" r:id="rId10"/>
          <w:footerReference w:type="default" r:id="rId11"/>
          <w:headerReference w:type="first" r:id="rId12"/>
          <w:footerReference w:type="first" r:id="rId13"/>
          <w:pgSz w:w="11906" w:h="16838"/>
          <w:pgMar w:top="1417" w:right="1417" w:bottom="1276" w:left="1417" w:header="708" w:footer="708" w:gutter="0"/>
          <w:pgNumType w:start="1"/>
          <w:cols w:space="708"/>
          <w:docGrid w:linePitch="360"/>
        </w:sectPr>
      </w:pPr>
      <w:r w:rsidRPr="00C373AC">
        <w:rPr>
          <w:rFonts w:ascii="Times New Roman" w:eastAsia="Times New Roman" w:hAnsi="Times New Roman" w:cs="Times New Roman"/>
          <w:b/>
          <w:bCs/>
          <w:sz w:val="24"/>
          <w:szCs w:val="20"/>
          <w:lang w:eastAsia="sk-SK"/>
        </w:rPr>
        <w:br w:type="page"/>
      </w:r>
    </w:p>
    <w:p w:rsidR="00EA543A" w:rsidRPr="007D5748" w:rsidRDefault="00EA543A" w:rsidP="00EA543A">
      <w:pPr>
        <w:tabs>
          <w:tab w:val="num" w:pos="1080"/>
        </w:tabs>
        <w:spacing w:after="0" w:line="240" w:lineRule="auto"/>
        <w:jc w:val="right"/>
        <w:rPr>
          <w:rFonts w:ascii="Times New Roman" w:eastAsia="Times New Roman" w:hAnsi="Times New Roman" w:cs="Times New Roman"/>
          <w:bCs/>
          <w:sz w:val="24"/>
          <w:szCs w:val="24"/>
          <w:lang w:eastAsia="sk-SK"/>
        </w:rPr>
      </w:pPr>
      <w:proofErr w:type="spellStart"/>
      <w:r w:rsidRPr="007D5748">
        <w:rPr>
          <w:rFonts w:ascii="Times New Roman" w:eastAsia="Times New Roman" w:hAnsi="Times New Roman" w:cs="Times New Roman"/>
          <w:bCs/>
          <w:sz w:val="24"/>
          <w:szCs w:val="24"/>
          <w:lang w:eastAsia="sk-SK"/>
        </w:rPr>
        <w:lastRenderedPageBreak/>
        <w:t>abuľka</w:t>
      </w:r>
      <w:proofErr w:type="spellEnd"/>
      <w:r w:rsidRPr="007D5748">
        <w:rPr>
          <w:rFonts w:ascii="Times New Roman" w:eastAsia="Times New Roman" w:hAnsi="Times New Roman" w:cs="Times New Roman"/>
          <w:bCs/>
          <w:sz w:val="24"/>
          <w:szCs w:val="24"/>
          <w:lang w:eastAsia="sk-SK"/>
        </w:rPr>
        <w:t xml:space="preserve"> č. 3 </w:t>
      </w: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EA543A" w:rsidRPr="007D5748" w:rsidTr="00EA543A">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Príjmy (v </w:t>
            </w:r>
            <w:r>
              <w:rPr>
                <w:rFonts w:ascii="Times New Roman" w:eastAsia="Times New Roman" w:hAnsi="Times New Roman" w:cs="Times New Roman"/>
                <w:b/>
                <w:bCs/>
                <w:sz w:val="24"/>
                <w:szCs w:val="24"/>
                <w:lang w:eastAsia="sk-SK"/>
              </w:rPr>
              <w:t xml:space="preserve">tis. </w:t>
            </w:r>
            <w:r w:rsidRPr="007D5748">
              <w:rPr>
                <w:rFonts w:ascii="Times New Roman" w:eastAsia="Times New Roman" w:hAnsi="Times New Roman" w:cs="Times New Roman"/>
                <w:b/>
                <w:bCs/>
                <w:sz w:val="24"/>
                <w:szCs w:val="24"/>
                <w:lang w:eastAsia="sk-SK"/>
              </w:rPr>
              <w:t>eur)</w:t>
            </w:r>
            <w:r>
              <w:rPr>
                <w:rFonts w:ascii="Times New Roman" w:eastAsia="Times New Roman" w:hAnsi="Times New Roman" w:cs="Times New Roman"/>
                <w:b/>
                <w:bCs/>
                <w:sz w:val="24"/>
                <w:szCs w:val="24"/>
                <w:lang w:eastAsia="sk-SK"/>
              </w:rPr>
              <w:t xml:space="preserve"> - cash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EA543A" w:rsidRPr="007D5748" w:rsidTr="00EA543A">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EA543A" w:rsidRPr="007D5748" w:rsidRDefault="00EA543A" w:rsidP="00EA543A">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2019</w:t>
            </w:r>
          </w:p>
        </w:tc>
        <w:tc>
          <w:tcPr>
            <w:tcW w:w="1500" w:type="dxa"/>
            <w:tcBorders>
              <w:top w:val="nil"/>
              <w:left w:val="nil"/>
              <w:bottom w:val="single" w:sz="4" w:space="0" w:color="auto"/>
              <w:right w:val="single" w:sz="4" w:space="0" w:color="auto"/>
            </w:tcBorders>
            <w:shd w:val="clear" w:color="auto" w:fill="BFBFBF" w:themeFill="background1" w:themeFillShade="BF"/>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2020</w:t>
            </w:r>
          </w:p>
        </w:tc>
        <w:tc>
          <w:tcPr>
            <w:tcW w:w="1500" w:type="dxa"/>
            <w:tcBorders>
              <w:top w:val="nil"/>
              <w:left w:val="nil"/>
              <w:bottom w:val="single" w:sz="4" w:space="0" w:color="auto"/>
              <w:right w:val="single" w:sz="4" w:space="0" w:color="auto"/>
            </w:tcBorders>
            <w:shd w:val="clear" w:color="auto" w:fill="BFBFBF" w:themeFill="background1" w:themeFillShade="BF"/>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2021</w:t>
            </w:r>
          </w:p>
        </w:tc>
        <w:tc>
          <w:tcPr>
            <w:tcW w:w="1500" w:type="dxa"/>
            <w:tcBorders>
              <w:top w:val="nil"/>
              <w:left w:val="nil"/>
              <w:bottom w:val="single" w:sz="4" w:space="0" w:color="auto"/>
              <w:right w:val="single" w:sz="4" w:space="0" w:color="auto"/>
            </w:tcBorders>
            <w:shd w:val="clear" w:color="auto" w:fill="BFBFBF" w:themeFill="background1" w:themeFillShade="BF"/>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3000" w:type="dxa"/>
            <w:vMerge/>
            <w:tcBorders>
              <w:top w:val="single" w:sz="4" w:space="0" w:color="auto"/>
              <w:left w:val="single" w:sz="4" w:space="0" w:color="auto"/>
              <w:bottom w:val="single" w:sz="4" w:space="0" w:color="auto"/>
              <w:right w:val="single" w:sz="4" w:space="0" w:color="auto"/>
            </w:tcBorders>
            <w:vAlign w:val="center"/>
          </w:tcPr>
          <w:p w:rsidR="00EA543A" w:rsidRPr="007D5748" w:rsidRDefault="00EA543A" w:rsidP="00EA543A">
            <w:pPr>
              <w:spacing w:after="0" w:line="240" w:lineRule="auto"/>
              <w:rPr>
                <w:rFonts w:ascii="Times New Roman" w:eastAsia="Times New Roman" w:hAnsi="Times New Roman" w:cs="Times New Roman"/>
                <w:b/>
                <w:bCs/>
                <w:color w:val="FFFFFF"/>
                <w:sz w:val="24"/>
                <w:szCs w:val="24"/>
                <w:lang w:eastAsia="sk-SK"/>
              </w:rPr>
            </w:pPr>
          </w:p>
        </w:tc>
      </w:tr>
      <w:tr w:rsidR="00EA543A" w:rsidRPr="007D5748" w:rsidTr="00EA543A">
        <w:trPr>
          <w:trHeight w:val="255"/>
        </w:trPr>
        <w:tc>
          <w:tcPr>
            <w:tcW w:w="4950" w:type="dxa"/>
            <w:tcBorders>
              <w:top w:val="nil"/>
              <w:left w:val="single" w:sz="4" w:space="0" w:color="auto"/>
              <w:bottom w:val="single" w:sz="4" w:space="0" w:color="auto"/>
              <w:right w:val="single" w:sz="4" w:space="0" w:color="auto"/>
            </w:tcBorders>
          </w:tcPr>
          <w:p w:rsidR="00EA543A" w:rsidRPr="007D5748" w:rsidRDefault="00EA543A" w:rsidP="00EA543A">
            <w:pPr>
              <w:spacing w:after="0" w:line="240" w:lineRule="auto"/>
              <w:rPr>
                <w:rFonts w:ascii="Times New Roman" w:eastAsia="Times New Roman" w:hAnsi="Times New Roman" w:cs="Times New Roman"/>
                <w:b/>
                <w:bCs/>
                <w:sz w:val="24"/>
                <w:szCs w:val="24"/>
                <w:vertAlign w:val="superscript"/>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0</w:t>
            </w:r>
          </w:p>
        </w:tc>
        <w:tc>
          <w:tcPr>
            <w:tcW w:w="1500" w:type="dxa"/>
            <w:tcBorders>
              <w:top w:val="nil"/>
              <w:left w:val="nil"/>
              <w:bottom w:val="single" w:sz="4" w:space="0" w:color="auto"/>
              <w:right w:val="single" w:sz="4" w:space="0" w:color="auto"/>
            </w:tcBorders>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-29 679</w:t>
            </w:r>
          </w:p>
        </w:tc>
        <w:tc>
          <w:tcPr>
            <w:tcW w:w="1500" w:type="dxa"/>
            <w:tcBorders>
              <w:top w:val="nil"/>
              <w:left w:val="nil"/>
              <w:bottom w:val="single" w:sz="4" w:space="0" w:color="auto"/>
              <w:right w:val="single" w:sz="4" w:space="0" w:color="auto"/>
            </w:tcBorders>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-68 554</w:t>
            </w:r>
          </w:p>
        </w:tc>
        <w:tc>
          <w:tcPr>
            <w:tcW w:w="1500" w:type="dxa"/>
            <w:tcBorders>
              <w:top w:val="nil"/>
              <w:left w:val="nil"/>
              <w:bottom w:val="single" w:sz="4" w:space="0" w:color="auto"/>
              <w:right w:val="single" w:sz="4" w:space="0" w:color="auto"/>
            </w:tcBorders>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-20 022</w:t>
            </w:r>
          </w:p>
        </w:tc>
        <w:tc>
          <w:tcPr>
            <w:tcW w:w="3000" w:type="dxa"/>
            <w:tcBorders>
              <w:top w:val="nil"/>
              <w:left w:val="nil"/>
              <w:bottom w:val="single" w:sz="4" w:space="0" w:color="auto"/>
              <w:right w:val="single" w:sz="4" w:space="0" w:color="auto"/>
            </w:tcBorders>
            <w:noWrap/>
            <w:vAlign w:val="bottom"/>
          </w:tcPr>
          <w:p w:rsidR="00EA543A" w:rsidRPr="007D5748" w:rsidRDefault="00EA543A" w:rsidP="00EA543A">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EA543A" w:rsidRPr="007D5748" w:rsidTr="00EA543A">
        <w:trPr>
          <w:trHeight w:val="265"/>
        </w:trPr>
        <w:tc>
          <w:tcPr>
            <w:tcW w:w="4950" w:type="dxa"/>
            <w:tcBorders>
              <w:top w:val="nil"/>
              <w:left w:val="single" w:sz="4" w:space="0" w:color="auto"/>
              <w:bottom w:val="single" w:sz="4" w:space="0" w:color="auto"/>
              <w:right w:val="single" w:sz="4" w:space="0" w:color="auto"/>
            </w:tcBorders>
            <w:shd w:val="clear" w:color="auto" w:fill="auto"/>
          </w:tcPr>
          <w:p w:rsidR="00EA543A" w:rsidRDefault="00EA543A" w:rsidP="00EA543A">
            <w:pPr>
              <w:spacing w:after="0" w:line="240"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DPFO (111)</w:t>
            </w:r>
          </w:p>
        </w:tc>
        <w:tc>
          <w:tcPr>
            <w:tcW w:w="1500" w:type="dxa"/>
            <w:tcBorders>
              <w:top w:val="nil"/>
              <w:left w:val="nil"/>
              <w:bottom w:val="single" w:sz="4" w:space="0" w:color="auto"/>
              <w:right w:val="single" w:sz="4" w:space="0" w:color="auto"/>
            </w:tcBorders>
            <w:shd w:val="clear" w:color="auto" w:fill="auto"/>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0</w:t>
            </w:r>
          </w:p>
        </w:tc>
        <w:tc>
          <w:tcPr>
            <w:tcW w:w="1500" w:type="dxa"/>
            <w:tcBorders>
              <w:top w:val="nil"/>
              <w:left w:val="nil"/>
              <w:bottom w:val="single" w:sz="4" w:space="0" w:color="auto"/>
              <w:right w:val="single" w:sz="4" w:space="0" w:color="auto"/>
            </w:tcBorders>
            <w:shd w:val="clear" w:color="auto" w:fill="auto"/>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-3 433</w:t>
            </w:r>
          </w:p>
        </w:tc>
        <w:tc>
          <w:tcPr>
            <w:tcW w:w="1500" w:type="dxa"/>
            <w:tcBorders>
              <w:top w:val="nil"/>
              <w:left w:val="nil"/>
              <w:bottom w:val="single" w:sz="4" w:space="0" w:color="auto"/>
              <w:right w:val="single" w:sz="4" w:space="0" w:color="auto"/>
            </w:tcBorders>
            <w:shd w:val="clear" w:color="auto" w:fill="auto"/>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-13 599</w:t>
            </w:r>
          </w:p>
        </w:tc>
        <w:tc>
          <w:tcPr>
            <w:tcW w:w="1500" w:type="dxa"/>
            <w:tcBorders>
              <w:top w:val="nil"/>
              <w:left w:val="nil"/>
              <w:bottom w:val="single" w:sz="4" w:space="0" w:color="auto"/>
              <w:right w:val="single" w:sz="4" w:space="0" w:color="auto"/>
            </w:tcBorders>
            <w:shd w:val="clear" w:color="auto" w:fill="auto"/>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-10 299</w:t>
            </w:r>
          </w:p>
        </w:tc>
        <w:tc>
          <w:tcPr>
            <w:tcW w:w="3000" w:type="dxa"/>
            <w:tcBorders>
              <w:top w:val="nil"/>
              <w:left w:val="nil"/>
              <w:bottom w:val="single" w:sz="4" w:space="0" w:color="auto"/>
              <w:right w:val="single" w:sz="4" w:space="0" w:color="auto"/>
            </w:tcBorders>
            <w:shd w:val="clear" w:color="auto" w:fill="auto"/>
            <w:noWrap/>
            <w:vAlign w:val="bottom"/>
          </w:tcPr>
          <w:p w:rsidR="00EA543A" w:rsidRPr="007D5748" w:rsidRDefault="00EA543A" w:rsidP="00EA543A">
            <w:pPr>
              <w:spacing w:after="0" w:line="240" w:lineRule="auto"/>
              <w:rPr>
                <w:rFonts w:ascii="Times New Roman" w:eastAsia="Times New Roman" w:hAnsi="Times New Roman" w:cs="Times New Roman"/>
                <w:sz w:val="24"/>
                <w:szCs w:val="24"/>
                <w:lang w:eastAsia="sk-SK"/>
              </w:rPr>
            </w:pPr>
          </w:p>
        </w:tc>
      </w:tr>
      <w:tr w:rsidR="00EA543A" w:rsidRPr="007D5748" w:rsidTr="00EA543A">
        <w:trPr>
          <w:trHeight w:val="255"/>
        </w:trPr>
        <w:tc>
          <w:tcPr>
            <w:tcW w:w="4950" w:type="dxa"/>
            <w:tcBorders>
              <w:top w:val="nil"/>
              <w:left w:val="single" w:sz="4" w:space="0" w:color="auto"/>
              <w:bottom w:val="single" w:sz="4" w:space="0" w:color="auto"/>
              <w:right w:val="single" w:sz="4" w:space="0" w:color="auto"/>
            </w:tcBorders>
            <w:shd w:val="clear" w:color="auto" w:fill="auto"/>
          </w:tcPr>
          <w:p w:rsidR="00EA543A" w:rsidRPr="007D5748" w:rsidRDefault="00EA543A" w:rsidP="00EA543A">
            <w:pPr>
              <w:spacing w:after="0" w:line="240"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DPPO (112)</w:t>
            </w:r>
          </w:p>
        </w:tc>
        <w:tc>
          <w:tcPr>
            <w:tcW w:w="1500" w:type="dxa"/>
            <w:tcBorders>
              <w:top w:val="nil"/>
              <w:left w:val="nil"/>
              <w:bottom w:val="single" w:sz="4" w:space="0" w:color="auto"/>
              <w:right w:val="single" w:sz="4" w:space="0" w:color="auto"/>
            </w:tcBorders>
            <w:shd w:val="clear" w:color="auto" w:fill="auto"/>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0</w:t>
            </w:r>
          </w:p>
        </w:tc>
        <w:tc>
          <w:tcPr>
            <w:tcW w:w="1500" w:type="dxa"/>
            <w:tcBorders>
              <w:top w:val="nil"/>
              <w:left w:val="nil"/>
              <w:bottom w:val="single" w:sz="4" w:space="0" w:color="auto"/>
              <w:right w:val="single" w:sz="4" w:space="0" w:color="auto"/>
            </w:tcBorders>
            <w:shd w:val="clear" w:color="auto" w:fill="auto"/>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-18 558</w:t>
            </w:r>
          </w:p>
        </w:tc>
        <w:tc>
          <w:tcPr>
            <w:tcW w:w="1500" w:type="dxa"/>
            <w:tcBorders>
              <w:top w:val="nil"/>
              <w:left w:val="nil"/>
              <w:bottom w:val="single" w:sz="4" w:space="0" w:color="auto"/>
              <w:right w:val="single" w:sz="4" w:space="0" w:color="auto"/>
            </w:tcBorders>
            <w:shd w:val="clear" w:color="auto" w:fill="auto"/>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-46 568</w:t>
            </w:r>
          </w:p>
        </w:tc>
        <w:tc>
          <w:tcPr>
            <w:tcW w:w="1500" w:type="dxa"/>
            <w:tcBorders>
              <w:top w:val="nil"/>
              <w:left w:val="nil"/>
              <w:bottom w:val="single" w:sz="4" w:space="0" w:color="auto"/>
              <w:right w:val="single" w:sz="4" w:space="0" w:color="auto"/>
            </w:tcBorders>
            <w:shd w:val="clear" w:color="auto" w:fill="auto"/>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-1 336</w:t>
            </w:r>
          </w:p>
        </w:tc>
        <w:tc>
          <w:tcPr>
            <w:tcW w:w="3000" w:type="dxa"/>
            <w:tcBorders>
              <w:top w:val="nil"/>
              <w:left w:val="nil"/>
              <w:bottom w:val="single" w:sz="4" w:space="0" w:color="auto"/>
              <w:right w:val="single" w:sz="4" w:space="0" w:color="auto"/>
            </w:tcBorders>
            <w:shd w:val="clear" w:color="auto" w:fill="auto"/>
            <w:noWrap/>
            <w:vAlign w:val="bottom"/>
          </w:tcPr>
          <w:p w:rsidR="00EA543A" w:rsidRPr="007D5748" w:rsidRDefault="00EA543A" w:rsidP="00EA543A">
            <w:pPr>
              <w:spacing w:after="0" w:line="240" w:lineRule="auto"/>
              <w:rPr>
                <w:rFonts w:ascii="Times New Roman" w:eastAsia="Times New Roman" w:hAnsi="Times New Roman" w:cs="Times New Roman"/>
                <w:sz w:val="24"/>
                <w:szCs w:val="24"/>
                <w:lang w:eastAsia="sk-SK"/>
              </w:rPr>
            </w:pPr>
          </w:p>
        </w:tc>
      </w:tr>
      <w:tr w:rsidR="00EA543A" w:rsidRPr="007D5748" w:rsidTr="00EA543A">
        <w:trPr>
          <w:trHeight w:val="255"/>
        </w:trPr>
        <w:tc>
          <w:tcPr>
            <w:tcW w:w="4950" w:type="dxa"/>
            <w:tcBorders>
              <w:top w:val="nil"/>
              <w:left w:val="single" w:sz="4" w:space="0" w:color="auto"/>
              <w:bottom w:val="single" w:sz="4" w:space="0" w:color="auto"/>
              <w:right w:val="single" w:sz="4" w:space="0" w:color="auto"/>
            </w:tcBorders>
            <w:shd w:val="clear" w:color="auto" w:fill="auto"/>
          </w:tcPr>
          <w:p w:rsidR="00EA543A" w:rsidRDefault="00EA543A" w:rsidP="00EA543A">
            <w:pPr>
              <w:spacing w:after="0" w:line="240"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Sociálne odvody (151, 152, 155, 157 a 158)</w:t>
            </w:r>
          </w:p>
        </w:tc>
        <w:tc>
          <w:tcPr>
            <w:tcW w:w="1500" w:type="dxa"/>
            <w:tcBorders>
              <w:top w:val="nil"/>
              <w:left w:val="nil"/>
              <w:bottom w:val="single" w:sz="4" w:space="0" w:color="auto"/>
              <w:right w:val="single" w:sz="4" w:space="0" w:color="auto"/>
            </w:tcBorders>
            <w:shd w:val="clear" w:color="auto" w:fill="auto"/>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0</w:t>
            </w:r>
          </w:p>
        </w:tc>
        <w:tc>
          <w:tcPr>
            <w:tcW w:w="1500" w:type="dxa"/>
            <w:tcBorders>
              <w:top w:val="nil"/>
              <w:left w:val="nil"/>
              <w:bottom w:val="single" w:sz="4" w:space="0" w:color="auto"/>
              <w:right w:val="single" w:sz="4" w:space="0" w:color="auto"/>
            </w:tcBorders>
            <w:shd w:val="clear" w:color="auto" w:fill="auto"/>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-5 393</w:t>
            </w:r>
          </w:p>
        </w:tc>
        <w:tc>
          <w:tcPr>
            <w:tcW w:w="1500" w:type="dxa"/>
            <w:tcBorders>
              <w:top w:val="nil"/>
              <w:left w:val="nil"/>
              <w:bottom w:val="single" w:sz="4" w:space="0" w:color="auto"/>
              <w:right w:val="single" w:sz="4" w:space="0" w:color="auto"/>
            </w:tcBorders>
            <w:shd w:val="clear" w:color="auto" w:fill="auto"/>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-5 884</w:t>
            </w:r>
          </w:p>
        </w:tc>
        <w:tc>
          <w:tcPr>
            <w:tcW w:w="1500" w:type="dxa"/>
            <w:tcBorders>
              <w:top w:val="nil"/>
              <w:left w:val="nil"/>
              <w:bottom w:val="single" w:sz="4" w:space="0" w:color="auto"/>
              <w:right w:val="single" w:sz="4" w:space="0" w:color="auto"/>
            </w:tcBorders>
            <w:shd w:val="clear" w:color="auto" w:fill="auto"/>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-5 884</w:t>
            </w:r>
          </w:p>
        </w:tc>
        <w:tc>
          <w:tcPr>
            <w:tcW w:w="3000" w:type="dxa"/>
            <w:tcBorders>
              <w:top w:val="nil"/>
              <w:left w:val="nil"/>
              <w:bottom w:val="single" w:sz="4" w:space="0" w:color="auto"/>
              <w:right w:val="single" w:sz="4" w:space="0" w:color="auto"/>
            </w:tcBorders>
            <w:shd w:val="clear" w:color="auto" w:fill="auto"/>
            <w:noWrap/>
            <w:vAlign w:val="bottom"/>
          </w:tcPr>
          <w:p w:rsidR="00EA543A" w:rsidRPr="007D5748" w:rsidRDefault="00EA543A" w:rsidP="00EA543A">
            <w:pPr>
              <w:spacing w:after="0" w:line="240" w:lineRule="auto"/>
              <w:rPr>
                <w:rFonts w:ascii="Times New Roman" w:eastAsia="Times New Roman" w:hAnsi="Times New Roman" w:cs="Times New Roman"/>
                <w:sz w:val="24"/>
                <w:szCs w:val="24"/>
                <w:lang w:eastAsia="sk-SK"/>
              </w:rPr>
            </w:pPr>
          </w:p>
        </w:tc>
      </w:tr>
      <w:tr w:rsidR="00EA543A" w:rsidRPr="007D5748" w:rsidTr="00EA543A">
        <w:trPr>
          <w:trHeight w:val="255"/>
        </w:trPr>
        <w:tc>
          <w:tcPr>
            <w:tcW w:w="4950" w:type="dxa"/>
            <w:tcBorders>
              <w:top w:val="nil"/>
              <w:left w:val="single" w:sz="4" w:space="0" w:color="auto"/>
              <w:bottom w:val="single" w:sz="4" w:space="0" w:color="auto"/>
              <w:right w:val="single" w:sz="4" w:space="0" w:color="auto"/>
            </w:tcBorders>
            <w:shd w:val="clear" w:color="auto" w:fill="auto"/>
          </w:tcPr>
          <w:p w:rsidR="00EA543A" w:rsidRPr="007D5748" w:rsidRDefault="00EA543A" w:rsidP="00EA543A">
            <w:pPr>
              <w:spacing w:after="0" w:line="240" w:lineRule="auto"/>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Zdravotné odvody (154)</w:t>
            </w:r>
          </w:p>
        </w:tc>
        <w:tc>
          <w:tcPr>
            <w:tcW w:w="1500" w:type="dxa"/>
            <w:tcBorders>
              <w:top w:val="nil"/>
              <w:left w:val="nil"/>
              <w:bottom w:val="single" w:sz="4" w:space="0" w:color="auto"/>
              <w:right w:val="single" w:sz="4" w:space="0" w:color="auto"/>
            </w:tcBorders>
            <w:shd w:val="clear" w:color="auto" w:fill="auto"/>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0</w:t>
            </w:r>
          </w:p>
        </w:tc>
        <w:tc>
          <w:tcPr>
            <w:tcW w:w="1500" w:type="dxa"/>
            <w:tcBorders>
              <w:top w:val="nil"/>
              <w:left w:val="nil"/>
              <w:bottom w:val="single" w:sz="4" w:space="0" w:color="auto"/>
              <w:right w:val="single" w:sz="4" w:space="0" w:color="auto"/>
            </w:tcBorders>
            <w:shd w:val="clear" w:color="auto" w:fill="auto"/>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-2 295</w:t>
            </w:r>
          </w:p>
        </w:tc>
        <w:tc>
          <w:tcPr>
            <w:tcW w:w="1500" w:type="dxa"/>
            <w:tcBorders>
              <w:top w:val="nil"/>
              <w:left w:val="nil"/>
              <w:bottom w:val="single" w:sz="4" w:space="0" w:color="auto"/>
              <w:right w:val="single" w:sz="4" w:space="0" w:color="auto"/>
            </w:tcBorders>
            <w:shd w:val="clear" w:color="auto" w:fill="auto"/>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-2 504</w:t>
            </w:r>
          </w:p>
        </w:tc>
        <w:tc>
          <w:tcPr>
            <w:tcW w:w="1500" w:type="dxa"/>
            <w:tcBorders>
              <w:top w:val="nil"/>
              <w:left w:val="nil"/>
              <w:bottom w:val="single" w:sz="4" w:space="0" w:color="auto"/>
              <w:right w:val="single" w:sz="4" w:space="0" w:color="auto"/>
            </w:tcBorders>
            <w:shd w:val="clear" w:color="auto" w:fill="auto"/>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-2 504</w:t>
            </w:r>
          </w:p>
        </w:tc>
        <w:tc>
          <w:tcPr>
            <w:tcW w:w="3000" w:type="dxa"/>
            <w:tcBorders>
              <w:top w:val="nil"/>
              <w:left w:val="nil"/>
              <w:bottom w:val="single" w:sz="4" w:space="0" w:color="auto"/>
              <w:right w:val="single" w:sz="4" w:space="0" w:color="auto"/>
            </w:tcBorders>
            <w:shd w:val="clear" w:color="auto" w:fill="auto"/>
            <w:noWrap/>
            <w:vAlign w:val="bottom"/>
          </w:tcPr>
          <w:p w:rsidR="00EA543A" w:rsidRPr="007D5748" w:rsidRDefault="00EA543A" w:rsidP="00EA543A">
            <w:pPr>
              <w:spacing w:after="0" w:line="240" w:lineRule="auto"/>
              <w:rPr>
                <w:rFonts w:ascii="Times New Roman" w:eastAsia="Times New Roman" w:hAnsi="Times New Roman" w:cs="Times New Roman"/>
                <w:sz w:val="24"/>
                <w:szCs w:val="24"/>
                <w:lang w:eastAsia="sk-SK"/>
              </w:rPr>
            </w:pPr>
          </w:p>
        </w:tc>
      </w:tr>
      <w:tr w:rsidR="00EA543A" w:rsidRPr="007D5748" w:rsidTr="00EA543A">
        <w:trPr>
          <w:trHeight w:val="255"/>
        </w:trPr>
        <w:tc>
          <w:tcPr>
            <w:tcW w:w="4950" w:type="dxa"/>
            <w:tcBorders>
              <w:top w:val="nil"/>
              <w:left w:val="single" w:sz="4" w:space="0" w:color="auto"/>
              <w:bottom w:val="single" w:sz="4" w:space="0" w:color="auto"/>
              <w:right w:val="single" w:sz="4" w:space="0" w:color="auto"/>
            </w:tcBorders>
          </w:tcPr>
          <w:p w:rsidR="00EA543A" w:rsidRPr="007D5748" w:rsidRDefault="00EA543A" w:rsidP="00EA543A">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 </w:t>
            </w:r>
          </w:p>
        </w:tc>
        <w:tc>
          <w:tcPr>
            <w:tcW w:w="1500" w:type="dxa"/>
            <w:tcBorders>
              <w:top w:val="nil"/>
              <w:left w:val="nil"/>
              <w:bottom w:val="single" w:sz="4" w:space="0" w:color="auto"/>
              <w:right w:val="single" w:sz="4" w:space="0" w:color="auto"/>
            </w:tcBorders>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 </w:t>
            </w:r>
          </w:p>
        </w:tc>
        <w:tc>
          <w:tcPr>
            <w:tcW w:w="1500" w:type="dxa"/>
            <w:tcBorders>
              <w:top w:val="nil"/>
              <w:left w:val="nil"/>
              <w:bottom w:val="single" w:sz="4" w:space="0" w:color="auto"/>
              <w:right w:val="single" w:sz="4" w:space="0" w:color="auto"/>
            </w:tcBorders>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 </w:t>
            </w:r>
          </w:p>
        </w:tc>
        <w:tc>
          <w:tcPr>
            <w:tcW w:w="1500" w:type="dxa"/>
            <w:tcBorders>
              <w:top w:val="nil"/>
              <w:left w:val="nil"/>
              <w:bottom w:val="single" w:sz="4" w:space="0" w:color="auto"/>
              <w:right w:val="single" w:sz="4" w:space="0" w:color="auto"/>
            </w:tcBorders>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 </w:t>
            </w:r>
          </w:p>
        </w:tc>
        <w:tc>
          <w:tcPr>
            <w:tcW w:w="3000" w:type="dxa"/>
            <w:tcBorders>
              <w:top w:val="nil"/>
              <w:left w:val="nil"/>
              <w:bottom w:val="single" w:sz="4" w:space="0" w:color="auto"/>
              <w:right w:val="single" w:sz="4" w:space="0" w:color="auto"/>
            </w:tcBorders>
            <w:noWrap/>
            <w:vAlign w:val="bottom"/>
          </w:tcPr>
          <w:p w:rsidR="00EA543A" w:rsidRPr="007D5748" w:rsidRDefault="00EA543A" w:rsidP="00EA543A">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EA543A" w:rsidRPr="007D5748" w:rsidTr="00EA543A">
        <w:trPr>
          <w:trHeight w:val="255"/>
        </w:trPr>
        <w:tc>
          <w:tcPr>
            <w:tcW w:w="4950" w:type="dxa"/>
            <w:tcBorders>
              <w:top w:val="nil"/>
              <w:left w:val="single" w:sz="4" w:space="0" w:color="auto"/>
              <w:bottom w:val="single" w:sz="4" w:space="0" w:color="auto"/>
              <w:right w:val="single" w:sz="4" w:space="0" w:color="auto"/>
            </w:tcBorders>
          </w:tcPr>
          <w:p w:rsidR="00EA543A" w:rsidRPr="007D5748" w:rsidRDefault="00EA543A" w:rsidP="00EA543A">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 </w:t>
            </w:r>
          </w:p>
        </w:tc>
        <w:tc>
          <w:tcPr>
            <w:tcW w:w="1500" w:type="dxa"/>
            <w:tcBorders>
              <w:top w:val="nil"/>
              <w:left w:val="nil"/>
              <w:bottom w:val="single" w:sz="4" w:space="0" w:color="auto"/>
              <w:right w:val="single" w:sz="4" w:space="0" w:color="auto"/>
            </w:tcBorders>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 </w:t>
            </w:r>
          </w:p>
        </w:tc>
        <w:tc>
          <w:tcPr>
            <w:tcW w:w="1500" w:type="dxa"/>
            <w:tcBorders>
              <w:top w:val="nil"/>
              <w:left w:val="nil"/>
              <w:bottom w:val="single" w:sz="4" w:space="0" w:color="auto"/>
              <w:right w:val="single" w:sz="4" w:space="0" w:color="auto"/>
            </w:tcBorders>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 </w:t>
            </w:r>
          </w:p>
        </w:tc>
        <w:tc>
          <w:tcPr>
            <w:tcW w:w="1500" w:type="dxa"/>
            <w:tcBorders>
              <w:top w:val="nil"/>
              <w:left w:val="nil"/>
              <w:bottom w:val="single" w:sz="4" w:space="0" w:color="auto"/>
              <w:right w:val="single" w:sz="4" w:space="0" w:color="auto"/>
            </w:tcBorders>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 </w:t>
            </w:r>
          </w:p>
        </w:tc>
        <w:tc>
          <w:tcPr>
            <w:tcW w:w="3000" w:type="dxa"/>
            <w:tcBorders>
              <w:top w:val="nil"/>
              <w:left w:val="nil"/>
              <w:bottom w:val="single" w:sz="4" w:space="0" w:color="auto"/>
              <w:right w:val="single" w:sz="4" w:space="0" w:color="auto"/>
            </w:tcBorders>
            <w:noWrap/>
            <w:vAlign w:val="bottom"/>
          </w:tcPr>
          <w:p w:rsidR="00EA543A" w:rsidRPr="007D5748" w:rsidRDefault="00EA543A" w:rsidP="00EA543A">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EA543A" w:rsidRPr="007D5748" w:rsidTr="00EA543A">
        <w:trPr>
          <w:trHeight w:val="255"/>
        </w:trPr>
        <w:tc>
          <w:tcPr>
            <w:tcW w:w="4950" w:type="dxa"/>
            <w:tcBorders>
              <w:top w:val="nil"/>
              <w:left w:val="single" w:sz="4" w:space="0" w:color="auto"/>
              <w:bottom w:val="single" w:sz="4" w:space="0" w:color="auto"/>
              <w:right w:val="single" w:sz="4" w:space="0" w:color="auto"/>
            </w:tcBorders>
          </w:tcPr>
          <w:p w:rsidR="00EA543A" w:rsidRPr="007D5748" w:rsidRDefault="00EA543A" w:rsidP="00EA543A">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 </w:t>
            </w:r>
          </w:p>
        </w:tc>
        <w:tc>
          <w:tcPr>
            <w:tcW w:w="1500" w:type="dxa"/>
            <w:tcBorders>
              <w:top w:val="nil"/>
              <w:left w:val="nil"/>
              <w:bottom w:val="single" w:sz="4" w:space="0" w:color="auto"/>
              <w:right w:val="single" w:sz="4" w:space="0" w:color="auto"/>
            </w:tcBorders>
            <w:shd w:val="clear" w:color="auto" w:fill="FFFF99"/>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 </w:t>
            </w:r>
          </w:p>
        </w:tc>
        <w:tc>
          <w:tcPr>
            <w:tcW w:w="1500" w:type="dxa"/>
            <w:tcBorders>
              <w:top w:val="nil"/>
              <w:left w:val="nil"/>
              <w:bottom w:val="single" w:sz="4" w:space="0" w:color="auto"/>
              <w:right w:val="single" w:sz="4" w:space="0" w:color="auto"/>
            </w:tcBorders>
            <w:shd w:val="clear" w:color="auto" w:fill="FFFF99"/>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 </w:t>
            </w:r>
          </w:p>
        </w:tc>
        <w:tc>
          <w:tcPr>
            <w:tcW w:w="1500" w:type="dxa"/>
            <w:tcBorders>
              <w:top w:val="nil"/>
              <w:left w:val="nil"/>
              <w:bottom w:val="single" w:sz="4" w:space="0" w:color="auto"/>
              <w:right w:val="single" w:sz="4" w:space="0" w:color="auto"/>
            </w:tcBorders>
            <w:shd w:val="clear" w:color="auto" w:fill="FFFF99"/>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 </w:t>
            </w:r>
          </w:p>
        </w:tc>
        <w:tc>
          <w:tcPr>
            <w:tcW w:w="3000" w:type="dxa"/>
            <w:tcBorders>
              <w:top w:val="nil"/>
              <w:left w:val="nil"/>
              <w:bottom w:val="single" w:sz="4" w:space="0" w:color="auto"/>
              <w:right w:val="single" w:sz="4" w:space="0" w:color="auto"/>
            </w:tcBorders>
            <w:noWrap/>
            <w:vAlign w:val="bottom"/>
          </w:tcPr>
          <w:p w:rsidR="00EA543A" w:rsidRPr="007D5748" w:rsidRDefault="00EA543A" w:rsidP="00EA543A">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EA543A" w:rsidRPr="007D5748" w:rsidTr="00EA543A">
        <w:trPr>
          <w:trHeight w:val="583"/>
        </w:trPr>
        <w:tc>
          <w:tcPr>
            <w:tcW w:w="4950" w:type="dxa"/>
            <w:tcBorders>
              <w:top w:val="nil"/>
              <w:left w:val="single" w:sz="4" w:space="0" w:color="auto"/>
              <w:bottom w:val="single" w:sz="4" w:space="0" w:color="auto"/>
              <w:right w:val="single" w:sz="4" w:space="0" w:color="auto"/>
            </w:tcBorders>
          </w:tcPr>
          <w:p w:rsidR="00EA543A" w:rsidRPr="007D5748" w:rsidRDefault="00EA543A" w:rsidP="00EA543A">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 </w:t>
            </w:r>
          </w:p>
        </w:tc>
        <w:tc>
          <w:tcPr>
            <w:tcW w:w="1500" w:type="dxa"/>
            <w:tcBorders>
              <w:top w:val="nil"/>
              <w:left w:val="nil"/>
              <w:bottom w:val="single" w:sz="4" w:space="0" w:color="auto"/>
              <w:right w:val="single" w:sz="4" w:space="0" w:color="auto"/>
            </w:tcBorders>
            <w:shd w:val="clear" w:color="auto" w:fill="FFFF99"/>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 </w:t>
            </w:r>
          </w:p>
        </w:tc>
        <w:tc>
          <w:tcPr>
            <w:tcW w:w="1500" w:type="dxa"/>
            <w:tcBorders>
              <w:top w:val="nil"/>
              <w:left w:val="nil"/>
              <w:bottom w:val="single" w:sz="4" w:space="0" w:color="auto"/>
              <w:right w:val="single" w:sz="4" w:space="0" w:color="auto"/>
            </w:tcBorders>
            <w:shd w:val="clear" w:color="auto" w:fill="FFFF99"/>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 </w:t>
            </w:r>
          </w:p>
        </w:tc>
        <w:tc>
          <w:tcPr>
            <w:tcW w:w="1500" w:type="dxa"/>
            <w:tcBorders>
              <w:top w:val="nil"/>
              <w:left w:val="nil"/>
              <w:bottom w:val="single" w:sz="4" w:space="0" w:color="auto"/>
              <w:right w:val="single" w:sz="4" w:space="0" w:color="auto"/>
            </w:tcBorders>
            <w:shd w:val="clear" w:color="auto" w:fill="FFFF99"/>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 </w:t>
            </w:r>
          </w:p>
        </w:tc>
        <w:tc>
          <w:tcPr>
            <w:tcW w:w="3000" w:type="dxa"/>
            <w:tcBorders>
              <w:top w:val="nil"/>
              <w:left w:val="nil"/>
              <w:bottom w:val="single" w:sz="4" w:space="0" w:color="auto"/>
              <w:right w:val="single" w:sz="4" w:space="0" w:color="auto"/>
            </w:tcBorders>
            <w:noWrap/>
            <w:vAlign w:val="bottom"/>
          </w:tcPr>
          <w:p w:rsidR="00EA543A" w:rsidRPr="007D5748" w:rsidRDefault="00EA543A" w:rsidP="00EA543A">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EA543A" w:rsidRPr="007D5748" w:rsidTr="00EA543A">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EA543A" w:rsidRPr="007D5748" w:rsidRDefault="00EA543A" w:rsidP="00EA543A">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0</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-29 679</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-68 554</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EA543A" w:rsidRPr="006F1FD4" w:rsidRDefault="00EA543A" w:rsidP="00EA543A">
            <w:pPr>
              <w:spacing w:after="0" w:line="240" w:lineRule="auto"/>
              <w:jc w:val="center"/>
              <w:rPr>
                <w:rFonts w:ascii="Times New Roman" w:hAnsi="Times New Roman" w:cs="Times New Roman"/>
                <w:b/>
                <w:bCs/>
                <w:color w:val="000000"/>
              </w:rPr>
            </w:pPr>
            <w:r w:rsidRPr="006F1FD4">
              <w:rPr>
                <w:rFonts w:ascii="Times New Roman" w:hAnsi="Times New Roman" w:cs="Times New Roman"/>
                <w:b/>
                <w:bCs/>
                <w:color w:val="000000"/>
              </w:rPr>
              <w:t>-20 022</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EA543A" w:rsidRPr="007D5748" w:rsidRDefault="00EA543A" w:rsidP="00EA543A">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rsidR="00EA543A" w:rsidRDefault="00EA543A" w:rsidP="00EA543A">
      <w:pPr>
        <w:tabs>
          <w:tab w:val="num" w:pos="1080"/>
        </w:tabs>
        <w:spacing w:after="0" w:line="240" w:lineRule="auto"/>
        <w:jc w:val="both"/>
        <w:rPr>
          <w:rFonts w:ascii="Times New Roman" w:eastAsia="Times New Roman" w:hAnsi="Times New Roman" w:cs="Times New Roman"/>
          <w:bCs/>
          <w:sz w:val="24"/>
          <w:szCs w:val="20"/>
          <w:lang w:eastAsia="sk-SK"/>
        </w:rPr>
      </w:pPr>
    </w:p>
    <w:tbl>
      <w:tblPr>
        <w:tblStyle w:val="Mriekatabuky"/>
        <w:tblW w:w="0" w:type="auto"/>
        <w:tblInd w:w="108" w:type="dxa"/>
        <w:tblLook w:val="04A0" w:firstRow="1" w:lastRow="0" w:firstColumn="1" w:lastColumn="0" w:noHBand="0" w:noVBand="1"/>
      </w:tblPr>
      <w:tblGrid>
        <w:gridCol w:w="4960"/>
        <w:gridCol w:w="1558"/>
        <w:gridCol w:w="1416"/>
        <w:gridCol w:w="1559"/>
        <w:gridCol w:w="1416"/>
        <w:gridCol w:w="2975"/>
      </w:tblGrid>
      <w:tr w:rsidR="00EA543A" w:rsidTr="00EA543A">
        <w:tc>
          <w:tcPr>
            <w:tcW w:w="4960" w:type="dxa"/>
            <w:vMerge w:val="restart"/>
            <w:shd w:val="clear" w:color="auto" w:fill="BFBFBF" w:themeFill="background1" w:themeFillShade="BF"/>
            <w:vAlign w:val="center"/>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 xml:space="preserve">Príjmy (v </w:t>
            </w:r>
            <w:r>
              <w:rPr>
                <w:rFonts w:ascii="Times New Roman" w:eastAsia="Times New Roman" w:hAnsi="Times New Roman" w:cs="Times New Roman"/>
                <w:b/>
                <w:bCs/>
                <w:sz w:val="24"/>
                <w:szCs w:val="24"/>
                <w:lang w:eastAsia="sk-SK"/>
              </w:rPr>
              <w:t xml:space="preserve">tis. </w:t>
            </w:r>
            <w:r w:rsidRPr="007D5748">
              <w:rPr>
                <w:rFonts w:ascii="Times New Roman" w:eastAsia="Times New Roman" w:hAnsi="Times New Roman" w:cs="Times New Roman"/>
                <w:b/>
                <w:bCs/>
                <w:sz w:val="24"/>
                <w:szCs w:val="24"/>
                <w:lang w:eastAsia="sk-SK"/>
              </w:rPr>
              <w:t>eur)</w:t>
            </w:r>
            <w:r>
              <w:rPr>
                <w:rFonts w:ascii="Times New Roman" w:eastAsia="Times New Roman" w:hAnsi="Times New Roman" w:cs="Times New Roman"/>
                <w:b/>
                <w:bCs/>
                <w:sz w:val="24"/>
                <w:szCs w:val="24"/>
                <w:lang w:eastAsia="sk-SK"/>
              </w:rPr>
              <w:t xml:space="preserve"> - </w:t>
            </w:r>
            <w:proofErr w:type="spellStart"/>
            <w:r>
              <w:rPr>
                <w:rFonts w:ascii="Times New Roman" w:eastAsia="Times New Roman" w:hAnsi="Times New Roman" w:cs="Times New Roman"/>
                <w:b/>
                <w:bCs/>
                <w:sz w:val="24"/>
                <w:szCs w:val="24"/>
                <w:lang w:eastAsia="sk-SK"/>
              </w:rPr>
              <w:t>akruál</w:t>
            </w:r>
            <w:proofErr w:type="spellEnd"/>
          </w:p>
        </w:tc>
        <w:tc>
          <w:tcPr>
            <w:tcW w:w="5949" w:type="dxa"/>
            <w:gridSpan w:val="4"/>
            <w:shd w:val="clear" w:color="auto" w:fill="BFBFBF" w:themeFill="background1" w:themeFillShade="BF"/>
            <w:vAlign w:val="center"/>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Vplyv na rozpočet verejnej správy</w:t>
            </w:r>
          </w:p>
        </w:tc>
        <w:tc>
          <w:tcPr>
            <w:tcW w:w="2975" w:type="dxa"/>
            <w:vMerge w:val="restart"/>
            <w:shd w:val="clear" w:color="auto" w:fill="BFBFBF" w:themeFill="background1" w:themeFillShade="BF"/>
            <w:vAlign w:val="center"/>
          </w:tcPr>
          <w:p w:rsidR="00EA543A" w:rsidRPr="008F617E" w:rsidRDefault="00EA543A" w:rsidP="00EA543A">
            <w:pPr>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EA543A" w:rsidTr="00EA543A">
        <w:tc>
          <w:tcPr>
            <w:tcW w:w="4960" w:type="dxa"/>
            <w:vMerge/>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8" w:type="dxa"/>
            <w:shd w:val="clear" w:color="auto" w:fill="BFBFBF" w:themeFill="background1" w:themeFillShade="BF"/>
          </w:tcPr>
          <w:p w:rsidR="00EA543A" w:rsidRPr="007D5748" w:rsidRDefault="00EA543A" w:rsidP="00EA543A">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2019</w:t>
            </w:r>
          </w:p>
        </w:tc>
        <w:tc>
          <w:tcPr>
            <w:tcW w:w="1416" w:type="dxa"/>
            <w:shd w:val="clear" w:color="auto" w:fill="BFBFBF" w:themeFill="background1" w:themeFillShade="BF"/>
          </w:tcPr>
          <w:p w:rsidR="00EA543A" w:rsidRPr="007D5748" w:rsidRDefault="00EA543A" w:rsidP="00EA543A">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2020</w:t>
            </w:r>
          </w:p>
        </w:tc>
        <w:tc>
          <w:tcPr>
            <w:tcW w:w="1559" w:type="dxa"/>
            <w:shd w:val="clear" w:color="auto" w:fill="BFBFBF" w:themeFill="background1" w:themeFillShade="BF"/>
          </w:tcPr>
          <w:p w:rsidR="00EA543A" w:rsidRPr="007D5748" w:rsidRDefault="00EA543A" w:rsidP="00EA543A">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2021</w:t>
            </w:r>
          </w:p>
        </w:tc>
        <w:tc>
          <w:tcPr>
            <w:tcW w:w="1416" w:type="dxa"/>
            <w:shd w:val="clear" w:color="auto" w:fill="BFBFBF" w:themeFill="background1" w:themeFillShade="BF"/>
          </w:tcPr>
          <w:p w:rsidR="00EA543A" w:rsidRPr="007D5748" w:rsidRDefault="00EA543A" w:rsidP="00EA543A">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2975" w:type="dxa"/>
            <w:vMerge/>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60" w:type="dxa"/>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558" w:type="dxa"/>
            <w:vAlign w:val="center"/>
          </w:tcPr>
          <w:p w:rsidR="00EA543A" w:rsidRPr="006F1FD4" w:rsidRDefault="00EA543A" w:rsidP="00EA543A">
            <w:pPr>
              <w:jc w:val="center"/>
              <w:rPr>
                <w:rFonts w:ascii="Times New Roman" w:hAnsi="Times New Roman" w:cs="Times New Roman"/>
                <w:b/>
                <w:bCs/>
                <w:color w:val="000000"/>
              </w:rPr>
            </w:pPr>
            <w:r w:rsidRPr="006F1FD4">
              <w:rPr>
                <w:rFonts w:ascii="Times New Roman" w:hAnsi="Times New Roman" w:cs="Times New Roman"/>
                <w:b/>
                <w:bCs/>
                <w:color w:val="000000"/>
              </w:rPr>
              <w:t>-12 372</w:t>
            </w:r>
          </w:p>
        </w:tc>
        <w:tc>
          <w:tcPr>
            <w:tcW w:w="1416" w:type="dxa"/>
            <w:vAlign w:val="center"/>
          </w:tcPr>
          <w:p w:rsidR="00EA543A" w:rsidRPr="006F1FD4" w:rsidRDefault="00EA543A" w:rsidP="00EA543A">
            <w:pPr>
              <w:jc w:val="center"/>
              <w:rPr>
                <w:rFonts w:ascii="Times New Roman" w:hAnsi="Times New Roman" w:cs="Times New Roman"/>
                <w:b/>
                <w:bCs/>
                <w:color w:val="000000"/>
              </w:rPr>
            </w:pPr>
            <w:r w:rsidRPr="006F1FD4">
              <w:rPr>
                <w:rFonts w:ascii="Times New Roman" w:hAnsi="Times New Roman" w:cs="Times New Roman"/>
                <w:b/>
                <w:bCs/>
                <w:color w:val="000000"/>
              </w:rPr>
              <w:t>-36 264</w:t>
            </w:r>
          </w:p>
        </w:tc>
        <w:tc>
          <w:tcPr>
            <w:tcW w:w="1559" w:type="dxa"/>
            <w:vAlign w:val="center"/>
          </w:tcPr>
          <w:p w:rsidR="00EA543A" w:rsidRPr="006F1FD4" w:rsidRDefault="00EA543A" w:rsidP="00EA543A">
            <w:pPr>
              <w:jc w:val="center"/>
              <w:rPr>
                <w:rFonts w:ascii="Times New Roman" w:hAnsi="Times New Roman" w:cs="Times New Roman"/>
                <w:b/>
                <w:bCs/>
                <w:color w:val="000000"/>
              </w:rPr>
            </w:pPr>
            <w:r w:rsidRPr="006F1FD4">
              <w:rPr>
                <w:rFonts w:ascii="Times New Roman" w:hAnsi="Times New Roman" w:cs="Times New Roman"/>
                <w:b/>
                <w:bCs/>
                <w:color w:val="000000"/>
              </w:rPr>
              <w:t>-40 589</w:t>
            </w:r>
          </w:p>
        </w:tc>
        <w:tc>
          <w:tcPr>
            <w:tcW w:w="1416" w:type="dxa"/>
            <w:vAlign w:val="center"/>
          </w:tcPr>
          <w:p w:rsidR="00EA543A" w:rsidRPr="006F1FD4" w:rsidRDefault="00EA543A" w:rsidP="00EA543A">
            <w:pPr>
              <w:jc w:val="center"/>
              <w:rPr>
                <w:rFonts w:ascii="Times New Roman" w:hAnsi="Times New Roman" w:cs="Times New Roman"/>
                <w:b/>
                <w:bCs/>
                <w:color w:val="000000"/>
              </w:rPr>
            </w:pPr>
            <w:r w:rsidRPr="006F1FD4">
              <w:rPr>
                <w:rFonts w:ascii="Times New Roman" w:hAnsi="Times New Roman" w:cs="Times New Roman"/>
                <w:b/>
                <w:bCs/>
                <w:color w:val="000000"/>
              </w:rPr>
              <w:t>-36 501</w:t>
            </w:r>
          </w:p>
        </w:tc>
        <w:tc>
          <w:tcPr>
            <w:tcW w:w="2975" w:type="dxa"/>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60" w:type="dxa"/>
          </w:tcPr>
          <w:p w:rsidR="00EA543A" w:rsidRDefault="00EA543A" w:rsidP="00EA543A">
            <w:pPr>
              <w:tabs>
                <w:tab w:val="num" w:pos="1080"/>
              </w:tabs>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
                <w:bCs/>
                <w:sz w:val="24"/>
                <w:szCs w:val="24"/>
                <w:lang w:eastAsia="sk-SK"/>
              </w:rPr>
              <w:t>DPFO (111)</w:t>
            </w:r>
          </w:p>
        </w:tc>
        <w:tc>
          <w:tcPr>
            <w:tcW w:w="1558" w:type="dxa"/>
            <w:vAlign w:val="center"/>
          </w:tcPr>
          <w:p w:rsidR="00EA543A" w:rsidRPr="006F1FD4" w:rsidRDefault="00EA543A" w:rsidP="00EA543A">
            <w:pPr>
              <w:jc w:val="center"/>
              <w:rPr>
                <w:rFonts w:ascii="Times New Roman" w:hAnsi="Times New Roman" w:cs="Times New Roman"/>
                <w:b/>
                <w:bCs/>
                <w:color w:val="000000"/>
              </w:rPr>
            </w:pPr>
            <w:r w:rsidRPr="006F1FD4">
              <w:rPr>
                <w:rFonts w:ascii="Times New Roman" w:hAnsi="Times New Roman" w:cs="Times New Roman"/>
                <w:b/>
                <w:bCs/>
                <w:color w:val="000000"/>
              </w:rPr>
              <w:t>0</w:t>
            </w:r>
          </w:p>
        </w:tc>
        <w:tc>
          <w:tcPr>
            <w:tcW w:w="1416" w:type="dxa"/>
            <w:vAlign w:val="center"/>
          </w:tcPr>
          <w:p w:rsidR="00EA543A" w:rsidRPr="006F1FD4" w:rsidRDefault="00EA543A" w:rsidP="00EA543A">
            <w:pPr>
              <w:jc w:val="center"/>
              <w:rPr>
                <w:rFonts w:ascii="Times New Roman" w:hAnsi="Times New Roman" w:cs="Times New Roman"/>
                <w:b/>
                <w:bCs/>
                <w:color w:val="000000"/>
              </w:rPr>
            </w:pPr>
            <w:r w:rsidRPr="006F1FD4">
              <w:rPr>
                <w:rFonts w:ascii="Times New Roman" w:hAnsi="Times New Roman" w:cs="Times New Roman"/>
                <w:b/>
                <w:bCs/>
                <w:color w:val="000000"/>
              </w:rPr>
              <w:t>-3 433</w:t>
            </w:r>
          </w:p>
        </w:tc>
        <w:tc>
          <w:tcPr>
            <w:tcW w:w="1559" w:type="dxa"/>
            <w:vAlign w:val="center"/>
          </w:tcPr>
          <w:p w:rsidR="00EA543A" w:rsidRPr="006F1FD4" w:rsidRDefault="00EA543A" w:rsidP="00EA543A">
            <w:pPr>
              <w:jc w:val="center"/>
              <w:rPr>
                <w:rFonts w:ascii="Times New Roman" w:hAnsi="Times New Roman" w:cs="Times New Roman"/>
                <w:b/>
                <w:bCs/>
                <w:color w:val="000000"/>
              </w:rPr>
            </w:pPr>
            <w:r w:rsidRPr="006F1FD4">
              <w:rPr>
                <w:rFonts w:ascii="Times New Roman" w:hAnsi="Times New Roman" w:cs="Times New Roman"/>
                <w:b/>
                <w:bCs/>
                <w:color w:val="000000"/>
              </w:rPr>
              <w:t>-13 599</w:t>
            </w:r>
          </w:p>
        </w:tc>
        <w:tc>
          <w:tcPr>
            <w:tcW w:w="1416" w:type="dxa"/>
            <w:vAlign w:val="center"/>
          </w:tcPr>
          <w:p w:rsidR="00EA543A" w:rsidRPr="006F1FD4" w:rsidRDefault="00EA543A" w:rsidP="00EA543A">
            <w:pPr>
              <w:jc w:val="center"/>
              <w:rPr>
                <w:rFonts w:ascii="Times New Roman" w:hAnsi="Times New Roman" w:cs="Times New Roman"/>
                <w:b/>
                <w:bCs/>
                <w:color w:val="000000"/>
              </w:rPr>
            </w:pPr>
            <w:r w:rsidRPr="006F1FD4">
              <w:rPr>
                <w:rFonts w:ascii="Times New Roman" w:hAnsi="Times New Roman" w:cs="Times New Roman"/>
                <w:b/>
                <w:bCs/>
                <w:color w:val="000000"/>
              </w:rPr>
              <w:t>-10 299</w:t>
            </w:r>
          </w:p>
        </w:tc>
        <w:tc>
          <w:tcPr>
            <w:tcW w:w="2975" w:type="dxa"/>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60" w:type="dxa"/>
          </w:tcPr>
          <w:p w:rsidR="00EA543A" w:rsidRDefault="00EA543A" w:rsidP="00EA543A">
            <w:pPr>
              <w:tabs>
                <w:tab w:val="num" w:pos="1080"/>
              </w:tabs>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
                <w:bCs/>
                <w:sz w:val="24"/>
                <w:szCs w:val="24"/>
                <w:lang w:eastAsia="sk-SK"/>
              </w:rPr>
              <w:t>DPPO (112)</w:t>
            </w:r>
          </w:p>
        </w:tc>
        <w:tc>
          <w:tcPr>
            <w:tcW w:w="1558" w:type="dxa"/>
            <w:vAlign w:val="center"/>
          </w:tcPr>
          <w:p w:rsidR="00EA543A" w:rsidRPr="006F1FD4" w:rsidRDefault="00EA543A" w:rsidP="00EA543A">
            <w:pPr>
              <w:jc w:val="center"/>
              <w:rPr>
                <w:rFonts w:ascii="Times New Roman" w:hAnsi="Times New Roman" w:cs="Times New Roman"/>
                <w:b/>
                <w:bCs/>
                <w:color w:val="000000"/>
              </w:rPr>
            </w:pPr>
            <w:r w:rsidRPr="006F1FD4">
              <w:rPr>
                <w:rFonts w:ascii="Times New Roman" w:hAnsi="Times New Roman" w:cs="Times New Roman"/>
                <w:b/>
                <w:bCs/>
                <w:color w:val="000000"/>
              </w:rPr>
              <w:t>-12 372</w:t>
            </w:r>
          </w:p>
        </w:tc>
        <w:tc>
          <w:tcPr>
            <w:tcW w:w="1416" w:type="dxa"/>
            <w:vAlign w:val="center"/>
          </w:tcPr>
          <w:p w:rsidR="00EA543A" w:rsidRPr="006F1FD4" w:rsidRDefault="00EA543A" w:rsidP="00EA543A">
            <w:pPr>
              <w:jc w:val="center"/>
              <w:rPr>
                <w:rFonts w:ascii="Times New Roman" w:hAnsi="Times New Roman" w:cs="Times New Roman"/>
                <w:b/>
                <w:bCs/>
                <w:color w:val="000000"/>
              </w:rPr>
            </w:pPr>
            <w:r w:rsidRPr="006F1FD4">
              <w:rPr>
                <w:rFonts w:ascii="Times New Roman" w:hAnsi="Times New Roman" w:cs="Times New Roman"/>
                <w:b/>
                <w:bCs/>
                <w:color w:val="000000"/>
              </w:rPr>
              <w:t>-30 036</w:t>
            </w:r>
          </w:p>
        </w:tc>
        <w:tc>
          <w:tcPr>
            <w:tcW w:w="1559" w:type="dxa"/>
            <w:vAlign w:val="center"/>
          </w:tcPr>
          <w:p w:rsidR="00EA543A" w:rsidRPr="006F1FD4" w:rsidRDefault="00EA543A" w:rsidP="00EA543A">
            <w:pPr>
              <w:jc w:val="center"/>
              <w:rPr>
                <w:rFonts w:ascii="Times New Roman" w:hAnsi="Times New Roman" w:cs="Times New Roman"/>
                <w:b/>
                <w:bCs/>
                <w:color w:val="000000"/>
              </w:rPr>
            </w:pPr>
            <w:r w:rsidRPr="006F1FD4">
              <w:rPr>
                <w:rFonts w:ascii="Times New Roman" w:hAnsi="Times New Roman" w:cs="Times New Roman"/>
                <w:b/>
                <w:bCs/>
                <w:color w:val="000000"/>
              </w:rPr>
              <w:t>-18 602</w:t>
            </w:r>
          </w:p>
        </w:tc>
        <w:tc>
          <w:tcPr>
            <w:tcW w:w="1416" w:type="dxa"/>
            <w:vAlign w:val="center"/>
          </w:tcPr>
          <w:p w:rsidR="00EA543A" w:rsidRPr="006F1FD4" w:rsidRDefault="00EA543A" w:rsidP="00EA543A">
            <w:pPr>
              <w:jc w:val="center"/>
              <w:rPr>
                <w:rFonts w:ascii="Times New Roman" w:hAnsi="Times New Roman" w:cs="Times New Roman"/>
                <w:b/>
                <w:bCs/>
                <w:color w:val="000000"/>
              </w:rPr>
            </w:pPr>
            <w:r w:rsidRPr="006F1FD4">
              <w:rPr>
                <w:rFonts w:ascii="Times New Roman" w:hAnsi="Times New Roman" w:cs="Times New Roman"/>
                <w:b/>
                <w:bCs/>
                <w:color w:val="000000"/>
              </w:rPr>
              <w:t>-17 815</w:t>
            </w:r>
          </w:p>
        </w:tc>
        <w:tc>
          <w:tcPr>
            <w:tcW w:w="2975" w:type="dxa"/>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60" w:type="dxa"/>
          </w:tcPr>
          <w:p w:rsidR="00EA543A" w:rsidRDefault="00EA543A" w:rsidP="00EA543A">
            <w:pP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Sociálne odvody (151, 152, 155, 157 a 158)</w:t>
            </w:r>
          </w:p>
        </w:tc>
        <w:tc>
          <w:tcPr>
            <w:tcW w:w="1558" w:type="dxa"/>
            <w:vAlign w:val="center"/>
          </w:tcPr>
          <w:p w:rsidR="00EA543A" w:rsidRPr="006F1FD4" w:rsidRDefault="00EA543A" w:rsidP="00EA543A">
            <w:pPr>
              <w:jc w:val="center"/>
              <w:rPr>
                <w:rFonts w:ascii="Times New Roman" w:hAnsi="Times New Roman" w:cs="Times New Roman"/>
                <w:b/>
                <w:bCs/>
                <w:color w:val="000000"/>
              </w:rPr>
            </w:pPr>
            <w:r w:rsidRPr="006F1FD4">
              <w:rPr>
                <w:rFonts w:ascii="Times New Roman" w:hAnsi="Times New Roman" w:cs="Times New Roman"/>
                <w:b/>
                <w:bCs/>
                <w:color w:val="000000"/>
              </w:rPr>
              <w:t>0</w:t>
            </w:r>
          </w:p>
        </w:tc>
        <w:tc>
          <w:tcPr>
            <w:tcW w:w="1416" w:type="dxa"/>
            <w:vAlign w:val="center"/>
          </w:tcPr>
          <w:p w:rsidR="00EA543A" w:rsidRPr="006F1FD4" w:rsidRDefault="00EA543A" w:rsidP="00EA543A">
            <w:pPr>
              <w:jc w:val="center"/>
              <w:rPr>
                <w:rFonts w:ascii="Times New Roman" w:hAnsi="Times New Roman" w:cs="Times New Roman"/>
                <w:b/>
                <w:bCs/>
                <w:color w:val="000000"/>
              </w:rPr>
            </w:pPr>
            <w:r w:rsidRPr="006F1FD4">
              <w:rPr>
                <w:rFonts w:ascii="Times New Roman" w:hAnsi="Times New Roman" w:cs="Times New Roman"/>
                <w:b/>
                <w:bCs/>
                <w:color w:val="000000"/>
              </w:rPr>
              <w:t>-1 961</w:t>
            </w:r>
          </w:p>
        </w:tc>
        <w:tc>
          <w:tcPr>
            <w:tcW w:w="1559" w:type="dxa"/>
            <w:vAlign w:val="center"/>
          </w:tcPr>
          <w:p w:rsidR="00EA543A" w:rsidRPr="006F1FD4" w:rsidRDefault="00EA543A" w:rsidP="00EA543A">
            <w:pPr>
              <w:jc w:val="center"/>
              <w:rPr>
                <w:rFonts w:ascii="Times New Roman" w:hAnsi="Times New Roman" w:cs="Times New Roman"/>
                <w:b/>
                <w:bCs/>
                <w:color w:val="000000"/>
              </w:rPr>
            </w:pPr>
            <w:r w:rsidRPr="006F1FD4">
              <w:rPr>
                <w:rFonts w:ascii="Times New Roman" w:hAnsi="Times New Roman" w:cs="Times New Roman"/>
                <w:b/>
                <w:bCs/>
                <w:color w:val="000000"/>
              </w:rPr>
              <w:t>-5 884</w:t>
            </w:r>
          </w:p>
        </w:tc>
        <w:tc>
          <w:tcPr>
            <w:tcW w:w="1416" w:type="dxa"/>
            <w:vAlign w:val="center"/>
          </w:tcPr>
          <w:p w:rsidR="00EA543A" w:rsidRPr="006F1FD4" w:rsidRDefault="00EA543A" w:rsidP="00EA543A">
            <w:pPr>
              <w:jc w:val="center"/>
              <w:rPr>
                <w:rFonts w:ascii="Times New Roman" w:hAnsi="Times New Roman" w:cs="Times New Roman"/>
                <w:b/>
                <w:bCs/>
                <w:color w:val="000000"/>
              </w:rPr>
            </w:pPr>
            <w:r w:rsidRPr="006F1FD4">
              <w:rPr>
                <w:rFonts w:ascii="Times New Roman" w:hAnsi="Times New Roman" w:cs="Times New Roman"/>
                <w:b/>
                <w:bCs/>
                <w:color w:val="000000"/>
              </w:rPr>
              <w:t>-5 884</w:t>
            </w:r>
          </w:p>
        </w:tc>
        <w:tc>
          <w:tcPr>
            <w:tcW w:w="2975" w:type="dxa"/>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60" w:type="dxa"/>
          </w:tcPr>
          <w:p w:rsidR="00EA543A" w:rsidRDefault="00EA543A" w:rsidP="00EA543A">
            <w:pPr>
              <w:tabs>
                <w:tab w:val="num" w:pos="1080"/>
              </w:tabs>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
                <w:bCs/>
                <w:sz w:val="24"/>
                <w:szCs w:val="24"/>
                <w:lang w:eastAsia="sk-SK"/>
              </w:rPr>
              <w:t>Zdravotné odvody (154)</w:t>
            </w:r>
          </w:p>
        </w:tc>
        <w:tc>
          <w:tcPr>
            <w:tcW w:w="1558" w:type="dxa"/>
            <w:vAlign w:val="center"/>
          </w:tcPr>
          <w:p w:rsidR="00EA543A" w:rsidRPr="006F1FD4" w:rsidRDefault="00EA543A" w:rsidP="00EA543A">
            <w:pPr>
              <w:jc w:val="center"/>
              <w:rPr>
                <w:rFonts w:ascii="Times New Roman" w:hAnsi="Times New Roman" w:cs="Times New Roman"/>
                <w:b/>
                <w:bCs/>
                <w:color w:val="000000"/>
              </w:rPr>
            </w:pPr>
            <w:r w:rsidRPr="006F1FD4">
              <w:rPr>
                <w:rFonts w:ascii="Times New Roman" w:hAnsi="Times New Roman" w:cs="Times New Roman"/>
                <w:b/>
                <w:bCs/>
                <w:color w:val="000000"/>
              </w:rPr>
              <w:t>0</w:t>
            </w:r>
          </w:p>
        </w:tc>
        <w:tc>
          <w:tcPr>
            <w:tcW w:w="1416" w:type="dxa"/>
            <w:vAlign w:val="center"/>
          </w:tcPr>
          <w:p w:rsidR="00EA543A" w:rsidRPr="006F1FD4" w:rsidRDefault="00EA543A" w:rsidP="00EA543A">
            <w:pPr>
              <w:jc w:val="center"/>
              <w:rPr>
                <w:rFonts w:ascii="Times New Roman" w:hAnsi="Times New Roman" w:cs="Times New Roman"/>
                <w:b/>
                <w:bCs/>
                <w:color w:val="000000"/>
              </w:rPr>
            </w:pPr>
            <w:r w:rsidRPr="006F1FD4">
              <w:rPr>
                <w:rFonts w:ascii="Times New Roman" w:hAnsi="Times New Roman" w:cs="Times New Roman"/>
                <w:b/>
                <w:bCs/>
                <w:color w:val="000000"/>
              </w:rPr>
              <w:t>-834</w:t>
            </w:r>
          </w:p>
        </w:tc>
        <w:tc>
          <w:tcPr>
            <w:tcW w:w="1559" w:type="dxa"/>
            <w:vAlign w:val="center"/>
          </w:tcPr>
          <w:p w:rsidR="00EA543A" w:rsidRPr="006F1FD4" w:rsidRDefault="00EA543A" w:rsidP="00EA543A">
            <w:pPr>
              <w:jc w:val="center"/>
              <w:rPr>
                <w:rFonts w:ascii="Times New Roman" w:hAnsi="Times New Roman" w:cs="Times New Roman"/>
                <w:b/>
                <w:bCs/>
                <w:color w:val="000000"/>
              </w:rPr>
            </w:pPr>
            <w:r w:rsidRPr="006F1FD4">
              <w:rPr>
                <w:rFonts w:ascii="Times New Roman" w:hAnsi="Times New Roman" w:cs="Times New Roman"/>
                <w:b/>
                <w:bCs/>
                <w:color w:val="000000"/>
              </w:rPr>
              <w:t>-2 504</w:t>
            </w:r>
          </w:p>
        </w:tc>
        <w:tc>
          <w:tcPr>
            <w:tcW w:w="1416" w:type="dxa"/>
            <w:vAlign w:val="center"/>
          </w:tcPr>
          <w:p w:rsidR="00EA543A" w:rsidRPr="006F1FD4" w:rsidRDefault="00EA543A" w:rsidP="00EA543A">
            <w:pPr>
              <w:jc w:val="center"/>
              <w:rPr>
                <w:rFonts w:ascii="Times New Roman" w:hAnsi="Times New Roman" w:cs="Times New Roman"/>
                <w:b/>
                <w:bCs/>
                <w:color w:val="000000"/>
              </w:rPr>
            </w:pPr>
            <w:r w:rsidRPr="006F1FD4">
              <w:rPr>
                <w:rFonts w:ascii="Times New Roman" w:hAnsi="Times New Roman" w:cs="Times New Roman"/>
                <w:b/>
                <w:bCs/>
                <w:color w:val="000000"/>
              </w:rPr>
              <w:t>-2 504</w:t>
            </w:r>
          </w:p>
        </w:tc>
        <w:tc>
          <w:tcPr>
            <w:tcW w:w="2975" w:type="dxa"/>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60" w:type="dxa"/>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p>
        </w:tc>
        <w:tc>
          <w:tcPr>
            <w:tcW w:w="1558" w:type="dxa"/>
            <w:vAlign w:val="center"/>
          </w:tcPr>
          <w:p w:rsidR="00EA543A" w:rsidRPr="006F1FD4" w:rsidRDefault="00EA543A" w:rsidP="00EA543A">
            <w:pPr>
              <w:jc w:val="both"/>
              <w:rPr>
                <w:rFonts w:ascii="Times New Roman" w:hAnsi="Times New Roman" w:cs="Times New Roman"/>
                <w:color w:val="000000"/>
              </w:rPr>
            </w:pPr>
            <w:r w:rsidRPr="006F1FD4">
              <w:rPr>
                <w:rFonts w:ascii="Times New Roman" w:hAnsi="Times New Roman" w:cs="Times New Roman"/>
                <w:color w:val="000000"/>
              </w:rPr>
              <w:t> </w:t>
            </w:r>
          </w:p>
        </w:tc>
        <w:tc>
          <w:tcPr>
            <w:tcW w:w="1416" w:type="dxa"/>
            <w:vAlign w:val="center"/>
          </w:tcPr>
          <w:p w:rsidR="00EA543A" w:rsidRPr="006F1FD4" w:rsidRDefault="00EA543A" w:rsidP="00EA543A">
            <w:pPr>
              <w:jc w:val="both"/>
              <w:rPr>
                <w:rFonts w:ascii="Times New Roman" w:hAnsi="Times New Roman" w:cs="Times New Roman"/>
                <w:color w:val="000000"/>
              </w:rPr>
            </w:pPr>
            <w:r w:rsidRPr="006F1FD4">
              <w:rPr>
                <w:rFonts w:ascii="Times New Roman" w:hAnsi="Times New Roman" w:cs="Times New Roman"/>
                <w:color w:val="000000"/>
              </w:rPr>
              <w:t> </w:t>
            </w:r>
          </w:p>
        </w:tc>
        <w:tc>
          <w:tcPr>
            <w:tcW w:w="1559" w:type="dxa"/>
            <w:vAlign w:val="center"/>
          </w:tcPr>
          <w:p w:rsidR="00EA543A" w:rsidRPr="006F1FD4" w:rsidRDefault="00EA543A" w:rsidP="00EA543A">
            <w:pPr>
              <w:jc w:val="both"/>
              <w:rPr>
                <w:rFonts w:ascii="Times New Roman" w:hAnsi="Times New Roman" w:cs="Times New Roman"/>
                <w:color w:val="000000"/>
              </w:rPr>
            </w:pPr>
            <w:r w:rsidRPr="006F1FD4">
              <w:rPr>
                <w:rFonts w:ascii="Times New Roman" w:hAnsi="Times New Roman" w:cs="Times New Roman"/>
                <w:color w:val="000000"/>
              </w:rPr>
              <w:t> </w:t>
            </w:r>
          </w:p>
        </w:tc>
        <w:tc>
          <w:tcPr>
            <w:tcW w:w="1416" w:type="dxa"/>
            <w:vAlign w:val="center"/>
          </w:tcPr>
          <w:p w:rsidR="00EA543A" w:rsidRPr="006F1FD4" w:rsidRDefault="00EA543A" w:rsidP="00EA543A">
            <w:pPr>
              <w:jc w:val="both"/>
              <w:rPr>
                <w:rFonts w:ascii="Times New Roman" w:hAnsi="Times New Roman" w:cs="Times New Roman"/>
                <w:color w:val="000000"/>
              </w:rPr>
            </w:pPr>
            <w:r w:rsidRPr="006F1FD4">
              <w:rPr>
                <w:rFonts w:ascii="Times New Roman" w:hAnsi="Times New Roman" w:cs="Times New Roman"/>
                <w:color w:val="000000"/>
              </w:rPr>
              <w:t> </w:t>
            </w:r>
          </w:p>
        </w:tc>
        <w:tc>
          <w:tcPr>
            <w:tcW w:w="2975" w:type="dxa"/>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60" w:type="dxa"/>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558" w:type="dxa"/>
            <w:vAlign w:val="center"/>
          </w:tcPr>
          <w:p w:rsidR="00EA543A" w:rsidRPr="006F1FD4" w:rsidRDefault="00EA543A" w:rsidP="00EA543A">
            <w:pPr>
              <w:jc w:val="both"/>
              <w:rPr>
                <w:rFonts w:ascii="Times New Roman" w:hAnsi="Times New Roman" w:cs="Times New Roman"/>
                <w:color w:val="000000"/>
              </w:rPr>
            </w:pPr>
            <w:r w:rsidRPr="006F1FD4">
              <w:rPr>
                <w:rFonts w:ascii="Times New Roman" w:hAnsi="Times New Roman" w:cs="Times New Roman"/>
                <w:color w:val="000000"/>
              </w:rPr>
              <w:t> </w:t>
            </w:r>
          </w:p>
        </w:tc>
        <w:tc>
          <w:tcPr>
            <w:tcW w:w="1416" w:type="dxa"/>
            <w:vAlign w:val="center"/>
          </w:tcPr>
          <w:p w:rsidR="00EA543A" w:rsidRPr="006F1FD4" w:rsidRDefault="00EA543A" w:rsidP="00EA543A">
            <w:pPr>
              <w:jc w:val="both"/>
              <w:rPr>
                <w:rFonts w:ascii="Times New Roman" w:hAnsi="Times New Roman" w:cs="Times New Roman"/>
                <w:color w:val="000000"/>
              </w:rPr>
            </w:pPr>
            <w:r w:rsidRPr="006F1FD4">
              <w:rPr>
                <w:rFonts w:ascii="Times New Roman" w:hAnsi="Times New Roman" w:cs="Times New Roman"/>
                <w:color w:val="000000"/>
              </w:rPr>
              <w:t> </w:t>
            </w:r>
          </w:p>
        </w:tc>
        <w:tc>
          <w:tcPr>
            <w:tcW w:w="1559" w:type="dxa"/>
            <w:vAlign w:val="center"/>
          </w:tcPr>
          <w:p w:rsidR="00EA543A" w:rsidRPr="006F1FD4" w:rsidRDefault="00EA543A" w:rsidP="00EA543A">
            <w:pPr>
              <w:jc w:val="both"/>
              <w:rPr>
                <w:rFonts w:ascii="Times New Roman" w:hAnsi="Times New Roman" w:cs="Times New Roman"/>
                <w:color w:val="000000"/>
              </w:rPr>
            </w:pPr>
            <w:r w:rsidRPr="006F1FD4">
              <w:rPr>
                <w:rFonts w:ascii="Times New Roman" w:hAnsi="Times New Roman" w:cs="Times New Roman"/>
                <w:color w:val="000000"/>
              </w:rPr>
              <w:t> </w:t>
            </w:r>
          </w:p>
        </w:tc>
        <w:tc>
          <w:tcPr>
            <w:tcW w:w="1416" w:type="dxa"/>
            <w:vAlign w:val="center"/>
          </w:tcPr>
          <w:p w:rsidR="00EA543A" w:rsidRPr="006F1FD4" w:rsidRDefault="00EA543A" w:rsidP="00EA543A">
            <w:pPr>
              <w:jc w:val="both"/>
              <w:rPr>
                <w:rFonts w:ascii="Times New Roman" w:hAnsi="Times New Roman" w:cs="Times New Roman"/>
                <w:color w:val="000000"/>
              </w:rPr>
            </w:pPr>
            <w:r w:rsidRPr="006F1FD4">
              <w:rPr>
                <w:rFonts w:ascii="Times New Roman" w:hAnsi="Times New Roman" w:cs="Times New Roman"/>
                <w:color w:val="000000"/>
              </w:rPr>
              <w:t> </w:t>
            </w:r>
          </w:p>
        </w:tc>
        <w:tc>
          <w:tcPr>
            <w:tcW w:w="2975" w:type="dxa"/>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60" w:type="dxa"/>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558" w:type="dxa"/>
            <w:shd w:val="clear" w:color="auto" w:fill="F6F688"/>
            <w:vAlign w:val="center"/>
          </w:tcPr>
          <w:p w:rsidR="00EA543A" w:rsidRPr="006F1FD4" w:rsidRDefault="00EA543A" w:rsidP="00EA543A">
            <w:pPr>
              <w:jc w:val="center"/>
              <w:rPr>
                <w:rFonts w:ascii="Times New Roman" w:hAnsi="Times New Roman" w:cs="Times New Roman"/>
                <w:color w:val="000000"/>
              </w:rPr>
            </w:pPr>
            <w:r w:rsidRPr="006F1FD4">
              <w:rPr>
                <w:rFonts w:ascii="Times New Roman" w:hAnsi="Times New Roman" w:cs="Times New Roman"/>
                <w:color w:val="000000"/>
              </w:rPr>
              <w:t> </w:t>
            </w:r>
          </w:p>
        </w:tc>
        <w:tc>
          <w:tcPr>
            <w:tcW w:w="1416" w:type="dxa"/>
            <w:shd w:val="clear" w:color="auto" w:fill="F6F688"/>
            <w:vAlign w:val="center"/>
          </w:tcPr>
          <w:p w:rsidR="00EA543A" w:rsidRPr="006F1FD4" w:rsidRDefault="00EA543A" w:rsidP="00EA543A">
            <w:pPr>
              <w:jc w:val="both"/>
              <w:rPr>
                <w:rFonts w:ascii="Times New Roman" w:hAnsi="Times New Roman" w:cs="Times New Roman"/>
                <w:color w:val="000000"/>
              </w:rPr>
            </w:pPr>
            <w:r w:rsidRPr="006F1FD4">
              <w:rPr>
                <w:rFonts w:ascii="Times New Roman" w:hAnsi="Times New Roman" w:cs="Times New Roman"/>
                <w:color w:val="000000"/>
              </w:rPr>
              <w:t> </w:t>
            </w:r>
          </w:p>
        </w:tc>
        <w:tc>
          <w:tcPr>
            <w:tcW w:w="1559" w:type="dxa"/>
            <w:shd w:val="clear" w:color="auto" w:fill="F6F688"/>
            <w:vAlign w:val="center"/>
          </w:tcPr>
          <w:p w:rsidR="00EA543A" w:rsidRPr="006F1FD4" w:rsidRDefault="00EA543A" w:rsidP="00EA543A">
            <w:pPr>
              <w:jc w:val="both"/>
              <w:rPr>
                <w:rFonts w:ascii="Times New Roman" w:hAnsi="Times New Roman" w:cs="Times New Roman"/>
                <w:color w:val="000000"/>
              </w:rPr>
            </w:pPr>
            <w:r w:rsidRPr="006F1FD4">
              <w:rPr>
                <w:rFonts w:ascii="Times New Roman" w:hAnsi="Times New Roman" w:cs="Times New Roman"/>
                <w:color w:val="000000"/>
              </w:rPr>
              <w:t> </w:t>
            </w:r>
          </w:p>
        </w:tc>
        <w:tc>
          <w:tcPr>
            <w:tcW w:w="1416" w:type="dxa"/>
            <w:shd w:val="clear" w:color="auto" w:fill="F6F688"/>
            <w:vAlign w:val="center"/>
          </w:tcPr>
          <w:p w:rsidR="00EA543A" w:rsidRPr="006F1FD4" w:rsidRDefault="00EA543A" w:rsidP="00EA543A">
            <w:pPr>
              <w:jc w:val="both"/>
              <w:rPr>
                <w:rFonts w:ascii="Times New Roman" w:hAnsi="Times New Roman" w:cs="Times New Roman"/>
                <w:color w:val="000000"/>
              </w:rPr>
            </w:pPr>
            <w:r w:rsidRPr="006F1FD4">
              <w:rPr>
                <w:rFonts w:ascii="Times New Roman" w:hAnsi="Times New Roman" w:cs="Times New Roman"/>
                <w:color w:val="000000"/>
              </w:rPr>
              <w:t> </w:t>
            </w:r>
          </w:p>
        </w:tc>
        <w:tc>
          <w:tcPr>
            <w:tcW w:w="2975" w:type="dxa"/>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60" w:type="dxa"/>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558" w:type="dxa"/>
            <w:shd w:val="clear" w:color="auto" w:fill="F6F688"/>
            <w:vAlign w:val="center"/>
          </w:tcPr>
          <w:p w:rsidR="00EA543A" w:rsidRPr="006F1FD4" w:rsidRDefault="00EA543A" w:rsidP="00EA543A">
            <w:pPr>
              <w:jc w:val="both"/>
              <w:rPr>
                <w:rFonts w:ascii="Times New Roman" w:hAnsi="Times New Roman" w:cs="Times New Roman"/>
                <w:color w:val="000000"/>
              </w:rPr>
            </w:pPr>
            <w:r w:rsidRPr="006F1FD4">
              <w:rPr>
                <w:rFonts w:ascii="Times New Roman" w:hAnsi="Times New Roman" w:cs="Times New Roman"/>
                <w:color w:val="000000"/>
              </w:rPr>
              <w:t> </w:t>
            </w:r>
          </w:p>
        </w:tc>
        <w:tc>
          <w:tcPr>
            <w:tcW w:w="1416" w:type="dxa"/>
            <w:shd w:val="clear" w:color="auto" w:fill="F6F688"/>
            <w:vAlign w:val="center"/>
          </w:tcPr>
          <w:p w:rsidR="00EA543A" w:rsidRPr="006F1FD4" w:rsidRDefault="00EA543A" w:rsidP="00EA543A">
            <w:pPr>
              <w:jc w:val="both"/>
              <w:rPr>
                <w:rFonts w:ascii="Times New Roman" w:hAnsi="Times New Roman" w:cs="Times New Roman"/>
                <w:color w:val="000000"/>
              </w:rPr>
            </w:pPr>
            <w:r w:rsidRPr="006F1FD4">
              <w:rPr>
                <w:rFonts w:ascii="Times New Roman" w:hAnsi="Times New Roman" w:cs="Times New Roman"/>
                <w:color w:val="000000"/>
              </w:rPr>
              <w:t> </w:t>
            </w:r>
          </w:p>
        </w:tc>
        <w:tc>
          <w:tcPr>
            <w:tcW w:w="1559" w:type="dxa"/>
            <w:shd w:val="clear" w:color="auto" w:fill="F6F688"/>
            <w:vAlign w:val="center"/>
          </w:tcPr>
          <w:p w:rsidR="00EA543A" w:rsidRPr="006F1FD4" w:rsidRDefault="00EA543A" w:rsidP="00EA543A">
            <w:pPr>
              <w:jc w:val="both"/>
              <w:rPr>
                <w:rFonts w:ascii="Times New Roman" w:hAnsi="Times New Roman" w:cs="Times New Roman"/>
                <w:color w:val="000000"/>
              </w:rPr>
            </w:pPr>
            <w:r w:rsidRPr="006F1FD4">
              <w:rPr>
                <w:rFonts w:ascii="Times New Roman" w:hAnsi="Times New Roman" w:cs="Times New Roman"/>
                <w:color w:val="000000"/>
              </w:rPr>
              <w:t> </w:t>
            </w:r>
          </w:p>
        </w:tc>
        <w:tc>
          <w:tcPr>
            <w:tcW w:w="1416" w:type="dxa"/>
            <w:shd w:val="clear" w:color="auto" w:fill="F6F688"/>
            <w:vAlign w:val="center"/>
          </w:tcPr>
          <w:p w:rsidR="00EA543A" w:rsidRPr="006F1FD4" w:rsidRDefault="00EA543A" w:rsidP="00EA543A">
            <w:pPr>
              <w:jc w:val="both"/>
              <w:rPr>
                <w:rFonts w:ascii="Times New Roman" w:hAnsi="Times New Roman" w:cs="Times New Roman"/>
                <w:color w:val="000000"/>
              </w:rPr>
            </w:pPr>
            <w:r w:rsidRPr="006F1FD4">
              <w:rPr>
                <w:rFonts w:ascii="Times New Roman" w:hAnsi="Times New Roman" w:cs="Times New Roman"/>
                <w:color w:val="000000"/>
              </w:rPr>
              <w:t> </w:t>
            </w:r>
          </w:p>
        </w:tc>
        <w:tc>
          <w:tcPr>
            <w:tcW w:w="2975" w:type="dxa"/>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60" w:type="dxa"/>
            <w:shd w:val="clear" w:color="auto" w:fill="BFBFBF" w:themeFill="background1" w:themeFillShade="BF"/>
          </w:tcPr>
          <w:p w:rsidR="00EA543A" w:rsidRPr="007D5748" w:rsidRDefault="00EA543A" w:rsidP="00EA543A">
            <w:pP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558" w:type="dxa"/>
            <w:shd w:val="clear" w:color="auto" w:fill="BFBFBF" w:themeFill="background1" w:themeFillShade="BF"/>
            <w:vAlign w:val="center"/>
          </w:tcPr>
          <w:p w:rsidR="00EA543A" w:rsidRPr="006F1FD4" w:rsidRDefault="00EA543A" w:rsidP="00EA543A">
            <w:pPr>
              <w:jc w:val="center"/>
              <w:rPr>
                <w:rFonts w:ascii="Times New Roman" w:hAnsi="Times New Roman" w:cs="Times New Roman"/>
                <w:b/>
                <w:bCs/>
                <w:color w:val="000000"/>
              </w:rPr>
            </w:pPr>
            <w:r w:rsidRPr="006F1FD4">
              <w:rPr>
                <w:rFonts w:ascii="Times New Roman" w:hAnsi="Times New Roman" w:cs="Times New Roman"/>
                <w:b/>
                <w:bCs/>
                <w:color w:val="000000"/>
              </w:rPr>
              <w:t>-12 372</w:t>
            </w:r>
          </w:p>
        </w:tc>
        <w:tc>
          <w:tcPr>
            <w:tcW w:w="1416" w:type="dxa"/>
            <w:shd w:val="clear" w:color="auto" w:fill="BFBFBF" w:themeFill="background1" w:themeFillShade="BF"/>
            <w:vAlign w:val="center"/>
          </w:tcPr>
          <w:p w:rsidR="00EA543A" w:rsidRPr="006F1FD4" w:rsidRDefault="00EA543A" w:rsidP="00EA543A">
            <w:pPr>
              <w:jc w:val="center"/>
              <w:rPr>
                <w:rFonts w:ascii="Times New Roman" w:hAnsi="Times New Roman" w:cs="Times New Roman"/>
                <w:b/>
                <w:bCs/>
                <w:color w:val="000000"/>
              </w:rPr>
            </w:pPr>
            <w:r w:rsidRPr="006F1FD4">
              <w:rPr>
                <w:rFonts w:ascii="Times New Roman" w:hAnsi="Times New Roman" w:cs="Times New Roman"/>
                <w:b/>
                <w:bCs/>
                <w:color w:val="000000"/>
              </w:rPr>
              <w:t>-36 264</w:t>
            </w:r>
          </w:p>
        </w:tc>
        <w:tc>
          <w:tcPr>
            <w:tcW w:w="1559" w:type="dxa"/>
            <w:shd w:val="clear" w:color="auto" w:fill="BFBFBF" w:themeFill="background1" w:themeFillShade="BF"/>
            <w:vAlign w:val="center"/>
          </w:tcPr>
          <w:p w:rsidR="00EA543A" w:rsidRPr="006F1FD4" w:rsidRDefault="00EA543A" w:rsidP="00EA543A">
            <w:pPr>
              <w:jc w:val="center"/>
              <w:rPr>
                <w:rFonts w:ascii="Times New Roman" w:hAnsi="Times New Roman" w:cs="Times New Roman"/>
                <w:b/>
                <w:bCs/>
                <w:color w:val="000000"/>
              </w:rPr>
            </w:pPr>
            <w:r w:rsidRPr="006F1FD4">
              <w:rPr>
                <w:rFonts w:ascii="Times New Roman" w:hAnsi="Times New Roman" w:cs="Times New Roman"/>
                <w:b/>
                <w:bCs/>
                <w:color w:val="000000"/>
              </w:rPr>
              <w:t>-40 589</w:t>
            </w:r>
          </w:p>
        </w:tc>
        <w:tc>
          <w:tcPr>
            <w:tcW w:w="1416" w:type="dxa"/>
            <w:shd w:val="clear" w:color="auto" w:fill="BFBFBF" w:themeFill="background1" w:themeFillShade="BF"/>
            <w:vAlign w:val="center"/>
          </w:tcPr>
          <w:p w:rsidR="00EA543A" w:rsidRPr="006F1FD4" w:rsidRDefault="00EA543A" w:rsidP="00EA543A">
            <w:pPr>
              <w:jc w:val="center"/>
              <w:rPr>
                <w:rFonts w:ascii="Times New Roman" w:hAnsi="Times New Roman" w:cs="Times New Roman"/>
                <w:b/>
                <w:bCs/>
                <w:color w:val="000000"/>
              </w:rPr>
            </w:pPr>
            <w:r w:rsidRPr="006F1FD4">
              <w:rPr>
                <w:rFonts w:ascii="Times New Roman" w:hAnsi="Times New Roman" w:cs="Times New Roman"/>
                <w:b/>
                <w:bCs/>
                <w:color w:val="000000"/>
              </w:rPr>
              <w:t>-36 501</w:t>
            </w:r>
          </w:p>
        </w:tc>
        <w:tc>
          <w:tcPr>
            <w:tcW w:w="2975" w:type="dxa"/>
            <w:shd w:val="clear" w:color="auto" w:fill="BFBFBF" w:themeFill="background1" w:themeFillShade="BF"/>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bl>
    <w:p w:rsidR="00EA543A" w:rsidRPr="007D5748" w:rsidRDefault="00EA543A" w:rsidP="00EA543A">
      <w:pPr>
        <w:tabs>
          <w:tab w:val="num" w:pos="1080"/>
        </w:tabs>
        <w:spacing w:after="0" w:line="240" w:lineRule="auto"/>
        <w:jc w:val="both"/>
        <w:rPr>
          <w:rFonts w:ascii="Times New Roman" w:eastAsia="Times New Roman" w:hAnsi="Times New Roman" w:cs="Times New Roman"/>
          <w:bCs/>
          <w:sz w:val="24"/>
          <w:szCs w:val="20"/>
          <w:lang w:eastAsia="sk-SK"/>
        </w:rPr>
      </w:pPr>
    </w:p>
    <w:p w:rsidR="00EA543A" w:rsidRPr="00440704" w:rsidRDefault="00EA543A" w:rsidP="00EA543A">
      <w:pPr>
        <w:spacing w:after="0" w:line="240" w:lineRule="auto"/>
        <w:jc w:val="right"/>
        <w:rPr>
          <w:rFonts w:ascii="Times New Roman" w:eastAsia="Times New Roman" w:hAnsi="Times New Roman" w:cs="Times New Roman"/>
          <w:bCs/>
          <w:sz w:val="24"/>
          <w:szCs w:val="24"/>
          <w:lang w:eastAsia="sk-SK"/>
        </w:rPr>
      </w:pP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Pr>
          <w:rFonts w:ascii="Times New Roman" w:eastAsia="Times New Roman" w:hAnsi="Times New Roman" w:cs="Times New Roman"/>
          <w:bCs/>
          <w:sz w:val="20"/>
          <w:szCs w:val="20"/>
          <w:lang w:eastAsia="sk-SK"/>
        </w:rPr>
        <w:tab/>
      </w:r>
      <w:r w:rsidRPr="00440704">
        <w:rPr>
          <w:rFonts w:ascii="Times New Roman" w:eastAsia="Times New Roman" w:hAnsi="Times New Roman" w:cs="Times New Roman"/>
          <w:bCs/>
          <w:sz w:val="24"/>
          <w:szCs w:val="24"/>
          <w:lang w:eastAsia="sk-SK"/>
        </w:rPr>
        <w:t xml:space="preserve">Tabuľka č. 3.1. </w:t>
      </w:r>
    </w:p>
    <w:tbl>
      <w:tblPr>
        <w:tblStyle w:val="Mriekatabuky"/>
        <w:tblW w:w="14029" w:type="dxa"/>
        <w:tblLook w:val="04A0" w:firstRow="1" w:lastRow="0" w:firstColumn="1" w:lastColumn="0" w:noHBand="0" w:noVBand="1"/>
      </w:tblPr>
      <w:tblGrid>
        <w:gridCol w:w="4957"/>
        <w:gridCol w:w="1417"/>
        <w:gridCol w:w="1559"/>
        <w:gridCol w:w="1560"/>
        <w:gridCol w:w="1417"/>
        <w:gridCol w:w="3119"/>
      </w:tblGrid>
      <w:tr w:rsidR="00EA543A" w:rsidTr="00EA543A">
        <w:tc>
          <w:tcPr>
            <w:tcW w:w="4957" w:type="dxa"/>
            <w:vMerge w:val="restart"/>
            <w:shd w:val="clear" w:color="auto" w:fill="BFBFBF" w:themeFill="background1" w:themeFillShade="BF"/>
            <w:vAlign w:val="center"/>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 xml:space="preserve">Príjmy (v </w:t>
            </w:r>
            <w:r>
              <w:rPr>
                <w:rFonts w:ascii="Times New Roman" w:eastAsia="Times New Roman" w:hAnsi="Times New Roman" w:cs="Times New Roman"/>
                <w:b/>
                <w:bCs/>
                <w:sz w:val="24"/>
                <w:szCs w:val="24"/>
                <w:lang w:eastAsia="sk-SK"/>
              </w:rPr>
              <w:t xml:space="preserve">tis. </w:t>
            </w:r>
            <w:r w:rsidRPr="007D5748">
              <w:rPr>
                <w:rFonts w:ascii="Times New Roman" w:eastAsia="Times New Roman" w:hAnsi="Times New Roman" w:cs="Times New Roman"/>
                <w:b/>
                <w:bCs/>
                <w:sz w:val="24"/>
                <w:szCs w:val="24"/>
                <w:lang w:eastAsia="sk-SK"/>
              </w:rPr>
              <w:t>eur)</w:t>
            </w:r>
          </w:p>
        </w:tc>
        <w:tc>
          <w:tcPr>
            <w:tcW w:w="5953" w:type="dxa"/>
            <w:gridSpan w:val="4"/>
            <w:shd w:val="clear" w:color="auto" w:fill="BFBFBF" w:themeFill="background1" w:themeFillShade="BF"/>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Vplyv na rozpočet verejnej správy</w:t>
            </w:r>
          </w:p>
        </w:tc>
        <w:tc>
          <w:tcPr>
            <w:tcW w:w="3119" w:type="dxa"/>
            <w:shd w:val="clear" w:color="auto" w:fill="BFBFBF" w:themeFill="background1" w:themeFillShade="BF"/>
            <w:vAlign w:val="center"/>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poznámka</w:t>
            </w:r>
          </w:p>
        </w:tc>
      </w:tr>
      <w:tr w:rsidR="00EA543A" w:rsidTr="00EA543A">
        <w:tc>
          <w:tcPr>
            <w:tcW w:w="4957" w:type="dxa"/>
            <w:vMerge/>
            <w:shd w:val="clear" w:color="auto" w:fill="BFBFBF" w:themeFill="background1" w:themeFillShade="BF"/>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417" w:type="dxa"/>
            <w:shd w:val="clear" w:color="auto" w:fill="BFBFBF" w:themeFill="background1" w:themeFillShade="BF"/>
          </w:tcPr>
          <w:p w:rsidR="00EA543A" w:rsidRPr="007D5748" w:rsidRDefault="00EA543A" w:rsidP="00EA543A">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2019</w:t>
            </w:r>
          </w:p>
        </w:tc>
        <w:tc>
          <w:tcPr>
            <w:tcW w:w="1559" w:type="dxa"/>
            <w:shd w:val="clear" w:color="auto" w:fill="BFBFBF" w:themeFill="background1" w:themeFillShade="BF"/>
          </w:tcPr>
          <w:p w:rsidR="00EA543A" w:rsidRPr="007D5748" w:rsidRDefault="00EA543A" w:rsidP="00EA543A">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2020</w:t>
            </w:r>
          </w:p>
        </w:tc>
        <w:tc>
          <w:tcPr>
            <w:tcW w:w="1560" w:type="dxa"/>
            <w:shd w:val="clear" w:color="auto" w:fill="BFBFBF" w:themeFill="background1" w:themeFillShade="BF"/>
          </w:tcPr>
          <w:p w:rsidR="00EA543A" w:rsidRPr="007D5748" w:rsidRDefault="00EA543A" w:rsidP="00EA543A">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2021</w:t>
            </w:r>
          </w:p>
        </w:tc>
        <w:tc>
          <w:tcPr>
            <w:tcW w:w="1417" w:type="dxa"/>
            <w:shd w:val="clear" w:color="auto" w:fill="BFBFBF" w:themeFill="background1" w:themeFillShade="BF"/>
          </w:tcPr>
          <w:p w:rsidR="00EA543A" w:rsidRPr="007D5748" w:rsidRDefault="00EA543A" w:rsidP="00EA543A">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3119" w:type="dxa"/>
            <w:shd w:val="clear" w:color="auto" w:fill="BFBFBF" w:themeFill="background1" w:themeFillShade="BF"/>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0</w:t>
            </w:r>
          </w:p>
        </w:tc>
        <w:tc>
          <w:tcPr>
            <w:tcW w:w="1559" w:type="dxa"/>
            <w:shd w:val="clear" w:color="auto" w:fill="FFFFFF" w:themeFill="background1"/>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0</w:t>
            </w:r>
          </w:p>
        </w:tc>
        <w:tc>
          <w:tcPr>
            <w:tcW w:w="1560" w:type="dxa"/>
            <w:shd w:val="clear" w:color="auto" w:fill="FFFFFF" w:themeFill="background1"/>
            <w:vAlign w:val="bottom"/>
          </w:tcPr>
          <w:p w:rsidR="00EA543A" w:rsidRPr="0095034B" w:rsidRDefault="00EA543A" w:rsidP="00EA543A">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-12 458</w:t>
            </w:r>
          </w:p>
        </w:tc>
        <w:tc>
          <w:tcPr>
            <w:tcW w:w="1417" w:type="dxa"/>
            <w:shd w:val="clear" w:color="auto" w:fill="FFFFFF" w:themeFill="background1"/>
            <w:vAlign w:val="bottom"/>
          </w:tcPr>
          <w:p w:rsidR="00EA543A" w:rsidRPr="0095034B" w:rsidRDefault="00EA543A" w:rsidP="00EA543A">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-12 458</w:t>
            </w:r>
          </w:p>
        </w:tc>
        <w:tc>
          <w:tcPr>
            <w:tcW w:w="3119" w:type="dxa"/>
            <w:vMerge w:val="restart"/>
            <w:shd w:val="clear" w:color="auto" w:fill="FFFFFF" w:themeFill="background1"/>
          </w:tcPr>
          <w:p w:rsidR="00EA543A" w:rsidRPr="00604B73" w:rsidRDefault="00EA543A" w:rsidP="00EA543A">
            <w:pPr>
              <w:jc w:val="both"/>
              <w:rPr>
                <w:rFonts w:ascii="Times New Roman" w:eastAsia="Times New Roman" w:hAnsi="Times New Roman" w:cs="Times New Roman"/>
                <w:sz w:val="24"/>
                <w:szCs w:val="24"/>
                <w:lang w:eastAsia="sk-SK"/>
              </w:rPr>
            </w:pPr>
            <w:r w:rsidRPr="00604B73">
              <w:rPr>
                <w:rFonts w:ascii="Times New Roman" w:eastAsia="Times New Roman" w:hAnsi="Times New Roman" w:cs="Times New Roman"/>
                <w:sz w:val="24"/>
                <w:szCs w:val="24"/>
                <w:lang w:eastAsia="sk-SK"/>
              </w:rPr>
              <w:t>Zavedenie paušálu na príspevok zamestnávateľa na dopravu</w:t>
            </w:r>
          </w:p>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
                <w:bCs/>
                <w:sz w:val="24"/>
                <w:szCs w:val="24"/>
                <w:lang w:eastAsia="sk-SK"/>
              </w:rPr>
              <w:t>DPFO (111)</w:t>
            </w:r>
          </w:p>
        </w:tc>
        <w:tc>
          <w:tcPr>
            <w:tcW w:w="1417" w:type="dxa"/>
            <w:shd w:val="clear" w:color="auto" w:fill="FFFFFF" w:themeFill="background1"/>
          </w:tcPr>
          <w:p w:rsidR="00EA543A" w:rsidRPr="000C35A3" w:rsidRDefault="00EA543A" w:rsidP="00EA543A">
            <w:pPr>
              <w:tabs>
                <w:tab w:val="num" w:pos="1080"/>
              </w:tabs>
              <w:jc w:val="center"/>
              <w:rPr>
                <w:rFonts w:ascii="Times New Roman" w:eastAsia="Times New Roman" w:hAnsi="Times New Roman" w:cs="Times New Roman"/>
                <w:bCs/>
                <w:sz w:val="24"/>
                <w:szCs w:val="20"/>
                <w:lang w:eastAsia="sk-SK"/>
              </w:rPr>
            </w:pPr>
            <w:r w:rsidRPr="000C35A3">
              <w:rPr>
                <w:rFonts w:ascii="Times New Roman" w:eastAsia="Times New Roman" w:hAnsi="Times New Roman" w:cs="Times New Roman"/>
                <w:bCs/>
                <w:sz w:val="24"/>
                <w:szCs w:val="24"/>
                <w:lang w:eastAsia="sk-SK"/>
              </w:rPr>
              <w:t>0</w:t>
            </w:r>
          </w:p>
        </w:tc>
        <w:tc>
          <w:tcPr>
            <w:tcW w:w="1559" w:type="dxa"/>
            <w:shd w:val="clear" w:color="auto" w:fill="FFFFFF" w:themeFill="background1"/>
          </w:tcPr>
          <w:p w:rsidR="00EA543A" w:rsidRPr="000C35A3" w:rsidRDefault="00EA543A" w:rsidP="00EA543A">
            <w:pPr>
              <w:tabs>
                <w:tab w:val="num" w:pos="1080"/>
              </w:tabs>
              <w:jc w:val="center"/>
              <w:rPr>
                <w:rFonts w:ascii="Times New Roman" w:eastAsia="Times New Roman" w:hAnsi="Times New Roman" w:cs="Times New Roman"/>
                <w:bCs/>
                <w:sz w:val="24"/>
                <w:szCs w:val="20"/>
                <w:lang w:eastAsia="sk-SK"/>
              </w:rPr>
            </w:pPr>
            <w:r w:rsidRPr="000C35A3">
              <w:rPr>
                <w:rFonts w:ascii="Times New Roman" w:eastAsia="Times New Roman" w:hAnsi="Times New Roman" w:cs="Times New Roman"/>
                <w:bCs/>
                <w:sz w:val="24"/>
                <w:szCs w:val="24"/>
                <w:lang w:eastAsia="sk-SK"/>
              </w:rPr>
              <w:t>0</w:t>
            </w:r>
          </w:p>
        </w:tc>
        <w:tc>
          <w:tcPr>
            <w:tcW w:w="1560" w:type="dxa"/>
            <w:shd w:val="clear" w:color="auto" w:fill="FFFFFF" w:themeFill="background1"/>
            <w:vAlign w:val="bottom"/>
          </w:tcPr>
          <w:p w:rsidR="00EA543A" w:rsidRPr="0095034B" w:rsidRDefault="00EA543A" w:rsidP="00EA543A">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-6 866</w:t>
            </w:r>
          </w:p>
        </w:tc>
        <w:tc>
          <w:tcPr>
            <w:tcW w:w="1417" w:type="dxa"/>
            <w:shd w:val="clear" w:color="auto" w:fill="FFFFFF" w:themeFill="background1"/>
            <w:vAlign w:val="bottom"/>
          </w:tcPr>
          <w:p w:rsidR="00EA543A" w:rsidRPr="0095034B" w:rsidRDefault="00EA543A" w:rsidP="00EA543A">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-6 866</w:t>
            </w:r>
          </w:p>
        </w:tc>
        <w:tc>
          <w:tcPr>
            <w:tcW w:w="3119"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Sociálne odvody (151, 152, 155, 157 a 158)</w:t>
            </w:r>
          </w:p>
        </w:tc>
        <w:tc>
          <w:tcPr>
            <w:tcW w:w="1417" w:type="dxa"/>
            <w:shd w:val="clear" w:color="auto" w:fill="FFFFFF" w:themeFill="background1"/>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0</w:t>
            </w:r>
          </w:p>
        </w:tc>
        <w:tc>
          <w:tcPr>
            <w:tcW w:w="1559" w:type="dxa"/>
            <w:shd w:val="clear" w:color="auto" w:fill="FFFFFF" w:themeFill="background1"/>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0</w:t>
            </w:r>
          </w:p>
        </w:tc>
        <w:tc>
          <w:tcPr>
            <w:tcW w:w="1560" w:type="dxa"/>
            <w:shd w:val="clear" w:color="auto" w:fill="FFFFFF" w:themeFill="background1"/>
            <w:vAlign w:val="bottom"/>
          </w:tcPr>
          <w:p w:rsidR="00EA543A" w:rsidRPr="0095034B" w:rsidRDefault="00EA543A" w:rsidP="00EA543A">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-3 923</w:t>
            </w:r>
          </w:p>
        </w:tc>
        <w:tc>
          <w:tcPr>
            <w:tcW w:w="1417" w:type="dxa"/>
            <w:shd w:val="clear" w:color="auto" w:fill="FFFFFF" w:themeFill="background1"/>
            <w:vAlign w:val="bottom"/>
          </w:tcPr>
          <w:p w:rsidR="00EA543A" w:rsidRPr="0095034B" w:rsidRDefault="00EA543A" w:rsidP="00EA543A">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-3 923</w:t>
            </w:r>
          </w:p>
        </w:tc>
        <w:tc>
          <w:tcPr>
            <w:tcW w:w="3119"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
                <w:bCs/>
                <w:sz w:val="24"/>
                <w:szCs w:val="24"/>
                <w:lang w:eastAsia="sk-SK"/>
              </w:rPr>
              <w:t>Zdravotné odvody (154)</w:t>
            </w:r>
          </w:p>
        </w:tc>
        <w:tc>
          <w:tcPr>
            <w:tcW w:w="1417" w:type="dxa"/>
            <w:shd w:val="clear" w:color="auto" w:fill="FFFFFF" w:themeFill="background1"/>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0</w:t>
            </w:r>
          </w:p>
        </w:tc>
        <w:tc>
          <w:tcPr>
            <w:tcW w:w="1559" w:type="dxa"/>
            <w:shd w:val="clear" w:color="auto" w:fill="FFFFFF" w:themeFill="background1"/>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0</w:t>
            </w:r>
          </w:p>
        </w:tc>
        <w:tc>
          <w:tcPr>
            <w:tcW w:w="1560" w:type="dxa"/>
            <w:shd w:val="clear" w:color="auto" w:fill="FFFFFF" w:themeFill="background1"/>
            <w:vAlign w:val="bottom"/>
          </w:tcPr>
          <w:p w:rsidR="00EA543A" w:rsidRPr="0095034B" w:rsidRDefault="00EA543A" w:rsidP="00EA543A">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-1 669</w:t>
            </w:r>
          </w:p>
        </w:tc>
        <w:tc>
          <w:tcPr>
            <w:tcW w:w="1417" w:type="dxa"/>
            <w:shd w:val="clear" w:color="auto" w:fill="FFFFFF" w:themeFill="background1"/>
            <w:vAlign w:val="bottom"/>
          </w:tcPr>
          <w:p w:rsidR="00EA543A" w:rsidRPr="0095034B" w:rsidRDefault="00EA543A" w:rsidP="00EA543A">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-1 669</w:t>
            </w:r>
          </w:p>
        </w:tc>
        <w:tc>
          <w:tcPr>
            <w:tcW w:w="3119"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EA543A" w:rsidRDefault="00EA543A" w:rsidP="00EA543A">
            <w:pPr>
              <w:tabs>
                <w:tab w:val="num" w:pos="1080"/>
              </w:tabs>
              <w:jc w:val="center"/>
              <w:rPr>
                <w:rFonts w:ascii="Times New Roman" w:eastAsia="Times New Roman" w:hAnsi="Times New Roman" w:cs="Times New Roman"/>
                <w:bCs/>
                <w:sz w:val="24"/>
                <w:szCs w:val="20"/>
                <w:lang w:eastAsia="sk-SK"/>
              </w:rPr>
            </w:pPr>
          </w:p>
        </w:tc>
        <w:tc>
          <w:tcPr>
            <w:tcW w:w="1559" w:type="dxa"/>
            <w:shd w:val="clear" w:color="auto" w:fill="FFFFFF" w:themeFill="background1"/>
          </w:tcPr>
          <w:p w:rsidR="00EA543A" w:rsidRDefault="00EA543A" w:rsidP="00EA543A">
            <w:pPr>
              <w:tabs>
                <w:tab w:val="num" w:pos="1080"/>
              </w:tabs>
              <w:jc w:val="center"/>
              <w:rPr>
                <w:rFonts w:ascii="Times New Roman" w:eastAsia="Times New Roman" w:hAnsi="Times New Roman" w:cs="Times New Roman"/>
                <w:bCs/>
                <w:sz w:val="24"/>
                <w:szCs w:val="20"/>
                <w:lang w:eastAsia="sk-SK"/>
              </w:rPr>
            </w:pPr>
          </w:p>
        </w:tc>
        <w:tc>
          <w:tcPr>
            <w:tcW w:w="1560" w:type="dxa"/>
            <w:shd w:val="clear" w:color="auto" w:fill="FFFFFF" w:themeFill="background1"/>
          </w:tcPr>
          <w:p w:rsidR="00EA543A" w:rsidRPr="0095034B" w:rsidRDefault="00EA543A" w:rsidP="00EA543A">
            <w:pPr>
              <w:tabs>
                <w:tab w:val="num" w:pos="1080"/>
              </w:tabs>
              <w:jc w:val="center"/>
              <w:rPr>
                <w:rFonts w:ascii="Times New Roman" w:eastAsia="Times New Roman" w:hAnsi="Times New Roman" w:cs="Times New Roman"/>
                <w:b/>
                <w:bCs/>
                <w:sz w:val="24"/>
                <w:szCs w:val="20"/>
                <w:lang w:eastAsia="sk-SK"/>
              </w:rPr>
            </w:pPr>
          </w:p>
        </w:tc>
        <w:tc>
          <w:tcPr>
            <w:tcW w:w="1417" w:type="dxa"/>
            <w:shd w:val="clear" w:color="auto" w:fill="FFFFFF" w:themeFill="background1"/>
          </w:tcPr>
          <w:p w:rsidR="00EA543A" w:rsidRPr="0095034B" w:rsidRDefault="00EA543A" w:rsidP="00EA543A">
            <w:pPr>
              <w:tabs>
                <w:tab w:val="num" w:pos="1080"/>
              </w:tabs>
              <w:jc w:val="center"/>
              <w:rPr>
                <w:rFonts w:ascii="Times New Roman" w:eastAsia="Times New Roman" w:hAnsi="Times New Roman" w:cs="Times New Roman"/>
                <w:b/>
                <w:bCs/>
                <w:sz w:val="24"/>
                <w:szCs w:val="20"/>
                <w:lang w:eastAsia="sk-SK"/>
              </w:rPr>
            </w:pPr>
          </w:p>
        </w:tc>
        <w:tc>
          <w:tcPr>
            <w:tcW w:w="3119"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EA543A" w:rsidRDefault="00EA543A" w:rsidP="00EA543A">
            <w:pPr>
              <w:tabs>
                <w:tab w:val="num" w:pos="1080"/>
              </w:tabs>
              <w:jc w:val="center"/>
              <w:rPr>
                <w:rFonts w:ascii="Times New Roman" w:eastAsia="Times New Roman" w:hAnsi="Times New Roman" w:cs="Times New Roman"/>
                <w:bCs/>
                <w:sz w:val="24"/>
                <w:szCs w:val="20"/>
                <w:lang w:eastAsia="sk-SK"/>
              </w:rPr>
            </w:pPr>
          </w:p>
        </w:tc>
        <w:tc>
          <w:tcPr>
            <w:tcW w:w="1559" w:type="dxa"/>
            <w:shd w:val="clear" w:color="auto" w:fill="FFFFFF" w:themeFill="background1"/>
          </w:tcPr>
          <w:p w:rsidR="00EA543A" w:rsidRDefault="00EA543A" w:rsidP="00EA543A">
            <w:pPr>
              <w:tabs>
                <w:tab w:val="num" w:pos="1080"/>
              </w:tabs>
              <w:jc w:val="center"/>
              <w:rPr>
                <w:rFonts w:ascii="Times New Roman" w:eastAsia="Times New Roman" w:hAnsi="Times New Roman" w:cs="Times New Roman"/>
                <w:bCs/>
                <w:sz w:val="24"/>
                <w:szCs w:val="20"/>
                <w:lang w:eastAsia="sk-SK"/>
              </w:rPr>
            </w:pPr>
          </w:p>
        </w:tc>
        <w:tc>
          <w:tcPr>
            <w:tcW w:w="1560" w:type="dxa"/>
            <w:shd w:val="clear" w:color="auto" w:fill="FFFFFF" w:themeFill="background1"/>
          </w:tcPr>
          <w:p w:rsidR="00EA543A" w:rsidRPr="0095034B" w:rsidRDefault="00EA543A" w:rsidP="00EA543A">
            <w:pPr>
              <w:tabs>
                <w:tab w:val="num" w:pos="1080"/>
              </w:tabs>
              <w:jc w:val="center"/>
              <w:rPr>
                <w:rFonts w:ascii="Times New Roman" w:eastAsia="Times New Roman" w:hAnsi="Times New Roman" w:cs="Times New Roman"/>
                <w:b/>
                <w:bCs/>
                <w:sz w:val="24"/>
                <w:szCs w:val="20"/>
                <w:lang w:eastAsia="sk-SK"/>
              </w:rPr>
            </w:pPr>
          </w:p>
        </w:tc>
        <w:tc>
          <w:tcPr>
            <w:tcW w:w="1417" w:type="dxa"/>
            <w:shd w:val="clear" w:color="auto" w:fill="FFFFFF" w:themeFill="background1"/>
          </w:tcPr>
          <w:p w:rsidR="00EA543A" w:rsidRPr="0095034B" w:rsidRDefault="00EA543A" w:rsidP="00EA543A">
            <w:pPr>
              <w:tabs>
                <w:tab w:val="num" w:pos="1080"/>
              </w:tabs>
              <w:jc w:val="center"/>
              <w:rPr>
                <w:rFonts w:ascii="Times New Roman" w:eastAsia="Times New Roman" w:hAnsi="Times New Roman" w:cs="Times New Roman"/>
                <w:b/>
                <w:bCs/>
                <w:sz w:val="24"/>
                <w:szCs w:val="20"/>
                <w:lang w:eastAsia="sk-SK"/>
              </w:rPr>
            </w:pPr>
          </w:p>
        </w:tc>
        <w:tc>
          <w:tcPr>
            <w:tcW w:w="3119"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417" w:type="dxa"/>
            <w:shd w:val="clear" w:color="auto" w:fill="FFFF99"/>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 </w:t>
            </w:r>
          </w:p>
        </w:tc>
        <w:tc>
          <w:tcPr>
            <w:tcW w:w="1559" w:type="dxa"/>
            <w:shd w:val="clear" w:color="auto" w:fill="FFFF99"/>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 </w:t>
            </w:r>
          </w:p>
        </w:tc>
        <w:tc>
          <w:tcPr>
            <w:tcW w:w="1560" w:type="dxa"/>
            <w:shd w:val="clear" w:color="auto" w:fill="FFFF99"/>
          </w:tcPr>
          <w:p w:rsidR="00EA543A" w:rsidRPr="0095034B" w:rsidRDefault="00EA543A" w:rsidP="00EA543A">
            <w:pPr>
              <w:tabs>
                <w:tab w:val="num" w:pos="1080"/>
              </w:tabs>
              <w:jc w:val="center"/>
              <w:rPr>
                <w:rFonts w:ascii="Times New Roman" w:eastAsia="Times New Roman" w:hAnsi="Times New Roman" w:cs="Times New Roman"/>
                <w:b/>
                <w:bCs/>
                <w:sz w:val="24"/>
                <w:szCs w:val="20"/>
                <w:lang w:eastAsia="sk-SK"/>
              </w:rPr>
            </w:pPr>
          </w:p>
        </w:tc>
        <w:tc>
          <w:tcPr>
            <w:tcW w:w="1417" w:type="dxa"/>
            <w:shd w:val="clear" w:color="auto" w:fill="FFFF99"/>
          </w:tcPr>
          <w:p w:rsidR="00EA543A" w:rsidRPr="0095034B" w:rsidRDefault="00EA543A" w:rsidP="00EA543A">
            <w:pPr>
              <w:tabs>
                <w:tab w:val="num" w:pos="1080"/>
              </w:tabs>
              <w:jc w:val="center"/>
              <w:rPr>
                <w:rFonts w:ascii="Times New Roman" w:eastAsia="Times New Roman" w:hAnsi="Times New Roman" w:cs="Times New Roman"/>
                <w:b/>
                <w:bCs/>
                <w:sz w:val="24"/>
                <w:szCs w:val="20"/>
                <w:lang w:eastAsia="sk-SK"/>
              </w:rPr>
            </w:pPr>
          </w:p>
        </w:tc>
        <w:tc>
          <w:tcPr>
            <w:tcW w:w="3119"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417"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 </w:t>
            </w:r>
          </w:p>
        </w:tc>
        <w:tc>
          <w:tcPr>
            <w:tcW w:w="1559"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 </w:t>
            </w:r>
          </w:p>
        </w:tc>
        <w:tc>
          <w:tcPr>
            <w:tcW w:w="1560" w:type="dxa"/>
            <w:shd w:val="clear" w:color="auto" w:fill="FFFF99"/>
          </w:tcPr>
          <w:p w:rsidR="00EA543A" w:rsidRPr="0095034B" w:rsidRDefault="00EA543A" w:rsidP="00EA543A">
            <w:pPr>
              <w:tabs>
                <w:tab w:val="num" w:pos="1080"/>
              </w:tabs>
              <w:jc w:val="both"/>
              <w:rPr>
                <w:rFonts w:ascii="Times New Roman" w:eastAsia="Times New Roman" w:hAnsi="Times New Roman" w:cs="Times New Roman"/>
                <w:b/>
                <w:bCs/>
                <w:sz w:val="24"/>
                <w:szCs w:val="20"/>
                <w:lang w:eastAsia="sk-SK"/>
              </w:rPr>
            </w:pPr>
          </w:p>
        </w:tc>
        <w:tc>
          <w:tcPr>
            <w:tcW w:w="1417" w:type="dxa"/>
            <w:shd w:val="clear" w:color="auto" w:fill="FFFF99"/>
          </w:tcPr>
          <w:p w:rsidR="00EA543A" w:rsidRPr="0095034B" w:rsidRDefault="00EA543A" w:rsidP="00EA543A">
            <w:pPr>
              <w:tabs>
                <w:tab w:val="num" w:pos="1080"/>
              </w:tabs>
              <w:jc w:val="both"/>
              <w:rPr>
                <w:rFonts w:ascii="Times New Roman" w:eastAsia="Times New Roman" w:hAnsi="Times New Roman" w:cs="Times New Roman"/>
                <w:b/>
                <w:bCs/>
                <w:sz w:val="24"/>
                <w:szCs w:val="20"/>
                <w:lang w:eastAsia="sk-SK"/>
              </w:rPr>
            </w:pPr>
          </w:p>
        </w:tc>
        <w:tc>
          <w:tcPr>
            <w:tcW w:w="3119"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BFBFBF" w:themeFill="background1" w:themeFillShade="BF"/>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417" w:type="dxa"/>
            <w:shd w:val="clear" w:color="auto" w:fill="BFBFBF" w:themeFill="background1" w:themeFillShade="BF"/>
          </w:tcPr>
          <w:p w:rsidR="00EA543A" w:rsidRPr="000C35A3" w:rsidRDefault="00EA543A" w:rsidP="00EA543A">
            <w:pPr>
              <w:tabs>
                <w:tab w:val="num" w:pos="1080"/>
              </w:tabs>
              <w:jc w:val="center"/>
              <w:rPr>
                <w:rFonts w:ascii="Times New Roman" w:eastAsia="Times New Roman" w:hAnsi="Times New Roman" w:cs="Times New Roman"/>
                <w:bCs/>
                <w:sz w:val="24"/>
                <w:szCs w:val="20"/>
                <w:lang w:eastAsia="sk-SK"/>
              </w:rPr>
            </w:pPr>
            <w:r w:rsidRPr="000C35A3">
              <w:rPr>
                <w:rFonts w:ascii="Times New Roman" w:eastAsia="Times New Roman" w:hAnsi="Times New Roman" w:cs="Times New Roman"/>
                <w:bCs/>
                <w:sz w:val="24"/>
                <w:szCs w:val="24"/>
                <w:lang w:eastAsia="sk-SK"/>
              </w:rPr>
              <w:t>0</w:t>
            </w:r>
          </w:p>
        </w:tc>
        <w:tc>
          <w:tcPr>
            <w:tcW w:w="1559" w:type="dxa"/>
            <w:shd w:val="clear" w:color="auto" w:fill="BFBFBF" w:themeFill="background1" w:themeFillShade="BF"/>
          </w:tcPr>
          <w:p w:rsidR="00EA543A" w:rsidRPr="000C35A3" w:rsidRDefault="00EA543A" w:rsidP="00EA543A">
            <w:pPr>
              <w:tabs>
                <w:tab w:val="num" w:pos="1080"/>
              </w:tabs>
              <w:jc w:val="center"/>
              <w:rPr>
                <w:rFonts w:ascii="Times New Roman" w:eastAsia="Times New Roman" w:hAnsi="Times New Roman" w:cs="Times New Roman"/>
                <w:bCs/>
                <w:sz w:val="24"/>
                <w:szCs w:val="20"/>
                <w:lang w:eastAsia="sk-SK"/>
              </w:rPr>
            </w:pPr>
            <w:r w:rsidRPr="000C35A3">
              <w:rPr>
                <w:rFonts w:ascii="Times New Roman" w:eastAsia="Times New Roman" w:hAnsi="Times New Roman" w:cs="Times New Roman"/>
                <w:bCs/>
                <w:sz w:val="24"/>
                <w:szCs w:val="24"/>
                <w:lang w:eastAsia="sk-SK"/>
              </w:rPr>
              <w:t>0</w:t>
            </w:r>
          </w:p>
        </w:tc>
        <w:tc>
          <w:tcPr>
            <w:tcW w:w="1560" w:type="dxa"/>
            <w:shd w:val="clear" w:color="auto" w:fill="BFBFBF" w:themeFill="background1" w:themeFillShade="BF"/>
            <w:vAlign w:val="bottom"/>
          </w:tcPr>
          <w:p w:rsidR="00EA543A" w:rsidRPr="0095034B" w:rsidRDefault="00EA543A" w:rsidP="00EA543A">
            <w:pPr>
              <w:tabs>
                <w:tab w:val="num" w:pos="1080"/>
              </w:tabs>
              <w:jc w:val="center"/>
              <w:rPr>
                <w:rFonts w:ascii="Times New Roman" w:eastAsia="Times New Roman" w:hAnsi="Times New Roman" w:cs="Times New Roman"/>
                <w:b/>
                <w:bCs/>
                <w:sz w:val="24"/>
                <w:szCs w:val="24"/>
                <w:lang w:eastAsia="sk-SK"/>
              </w:rPr>
            </w:pPr>
            <w:r w:rsidRPr="0095034B">
              <w:rPr>
                <w:rFonts w:ascii="Times New Roman" w:eastAsia="Times New Roman" w:hAnsi="Times New Roman" w:cs="Times New Roman"/>
                <w:b/>
                <w:bCs/>
                <w:sz w:val="24"/>
                <w:szCs w:val="24"/>
                <w:lang w:eastAsia="sk-SK"/>
              </w:rPr>
              <w:t>-12 458</w:t>
            </w:r>
          </w:p>
        </w:tc>
        <w:tc>
          <w:tcPr>
            <w:tcW w:w="1417" w:type="dxa"/>
            <w:shd w:val="clear" w:color="auto" w:fill="BFBFBF" w:themeFill="background1" w:themeFillShade="BF"/>
            <w:vAlign w:val="bottom"/>
          </w:tcPr>
          <w:p w:rsidR="00EA543A" w:rsidRPr="0095034B" w:rsidRDefault="00EA543A" w:rsidP="00EA543A">
            <w:pPr>
              <w:tabs>
                <w:tab w:val="num" w:pos="1080"/>
              </w:tabs>
              <w:jc w:val="center"/>
              <w:rPr>
                <w:rFonts w:ascii="Times New Roman" w:eastAsia="Times New Roman" w:hAnsi="Times New Roman" w:cs="Times New Roman"/>
                <w:b/>
                <w:bCs/>
                <w:sz w:val="24"/>
                <w:szCs w:val="24"/>
                <w:lang w:eastAsia="sk-SK"/>
              </w:rPr>
            </w:pPr>
            <w:r w:rsidRPr="0095034B">
              <w:rPr>
                <w:rFonts w:ascii="Times New Roman" w:eastAsia="Times New Roman" w:hAnsi="Times New Roman" w:cs="Times New Roman"/>
                <w:b/>
                <w:bCs/>
                <w:sz w:val="24"/>
                <w:szCs w:val="24"/>
                <w:lang w:eastAsia="sk-SK"/>
              </w:rPr>
              <w:t>-12 458</w:t>
            </w:r>
          </w:p>
        </w:tc>
        <w:tc>
          <w:tcPr>
            <w:tcW w:w="3119" w:type="dxa"/>
            <w:shd w:val="clear" w:color="auto" w:fill="BFBFBF" w:themeFill="background1" w:themeFillShade="BF"/>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bl>
    <w:p w:rsidR="00EA543A" w:rsidRDefault="00EA543A" w:rsidP="00EA543A">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EA543A" w:rsidRPr="007D5748" w:rsidRDefault="00EA543A" w:rsidP="00EA543A">
      <w:pPr>
        <w:tabs>
          <w:tab w:val="num" w:pos="1080"/>
        </w:tabs>
        <w:spacing w:after="0" w:line="240" w:lineRule="auto"/>
        <w:ind w:right="110"/>
        <w:jc w:val="right"/>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Tabuľka č. 3.2.</w:t>
      </w:r>
    </w:p>
    <w:tbl>
      <w:tblPr>
        <w:tblStyle w:val="Mriekatabuky"/>
        <w:tblW w:w="14029" w:type="dxa"/>
        <w:tblLook w:val="04A0" w:firstRow="1" w:lastRow="0" w:firstColumn="1" w:lastColumn="0" w:noHBand="0" w:noVBand="1"/>
      </w:tblPr>
      <w:tblGrid>
        <w:gridCol w:w="4957"/>
        <w:gridCol w:w="1417"/>
        <w:gridCol w:w="1559"/>
        <w:gridCol w:w="1560"/>
        <w:gridCol w:w="1417"/>
        <w:gridCol w:w="3119"/>
      </w:tblGrid>
      <w:tr w:rsidR="00EA543A" w:rsidTr="00EA543A">
        <w:tc>
          <w:tcPr>
            <w:tcW w:w="4957" w:type="dxa"/>
            <w:vMerge w:val="restart"/>
            <w:shd w:val="clear" w:color="auto" w:fill="BFBFBF" w:themeFill="background1" w:themeFillShade="BF"/>
            <w:vAlign w:val="center"/>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 xml:space="preserve">Príjmy (v </w:t>
            </w:r>
            <w:r>
              <w:rPr>
                <w:rFonts w:ascii="Times New Roman" w:eastAsia="Times New Roman" w:hAnsi="Times New Roman" w:cs="Times New Roman"/>
                <w:b/>
                <w:bCs/>
                <w:sz w:val="24"/>
                <w:szCs w:val="24"/>
                <w:lang w:eastAsia="sk-SK"/>
              </w:rPr>
              <w:t xml:space="preserve">tis. </w:t>
            </w:r>
            <w:r w:rsidRPr="007D5748">
              <w:rPr>
                <w:rFonts w:ascii="Times New Roman" w:eastAsia="Times New Roman" w:hAnsi="Times New Roman" w:cs="Times New Roman"/>
                <w:b/>
                <w:bCs/>
                <w:sz w:val="24"/>
                <w:szCs w:val="24"/>
                <w:lang w:eastAsia="sk-SK"/>
              </w:rPr>
              <w:t>eur)</w:t>
            </w:r>
          </w:p>
        </w:tc>
        <w:tc>
          <w:tcPr>
            <w:tcW w:w="5953" w:type="dxa"/>
            <w:gridSpan w:val="4"/>
            <w:shd w:val="clear" w:color="auto" w:fill="BFBFBF" w:themeFill="background1" w:themeFillShade="BF"/>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Vplyv na rozpočet verejnej správy</w:t>
            </w:r>
          </w:p>
        </w:tc>
        <w:tc>
          <w:tcPr>
            <w:tcW w:w="3119" w:type="dxa"/>
            <w:shd w:val="clear" w:color="auto" w:fill="BFBFBF" w:themeFill="background1" w:themeFillShade="BF"/>
            <w:vAlign w:val="center"/>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poznámka</w:t>
            </w:r>
          </w:p>
        </w:tc>
      </w:tr>
      <w:tr w:rsidR="00EA543A" w:rsidTr="00EA543A">
        <w:tc>
          <w:tcPr>
            <w:tcW w:w="4957" w:type="dxa"/>
            <w:vMerge/>
            <w:shd w:val="clear" w:color="auto" w:fill="BFBFBF" w:themeFill="background1" w:themeFillShade="BF"/>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417" w:type="dxa"/>
            <w:shd w:val="clear" w:color="auto" w:fill="BFBFBF" w:themeFill="background1" w:themeFillShade="BF"/>
          </w:tcPr>
          <w:p w:rsidR="00EA543A" w:rsidRPr="007D5748" w:rsidRDefault="00EA543A" w:rsidP="00EA543A">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2019</w:t>
            </w:r>
          </w:p>
        </w:tc>
        <w:tc>
          <w:tcPr>
            <w:tcW w:w="1559" w:type="dxa"/>
            <w:shd w:val="clear" w:color="auto" w:fill="BFBFBF" w:themeFill="background1" w:themeFillShade="BF"/>
          </w:tcPr>
          <w:p w:rsidR="00EA543A" w:rsidRPr="007D5748" w:rsidRDefault="00EA543A" w:rsidP="00EA543A">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2020</w:t>
            </w:r>
          </w:p>
        </w:tc>
        <w:tc>
          <w:tcPr>
            <w:tcW w:w="1560" w:type="dxa"/>
            <w:shd w:val="clear" w:color="auto" w:fill="BFBFBF" w:themeFill="background1" w:themeFillShade="BF"/>
          </w:tcPr>
          <w:p w:rsidR="00EA543A" w:rsidRPr="007D5748" w:rsidRDefault="00EA543A" w:rsidP="00EA543A">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2021</w:t>
            </w:r>
          </w:p>
        </w:tc>
        <w:tc>
          <w:tcPr>
            <w:tcW w:w="1417" w:type="dxa"/>
            <w:shd w:val="clear" w:color="auto" w:fill="BFBFBF" w:themeFill="background1" w:themeFillShade="BF"/>
          </w:tcPr>
          <w:p w:rsidR="00EA543A" w:rsidRPr="007D5748" w:rsidRDefault="00EA543A" w:rsidP="00EA543A">
            <w:pPr>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3119" w:type="dxa"/>
            <w:shd w:val="clear" w:color="auto" w:fill="BFBFBF" w:themeFill="background1" w:themeFillShade="BF"/>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0</w:t>
            </w:r>
          </w:p>
        </w:tc>
        <w:tc>
          <w:tcPr>
            <w:tcW w:w="1559" w:type="dxa"/>
            <w:shd w:val="clear" w:color="auto" w:fill="FFFFFF" w:themeFill="background1"/>
            <w:vAlign w:val="bottom"/>
          </w:tcPr>
          <w:p w:rsidR="00EA543A" w:rsidRPr="0095034B" w:rsidRDefault="00EA543A" w:rsidP="00EA543A">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-6 228</w:t>
            </w:r>
          </w:p>
        </w:tc>
        <w:tc>
          <w:tcPr>
            <w:tcW w:w="1560" w:type="dxa"/>
            <w:shd w:val="clear" w:color="auto" w:fill="FFFFFF" w:themeFill="background1"/>
            <w:vAlign w:val="bottom"/>
          </w:tcPr>
          <w:p w:rsidR="00EA543A" w:rsidRPr="0095034B" w:rsidRDefault="00EA543A" w:rsidP="00EA543A">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-6 228</w:t>
            </w:r>
          </w:p>
        </w:tc>
        <w:tc>
          <w:tcPr>
            <w:tcW w:w="1417" w:type="dxa"/>
            <w:shd w:val="clear" w:color="auto" w:fill="FFFFFF" w:themeFill="background1"/>
            <w:vAlign w:val="bottom"/>
          </w:tcPr>
          <w:p w:rsidR="00EA543A" w:rsidRPr="0095034B" w:rsidRDefault="00EA543A" w:rsidP="00EA543A">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-6 228</w:t>
            </w:r>
          </w:p>
        </w:tc>
        <w:tc>
          <w:tcPr>
            <w:tcW w:w="3119" w:type="dxa"/>
            <w:vMerge w:val="restart"/>
            <w:shd w:val="clear" w:color="auto" w:fill="FFFFFF" w:themeFill="background1"/>
          </w:tcPr>
          <w:p w:rsidR="00EA543A" w:rsidRPr="00604B73" w:rsidRDefault="00EA543A" w:rsidP="00EA543A">
            <w:pPr>
              <w:jc w:val="both"/>
              <w:rPr>
                <w:rFonts w:ascii="Times New Roman" w:eastAsia="Times New Roman" w:hAnsi="Times New Roman" w:cs="Times New Roman"/>
                <w:sz w:val="24"/>
                <w:szCs w:val="24"/>
                <w:lang w:eastAsia="sk-SK"/>
              </w:rPr>
            </w:pPr>
            <w:r w:rsidRPr="00604B73">
              <w:rPr>
                <w:rFonts w:ascii="Times New Roman" w:eastAsia="Times New Roman" w:hAnsi="Times New Roman" w:cs="Times New Roman"/>
                <w:sz w:val="24"/>
                <w:szCs w:val="24"/>
                <w:lang w:eastAsia="sk-SK"/>
              </w:rPr>
              <w:t>Zvýšenie príspevku zamestnávateľa na nájomné bývanie na 100 eur</w:t>
            </w:r>
          </w:p>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
                <w:bCs/>
                <w:sz w:val="24"/>
                <w:szCs w:val="24"/>
                <w:lang w:eastAsia="sk-SK"/>
              </w:rPr>
              <w:t>DPFO (111)</w:t>
            </w:r>
          </w:p>
        </w:tc>
        <w:tc>
          <w:tcPr>
            <w:tcW w:w="1417" w:type="dxa"/>
            <w:shd w:val="clear" w:color="auto" w:fill="FFFFFF" w:themeFill="background1"/>
          </w:tcPr>
          <w:p w:rsidR="00EA543A" w:rsidRPr="000C35A3" w:rsidRDefault="00EA543A" w:rsidP="00EA543A">
            <w:pPr>
              <w:tabs>
                <w:tab w:val="num" w:pos="1080"/>
              </w:tabs>
              <w:jc w:val="center"/>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0</w:t>
            </w:r>
          </w:p>
        </w:tc>
        <w:tc>
          <w:tcPr>
            <w:tcW w:w="1559" w:type="dxa"/>
            <w:shd w:val="clear" w:color="auto" w:fill="FFFFFF" w:themeFill="background1"/>
            <w:vAlign w:val="bottom"/>
          </w:tcPr>
          <w:p w:rsidR="00EA543A" w:rsidRPr="0095034B" w:rsidRDefault="00EA543A" w:rsidP="00EA543A">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-3 433</w:t>
            </w:r>
          </w:p>
        </w:tc>
        <w:tc>
          <w:tcPr>
            <w:tcW w:w="1560" w:type="dxa"/>
            <w:shd w:val="clear" w:color="auto" w:fill="FFFFFF" w:themeFill="background1"/>
            <w:vAlign w:val="bottom"/>
          </w:tcPr>
          <w:p w:rsidR="00EA543A" w:rsidRPr="0095034B" w:rsidRDefault="00EA543A" w:rsidP="00EA543A">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-3 433</w:t>
            </w:r>
          </w:p>
        </w:tc>
        <w:tc>
          <w:tcPr>
            <w:tcW w:w="1417" w:type="dxa"/>
            <w:shd w:val="clear" w:color="auto" w:fill="FFFFFF" w:themeFill="background1"/>
            <w:vAlign w:val="bottom"/>
          </w:tcPr>
          <w:p w:rsidR="00EA543A" w:rsidRPr="0095034B" w:rsidRDefault="00EA543A" w:rsidP="00EA543A">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-3 433</w:t>
            </w:r>
          </w:p>
        </w:tc>
        <w:tc>
          <w:tcPr>
            <w:tcW w:w="3119"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Sociálne odvody (151, 152, 155, 157 a 158)</w:t>
            </w:r>
          </w:p>
        </w:tc>
        <w:tc>
          <w:tcPr>
            <w:tcW w:w="1417" w:type="dxa"/>
            <w:shd w:val="clear" w:color="auto" w:fill="FFFFFF" w:themeFill="background1"/>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0</w:t>
            </w:r>
          </w:p>
        </w:tc>
        <w:tc>
          <w:tcPr>
            <w:tcW w:w="1559" w:type="dxa"/>
            <w:shd w:val="clear" w:color="auto" w:fill="FFFFFF" w:themeFill="background1"/>
            <w:vAlign w:val="bottom"/>
          </w:tcPr>
          <w:p w:rsidR="00EA543A" w:rsidRPr="0095034B" w:rsidRDefault="00EA543A" w:rsidP="00EA543A">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-1 961</w:t>
            </w:r>
          </w:p>
        </w:tc>
        <w:tc>
          <w:tcPr>
            <w:tcW w:w="1560" w:type="dxa"/>
            <w:shd w:val="clear" w:color="auto" w:fill="FFFFFF" w:themeFill="background1"/>
            <w:vAlign w:val="bottom"/>
          </w:tcPr>
          <w:p w:rsidR="00EA543A" w:rsidRPr="0095034B" w:rsidRDefault="00EA543A" w:rsidP="00EA543A">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-1 961</w:t>
            </w:r>
          </w:p>
        </w:tc>
        <w:tc>
          <w:tcPr>
            <w:tcW w:w="1417" w:type="dxa"/>
            <w:shd w:val="clear" w:color="auto" w:fill="FFFFFF" w:themeFill="background1"/>
            <w:vAlign w:val="bottom"/>
          </w:tcPr>
          <w:p w:rsidR="00EA543A" w:rsidRPr="0095034B" w:rsidRDefault="00EA543A" w:rsidP="00EA543A">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-1 961</w:t>
            </w:r>
          </w:p>
        </w:tc>
        <w:tc>
          <w:tcPr>
            <w:tcW w:w="3119"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
                <w:bCs/>
                <w:sz w:val="24"/>
                <w:szCs w:val="24"/>
                <w:lang w:eastAsia="sk-SK"/>
              </w:rPr>
              <w:t>Zdravotné odvody (154)</w:t>
            </w:r>
          </w:p>
        </w:tc>
        <w:tc>
          <w:tcPr>
            <w:tcW w:w="1417" w:type="dxa"/>
            <w:shd w:val="clear" w:color="auto" w:fill="FFFFFF" w:themeFill="background1"/>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Pr>
                <w:rFonts w:ascii="Times New Roman" w:eastAsia="Times New Roman" w:hAnsi="Times New Roman" w:cs="Times New Roman"/>
                <w:bCs/>
                <w:sz w:val="24"/>
                <w:szCs w:val="20"/>
                <w:lang w:eastAsia="sk-SK"/>
              </w:rPr>
              <w:t>0</w:t>
            </w:r>
          </w:p>
        </w:tc>
        <w:tc>
          <w:tcPr>
            <w:tcW w:w="1559" w:type="dxa"/>
            <w:shd w:val="clear" w:color="auto" w:fill="FFFFFF" w:themeFill="background1"/>
            <w:vAlign w:val="bottom"/>
          </w:tcPr>
          <w:p w:rsidR="00EA543A" w:rsidRPr="0095034B" w:rsidRDefault="00EA543A" w:rsidP="00EA543A">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-834</w:t>
            </w:r>
          </w:p>
        </w:tc>
        <w:tc>
          <w:tcPr>
            <w:tcW w:w="1560" w:type="dxa"/>
            <w:shd w:val="clear" w:color="auto" w:fill="FFFFFF" w:themeFill="background1"/>
            <w:vAlign w:val="bottom"/>
          </w:tcPr>
          <w:p w:rsidR="00EA543A" w:rsidRPr="0095034B" w:rsidRDefault="00EA543A" w:rsidP="00EA543A">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-834</w:t>
            </w:r>
          </w:p>
        </w:tc>
        <w:tc>
          <w:tcPr>
            <w:tcW w:w="1417" w:type="dxa"/>
            <w:shd w:val="clear" w:color="auto" w:fill="FFFFFF" w:themeFill="background1"/>
            <w:vAlign w:val="bottom"/>
          </w:tcPr>
          <w:p w:rsidR="00EA543A" w:rsidRPr="0095034B" w:rsidRDefault="00EA543A" w:rsidP="00EA543A">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0"/>
                <w:lang w:eastAsia="sk-SK"/>
              </w:rPr>
              <w:t>-834</w:t>
            </w:r>
          </w:p>
        </w:tc>
        <w:tc>
          <w:tcPr>
            <w:tcW w:w="3119"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EA543A" w:rsidRDefault="00EA543A" w:rsidP="00EA543A">
            <w:pPr>
              <w:tabs>
                <w:tab w:val="num" w:pos="1080"/>
              </w:tabs>
              <w:jc w:val="center"/>
              <w:rPr>
                <w:rFonts w:ascii="Times New Roman" w:eastAsia="Times New Roman" w:hAnsi="Times New Roman" w:cs="Times New Roman"/>
                <w:bCs/>
                <w:sz w:val="24"/>
                <w:szCs w:val="20"/>
                <w:lang w:eastAsia="sk-SK"/>
              </w:rPr>
            </w:pPr>
          </w:p>
        </w:tc>
        <w:tc>
          <w:tcPr>
            <w:tcW w:w="1559" w:type="dxa"/>
            <w:shd w:val="clear" w:color="auto" w:fill="FFFFFF" w:themeFill="background1"/>
          </w:tcPr>
          <w:p w:rsidR="00EA543A" w:rsidRPr="0095034B" w:rsidRDefault="00EA543A" w:rsidP="00EA543A">
            <w:pPr>
              <w:tabs>
                <w:tab w:val="num" w:pos="1080"/>
              </w:tabs>
              <w:jc w:val="center"/>
              <w:rPr>
                <w:rFonts w:ascii="Times New Roman" w:eastAsia="Times New Roman" w:hAnsi="Times New Roman" w:cs="Times New Roman"/>
                <w:b/>
                <w:bCs/>
                <w:sz w:val="24"/>
                <w:szCs w:val="20"/>
                <w:lang w:eastAsia="sk-SK"/>
              </w:rPr>
            </w:pPr>
          </w:p>
        </w:tc>
        <w:tc>
          <w:tcPr>
            <w:tcW w:w="1560" w:type="dxa"/>
            <w:shd w:val="clear" w:color="auto" w:fill="FFFFFF" w:themeFill="background1"/>
          </w:tcPr>
          <w:p w:rsidR="00EA543A" w:rsidRPr="0095034B" w:rsidRDefault="00EA543A" w:rsidP="00EA543A">
            <w:pPr>
              <w:tabs>
                <w:tab w:val="num" w:pos="1080"/>
              </w:tabs>
              <w:jc w:val="center"/>
              <w:rPr>
                <w:rFonts w:ascii="Times New Roman" w:eastAsia="Times New Roman" w:hAnsi="Times New Roman" w:cs="Times New Roman"/>
                <w:b/>
                <w:bCs/>
                <w:sz w:val="24"/>
                <w:szCs w:val="20"/>
                <w:lang w:eastAsia="sk-SK"/>
              </w:rPr>
            </w:pPr>
          </w:p>
        </w:tc>
        <w:tc>
          <w:tcPr>
            <w:tcW w:w="1417" w:type="dxa"/>
            <w:shd w:val="clear" w:color="auto" w:fill="FFFFFF" w:themeFill="background1"/>
          </w:tcPr>
          <w:p w:rsidR="00EA543A" w:rsidRPr="0095034B" w:rsidRDefault="00EA543A" w:rsidP="00EA543A">
            <w:pPr>
              <w:tabs>
                <w:tab w:val="num" w:pos="1080"/>
              </w:tabs>
              <w:jc w:val="center"/>
              <w:rPr>
                <w:rFonts w:ascii="Times New Roman" w:eastAsia="Times New Roman" w:hAnsi="Times New Roman" w:cs="Times New Roman"/>
                <w:b/>
                <w:bCs/>
                <w:sz w:val="24"/>
                <w:szCs w:val="20"/>
                <w:lang w:eastAsia="sk-SK"/>
              </w:rPr>
            </w:pPr>
          </w:p>
        </w:tc>
        <w:tc>
          <w:tcPr>
            <w:tcW w:w="3119"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EA543A" w:rsidRDefault="00EA543A" w:rsidP="00EA543A">
            <w:pPr>
              <w:tabs>
                <w:tab w:val="num" w:pos="1080"/>
              </w:tabs>
              <w:jc w:val="center"/>
              <w:rPr>
                <w:rFonts w:ascii="Times New Roman" w:eastAsia="Times New Roman" w:hAnsi="Times New Roman" w:cs="Times New Roman"/>
                <w:bCs/>
                <w:sz w:val="24"/>
                <w:szCs w:val="20"/>
                <w:lang w:eastAsia="sk-SK"/>
              </w:rPr>
            </w:pPr>
          </w:p>
        </w:tc>
        <w:tc>
          <w:tcPr>
            <w:tcW w:w="1559" w:type="dxa"/>
            <w:shd w:val="clear" w:color="auto" w:fill="FFFFFF" w:themeFill="background1"/>
          </w:tcPr>
          <w:p w:rsidR="00EA543A" w:rsidRPr="0095034B" w:rsidRDefault="00EA543A" w:rsidP="00EA543A">
            <w:pPr>
              <w:tabs>
                <w:tab w:val="num" w:pos="1080"/>
              </w:tabs>
              <w:jc w:val="center"/>
              <w:rPr>
                <w:rFonts w:ascii="Times New Roman" w:eastAsia="Times New Roman" w:hAnsi="Times New Roman" w:cs="Times New Roman"/>
                <w:b/>
                <w:bCs/>
                <w:sz w:val="24"/>
                <w:szCs w:val="20"/>
                <w:lang w:eastAsia="sk-SK"/>
              </w:rPr>
            </w:pPr>
          </w:p>
        </w:tc>
        <w:tc>
          <w:tcPr>
            <w:tcW w:w="1560" w:type="dxa"/>
            <w:shd w:val="clear" w:color="auto" w:fill="FFFFFF" w:themeFill="background1"/>
          </w:tcPr>
          <w:p w:rsidR="00EA543A" w:rsidRPr="0095034B" w:rsidRDefault="00EA543A" w:rsidP="00EA543A">
            <w:pPr>
              <w:tabs>
                <w:tab w:val="num" w:pos="1080"/>
              </w:tabs>
              <w:jc w:val="center"/>
              <w:rPr>
                <w:rFonts w:ascii="Times New Roman" w:eastAsia="Times New Roman" w:hAnsi="Times New Roman" w:cs="Times New Roman"/>
                <w:b/>
                <w:bCs/>
                <w:sz w:val="24"/>
                <w:szCs w:val="20"/>
                <w:lang w:eastAsia="sk-SK"/>
              </w:rPr>
            </w:pPr>
          </w:p>
        </w:tc>
        <w:tc>
          <w:tcPr>
            <w:tcW w:w="1417" w:type="dxa"/>
            <w:shd w:val="clear" w:color="auto" w:fill="FFFFFF" w:themeFill="background1"/>
          </w:tcPr>
          <w:p w:rsidR="00EA543A" w:rsidRPr="0095034B" w:rsidRDefault="00EA543A" w:rsidP="00EA543A">
            <w:pPr>
              <w:tabs>
                <w:tab w:val="num" w:pos="1080"/>
              </w:tabs>
              <w:jc w:val="center"/>
              <w:rPr>
                <w:rFonts w:ascii="Times New Roman" w:eastAsia="Times New Roman" w:hAnsi="Times New Roman" w:cs="Times New Roman"/>
                <w:b/>
                <w:bCs/>
                <w:sz w:val="24"/>
                <w:szCs w:val="20"/>
                <w:lang w:eastAsia="sk-SK"/>
              </w:rPr>
            </w:pPr>
          </w:p>
        </w:tc>
        <w:tc>
          <w:tcPr>
            <w:tcW w:w="3119"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417" w:type="dxa"/>
            <w:shd w:val="clear" w:color="auto" w:fill="FFFF99"/>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 </w:t>
            </w:r>
          </w:p>
        </w:tc>
        <w:tc>
          <w:tcPr>
            <w:tcW w:w="1559" w:type="dxa"/>
            <w:shd w:val="clear" w:color="auto" w:fill="FFFF99"/>
          </w:tcPr>
          <w:p w:rsidR="00EA543A" w:rsidRPr="0095034B" w:rsidRDefault="00EA543A" w:rsidP="00EA543A">
            <w:pPr>
              <w:tabs>
                <w:tab w:val="num" w:pos="1080"/>
              </w:tabs>
              <w:jc w:val="center"/>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4"/>
                <w:lang w:eastAsia="sk-SK"/>
              </w:rPr>
              <w:t> </w:t>
            </w:r>
          </w:p>
        </w:tc>
        <w:tc>
          <w:tcPr>
            <w:tcW w:w="1560" w:type="dxa"/>
            <w:shd w:val="clear" w:color="auto" w:fill="FFFF99"/>
          </w:tcPr>
          <w:p w:rsidR="00EA543A" w:rsidRPr="0095034B" w:rsidRDefault="00EA543A" w:rsidP="00EA543A">
            <w:pPr>
              <w:tabs>
                <w:tab w:val="num" w:pos="1080"/>
              </w:tabs>
              <w:jc w:val="center"/>
              <w:rPr>
                <w:rFonts w:ascii="Times New Roman" w:eastAsia="Times New Roman" w:hAnsi="Times New Roman" w:cs="Times New Roman"/>
                <w:b/>
                <w:bCs/>
                <w:sz w:val="24"/>
                <w:szCs w:val="20"/>
                <w:lang w:eastAsia="sk-SK"/>
              </w:rPr>
            </w:pPr>
          </w:p>
        </w:tc>
        <w:tc>
          <w:tcPr>
            <w:tcW w:w="1417" w:type="dxa"/>
            <w:shd w:val="clear" w:color="auto" w:fill="FFFF99"/>
          </w:tcPr>
          <w:p w:rsidR="00EA543A" w:rsidRPr="0095034B" w:rsidRDefault="00EA543A" w:rsidP="00EA543A">
            <w:pPr>
              <w:tabs>
                <w:tab w:val="num" w:pos="1080"/>
              </w:tabs>
              <w:jc w:val="center"/>
              <w:rPr>
                <w:rFonts w:ascii="Times New Roman" w:eastAsia="Times New Roman" w:hAnsi="Times New Roman" w:cs="Times New Roman"/>
                <w:b/>
                <w:bCs/>
                <w:sz w:val="24"/>
                <w:szCs w:val="20"/>
                <w:lang w:eastAsia="sk-SK"/>
              </w:rPr>
            </w:pPr>
          </w:p>
        </w:tc>
        <w:tc>
          <w:tcPr>
            <w:tcW w:w="3119"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417"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 </w:t>
            </w:r>
          </w:p>
        </w:tc>
        <w:tc>
          <w:tcPr>
            <w:tcW w:w="1559" w:type="dxa"/>
            <w:shd w:val="clear" w:color="auto" w:fill="FFFF99"/>
          </w:tcPr>
          <w:p w:rsidR="00EA543A" w:rsidRPr="0095034B" w:rsidRDefault="00EA543A" w:rsidP="00EA543A">
            <w:pPr>
              <w:tabs>
                <w:tab w:val="num" w:pos="1080"/>
              </w:tabs>
              <w:jc w:val="both"/>
              <w:rPr>
                <w:rFonts w:ascii="Times New Roman" w:eastAsia="Times New Roman" w:hAnsi="Times New Roman" w:cs="Times New Roman"/>
                <w:b/>
                <w:bCs/>
                <w:sz w:val="24"/>
                <w:szCs w:val="20"/>
                <w:lang w:eastAsia="sk-SK"/>
              </w:rPr>
            </w:pPr>
            <w:r w:rsidRPr="0095034B">
              <w:rPr>
                <w:rFonts w:ascii="Times New Roman" w:eastAsia="Times New Roman" w:hAnsi="Times New Roman" w:cs="Times New Roman"/>
                <w:b/>
                <w:bCs/>
                <w:sz w:val="24"/>
                <w:szCs w:val="24"/>
                <w:lang w:eastAsia="sk-SK"/>
              </w:rPr>
              <w:t> </w:t>
            </w:r>
          </w:p>
        </w:tc>
        <w:tc>
          <w:tcPr>
            <w:tcW w:w="1560" w:type="dxa"/>
            <w:shd w:val="clear" w:color="auto" w:fill="FFFF99"/>
          </w:tcPr>
          <w:p w:rsidR="00EA543A" w:rsidRPr="0095034B" w:rsidRDefault="00EA543A" w:rsidP="00EA543A">
            <w:pPr>
              <w:tabs>
                <w:tab w:val="num" w:pos="1080"/>
              </w:tabs>
              <w:jc w:val="both"/>
              <w:rPr>
                <w:rFonts w:ascii="Times New Roman" w:eastAsia="Times New Roman" w:hAnsi="Times New Roman" w:cs="Times New Roman"/>
                <w:b/>
                <w:bCs/>
                <w:sz w:val="24"/>
                <w:szCs w:val="20"/>
                <w:lang w:eastAsia="sk-SK"/>
              </w:rPr>
            </w:pPr>
          </w:p>
        </w:tc>
        <w:tc>
          <w:tcPr>
            <w:tcW w:w="1417" w:type="dxa"/>
            <w:shd w:val="clear" w:color="auto" w:fill="FFFF99"/>
          </w:tcPr>
          <w:p w:rsidR="00EA543A" w:rsidRPr="0095034B" w:rsidRDefault="00EA543A" w:rsidP="00EA543A">
            <w:pPr>
              <w:tabs>
                <w:tab w:val="num" w:pos="1080"/>
              </w:tabs>
              <w:jc w:val="both"/>
              <w:rPr>
                <w:rFonts w:ascii="Times New Roman" w:eastAsia="Times New Roman" w:hAnsi="Times New Roman" w:cs="Times New Roman"/>
                <w:b/>
                <w:bCs/>
                <w:sz w:val="24"/>
                <w:szCs w:val="20"/>
                <w:lang w:eastAsia="sk-SK"/>
              </w:rPr>
            </w:pPr>
          </w:p>
        </w:tc>
        <w:tc>
          <w:tcPr>
            <w:tcW w:w="3119"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BFBFBF" w:themeFill="background1" w:themeFillShade="BF"/>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417" w:type="dxa"/>
            <w:shd w:val="clear" w:color="auto" w:fill="BFBFBF" w:themeFill="background1" w:themeFillShade="BF"/>
          </w:tcPr>
          <w:p w:rsidR="00EA543A" w:rsidRPr="000C35A3" w:rsidRDefault="00EA543A" w:rsidP="00EA543A">
            <w:pPr>
              <w:tabs>
                <w:tab w:val="num" w:pos="1080"/>
              </w:tabs>
              <w:jc w:val="center"/>
              <w:rPr>
                <w:rFonts w:ascii="Times New Roman" w:eastAsia="Times New Roman" w:hAnsi="Times New Roman" w:cs="Times New Roman"/>
                <w:bCs/>
                <w:sz w:val="24"/>
                <w:szCs w:val="20"/>
                <w:lang w:eastAsia="sk-SK"/>
              </w:rPr>
            </w:pPr>
            <w:r w:rsidRPr="000C35A3">
              <w:rPr>
                <w:rFonts w:ascii="Times New Roman" w:eastAsia="Times New Roman" w:hAnsi="Times New Roman" w:cs="Times New Roman"/>
                <w:bCs/>
                <w:sz w:val="24"/>
                <w:szCs w:val="24"/>
                <w:lang w:eastAsia="sk-SK"/>
              </w:rPr>
              <w:t>0</w:t>
            </w:r>
          </w:p>
        </w:tc>
        <w:tc>
          <w:tcPr>
            <w:tcW w:w="1559" w:type="dxa"/>
            <w:shd w:val="clear" w:color="auto" w:fill="BFBFBF" w:themeFill="background1" w:themeFillShade="BF"/>
            <w:vAlign w:val="bottom"/>
          </w:tcPr>
          <w:p w:rsidR="00EA543A" w:rsidRPr="0095034B" w:rsidRDefault="00EA543A" w:rsidP="00EA543A">
            <w:pPr>
              <w:tabs>
                <w:tab w:val="num" w:pos="1080"/>
              </w:tabs>
              <w:jc w:val="center"/>
              <w:rPr>
                <w:rFonts w:ascii="Times New Roman" w:eastAsia="Times New Roman" w:hAnsi="Times New Roman" w:cs="Times New Roman"/>
                <w:b/>
                <w:bCs/>
                <w:sz w:val="24"/>
                <w:szCs w:val="24"/>
                <w:lang w:eastAsia="sk-SK"/>
              </w:rPr>
            </w:pPr>
            <w:r w:rsidRPr="0095034B">
              <w:rPr>
                <w:rFonts w:ascii="Times New Roman" w:eastAsia="Times New Roman" w:hAnsi="Times New Roman" w:cs="Times New Roman"/>
                <w:b/>
                <w:bCs/>
                <w:sz w:val="24"/>
                <w:szCs w:val="24"/>
                <w:lang w:eastAsia="sk-SK"/>
              </w:rPr>
              <w:t>-6 228</w:t>
            </w:r>
          </w:p>
        </w:tc>
        <w:tc>
          <w:tcPr>
            <w:tcW w:w="1560" w:type="dxa"/>
            <w:shd w:val="clear" w:color="auto" w:fill="BFBFBF" w:themeFill="background1" w:themeFillShade="BF"/>
            <w:vAlign w:val="bottom"/>
          </w:tcPr>
          <w:p w:rsidR="00EA543A" w:rsidRPr="0095034B" w:rsidRDefault="00EA543A" w:rsidP="00EA543A">
            <w:pPr>
              <w:tabs>
                <w:tab w:val="num" w:pos="1080"/>
              </w:tabs>
              <w:jc w:val="center"/>
              <w:rPr>
                <w:rFonts w:ascii="Times New Roman" w:eastAsia="Times New Roman" w:hAnsi="Times New Roman" w:cs="Times New Roman"/>
                <w:b/>
                <w:bCs/>
                <w:sz w:val="24"/>
                <w:szCs w:val="24"/>
                <w:lang w:eastAsia="sk-SK"/>
              </w:rPr>
            </w:pPr>
            <w:r w:rsidRPr="0095034B">
              <w:rPr>
                <w:rFonts w:ascii="Times New Roman" w:eastAsia="Times New Roman" w:hAnsi="Times New Roman" w:cs="Times New Roman"/>
                <w:b/>
                <w:bCs/>
                <w:sz w:val="24"/>
                <w:szCs w:val="24"/>
                <w:lang w:eastAsia="sk-SK"/>
              </w:rPr>
              <w:t>-6 228</w:t>
            </w:r>
          </w:p>
        </w:tc>
        <w:tc>
          <w:tcPr>
            <w:tcW w:w="1417" w:type="dxa"/>
            <w:shd w:val="clear" w:color="auto" w:fill="BFBFBF" w:themeFill="background1" w:themeFillShade="BF"/>
            <w:vAlign w:val="bottom"/>
          </w:tcPr>
          <w:p w:rsidR="00EA543A" w:rsidRPr="0095034B" w:rsidRDefault="00EA543A" w:rsidP="00EA543A">
            <w:pPr>
              <w:tabs>
                <w:tab w:val="num" w:pos="1080"/>
              </w:tabs>
              <w:jc w:val="center"/>
              <w:rPr>
                <w:rFonts w:ascii="Times New Roman" w:eastAsia="Times New Roman" w:hAnsi="Times New Roman" w:cs="Times New Roman"/>
                <w:b/>
                <w:bCs/>
                <w:sz w:val="24"/>
                <w:szCs w:val="24"/>
                <w:lang w:eastAsia="sk-SK"/>
              </w:rPr>
            </w:pPr>
            <w:r w:rsidRPr="0095034B">
              <w:rPr>
                <w:rFonts w:ascii="Times New Roman" w:eastAsia="Times New Roman" w:hAnsi="Times New Roman" w:cs="Times New Roman"/>
                <w:b/>
                <w:bCs/>
                <w:sz w:val="24"/>
                <w:szCs w:val="24"/>
                <w:lang w:eastAsia="sk-SK"/>
              </w:rPr>
              <w:t>-6 228</w:t>
            </w:r>
          </w:p>
        </w:tc>
        <w:tc>
          <w:tcPr>
            <w:tcW w:w="3119" w:type="dxa"/>
            <w:shd w:val="clear" w:color="auto" w:fill="BFBFBF" w:themeFill="background1" w:themeFillShade="BF"/>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bl>
    <w:p w:rsidR="00EA543A" w:rsidRDefault="00EA543A" w:rsidP="00EA543A">
      <w:pPr>
        <w:tabs>
          <w:tab w:val="num" w:pos="1080"/>
        </w:tabs>
        <w:spacing w:after="0" w:line="240" w:lineRule="auto"/>
        <w:ind w:right="-578"/>
        <w:rPr>
          <w:rFonts w:ascii="Times New Roman" w:eastAsia="Times New Roman" w:hAnsi="Times New Roman" w:cs="Times New Roman"/>
          <w:bCs/>
          <w:sz w:val="24"/>
          <w:szCs w:val="24"/>
          <w:lang w:eastAsia="sk-SK"/>
        </w:rPr>
      </w:pPr>
    </w:p>
    <w:p w:rsidR="00EA543A" w:rsidRDefault="00EA543A" w:rsidP="00EA543A">
      <w:pPr>
        <w:tabs>
          <w:tab w:val="num" w:pos="1080"/>
        </w:tabs>
        <w:spacing w:after="0" w:line="240" w:lineRule="auto"/>
        <w:ind w:right="-578"/>
        <w:rPr>
          <w:rFonts w:ascii="Times New Roman" w:eastAsia="Times New Roman" w:hAnsi="Times New Roman" w:cs="Times New Roman"/>
          <w:bCs/>
          <w:sz w:val="24"/>
          <w:szCs w:val="24"/>
          <w:lang w:eastAsia="sk-SK"/>
        </w:rPr>
      </w:pPr>
    </w:p>
    <w:p w:rsidR="00EA543A" w:rsidRDefault="00EA543A" w:rsidP="00EA543A">
      <w:pPr>
        <w:tabs>
          <w:tab w:val="num" w:pos="1080"/>
        </w:tabs>
        <w:spacing w:after="0" w:line="240" w:lineRule="auto"/>
        <w:ind w:right="-578"/>
        <w:rPr>
          <w:rFonts w:ascii="Times New Roman" w:eastAsia="Times New Roman" w:hAnsi="Times New Roman" w:cs="Times New Roman"/>
          <w:bCs/>
          <w:sz w:val="24"/>
          <w:szCs w:val="24"/>
          <w:lang w:eastAsia="sk-SK"/>
        </w:rPr>
      </w:pPr>
    </w:p>
    <w:p w:rsidR="00EA543A" w:rsidRDefault="00EA543A" w:rsidP="00EA543A">
      <w:pPr>
        <w:tabs>
          <w:tab w:val="num" w:pos="1080"/>
        </w:tabs>
        <w:spacing w:after="0" w:line="240" w:lineRule="auto"/>
        <w:ind w:right="-578"/>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r>
      <w:r>
        <w:rPr>
          <w:rFonts w:ascii="Times New Roman" w:eastAsia="Times New Roman" w:hAnsi="Times New Roman" w:cs="Times New Roman"/>
          <w:bCs/>
          <w:sz w:val="24"/>
          <w:szCs w:val="24"/>
          <w:lang w:eastAsia="sk-SK"/>
        </w:rPr>
        <w:tab/>
        <w:t xml:space="preserve">         </w:t>
      </w:r>
    </w:p>
    <w:p w:rsidR="00EA543A" w:rsidRPr="007D5748" w:rsidRDefault="00EA543A" w:rsidP="00EA543A">
      <w:pPr>
        <w:tabs>
          <w:tab w:val="num" w:pos="1080"/>
        </w:tabs>
        <w:spacing w:after="0" w:line="240" w:lineRule="auto"/>
        <w:ind w:right="-32"/>
        <w:jc w:val="right"/>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Tabuľka č. 3.3.</w:t>
      </w:r>
    </w:p>
    <w:tbl>
      <w:tblPr>
        <w:tblStyle w:val="Mriekatabuky"/>
        <w:tblW w:w="14029" w:type="dxa"/>
        <w:tblLook w:val="04A0" w:firstRow="1" w:lastRow="0" w:firstColumn="1" w:lastColumn="0" w:noHBand="0" w:noVBand="1"/>
      </w:tblPr>
      <w:tblGrid>
        <w:gridCol w:w="4957"/>
        <w:gridCol w:w="1417"/>
        <w:gridCol w:w="1559"/>
        <w:gridCol w:w="1560"/>
        <w:gridCol w:w="1559"/>
        <w:gridCol w:w="2977"/>
      </w:tblGrid>
      <w:tr w:rsidR="00EA543A" w:rsidTr="00EA543A">
        <w:tc>
          <w:tcPr>
            <w:tcW w:w="4957" w:type="dxa"/>
            <w:vMerge w:val="restart"/>
            <w:shd w:val="clear" w:color="auto" w:fill="BFBFBF" w:themeFill="background1" w:themeFillShade="BF"/>
            <w:vAlign w:val="center"/>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Príjmy (v</w:t>
            </w:r>
            <w:r>
              <w:rPr>
                <w:rFonts w:ascii="Times New Roman" w:eastAsia="Times New Roman" w:hAnsi="Times New Roman" w:cs="Times New Roman"/>
                <w:b/>
                <w:bCs/>
                <w:sz w:val="24"/>
                <w:szCs w:val="24"/>
                <w:lang w:eastAsia="sk-SK"/>
              </w:rPr>
              <w:t xml:space="preserve"> tis.</w:t>
            </w:r>
            <w:r w:rsidRPr="007D5748">
              <w:rPr>
                <w:rFonts w:ascii="Times New Roman" w:eastAsia="Times New Roman" w:hAnsi="Times New Roman" w:cs="Times New Roman"/>
                <w:b/>
                <w:bCs/>
                <w:sz w:val="24"/>
                <w:szCs w:val="24"/>
                <w:lang w:eastAsia="sk-SK"/>
              </w:rPr>
              <w:t xml:space="preserve"> eur)</w:t>
            </w:r>
          </w:p>
        </w:tc>
        <w:tc>
          <w:tcPr>
            <w:tcW w:w="6095" w:type="dxa"/>
            <w:gridSpan w:val="4"/>
            <w:shd w:val="clear" w:color="auto" w:fill="BFBFBF" w:themeFill="background1" w:themeFillShade="BF"/>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Vplyv na rozpočet verejnej správy</w:t>
            </w:r>
          </w:p>
        </w:tc>
        <w:tc>
          <w:tcPr>
            <w:tcW w:w="2977" w:type="dxa"/>
            <w:shd w:val="clear" w:color="auto" w:fill="BFBFBF" w:themeFill="background1" w:themeFillShade="BF"/>
            <w:vAlign w:val="center"/>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poznámka</w:t>
            </w:r>
          </w:p>
        </w:tc>
      </w:tr>
      <w:tr w:rsidR="00EA543A" w:rsidTr="00EA543A">
        <w:tc>
          <w:tcPr>
            <w:tcW w:w="4957" w:type="dxa"/>
            <w:vMerge/>
            <w:shd w:val="clear" w:color="auto" w:fill="BFBFBF" w:themeFill="background1" w:themeFillShade="BF"/>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417" w:type="dxa"/>
            <w:shd w:val="clear" w:color="auto" w:fill="BFBFBF" w:themeFill="background1" w:themeFillShade="BF"/>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2019</w:t>
            </w:r>
          </w:p>
        </w:tc>
        <w:tc>
          <w:tcPr>
            <w:tcW w:w="1559" w:type="dxa"/>
            <w:shd w:val="clear" w:color="auto" w:fill="BFBFBF" w:themeFill="background1" w:themeFillShade="BF"/>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2020</w:t>
            </w:r>
          </w:p>
        </w:tc>
        <w:tc>
          <w:tcPr>
            <w:tcW w:w="1560" w:type="dxa"/>
            <w:shd w:val="clear" w:color="auto" w:fill="BFBFBF" w:themeFill="background1" w:themeFillShade="BF"/>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2021</w:t>
            </w:r>
          </w:p>
        </w:tc>
        <w:tc>
          <w:tcPr>
            <w:tcW w:w="1559" w:type="dxa"/>
            <w:shd w:val="clear" w:color="auto" w:fill="BFBFBF" w:themeFill="background1" w:themeFillShade="BF"/>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2022</w:t>
            </w:r>
          </w:p>
        </w:tc>
        <w:tc>
          <w:tcPr>
            <w:tcW w:w="2977" w:type="dxa"/>
            <w:shd w:val="clear" w:color="auto" w:fill="BFBFBF" w:themeFill="background1" w:themeFillShade="BF"/>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sidRPr="00526826">
              <w:rPr>
                <w:rFonts w:ascii="Times New Roman" w:eastAsia="Times New Roman" w:hAnsi="Times New Roman" w:cs="Times New Roman"/>
                <w:b/>
                <w:bCs/>
                <w:sz w:val="24"/>
                <w:szCs w:val="20"/>
                <w:lang w:eastAsia="sk-SK"/>
              </w:rPr>
              <w:t>0</w:t>
            </w:r>
          </w:p>
        </w:tc>
        <w:tc>
          <w:tcPr>
            <w:tcW w:w="1559" w:type="dxa"/>
            <w:shd w:val="clear" w:color="auto" w:fill="FFFFFF" w:themeFill="background1"/>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0</w:t>
            </w:r>
          </w:p>
        </w:tc>
        <w:tc>
          <w:tcPr>
            <w:tcW w:w="1560" w:type="dxa"/>
            <w:shd w:val="clear" w:color="auto" w:fill="FFFFFF" w:themeFill="background1"/>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0</w:t>
            </w:r>
          </w:p>
        </w:tc>
        <w:tc>
          <w:tcPr>
            <w:tcW w:w="1559" w:type="dxa"/>
            <w:shd w:val="clear" w:color="auto" w:fill="FFFFFF" w:themeFill="background1"/>
            <w:vAlign w:val="bottom"/>
          </w:tcPr>
          <w:p w:rsidR="00EA543A" w:rsidRPr="006F1FD4" w:rsidRDefault="00EA543A" w:rsidP="00EA543A">
            <w:pPr>
              <w:tabs>
                <w:tab w:val="num" w:pos="1080"/>
              </w:tabs>
              <w:jc w:val="center"/>
              <w:rPr>
                <w:rFonts w:ascii="Times New Roman" w:eastAsia="Times New Roman" w:hAnsi="Times New Roman" w:cs="Times New Roman"/>
                <w:b/>
                <w:bCs/>
                <w:sz w:val="24"/>
                <w:szCs w:val="20"/>
                <w:lang w:eastAsia="sk-SK"/>
              </w:rPr>
            </w:pPr>
            <w:r w:rsidRPr="006F1FD4">
              <w:rPr>
                <w:rFonts w:ascii="Times New Roman" w:eastAsia="Times New Roman" w:hAnsi="Times New Roman" w:cs="Times New Roman"/>
                <w:b/>
                <w:bCs/>
                <w:sz w:val="24"/>
                <w:szCs w:val="20"/>
                <w:lang w:eastAsia="sk-SK"/>
              </w:rPr>
              <w:t>-4 491</w:t>
            </w:r>
          </w:p>
        </w:tc>
        <w:tc>
          <w:tcPr>
            <w:tcW w:w="2977" w:type="dxa"/>
            <w:vMerge w:val="restart"/>
            <w:shd w:val="clear" w:color="auto" w:fill="FFFFFF" w:themeFill="background1"/>
          </w:tcPr>
          <w:p w:rsidR="00EA543A" w:rsidRPr="00BE7FC3" w:rsidRDefault="00EA543A" w:rsidP="00EA543A">
            <w:pPr>
              <w:jc w:val="both"/>
              <w:rPr>
                <w:rFonts w:ascii="Times New Roman" w:eastAsia="Times New Roman" w:hAnsi="Times New Roman" w:cs="Times New Roman"/>
                <w:sz w:val="24"/>
                <w:szCs w:val="24"/>
                <w:lang w:eastAsia="sk-SK"/>
              </w:rPr>
            </w:pPr>
            <w:r w:rsidRPr="00BE7FC3">
              <w:rPr>
                <w:rFonts w:ascii="Times New Roman" w:eastAsia="Times New Roman" w:hAnsi="Times New Roman" w:cs="Times New Roman"/>
                <w:sz w:val="24"/>
                <w:szCs w:val="24"/>
                <w:lang w:eastAsia="sk-SK"/>
              </w:rPr>
              <w:t>Zmena pravidiel odpočtu daňovej straty u </w:t>
            </w:r>
            <w:proofErr w:type="spellStart"/>
            <w:r w:rsidRPr="00BE7FC3">
              <w:rPr>
                <w:rFonts w:ascii="Times New Roman" w:eastAsia="Times New Roman" w:hAnsi="Times New Roman" w:cs="Times New Roman"/>
                <w:sz w:val="24"/>
                <w:szCs w:val="24"/>
                <w:lang w:eastAsia="sk-SK"/>
              </w:rPr>
              <w:t>mikrodaňovníkov</w:t>
            </w:r>
            <w:proofErr w:type="spellEnd"/>
          </w:p>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
                <w:bCs/>
                <w:sz w:val="24"/>
                <w:szCs w:val="24"/>
                <w:lang w:eastAsia="sk-SK"/>
              </w:rPr>
              <w:t>DPPO (112)</w:t>
            </w:r>
          </w:p>
        </w:tc>
        <w:tc>
          <w:tcPr>
            <w:tcW w:w="1417" w:type="dxa"/>
            <w:shd w:val="clear" w:color="auto" w:fill="FFFFFF" w:themeFill="background1"/>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sidRPr="00526826">
              <w:rPr>
                <w:rFonts w:ascii="Times New Roman" w:eastAsia="Times New Roman" w:hAnsi="Times New Roman" w:cs="Times New Roman"/>
                <w:b/>
                <w:bCs/>
                <w:sz w:val="24"/>
                <w:szCs w:val="20"/>
                <w:lang w:eastAsia="sk-SK"/>
              </w:rPr>
              <w:t>0</w:t>
            </w:r>
          </w:p>
        </w:tc>
        <w:tc>
          <w:tcPr>
            <w:tcW w:w="1559" w:type="dxa"/>
            <w:shd w:val="clear" w:color="auto" w:fill="FFFFFF" w:themeFill="background1"/>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0</w:t>
            </w:r>
          </w:p>
        </w:tc>
        <w:tc>
          <w:tcPr>
            <w:tcW w:w="1560" w:type="dxa"/>
            <w:shd w:val="clear" w:color="auto" w:fill="FFFFFF" w:themeFill="background1"/>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0</w:t>
            </w:r>
          </w:p>
        </w:tc>
        <w:tc>
          <w:tcPr>
            <w:tcW w:w="1559" w:type="dxa"/>
            <w:shd w:val="clear" w:color="auto" w:fill="FFFFFF" w:themeFill="background1"/>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6F1FD4">
              <w:rPr>
                <w:rFonts w:ascii="Times New Roman" w:eastAsia="Times New Roman" w:hAnsi="Times New Roman" w:cs="Times New Roman"/>
                <w:b/>
                <w:bCs/>
                <w:sz w:val="24"/>
                <w:szCs w:val="20"/>
                <w:lang w:eastAsia="sk-SK"/>
              </w:rPr>
              <w:t>-4 491</w:t>
            </w:r>
          </w:p>
        </w:tc>
        <w:tc>
          <w:tcPr>
            <w:tcW w:w="2977"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EA543A" w:rsidRPr="006F1FD4" w:rsidRDefault="00EA543A" w:rsidP="00EA543A">
            <w:pPr>
              <w:tabs>
                <w:tab w:val="num" w:pos="1080"/>
              </w:tabs>
              <w:jc w:val="center"/>
              <w:rPr>
                <w:rFonts w:ascii="Times New Roman" w:eastAsia="Times New Roman" w:hAnsi="Times New Roman" w:cs="Times New Roman"/>
                <w:b/>
                <w:bCs/>
                <w:sz w:val="24"/>
                <w:szCs w:val="20"/>
                <w:lang w:eastAsia="sk-SK"/>
              </w:rPr>
            </w:pPr>
          </w:p>
        </w:tc>
        <w:tc>
          <w:tcPr>
            <w:tcW w:w="2977"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EA543A" w:rsidRPr="006F1FD4" w:rsidRDefault="00EA543A" w:rsidP="00EA543A">
            <w:pPr>
              <w:tabs>
                <w:tab w:val="num" w:pos="1080"/>
              </w:tabs>
              <w:jc w:val="center"/>
              <w:rPr>
                <w:rFonts w:ascii="Times New Roman" w:eastAsia="Times New Roman" w:hAnsi="Times New Roman" w:cs="Times New Roman"/>
                <w:b/>
                <w:bCs/>
                <w:sz w:val="24"/>
                <w:szCs w:val="20"/>
                <w:lang w:eastAsia="sk-SK"/>
              </w:rPr>
            </w:pPr>
          </w:p>
        </w:tc>
        <w:tc>
          <w:tcPr>
            <w:tcW w:w="2977"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417"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EA543A" w:rsidRPr="006F1FD4" w:rsidRDefault="00EA543A" w:rsidP="00EA543A">
            <w:pPr>
              <w:tabs>
                <w:tab w:val="num" w:pos="1080"/>
              </w:tabs>
              <w:jc w:val="center"/>
              <w:rPr>
                <w:rFonts w:ascii="Times New Roman" w:eastAsia="Times New Roman" w:hAnsi="Times New Roman" w:cs="Times New Roman"/>
                <w:b/>
                <w:bCs/>
                <w:sz w:val="24"/>
                <w:szCs w:val="20"/>
                <w:lang w:eastAsia="sk-SK"/>
              </w:rPr>
            </w:pPr>
          </w:p>
        </w:tc>
        <w:tc>
          <w:tcPr>
            <w:tcW w:w="2977"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417"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EA543A" w:rsidRPr="006F1FD4" w:rsidRDefault="00EA543A" w:rsidP="00EA543A">
            <w:pPr>
              <w:tabs>
                <w:tab w:val="num" w:pos="1080"/>
              </w:tabs>
              <w:jc w:val="center"/>
              <w:rPr>
                <w:rFonts w:ascii="Times New Roman" w:eastAsia="Times New Roman" w:hAnsi="Times New Roman" w:cs="Times New Roman"/>
                <w:b/>
                <w:bCs/>
                <w:sz w:val="24"/>
                <w:szCs w:val="20"/>
                <w:lang w:eastAsia="sk-SK"/>
              </w:rPr>
            </w:pPr>
          </w:p>
        </w:tc>
        <w:tc>
          <w:tcPr>
            <w:tcW w:w="2977"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BFBFBF" w:themeFill="background1" w:themeFillShade="BF"/>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417" w:type="dxa"/>
            <w:shd w:val="clear" w:color="auto" w:fill="BFBFBF" w:themeFill="background1" w:themeFillShade="BF"/>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0</w:t>
            </w:r>
          </w:p>
        </w:tc>
        <w:tc>
          <w:tcPr>
            <w:tcW w:w="1559" w:type="dxa"/>
            <w:shd w:val="clear" w:color="auto" w:fill="BFBFBF" w:themeFill="background1" w:themeFillShade="BF"/>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0</w:t>
            </w:r>
          </w:p>
        </w:tc>
        <w:tc>
          <w:tcPr>
            <w:tcW w:w="1560" w:type="dxa"/>
            <w:shd w:val="clear" w:color="auto" w:fill="BFBFBF" w:themeFill="background1" w:themeFillShade="BF"/>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0</w:t>
            </w:r>
          </w:p>
        </w:tc>
        <w:tc>
          <w:tcPr>
            <w:tcW w:w="1559" w:type="dxa"/>
            <w:shd w:val="clear" w:color="auto" w:fill="BFBFBF" w:themeFill="background1" w:themeFillShade="BF"/>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6F1FD4">
              <w:rPr>
                <w:rFonts w:ascii="Times New Roman" w:eastAsia="Times New Roman" w:hAnsi="Times New Roman" w:cs="Times New Roman"/>
                <w:b/>
                <w:bCs/>
                <w:sz w:val="24"/>
                <w:szCs w:val="20"/>
                <w:lang w:eastAsia="sk-SK"/>
              </w:rPr>
              <w:t>-4 491</w:t>
            </w:r>
          </w:p>
        </w:tc>
        <w:tc>
          <w:tcPr>
            <w:tcW w:w="2977" w:type="dxa"/>
            <w:shd w:val="clear" w:color="auto" w:fill="BFBFBF" w:themeFill="background1" w:themeFillShade="BF"/>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bl>
    <w:p w:rsidR="00EA543A" w:rsidRDefault="00EA543A" w:rsidP="00EA543A">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EA543A" w:rsidRDefault="00EA543A" w:rsidP="00EA543A">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EA543A" w:rsidRDefault="00EA543A" w:rsidP="00EA543A">
      <w:pPr>
        <w:tabs>
          <w:tab w:val="num" w:pos="1080"/>
        </w:tabs>
        <w:spacing w:after="0" w:line="240" w:lineRule="auto"/>
        <w:ind w:right="-32"/>
        <w:jc w:val="right"/>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Tabuľka č. 3.4.</w:t>
      </w:r>
    </w:p>
    <w:tbl>
      <w:tblPr>
        <w:tblStyle w:val="Mriekatabuky"/>
        <w:tblW w:w="14029" w:type="dxa"/>
        <w:tblLook w:val="04A0" w:firstRow="1" w:lastRow="0" w:firstColumn="1" w:lastColumn="0" w:noHBand="0" w:noVBand="1"/>
      </w:tblPr>
      <w:tblGrid>
        <w:gridCol w:w="4957"/>
        <w:gridCol w:w="1417"/>
        <w:gridCol w:w="1559"/>
        <w:gridCol w:w="1560"/>
        <w:gridCol w:w="1559"/>
        <w:gridCol w:w="2977"/>
      </w:tblGrid>
      <w:tr w:rsidR="00EA543A" w:rsidTr="00EA543A">
        <w:tc>
          <w:tcPr>
            <w:tcW w:w="4957" w:type="dxa"/>
            <w:vMerge w:val="restart"/>
            <w:shd w:val="clear" w:color="auto" w:fill="BFBFBF" w:themeFill="background1" w:themeFillShade="BF"/>
            <w:vAlign w:val="center"/>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Príjmy (v</w:t>
            </w:r>
            <w:r>
              <w:rPr>
                <w:rFonts w:ascii="Times New Roman" w:eastAsia="Times New Roman" w:hAnsi="Times New Roman" w:cs="Times New Roman"/>
                <w:b/>
                <w:bCs/>
                <w:sz w:val="24"/>
                <w:szCs w:val="24"/>
                <w:lang w:eastAsia="sk-SK"/>
              </w:rPr>
              <w:t xml:space="preserve"> tis.</w:t>
            </w:r>
            <w:r w:rsidRPr="007D5748">
              <w:rPr>
                <w:rFonts w:ascii="Times New Roman" w:eastAsia="Times New Roman" w:hAnsi="Times New Roman" w:cs="Times New Roman"/>
                <w:b/>
                <w:bCs/>
                <w:sz w:val="24"/>
                <w:szCs w:val="24"/>
                <w:lang w:eastAsia="sk-SK"/>
              </w:rPr>
              <w:t xml:space="preserve"> eur)</w:t>
            </w:r>
          </w:p>
        </w:tc>
        <w:tc>
          <w:tcPr>
            <w:tcW w:w="6095" w:type="dxa"/>
            <w:gridSpan w:val="4"/>
            <w:shd w:val="clear" w:color="auto" w:fill="BFBFBF" w:themeFill="background1" w:themeFillShade="BF"/>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Vplyv na rozpočet verejnej správy</w:t>
            </w:r>
          </w:p>
        </w:tc>
        <w:tc>
          <w:tcPr>
            <w:tcW w:w="2977" w:type="dxa"/>
            <w:shd w:val="clear" w:color="auto" w:fill="BFBFBF" w:themeFill="background1" w:themeFillShade="BF"/>
            <w:vAlign w:val="center"/>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poznámka</w:t>
            </w:r>
          </w:p>
        </w:tc>
      </w:tr>
      <w:tr w:rsidR="00EA543A" w:rsidTr="00EA543A">
        <w:tc>
          <w:tcPr>
            <w:tcW w:w="4957" w:type="dxa"/>
            <w:vMerge/>
            <w:shd w:val="clear" w:color="auto" w:fill="BFBFBF" w:themeFill="background1" w:themeFillShade="BF"/>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417" w:type="dxa"/>
            <w:shd w:val="clear" w:color="auto" w:fill="BFBFBF" w:themeFill="background1" w:themeFillShade="BF"/>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2019</w:t>
            </w:r>
          </w:p>
        </w:tc>
        <w:tc>
          <w:tcPr>
            <w:tcW w:w="1559" w:type="dxa"/>
            <w:shd w:val="clear" w:color="auto" w:fill="BFBFBF" w:themeFill="background1" w:themeFillShade="BF"/>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2020</w:t>
            </w:r>
          </w:p>
        </w:tc>
        <w:tc>
          <w:tcPr>
            <w:tcW w:w="1560" w:type="dxa"/>
            <w:shd w:val="clear" w:color="auto" w:fill="BFBFBF" w:themeFill="background1" w:themeFillShade="BF"/>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2021</w:t>
            </w:r>
          </w:p>
        </w:tc>
        <w:tc>
          <w:tcPr>
            <w:tcW w:w="1559" w:type="dxa"/>
            <w:shd w:val="clear" w:color="auto" w:fill="BFBFBF" w:themeFill="background1" w:themeFillShade="BF"/>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2022</w:t>
            </w:r>
          </w:p>
        </w:tc>
        <w:tc>
          <w:tcPr>
            <w:tcW w:w="2977" w:type="dxa"/>
            <w:shd w:val="clear" w:color="auto" w:fill="BFBFBF" w:themeFill="background1" w:themeFillShade="BF"/>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sidRPr="00526826">
              <w:rPr>
                <w:rFonts w:ascii="Times New Roman" w:eastAsia="Times New Roman" w:hAnsi="Times New Roman" w:cs="Times New Roman"/>
                <w:b/>
                <w:bCs/>
                <w:sz w:val="24"/>
                <w:szCs w:val="20"/>
                <w:lang w:eastAsia="sk-SK"/>
              </w:rPr>
              <w:t>0</w:t>
            </w:r>
          </w:p>
        </w:tc>
        <w:tc>
          <w:tcPr>
            <w:tcW w:w="1559" w:type="dxa"/>
            <w:shd w:val="clear" w:color="auto" w:fill="FFFFFF" w:themeFill="background1"/>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0</w:t>
            </w:r>
          </w:p>
        </w:tc>
        <w:tc>
          <w:tcPr>
            <w:tcW w:w="1560" w:type="dxa"/>
            <w:shd w:val="clear" w:color="auto" w:fill="FFFFFF" w:themeFill="background1"/>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36 005</w:t>
            </w:r>
          </w:p>
        </w:tc>
        <w:tc>
          <w:tcPr>
            <w:tcW w:w="1559" w:type="dxa"/>
            <w:shd w:val="clear" w:color="auto" w:fill="FFFFFF" w:themeFill="background1"/>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30 050</w:t>
            </w:r>
          </w:p>
        </w:tc>
        <w:tc>
          <w:tcPr>
            <w:tcW w:w="2977" w:type="dxa"/>
            <w:vMerge w:val="restart"/>
            <w:shd w:val="clear" w:color="auto" w:fill="FFFFFF" w:themeFill="background1"/>
          </w:tcPr>
          <w:p w:rsidR="00EA543A" w:rsidRPr="00BE7FC3" w:rsidRDefault="00EA543A" w:rsidP="00EA543A">
            <w:pPr>
              <w:jc w:val="both"/>
              <w:rPr>
                <w:rFonts w:ascii="Times New Roman" w:eastAsia="Times New Roman" w:hAnsi="Times New Roman" w:cs="Times New Roman"/>
                <w:sz w:val="24"/>
                <w:szCs w:val="24"/>
                <w:lang w:eastAsia="sk-SK"/>
              </w:rPr>
            </w:pPr>
            <w:r w:rsidRPr="00BE7FC3">
              <w:rPr>
                <w:rFonts w:ascii="Times New Roman" w:eastAsia="Times New Roman" w:hAnsi="Times New Roman" w:cs="Times New Roman"/>
                <w:sz w:val="24"/>
                <w:szCs w:val="24"/>
                <w:lang w:eastAsia="sk-SK"/>
              </w:rPr>
              <w:t xml:space="preserve">Zmena pravidiel odpočtu daňovej straty </w:t>
            </w:r>
            <w:r>
              <w:rPr>
                <w:rFonts w:ascii="Times New Roman" w:eastAsia="Times New Roman" w:hAnsi="Times New Roman" w:cs="Times New Roman"/>
                <w:sz w:val="24"/>
                <w:szCs w:val="24"/>
                <w:lang w:eastAsia="sk-SK"/>
              </w:rPr>
              <w:t>pre ostatné firmy</w:t>
            </w:r>
          </w:p>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
                <w:bCs/>
                <w:sz w:val="24"/>
                <w:szCs w:val="24"/>
                <w:lang w:eastAsia="sk-SK"/>
              </w:rPr>
              <w:t>DPPO (112)</w:t>
            </w:r>
          </w:p>
        </w:tc>
        <w:tc>
          <w:tcPr>
            <w:tcW w:w="1417" w:type="dxa"/>
            <w:shd w:val="clear" w:color="auto" w:fill="FFFFFF" w:themeFill="background1"/>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sidRPr="00526826">
              <w:rPr>
                <w:rFonts w:ascii="Times New Roman" w:eastAsia="Times New Roman" w:hAnsi="Times New Roman" w:cs="Times New Roman"/>
                <w:b/>
                <w:bCs/>
                <w:sz w:val="24"/>
                <w:szCs w:val="20"/>
                <w:lang w:eastAsia="sk-SK"/>
              </w:rPr>
              <w:t>0</w:t>
            </w:r>
          </w:p>
        </w:tc>
        <w:tc>
          <w:tcPr>
            <w:tcW w:w="1559" w:type="dxa"/>
            <w:shd w:val="clear" w:color="auto" w:fill="FFFFFF" w:themeFill="background1"/>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0</w:t>
            </w:r>
          </w:p>
        </w:tc>
        <w:tc>
          <w:tcPr>
            <w:tcW w:w="1560" w:type="dxa"/>
            <w:shd w:val="clear" w:color="auto" w:fill="FFFFFF" w:themeFill="background1"/>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36 005</w:t>
            </w:r>
          </w:p>
        </w:tc>
        <w:tc>
          <w:tcPr>
            <w:tcW w:w="1559" w:type="dxa"/>
            <w:shd w:val="clear" w:color="auto" w:fill="FFFFFF" w:themeFill="background1"/>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30 050</w:t>
            </w:r>
          </w:p>
        </w:tc>
        <w:tc>
          <w:tcPr>
            <w:tcW w:w="2977"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417"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417"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BFBFBF" w:themeFill="background1" w:themeFillShade="BF"/>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417" w:type="dxa"/>
            <w:shd w:val="clear" w:color="auto" w:fill="BFBFBF" w:themeFill="background1" w:themeFillShade="BF"/>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0</w:t>
            </w:r>
          </w:p>
        </w:tc>
        <w:tc>
          <w:tcPr>
            <w:tcW w:w="1559" w:type="dxa"/>
            <w:shd w:val="clear" w:color="auto" w:fill="BFBFBF" w:themeFill="background1" w:themeFillShade="BF"/>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0</w:t>
            </w:r>
          </w:p>
        </w:tc>
        <w:tc>
          <w:tcPr>
            <w:tcW w:w="1560" w:type="dxa"/>
            <w:shd w:val="clear" w:color="auto" w:fill="BFBFBF" w:themeFill="background1" w:themeFillShade="BF"/>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36 005</w:t>
            </w:r>
          </w:p>
        </w:tc>
        <w:tc>
          <w:tcPr>
            <w:tcW w:w="1559" w:type="dxa"/>
            <w:shd w:val="clear" w:color="auto" w:fill="BFBFBF" w:themeFill="background1" w:themeFillShade="BF"/>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30 050</w:t>
            </w:r>
          </w:p>
        </w:tc>
        <w:tc>
          <w:tcPr>
            <w:tcW w:w="2977" w:type="dxa"/>
            <w:shd w:val="clear" w:color="auto" w:fill="BFBFBF" w:themeFill="background1" w:themeFillShade="BF"/>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bl>
    <w:p w:rsidR="00EA543A" w:rsidRDefault="00EA543A" w:rsidP="00EA543A">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EA543A" w:rsidRDefault="00EA543A" w:rsidP="00EA543A">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EA543A" w:rsidRDefault="00EA543A" w:rsidP="00EA543A">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EA543A" w:rsidRDefault="00EA543A" w:rsidP="00EA543A">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EA543A" w:rsidRDefault="00EA543A" w:rsidP="00EA543A">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EA543A" w:rsidRDefault="00EA543A" w:rsidP="00EA543A">
      <w:pPr>
        <w:tabs>
          <w:tab w:val="num" w:pos="1080"/>
        </w:tabs>
        <w:spacing w:after="0" w:line="240" w:lineRule="auto"/>
        <w:ind w:right="-32"/>
        <w:jc w:val="right"/>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Tabuľka č. 3.5.</w:t>
      </w:r>
    </w:p>
    <w:tbl>
      <w:tblPr>
        <w:tblStyle w:val="Mriekatabuky"/>
        <w:tblW w:w="14029" w:type="dxa"/>
        <w:tblLook w:val="04A0" w:firstRow="1" w:lastRow="0" w:firstColumn="1" w:lastColumn="0" w:noHBand="0" w:noVBand="1"/>
      </w:tblPr>
      <w:tblGrid>
        <w:gridCol w:w="4957"/>
        <w:gridCol w:w="1417"/>
        <w:gridCol w:w="1559"/>
        <w:gridCol w:w="1560"/>
        <w:gridCol w:w="1559"/>
        <w:gridCol w:w="2977"/>
      </w:tblGrid>
      <w:tr w:rsidR="00EA543A" w:rsidTr="00EA543A">
        <w:tc>
          <w:tcPr>
            <w:tcW w:w="4957" w:type="dxa"/>
            <w:vMerge w:val="restart"/>
            <w:shd w:val="clear" w:color="auto" w:fill="BFBFBF" w:themeFill="background1" w:themeFillShade="BF"/>
            <w:vAlign w:val="center"/>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Príjmy (v</w:t>
            </w:r>
            <w:r>
              <w:rPr>
                <w:rFonts w:ascii="Times New Roman" w:eastAsia="Times New Roman" w:hAnsi="Times New Roman" w:cs="Times New Roman"/>
                <w:b/>
                <w:bCs/>
                <w:sz w:val="24"/>
                <w:szCs w:val="24"/>
                <w:lang w:eastAsia="sk-SK"/>
              </w:rPr>
              <w:t xml:space="preserve"> tis.</w:t>
            </w:r>
            <w:r w:rsidRPr="007D5748">
              <w:rPr>
                <w:rFonts w:ascii="Times New Roman" w:eastAsia="Times New Roman" w:hAnsi="Times New Roman" w:cs="Times New Roman"/>
                <w:b/>
                <w:bCs/>
                <w:sz w:val="24"/>
                <w:szCs w:val="24"/>
                <w:lang w:eastAsia="sk-SK"/>
              </w:rPr>
              <w:t xml:space="preserve"> eur)</w:t>
            </w:r>
          </w:p>
        </w:tc>
        <w:tc>
          <w:tcPr>
            <w:tcW w:w="6095" w:type="dxa"/>
            <w:gridSpan w:val="4"/>
            <w:shd w:val="clear" w:color="auto" w:fill="BFBFBF" w:themeFill="background1" w:themeFillShade="BF"/>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Vplyv na rozpočet verejnej správy</w:t>
            </w:r>
          </w:p>
        </w:tc>
        <w:tc>
          <w:tcPr>
            <w:tcW w:w="2977" w:type="dxa"/>
            <w:shd w:val="clear" w:color="auto" w:fill="BFBFBF" w:themeFill="background1" w:themeFillShade="BF"/>
            <w:vAlign w:val="center"/>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poznámka</w:t>
            </w:r>
          </w:p>
        </w:tc>
      </w:tr>
      <w:tr w:rsidR="00EA543A" w:rsidTr="00EA543A">
        <w:tc>
          <w:tcPr>
            <w:tcW w:w="4957" w:type="dxa"/>
            <w:vMerge/>
            <w:shd w:val="clear" w:color="auto" w:fill="BFBFBF" w:themeFill="background1" w:themeFillShade="BF"/>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417" w:type="dxa"/>
            <w:shd w:val="clear" w:color="auto" w:fill="BFBFBF" w:themeFill="background1" w:themeFillShade="BF"/>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2019</w:t>
            </w:r>
          </w:p>
        </w:tc>
        <w:tc>
          <w:tcPr>
            <w:tcW w:w="1559" w:type="dxa"/>
            <w:shd w:val="clear" w:color="auto" w:fill="BFBFBF" w:themeFill="background1" w:themeFillShade="BF"/>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2020</w:t>
            </w:r>
          </w:p>
        </w:tc>
        <w:tc>
          <w:tcPr>
            <w:tcW w:w="1560" w:type="dxa"/>
            <w:shd w:val="clear" w:color="auto" w:fill="BFBFBF" w:themeFill="background1" w:themeFillShade="BF"/>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2021</w:t>
            </w:r>
          </w:p>
        </w:tc>
        <w:tc>
          <w:tcPr>
            <w:tcW w:w="1559" w:type="dxa"/>
            <w:shd w:val="clear" w:color="auto" w:fill="BFBFBF" w:themeFill="background1" w:themeFillShade="BF"/>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2022</w:t>
            </w:r>
          </w:p>
        </w:tc>
        <w:tc>
          <w:tcPr>
            <w:tcW w:w="2977" w:type="dxa"/>
            <w:shd w:val="clear" w:color="auto" w:fill="BFBFBF" w:themeFill="background1" w:themeFillShade="BF"/>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sidRPr="00526826">
              <w:rPr>
                <w:rFonts w:ascii="Times New Roman" w:eastAsia="Times New Roman" w:hAnsi="Times New Roman" w:cs="Times New Roman"/>
                <w:b/>
                <w:bCs/>
                <w:sz w:val="24"/>
                <w:szCs w:val="20"/>
                <w:lang w:eastAsia="sk-SK"/>
              </w:rPr>
              <w:t>0</w:t>
            </w:r>
          </w:p>
        </w:tc>
        <w:tc>
          <w:tcPr>
            <w:tcW w:w="1559" w:type="dxa"/>
            <w:shd w:val="clear" w:color="auto" w:fill="FFFFFF" w:themeFill="background1"/>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0</w:t>
            </w:r>
          </w:p>
        </w:tc>
        <w:tc>
          <w:tcPr>
            <w:tcW w:w="1560" w:type="dxa"/>
            <w:shd w:val="clear" w:color="auto" w:fill="FFFFFF" w:themeFill="background1"/>
            <w:vAlign w:val="bottom"/>
          </w:tcPr>
          <w:p w:rsidR="00EA543A" w:rsidRPr="006F1FD4" w:rsidRDefault="00EA543A" w:rsidP="00EA543A">
            <w:pPr>
              <w:tabs>
                <w:tab w:val="num" w:pos="1080"/>
              </w:tabs>
              <w:jc w:val="center"/>
              <w:rPr>
                <w:rFonts w:ascii="Times New Roman" w:eastAsia="Times New Roman" w:hAnsi="Times New Roman" w:cs="Times New Roman"/>
                <w:b/>
                <w:bCs/>
                <w:sz w:val="24"/>
                <w:szCs w:val="20"/>
                <w:lang w:eastAsia="sk-SK"/>
              </w:rPr>
            </w:pPr>
            <w:r w:rsidRPr="006F1FD4">
              <w:rPr>
                <w:rFonts w:ascii="Times New Roman" w:eastAsia="Times New Roman" w:hAnsi="Times New Roman" w:cs="Times New Roman"/>
                <w:b/>
                <w:bCs/>
                <w:sz w:val="24"/>
                <w:szCs w:val="20"/>
                <w:lang w:eastAsia="sk-SK"/>
              </w:rPr>
              <w:t>-15 028</w:t>
            </w:r>
          </w:p>
        </w:tc>
        <w:tc>
          <w:tcPr>
            <w:tcW w:w="1559" w:type="dxa"/>
            <w:shd w:val="clear" w:color="auto" w:fill="FFFFFF" w:themeFill="background1"/>
            <w:vAlign w:val="bottom"/>
          </w:tcPr>
          <w:p w:rsidR="00EA543A" w:rsidRPr="006F1FD4" w:rsidRDefault="00EA543A" w:rsidP="00EA543A">
            <w:pPr>
              <w:tabs>
                <w:tab w:val="num" w:pos="1080"/>
              </w:tabs>
              <w:jc w:val="center"/>
              <w:rPr>
                <w:rFonts w:ascii="Times New Roman" w:eastAsia="Times New Roman" w:hAnsi="Times New Roman" w:cs="Times New Roman"/>
                <w:b/>
                <w:bCs/>
                <w:sz w:val="24"/>
                <w:szCs w:val="20"/>
                <w:lang w:eastAsia="sk-SK"/>
              </w:rPr>
            </w:pPr>
            <w:r w:rsidRPr="006F1FD4">
              <w:rPr>
                <w:rFonts w:ascii="Times New Roman" w:eastAsia="Times New Roman" w:hAnsi="Times New Roman" w:cs="Times New Roman"/>
                <w:b/>
                <w:bCs/>
                <w:sz w:val="24"/>
                <w:szCs w:val="20"/>
                <w:lang w:eastAsia="sk-SK"/>
              </w:rPr>
              <w:t>-14 645</w:t>
            </w:r>
          </w:p>
        </w:tc>
        <w:tc>
          <w:tcPr>
            <w:tcW w:w="2977" w:type="dxa"/>
            <w:vMerge w:val="restart"/>
            <w:shd w:val="clear" w:color="auto" w:fill="FFFFFF" w:themeFill="background1"/>
          </w:tcPr>
          <w:p w:rsidR="00EA543A" w:rsidRPr="000B428C" w:rsidRDefault="00EA543A" w:rsidP="00EA543A">
            <w:pPr>
              <w:jc w:val="both"/>
              <w:rPr>
                <w:rFonts w:ascii="Times New Roman" w:eastAsia="Times New Roman" w:hAnsi="Times New Roman" w:cs="Times New Roman"/>
                <w:sz w:val="24"/>
                <w:szCs w:val="24"/>
                <w:lang w:eastAsia="sk-SK"/>
              </w:rPr>
            </w:pPr>
            <w:r w:rsidRPr="000B428C">
              <w:rPr>
                <w:rFonts w:ascii="Times New Roman" w:eastAsia="Times New Roman" w:hAnsi="Times New Roman" w:cs="Times New Roman"/>
                <w:sz w:val="24"/>
                <w:szCs w:val="24"/>
                <w:lang w:eastAsia="sk-SK"/>
              </w:rPr>
              <w:t>Zavedenie nových podmienok na odpisovanie hmotného majetku u </w:t>
            </w:r>
            <w:proofErr w:type="spellStart"/>
            <w:r w:rsidRPr="000B428C">
              <w:rPr>
                <w:rFonts w:ascii="Times New Roman" w:eastAsia="Times New Roman" w:hAnsi="Times New Roman" w:cs="Times New Roman"/>
                <w:sz w:val="24"/>
                <w:szCs w:val="24"/>
                <w:lang w:eastAsia="sk-SK"/>
              </w:rPr>
              <w:t>mikrodaňovníkov</w:t>
            </w:r>
            <w:proofErr w:type="spellEnd"/>
          </w:p>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
                <w:bCs/>
                <w:sz w:val="24"/>
                <w:szCs w:val="24"/>
                <w:lang w:eastAsia="sk-SK"/>
              </w:rPr>
              <w:t>DPPO (112)</w:t>
            </w:r>
          </w:p>
        </w:tc>
        <w:tc>
          <w:tcPr>
            <w:tcW w:w="1417" w:type="dxa"/>
            <w:shd w:val="clear" w:color="auto" w:fill="FFFFFF" w:themeFill="background1"/>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sidRPr="00526826">
              <w:rPr>
                <w:rFonts w:ascii="Times New Roman" w:eastAsia="Times New Roman" w:hAnsi="Times New Roman" w:cs="Times New Roman"/>
                <w:b/>
                <w:bCs/>
                <w:sz w:val="24"/>
                <w:szCs w:val="20"/>
                <w:lang w:eastAsia="sk-SK"/>
              </w:rPr>
              <w:t>0</w:t>
            </w:r>
          </w:p>
        </w:tc>
        <w:tc>
          <w:tcPr>
            <w:tcW w:w="1559" w:type="dxa"/>
            <w:shd w:val="clear" w:color="auto" w:fill="FFFFFF" w:themeFill="background1"/>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0</w:t>
            </w:r>
          </w:p>
        </w:tc>
        <w:tc>
          <w:tcPr>
            <w:tcW w:w="1560" w:type="dxa"/>
            <w:shd w:val="clear" w:color="auto" w:fill="FFFFFF" w:themeFill="background1"/>
            <w:vAlign w:val="bottom"/>
          </w:tcPr>
          <w:p w:rsidR="00EA543A" w:rsidRPr="006F1FD4" w:rsidRDefault="00EA543A" w:rsidP="00EA543A">
            <w:pPr>
              <w:tabs>
                <w:tab w:val="num" w:pos="1080"/>
              </w:tabs>
              <w:jc w:val="center"/>
              <w:rPr>
                <w:rFonts w:ascii="Times New Roman" w:eastAsia="Times New Roman" w:hAnsi="Times New Roman" w:cs="Times New Roman"/>
                <w:b/>
                <w:bCs/>
                <w:sz w:val="24"/>
                <w:szCs w:val="20"/>
                <w:lang w:eastAsia="sk-SK"/>
              </w:rPr>
            </w:pPr>
            <w:r w:rsidRPr="006F1FD4">
              <w:rPr>
                <w:rFonts w:ascii="Times New Roman" w:eastAsia="Times New Roman" w:hAnsi="Times New Roman" w:cs="Times New Roman"/>
                <w:b/>
                <w:bCs/>
                <w:sz w:val="24"/>
                <w:szCs w:val="20"/>
                <w:lang w:eastAsia="sk-SK"/>
              </w:rPr>
              <w:t>-15 028</w:t>
            </w:r>
          </w:p>
        </w:tc>
        <w:tc>
          <w:tcPr>
            <w:tcW w:w="1559" w:type="dxa"/>
            <w:shd w:val="clear" w:color="auto" w:fill="FFFFFF" w:themeFill="background1"/>
            <w:vAlign w:val="bottom"/>
          </w:tcPr>
          <w:p w:rsidR="00EA543A" w:rsidRPr="006F1FD4" w:rsidRDefault="00EA543A" w:rsidP="00EA543A">
            <w:pPr>
              <w:tabs>
                <w:tab w:val="num" w:pos="1080"/>
              </w:tabs>
              <w:jc w:val="center"/>
              <w:rPr>
                <w:rFonts w:ascii="Times New Roman" w:eastAsia="Times New Roman" w:hAnsi="Times New Roman" w:cs="Times New Roman"/>
                <w:b/>
                <w:bCs/>
                <w:sz w:val="24"/>
                <w:szCs w:val="20"/>
                <w:lang w:eastAsia="sk-SK"/>
              </w:rPr>
            </w:pPr>
            <w:r w:rsidRPr="006F1FD4">
              <w:rPr>
                <w:rFonts w:ascii="Times New Roman" w:eastAsia="Times New Roman" w:hAnsi="Times New Roman" w:cs="Times New Roman"/>
                <w:b/>
                <w:bCs/>
                <w:sz w:val="24"/>
                <w:szCs w:val="20"/>
                <w:lang w:eastAsia="sk-SK"/>
              </w:rPr>
              <w:t>-14 645</w:t>
            </w:r>
          </w:p>
        </w:tc>
        <w:tc>
          <w:tcPr>
            <w:tcW w:w="2977"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FF" w:themeFill="background1"/>
          </w:tcPr>
          <w:p w:rsidR="00EA543A" w:rsidRPr="006F1FD4" w:rsidRDefault="00EA543A" w:rsidP="00EA543A">
            <w:pPr>
              <w:tabs>
                <w:tab w:val="num" w:pos="1080"/>
              </w:tabs>
              <w:jc w:val="center"/>
              <w:rPr>
                <w:rFonts w:ascii="Times New Roman" w:eastAsia="Times New Roman" w:hAnsi="Times New Roman" w:cs="Times New Roman"/>
                <w:b/>
                <w:bCs/>
                <w:sz w:val="24"/>
                <w:szCs w:val="20"/>
                <w:lang w:eastAsia="sk-SK"/>
              </w:rPr>
            </w:pPr>
          </w:p>
        </w:tc>
        <w:tc>
          <w:tcPr>
            <w:tcW w:w="1559" w:type="dxa"/>
            <w:shd w:val="clear" w:color="auto" w:fill="FFFFFF" w:themeFill="background1"/>
          </w:tcPr>
          <w:p w:rsidR="00EA543A" w:rsidRPr="006F1FD4" w:rsidRDefault="00EA543A" w:rsidP="00EA543A">
            <w:pPr>
              <w:tabs>
                <w:tab w:val="num" w:pos="1080"/>
              </w:tabs>
              <w:jc w:val="center"/>
              <w:rPr>
                <w:rFonts w:ascii="Times New Roman" w:eastAsia="Times New Roman" w:hAnsi="Times New Roman" w:cs="Times New Roman"/>
                <w:b/>
                <w:bCs/>
                <w:sz w:val="24"/>
                <w:szCs w:val="20"/>
                <w:lang w:eastAsia="sk-SK"/>
              </w:rPr>
            </w:pPr>
          </w:p>
        </w:tc>
        <w:tc>
          <w:tcPr>
            <w:tcW w:w="2977"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FF" w:themeFill="background1"/>
          </w:tcPr>
          <w:p w:rsidR="00EA543A" w:rsidRPr="006F1FD4" w:rsidRDefault="00EA543A" w:rsidP="00EA543A">
            <w:pPr>
              <w:tabs>
                <w:tab w:val="num" w:pos="1080"/>
              </w:tabs>
              <w:jc w:val="center"/>
              <w:rPr>
                <w:rFonts w:ascii="Times New Roman" w:eastAsia="Times New Roman" w:hAnsi="Times New Roman" w:cs="Times New Roman"/>
                <w:b/>
                <w:bCs/>
                <w:sz w:val="24"/>
                <w:szCs w:val="20"/>
                <w:lang w:eastAsia="sk-SK"/>
              </w:rPr>
            </w:pPr>
          </w:p>
        </w:tc>
        <w:tc>
          <w:tcPr>
            <w:tcW w:w="1559" w:type="dxa"/>
            <w:shd w:val="clear" w:color="auto" w:fill="FFFFFF" w:themeFill="background1"/>
          </w:tcPr>
          <w:p w:rsidR="00EA543A" w:rsidRPr="006F1FD4" w:rsidRDefault="00EA543A" w:rsidP="00EA543A">
            <w:pPr>
              <w:tabs>
                <w:tab w:val="num" w:pos="1080"/>
              </w:tabs>
              <w:jc w:val="center"/>
              <w:rPr>
                <w:rFonts w:ascii="Times New Roman" w:eastAsia="Times New Roman" w:hAnsi="Times New Roman" w:cs="Times New Roman"/>
                <w:b/>
                <w:bCs/>
                <w:sz w:val="24"/>
                <w:szCs w:val="20"/>
                <w:lang w:eastAsia="sk-SK"/>
              </w:rPr>
            </w:pPr>
          </w:p>
        </w:tc>
        <w:tc>
          <w:tcPr>
            <w:tcW w:w="2977"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417"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99"/>
          </w:tcPr>
          <w:p w:rsidR="00EA543A" w:rsidRPr="006F1FD4" w:rsidRDefault="00EA543A" w:rsidP="00EA543A">
            <w:pPr>
              <w:tabs>
                <w:tab w:val="num" w:pos="1080"/>
              </w:tabs>
              <w:jc w:val="center"/>
              <w:rPr>
                <w:rFonts w:ascii="Times New Roman" w:eastAsia="Times New Roman" w:hAnsi="Times New Roman" w:cs="Times New Roman"/>
                <w:b/>
                <w:bCs/>
                <w:sz w:val="24"/>
                <w:szCs w:val="20"/>
                <w:lang w:eastAsia="sk-SK"/>
              </w:rPr>
            </w:pPr>
          </w:p>
        </w:tc>
        <w:tc>
          <w:tcPr>
            <w:tcW w:w="1559" w:type="dxa"/>
            <w:shd w:val="clear" w:color="auto" w:fill="FFFF99"/>
          </w:tcPr>
          <w:p w:rsidR="00EA543A" w:rsidRPr="006F1FD4" w:rsidRDefault="00EA543A" w:rsidP="00EA543A">
            <w:pPr>
              <w:tabs>
                <w:tab w:val="num" w:pos="1080"/>
              </w:tabs>
              <w:jc w:val="center"/>
              <w:rPr>
                <w:rFonts w:ascii="Times New Roman" w:eastAsia="Times New Roman" w:hAnsi="Times New Roman" w:cs="Times New Roman"/>
                <w:b/>
                <w:bCs/>
                <w:sz w:val="24"/>
                <w:szCs w:val="20"/>
                <w:lang w:eastAsia="sk-SK"/>
              </w:rPr>
            </w:pPr>
          </w:p>
        </w:tc>
        <w:tc>
          <w:tcPr>
            <w:tcW w:w="2977"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417"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99"/>
          </w:tcPr>
          <w:p w:rsidR="00EA543A" w:rsidRPr="006F1FD4" w:rsidRDefault="00EA543A" w:rsidP="00EA543A">
            <w:pPr>
              <w:tabs>
                <w:tab w:val="num" w:pos="1080"/>
              </w:tabs>
              <w:jc w:val="center"/>
              <w:rPr>
                <w:rFonts w:ascii="Times New Roman" w:eastAsia="Times New Roman" w:hAnsi="Times New Roman" w:cs="Times New Roman"/>
                <w:b/>
                <w:bCs/>
                <w:sz w:val="24"/>
                <w:szCs w:val="20"/>
                <w:lang w:eastAsia="sk-SK"/>
              </w:rPr>
            </w:pPr>
          </w:p>
        </w:tc>
        <w:tc>
          <w:tcPr>
            <w:tcW w:w="1559" w:type="dxa"/>
            <w:shd w:val="clear" w:color="auto" w:fill="FFFF99"/>
          </w:tcPr>
          <w:p w:rsidR="00EA543A" w:rsidRPr="006F1FD4" w:rsidRDefault="00EA543A" w:rsidP="00EA543A">
            <w:pPr>
              <w:tabs>
                <w:tab w:val="num" w:pos="1080"/>
              </w:tabs>
              <w:jc w:val="center"/>
              <w:rPr>
                <w:rFonts w:ascii="Times New Roman" w:eastAsia="Times New Roman" w:hAnsi="Times New Roman" w:cs="Times New Roman"/>
                <w:b/>
                <w:bCs/>
                <w:sz w:val="24"/>
                <w:szCs w:val="20"/>
                <w:lang w:eastAsia="sk-SK"/>
              </w:rPr>
            </w:pPr>
          </w:p>
        </w:tc>
        <w:tc>
          <w:tcPr>
            <w:tcW w:w="2977"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BFBFBF" w:themeFill="background1" w:themeFillShade="BF"/>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417" w:type="dxa"/>
            <w:shd w:val="clear" w:color="auto" w:fill="BFBFBF" w:themeFill="background1" w:themeFillShade="BF"/>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0</w:t>
            </w:r>
          </w:p>
        </w:tc>
        <w:tc>
          <w:tcPr>
            <w:tcW w:w="1559" w:type="dxa"/>
            <w:shd w:val="clear" w:color="auto" w:fill="BFBFBF" w:themeFill="background1" w:themeFillShade="BF"/>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0</w:t>
            </w:r>
          </w:p>
        </w:tc>
        <w:tc>
          <w:tcPr>
            <w:tcW w:w="1560" w:type="dxa"/>
            <w:shd w:val="clear" w:color="auto" w:fill="BFBFBF" w:themeFill="background1" w:themeFillShade="BF"/>
            <w:vAlign w:val="bottom"/>
          </w:tcPr>
          <w:p w:rsidR="00EA543A" w:rsidRPr="006F1FD4" w:rsidRDefault="00EA543A" w:rsidP="00EA543A">
            <w:pPr>
              <w:tabs>
                <w:tab w:val="num" w:pos="1080"/>
              </w:tabs>
              <w:jc w:val="center"/>
              <w:rPr>
                <w:rFonts w:ascii="Times New Roman" w:eastAsia="Times New Roman" w:hAnsi="Times New Roman" w:cs="Times New Roman"/>
                <w:b/>
                <w:bCs/>
                <w:sz w:val="24"/>
                <w:szCs w:val="20"/>
                <w:lang w:eastAsia="sk-SK"/>
              </w:rPr>
            </w:pPr>
            <w:r w:rsidRPr="006F1FD4">
              <w:rPr>
                <w:rFonts w:ascii="Times New Roman" w:eastAsia="Times New Roman" w:hAnsi="Times New Roman" w:cs="Times New Roman"/>
                <w:b/>
                <w:bCs/>
                <w:sz w:val="24"/>
                <w:szCs w:val="20"/>
                <w:lang w:eastAsia="sk-SK"/>
              </w:rPr>
              <w:t>-15 028</w:t>
            </w:r>
          </w:p>
        </w:tc>
        <w:tc>
          <w:tcPr>
            <w:tcW w:w="1559" w:type="dxa"/>
            <w:shd w:val="clear" w:color="auto" w:fill="BFBFBF" w:themeFill="background1" w:themeFillShade="BF"/>
            <w:vAlign w:val="bottom"/>
          </w:tcPr>
          <w:p w:rsidR="00EA543A" w:rsidRPr="006F1FD4" w:rsidRDefault="00EA543A" w:rsidP="00EA543A">
            <w:pPr>
              <w:tabs>
                <w:tab w:val="num" w:pos="1080"/>
              </w:tabs>
              <w:jc w:val="center"/>
              <w:rPr>
                <w:rFonts w:ascii="Times New Roman" w:eastAsia="Times New Roman" w:hAnsi="Times New Roman" w:cs="Times New Roman"/>
                <w:b/>
                <w:bCs/>
                <w:sz w:val="24"/>
                <w:szCs w:val="20"/>
                <w:lang w:eastAsia="sk-SK"/>
              </w:rPr>
            </w:pPr>
            <w:r w:rsidRPr="006F1FD4">
              <w:rPr>
                <w:rFonts w:ascii="Times New Roman" w:eastAsia="Times New Roman" w:hAnsi="Times New Roman" w:cs="Times New Roman"/>
                <w:b/>
                <w:bCs/>
                <w:sz w:val="24"/>
                <w:szCs w:val="20"/>
                <w:lang w:eastAsia="sk-SK"/>
              </w:rPr>
              <w:t>-14 645</w:t>
            </w:r>
          </w:p>
        </w:tc>
        <w:tc>
          <w:tcPr>
            <w:tcW w:w="2977" w:type="dxa"/>
            <w:shd w:val="clear" w:color="auto" w:fill="BFBFBF" w:themeFill="background1" w:themeFillShade="BF"/>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bl>
    <w:p w:rsidR="00EA543A" w:rsidRDefault="00EA543A" w:rsidP="00EA543A">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EA543A" w:rsidRDefault="00EA543A" w:rsidP="00EA543A">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EA543A" w:rsidRDefault="00EA543A" w:rsidP="00EA543A">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EA543A" w:rsidRDefault="00EA543A" w:rsidP="00EA543A">
      <w:pPr>
        <w:tabs>
          <w:tab w:val="num" w:pos="1080"/>
        </w:tabs>
        <w:spacing w:after="0" w:line="240" w:lineRule="auto"/>
        <w:ind w:right="-32"/>
        <w:jc w:val="right"/>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Tabuľka č. 3.6.</w:t>
      </w:r>
    </w:p>
    <w:tbl>
      <w:tblPr>
        <w:tblStyle w:val="Mriekatabuky"/>
        <w:tblW w:w="14029" w:type="dxa"/>
        <w:tblLook w:val="04A0" w:firstRow="1" w:lastRow="0" w:firstColumn="1" w:lastColumn="0" w:noHBand="0" w:noVBand="1"/>
      </w:tblPr>
      <w:tblGrid>
        <w:gridCol w:w="4957"/>
        <w:gridCol w:w="1417"/>
        <w:gridCol w:w="1559"/>
        <w:gridCol w:w="1560"/>
        <w:gridCol w:w="1559"/>
        <w:gridCol w:w="2977"/>
      </w:tblGrid>
      <w:tr w:rsidR="00EA543A" w:rsidTr="00EA543A">
        <w:tc>
          <w:tcPr>
            <w:tcW w:w="4957" w:type="dxa"/>
            <w:vMerge w:val="restart"/>
            <w:shd w:val="clear" w:color="auto" w:fill="BFBFBF" w:themeFill="background1" w:themeFillShade="BF"/>
            <w:vAlign w:val="center"/>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Príjmy (v</w:t>
            </w:r>
            <w:r>
              <w:rPr>
                <w:rFonts w:ascii="Times New Roman" w:eastAsia="Times New Roman" w:hAnsi="Times New Roman" w:cs="Times New Roman"/>
                <w:b/>
                <w:bCs/>
                <w:sz w:val="24"/>
                <w:szCs w:val="24"/>
                <w:lang w:eastAsia="sk-SK"/>
              </w:rPr>
              <w:t xml:space="preserve"> tis.</w:t>
            </w:r>
            <w:r w:rsidRPr="007D5748">
              <w:rPr>
                <w:rFonts w:ascii="Times New Roman" w:eastAsia="Times New Roman" w:hAnsi="Times New Roman" w:cs="Times New Roman"/>
                <w:b/>
                <w:bCs/>
                <w:sz w:val="24"/>
                <w:szCs w:val="24"/>
                <w:lang w:eastAsia="sk-SK"/>
              </w:rPr>
              <w:t xml:space="preserve"> eur)</w:t>
            </w:r>
          </w:p>
        </w:tc>
        <w:tc>
          <w:tcPr>
            <w:tcW w:w="6095" w:type="dxa"/>
            <w:gridSpan w:val="4"/>
            <w:shd w:val="clear" w:color="auto" w:fill="BFBFBF" w:themeFill="background1" w:themeFillShade="BF"/>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Vplyv na rozpočet verejnej správy</w:t>
            </w:r>
          </w:p>
        </w:tc>
        <w:tc>
          <w:tcPr>
            <w:tcW w:w="2977" w:type="dxa"/>
            <w:shd w:val="clear" w:color="auto" w:fill="BFBFBF" w:themeFill="background1" w:themeFillShade="BF"/>
            <w:vAlign w:val="center"/>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poznámka</w:t>
            </w:r>
          </w:p>
        </w:tc>
      </w:tr>
      <w:tr w:rsidR="00EA543A" w:rsidTr="00EA543A">
        <w:tc>
          <w:tcPr>
            <w:tcW w:w="4957" w:type="dxa"/>
            <w:vMerge/>
            <w:shd w:val="clear" w:color="auto" w:fill="BFBFBF" w:themeFill="background1" w:themeFillShade="BF"/>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417" w:type="dxa"/>
            <w:shd w:val="clear" w:color="auto" w:fill="BFBFBF" w:themeFill="background1" w:themeFillShade="BF"/>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2019</w:t>
            </w:r>
          </w:p>
        </w:tc>
        <w:tc>
          <w:tcPr>
            <w:tcW w:w="1559" w:type="dxa"/>
            <w:shd w:val="clear" w:color="auto" w:fill="BFBFBF" w:themeFill="background1" w:themeFillShade="BF"/>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2020</w:t>
            </w:r>
          </w:p>
        </w:tc>
        <w:tc>
          <w:tcPr>
            <w:tcW w:w="1560" w:type="dxa"/>
            <w:shd w:val="clear" w:color="auto" w:fill="BFBFBF" w:themeFill="background1" w:themeFillShade="BF"/>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2021</w:t>
            </w:r>
          </w:p>
        </w:tc>
        <w:tc>
          <w:tcPr>
            <w:tcW w:w="1559" w:type="dxa"/>
            <w:shd w:val="clear" w:color="auto" w:fill="BFBFBF" w:themeFill="background1" w:themeFillShade="BF"/>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2022</w:t>
            </w:r>
          </w:p>
        </w:tc>
        <w:tc>
          <w:tcPr>
            <w:tcW w:w="2977" w:type="dxa"/>
            <w:shd w:val="clear" w:color="auto" w:fill="BFBFBF" w:themeFill="background1" w:themeFillShade="BF"/>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-6</w:t>
            </w:r>
            <w:r>
              <w:rPr>
                <w:rFonts w:ascii="Times New Roman" w:eastAsia="Times New Roman" w:hAnsi="Times New Roman" w:cs="Times New Roman"/>
                <w:b/>
                <w:bCs/>
                <w:sz w:val="24"/>
                <w:szCs w:val="20"/>
                <w:lang w:eastAsia="sk-SK"/>
              </w:rPr>
              <w:t xml:space="preserve"> </w:t>
            </w:r>
            <w:r w:rsidRPr="00A10DEC">
              <w:rPr>
                <w:rFonts w:ascii="Times New Roman" w:eastAsia="Times New Roman" w:hAnsi="Times New Roman" w:cs="Times New Roman"/>
                <w:b/>
                <w:bCs/>
                <w:sz w:val="24"/>
                <w:szCs w:val="20"/>
                <w:lang w:eastAsia="sk-SK"/>
              </w:rPr>
              <w:t>775</w:t>
            </w:r>
          </w:p>
        </w:tc>
        <w:tc>
          <w:tcPr>
            <w:tcW w:w="1559" w:type="dxa"/>
            <w:shd w:val="clear" w:color="auto" w:fill="FFFFFF" w:themeFill="background1"/>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-16</w:t>
            </w:r>
            <w:r>
              <w:rPr>
                <w:rFonts w:ascii="Times New Roman" w:eastAsia="Times New Roman" w:hAnsi="Times New Roman" w:cs="Times New Roman"/>
                <w:b/>
                <w:bCs/>
                <w:sz w:val="24"/>
                <w:szCs w:val="20"/>
                <w:lang w:eastAsia="sk-SK"/>
              </w:rPr>
              <w:t xml:space="preserve"> </w:t>
            </w:r>
            <w:r w:rsidRPr="00A10DEC">
              <w:rPr>
                <w:rFonts w:ascii="Times New Roman" w:eastAsia="Times New Roman" w:hAnsi="Times New Roman" w:cs="Times New Roman"/>
                <w:b/>
                <w:bCs/>
                <w:sz w:val="24"/>
                <w:szCs w:val="20"/>
                <w:lang w:eastAsia="sk-SK"/>
              </w:rPr>
              <w:t>697</w:t>
            </w:r>
          </w:p>
        </w:tc>
        <w:tc>
          <w:tcPr>
            <w:tcW w:w="1560" w:type="dxa"/>
            <w:shd w:val="clear" w:color="auto" w:fill="FFFFFF" w:themeFill="background1"/>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-15</w:t>
            </w:r>
            <w:r>
              <w:rPr>
                <w:rFonts w:ascii="Times New Roman" w:eastAsia="Times New Roman" w:hAnsi="Times New Roman" w:cs="Times New Roman"/>
                <w:b/>
                <w:bCs/>
                <w:sz w:val="24"/>
                <w:szCs w:val="20"/>
                <w:lang w:eastAsia="sk-SK"/>
              </w:rPr>
              <w:t xml:space="preserve"> </w:t>
            </w:r>
            <w:r w:rsidRPr="00A10DEC">
              <w:rPr>
                <w:rFonts w:ascii="Times New Roman" w:eastAsia="Times New Roman" w:hAnsi="Times New Roman" w:cs="Times New Roman"/>
                <w:b/>
                <w:bCs/>
                <w:sz w:val="24"/>
                <w:szCs w:val="20"/>
                <w:lang w:eastAsia="sk-SK"/>
              </w:rPr>
              <w:t>487</w:t>
            </w:r>
          </w:p>
        </w:tc>
        <w:tc>
          <w:tcPr>
            <w:tcW w:w="1559" w:type="dxa"/>
            <w:shd w:val="clear" w:color="auto" w:fill="FFFFFF" w:themeFill="background1"/>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-9</w:t>
            </w:r>
            <w:r>
              <w:rPr>
                <w:rFonts w:ascii="Times New Roman" w:eastAsia="Times New Roman" w:hAnsi="Times New Roman" w:cs="Times New Roman"/>
                <w:b/>
                <w:bCs/>
                <w:sz w:val="24"/>
                <w:szCs w:val="20"/>
                <w:lang w:eastAsia="sk-SK"/>
              </w:rPr>
              <w:t xml:space="preserve"> </w:t>
            </w:r>
            <w:r w:rsidRPr="00A10DEC">
              <w:rPr>
                <w:rFonts w:ascii="Times New Roman" w:eastAsia="Times New Roman" w:hAnsi="Times New Roman" w:cs="Times New Roman"/>
                <w:b/>
                <w:bCs/>
                <w:sz w:val="24"/>
                <w:szCs w:val="20"/>
                <w:lang w:eastAsia="sk-SK"/>
              </w:rPr>
              <w:t>261</w:t>
            </w:r>
          </w:p>
        </w:tc>
        <w:tc>
          <w:tcPr>
            <w:tcW w:w="2977" w:type="dxa"/>
            <w:vMerge w:val="restart"/>
            <w:shd w:val="clear" w:color="auto" w:fill="FFFFFF" w:themeFill="background1"/>
          </w:tcPr>
          <w:p w:rsidR="00EA543A" w:rsidRPr="000B428C" w:rsidRDefault="00EA543A" w:rsidP="00EA543A">
            <w:pPr>
              <w:jc w:val="both"/>
              <w:rPr>
                <w:rFonts w:ascii="Times New Roman" w:eastAsia="Times New Roman" w:hAnsi="Times New Roman" w:cs="Times New Roman"/>
                <w:sz w:val="24"/>
                <w:szCs w:val="24"/>
                <w:lang w:eastAsia="sk-SK"/>
              </w:rPr>
            </w:pPr>
            <w:r w:rsidRPr="000B428C">
              <w:rPr>
                <w:rFonts w:ascii="Times New Roman" w:eastAsia="Times New Roman" w:hAnsi="Times New Roman" w:cs="Times New Roman"/>
                <w:sz w:val="24"/>
                <w:szCs w:val="24"/>
                <w:lang w:eastAsia="sk-SK"/>
              </w:rPr>
              <w:t xml:space="preserve">Podpora </w:t>
            </w:r>
            <w:proofErr w:type="spellStart"/>
            <w:r w:rsidRPr="000B428C">
              <w:rPr>
                <w:rFonts w:ascii="Times New Roman" w:eastAsia="Times New Roman" w:hAnsi="Times New Roman" w:cs="Times New Roman"/>
                <w:sz w:val="24"/>
                <w:szCs w:val="24"/>
                <w:lang w:eastAsia="sk-SK"/>
              </w:rPr>
              <w:t>elektromobility</w:t>
            </w:r>
            <w:proofErr w:type="spellEnd"/>
            <w:r w:rsidRPr="000B428C">
              <w:rPr>
                <w:rFonts w:ascii="Times New Roman" w:eastAsia="Times New Roman" w:hAnsi="Times New Roman" w:cs="Times New Roman"/>
                <w:sz w:val="24"/>
                <w:szCs w:val="24"/>
                <w:lang w:eastAsia="sk-SK"/>
              </w:rPr>
              <w:t xml:space="preserve"> prostredníctvom daňových odpisov</w:t>
            </w:r>
          </w:p>
          <w:p w:rsidR="00EA543A" w:rsidRDefault="00EA543A" w:rsidP="00EA543A">
            <w:pPr>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
                <w:bCs/>
                <w:sz w:val="24"/>
                <w:szCs w:val="24"/>
                <w:lang w:eastAsia="sk-SK"/>
              </w:rPr>
              <w:t>DPPO (112)</w:t>
            </w:r>
          </w:p>
        </w:tc>
        <w:tc>
          <w:tcPr>
            <w:tcW w:w="1417" w:type="dxa"/>
            <w:shd w:val="clear" w:color="auto" w:fill="FFFFFF" w:themeFill="background1"/>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-6</w:t>
            </w:r>
            <w:r>
              <w:rPr>
                <w:rFonts w:ascii="Times New Roman" w:eastAsia="Times New Roman" w:hAnsi="Times New Roman" w:cs="Times New Roman"/>
                <w:b/>
                <w:bCs/>
                <w:sz w:val="24"/>
                <w:szCs w:val="20"/>
                <w:lang w:eastAsia="sk-SK"/>
              </w:rPr>
              <w:t xml:space="preserve"> </w:t>
            </w:r>
            <w:r w:rsidRPr="00A10DEC">
              <w:rPr>
                <w:rFonts w:ascii="Times New Roman" w:eastAsia="Times New Roman" w:hAnsi="Times New Roman" w:cs="Times New Roman"/>
                <w:b/>
                <w:bCs/>
                <w:sz w:val="24"/>
                <w:szCs w:val="20"/>
                <w:lang w:eastAsia="sk-SK"/>
              </w:rPr>
              <w:t>775</w:t>
            </w:r>
          </w:p>
        </w:tc>
        <w:tc>
          <w:tcPr>
            <w:tcW w:w="1559" w:type="dxa"/>
            <w:shd w:val="clear" w:color="auto" w:fill="FFFFFF" w:themeFill="background1"/>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-16</w:t>
            </w:r>
            <w:r>
              <w:rPr>
                <w:rFonts w:ascii="Times New Roman" w:eastAsia="Times New Roman" w:hAnsi="Times New Roman" w:cs="Times New Roman"/>
                <w:b/>
                <w:bCs/>
                <w:sz w:val="24"/>
                <w:szCs w:val="20"/>
                <w:lang w:eastAsia="sk-SK"/>
              </w:rPr>
              <w:t xml:space="preserve"> </w:t>
            </w:r>
            <w:r w:rsidRPr="00A10DEC">
              <w:rPr>
                <w:rFonts w:ascii="Times New Roman" w:eastAsia="Times New Roman" w:hAnsi="Times New Roman" w:cs="Times New Roman"/>
                <w:b/>
                <w:bCs/>
                <w:sz w:val="24"/>
                <w:szCs w:val="20"/>
                <w:lang w:eastAsia="sk-SK"/>
              </w:rPr>
              <w:t>697</w:t>
            </w:r>
          </w:p>
        </w:tc>
        <w:tc>
          <w:tcPr>
            <w:tcW w:w="1560" w:type="dxa"/>
            <w:shd w:val="clear" w:color="auto" w:fill="FFFFFF" w:themeFill="background1"/>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-15</w:t>
            </w:r>
            <w:r>
              <w:rPr>
                <w:rFonts w:ascii="Times New Roman" w:eastAsia="Times New Roman" w:hAnsi="Times New Roman" w:cs="Times New Roman"/>
                <w:b/>
                <w:bCs/>
                <w:sz w:val="24"/>
                <w:szCs w:val="20"/>
                <w:lang w:eastAsia="sk-SK"/>
              </w:rPr>
              <w:t xml:space="preserve"> </w:t>
            </w:r>
            <w:r w:rsidRPr="00A10DEC">
              <w:rPr>
                <w:rFonts w:ascii="Times New Roman" w:eastAsia="Times New Roman" w:hAnsi="Times New Roman" w:cs="Times New Roman"/>
                <w:b/>
                <w:bCs/>
                <w:sz w:val="24"/>
                <w:szCs w:val="20"/>
                <w:lang w:eastAsia="sk-SK"/>
              </w:rPr>
              <w:t>487</w:t>
            </w:r>
          </w:p>
        </w:tc>
        <w:tc>
          <w:tcPr>
            <w:tcW w:w="1559" w:type="dxa"/>
            <w:shd w:val="clear" w:color="auto" w:fill="FFFFFF" w:themeFill="background1"/>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-9</w:t>
            </w:r>
            <w:r>
              <w:rPr>
                <w:rFonts w:ascii="Times New Roman" w:eastAsia="Times New Roman" w:hAnsi="Times New Roman" w:cs="Times New Roman"/>
                <w:b/>
                <w:bCs/>
                <w:sz w:val="24"/>
                <w:szCs w:val="20"/>
                <w:lang w:eastAsia="sk-SK"/>
              </w:rPr>
              <w:t xml:space="preserve"> </w:t>
            </w:r>
            <w:r w:rsidRPr="00A10DEC">
              <w:rPr>
                <w:rFonts w:ascii="Times New Roman" w:eastAsia="Times New Roman" w:hAnsi="Times New Roman" w:cs="Times New Roman"/>
                <w:b/>
                <w:bCs/>
                <w:sz w:val="24"/>
                <w:szCs w:val="20"/>
                <w:lang w:eastAsia="sk-SK"/>
              </w:rPr>
              <w:t>261</w:t>
            </w:r>
          </w:p>
        </w:tc>
        <w:tc>
          <w:tcPr>
            <w:tcW w:w="2977"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417"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417"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BFBFBF" w:themeFill="background1" w:themeFillShade="BF"/>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417" w:type="dxa"/>
            <w:shd w:val="clear" w:color="auto" w:fill="BFBFBF" w:themeFill="background1" w:themeFillShade="BF"/>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-6</w:t>
            </w:r>
            <w:r>
              <w:rPr>
                <w:rFonts w:ascii="Times New Roman" w:eastAsia="Times New Roman" w:hAnsi="Times New Roman" w:cs="Times New Roman"/>
                <w:b/>
                <w:bCs/>
                <w:sz w:val="24"/>
                <w:szCs w:val="20"/>
                <w:lang w:eastAsia="sk-SK"/>
              </w:rPr>
              <w:t xml:space="preserve"> </w:t>
            </w:r>
            <w:r w:rsidRPr="00A10DEC">
              <w:rPr>
                <w:rFonts w:ascii="Times New Roman" w:eastAsia="Times New Roman" w:hAnsi="Times New Roman" w:cs="Times New Roman"/>
                <w:b/>
                <w:bCs/>
                <w:sz w:val="24"/>
                <w:szCs w:val="20"/>
                <w:lang w:eastAsia="sk-SK"/>
              </w:rPr>
              <w:t>775</w:t>
            </w:r>
          </w:p>
        </w:tc>
        <w:tc>
          <w:tcPr>
            <w:tcW w:w="1559" w:type="dxa"/>
            <w:shd w:val="clear" w:color="auto" w:fill="BFBFBF" w:themeFill="background1" w:themeFillShade="BF"/>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-16</w:t>
            </w:r>
            <w:r>
              <w:rPr>
                <w:rFonts w:ascii="Times New Roman" w:eastAsia="Times New Roman" w:hAnsi="Times New Roman" w:cs="Times New Roman"/>
                <w:b/>
                <w:bCs/>
                <w:sz w:val="24"/>
                <w:szCs w:val="20"/>
                <w:lang w:eastAsia="sk-SK"/>
              </w:rPr>
              <w:t xml:space="preserve"> </w:t>
            </w:r>
            <w:r w:rsidRPr="00A10DEC">
              <w:rPr>
                <w:rFonts w:ascii="Times New Roman" w:eastAsia="Times New Roman" w:hAnsi="Times New Roman" w:cs="Times New Roman"/>
                <w:b/>
                <w:bCs/>
                <w:sz w:val="24"/>
                <w:szCs w:val="20"/>
                <w:lang w:eastAsia="sk-SK"/>
              </w:rPr>
              <w:t>697</w:t>
            </w:r>
          </w:p>
        </w:tc>
        <w:tc>
          <w:tcPr>
            <w:tcW w:w="1560" w:type="dxa"/>
            <w:shd w:val="clear" w:color="auto" w:fill="BFBFBF" w:themeFill="background1" w:themeFillShade="BF"/>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-15</w:t>
            </w:r>
            <w:r>
              <w:rPr>
                <w:rFonts w:ascii="Times New Roman" w:eastAsia="Times New Roman" w:hAnsi="Times New Roman" w:cs="Times New Roman"/>
                <w:b/>
                <w:bCs/>
                <w:sz w:val="24"/>
                <w:szCs w:val="20"/>
                <w:lang w:eastAsia="sk-SK"/>
              </w:rPr>
              <w:t xml:space="preserve"> </w:t>
            </w:r>
            <w:r w:rsidRPr="00A10DEC">
              <w:rPr>
                <w:rFonts w:ascii="Times New Roman" w:eastAsia="Times New Roman" w:hAnsi="Times New Roman" w:cs="Times New Roman"/>
                <w:b/>
                <w:bCs/>
                <w:sz w:val="24"/>
                <w:szCs w:val="20"/>
                <w:lang w:eastAsia="sk-SK"/>
              </w:rPr>
              <w:t>487</w:t>
            </w:r>
          </w:p>
        </w:tc>
        <w:tc>
          <w:tcPr>
            <w:tcW w:w="1559" w:type="dxa"/>
            <w:shd w:val="clear" w:color="auto" w:fill="BFBFBF" w:themeFill="background1" w:themeFillShade="BF"/>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-9</w:t>
            </w:r>
            <w:r>
              <w:rPr>
                <w:rFonts w:ascii="Times New Roman" w:eastAsia="Times New Roman" w:hAnsi="Times New Roman" w:cs="Times New Roman"/>
                <w:b/>
                <w:bCs/>
                <w:sz w:val="24"/>
                <w:szCs w:val="20"/>
                <w:lang w:eastAsia="sk-SK"/>
              </w:rPr>
              <w:t xml:space="preserve"> </w:t>
            </w:r>
            <w:r w:rsidRPr="00A10DEC">
              <w:rPr>
                <w:rFonts w:ascii="Times New Roman" w:eastAsia="Times New Roman" w:hAnsi="Times New Roman" w:cs="Times New Roman"/>
                <w:b/>
                <w:bCs/>
                <w:sz w:val="24"/>
                <w:szCs w:val="20"/>
                <w:lang w:eastAsia="sk-SK"/>
              </w:rPr>
              <w:t>261</w:t>
            </w:r>
          </w:p>
        </w:tc>
        <w:tc>
          <w:tcPr>
            <w:tcW w:w="2977" w:type="dxa"/>
            <w:shd w:val="clear" w:color="auto" w:fill="BFBFBF" w:themeFill="background1" w:themeFillShade="BF"/>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bl>
    <w:p w:rsidR="00EA543A" w:rsidRDefault="00EA543A" w:rsidP="00EA543A">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EA543A" w:rsidRDefault="00EA543A" w:rsidP="00EA543A">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EA543A" w:rsidRDefault="00EA543A" w:rsidP="00EA543A">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EA543A" w:rsidRDefault="00EA543A" w:rsidP="00EA543A">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EA543A" w:rsidRDefault="00EA543A" w:rsidP="00EA543A">
      <w:pPr>
        <w:tabs>
          <w:tab w:val="num" w:pos="1080"/>
        </w:tabs>
        <w:spacing w:after="0" w:line="240" w:lineRule="auto"/>
        <w:ind w:right="-32"/>
        <w:jc w:val="right"/>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lastRenderedPageBreak/>
        <w:t>Tabuľka č. 3.7.</w:t>
      </w:r>
    </w:p>
    <w:tbl>
      <w:tblPr>
        <w:tblStyle w:val="Mriekatabuky"/>
        <w:tblW w:w="14029" w:type="dxa"/>
        <w:tblLook w:val="04A0" w:firstRow="1" w:lastRow="0" w:firstColumn="1" w:lastColumn="0" w:noHBand="0" w:noVBand="1"/>
      </w:tblPr>
      <w:tblGrid>
        <w:gridCol w:w="4957"/>
        <w:gridCol w:w="1417"/>
        <w:gridCol w:w="1559"/>
        <w:gridCol w:w="1560"/>
        <w:gridCol w:w="1559"/>
        <w:gridCol w:w="2977"/>
      </w:tblGrid>
      <w:tr w:rsidR="00EA543A" w:rsidTr="00EA543A">
        <w:tc>
          <w:tcPr>
            <w:tcW w:w="4957" w:type="dxa"/>
            <w:vMerge w:val="restart"/>
            <w:shd w:val="clear" w:color="auto" w:fill="BFBFBF" w:themeFill="background1" w:themeFillShade="BF"/>
            <w:vAlign w:val="center"/>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Príjmy (v</w:t>
            </w:r>
            <w:r>
              <w:rPr>
                <w:rFonts w:ascii="Times New Roman" w:eastAsia="Times New Roman" w:hAnsi="Times New Roman" w:cs="Times New Roman"/>
                <w:b/>
                <w:bCs/>
                <w:sz w:val="24"/>
                <w:szCs w:val="24"/>
                <w:lang w:eastAsia="sk-SK"/>
              </w:rPr>
              <w:t xml:space="preserve"> tis.</w:t>
            </w:r>
            <w:r w:rsidRPr="007D5748">
              <w:rPr>
                <w:rFonts w:ascii="Times New Roman" w:eastAsia="Times New Roman" w:hAnsi="Times New Roman" w:cs="Times New Roman"/>
                <w:b/>
                <w:bCs/>
                <w:sz w:val="24"/>
                <w:szCs w:val="24"/>
                <w:lang w:eastAsia="sk-SK"/>
              </w:rPr>
              <w:t xml:space="preserve"> eur)</w:t>
            </w:r>
          </w:p>
        </w:tc>
        <w:tc>
          <w:tcPr>
            <w:tcW w:w="6095" w:type="dxa"/>
            <w:gridSpan w:val="4"/>
            <w:shd w:val="clear" w:color="auto" w:fill="BFBFBF" w:themeFill="background1" w:themeFillShade="BF"/>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Vplyv na rozpočet verejnej správy</w:t>
            </w:r>
          </w:p>
        </w:tc>
        <w:tc>
          <w:tcPr>
            <w:tcW w:w="2977" w:type="dxa"/>
            <w:shd w:val="clear" w:color="auto" w:fill="BFBFBF" w:themeFill="background1" w:themeFillShade="BF"/>
            <w:vAlign w:val="center"/>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poznámka</w:t>
            </w:r>
          </w:p>
        </w:tc>
      </w:tr>
      <w:tr w:rsidR="00EA543A" w:rsidTr="00EA543A">
        <w:tc>
          <w:tcPr>
            <w:tcW w:w="4957" w:type="dxa"/>
            <w:vMerge/>
            <w:shd w:val="clear" w:color="auto" w:fill="BFBFBF" w:themeFill="background1" w:themeFillShade="BF"/>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417" w:type="dxa"/>
            <w:shd w:val="clear" w:color="auto" w:fill="BFBFBF" w:themeFill="background1" w:themeFillShade="BF"/>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2019</w:t>
            </w:r>
          </w:p>
        </w:tc>
        <w:tc>
          <w:tcPr>
            <w:tcW w:w="1559" w:type="dxa"/>
            <w:shd w:val="clear" w:color="auto" w:fill="BFBFBF" w:themeFill="background1" w:themeFillShade="BF"/>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2020</w:t>
            </w:r>
          </w:p>
        </w:tc>
        <w:tc>
          <w:tcPr>
            <w:tcW w:w="1560" w:type="dxa"/>
            <w:shd w:val="clear" w:color="auto" w:fill="BFBFBF" w:themeFill="background1" w:themeFillShade="BF"/>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2021</w:t>
            </w:r>
          </w:p>
        </w:tc>
        <w:tc>
          <w:tcPr>
            <w:tcW w:w="1559" w:type="dxa"/>
            <w:shd w:val="clear" w:color="auto" w:fill="BFBFBF" w:themeFill="background1" w:themeFillShade="BF"/>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2022</w:t>
            </w:r>
          </w:p>
        </w:tc>
        <w:tc>
          <w:tcPr>
            <w:tcW w:w="2977" w:type="dxa"/>
            <w:shd w:val="clear" w:color="auto" w:fill="BFBFBF" w:themeFill="background1" w:themeFillShade="BF"/>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-5 597</w:t>
            </w:r>
          </w:p>
        </w:tc>
        <w:tc>
          <w:tcPr>
            <w:tcW w:w="1559" w:type="dxa"/>
            <w:shd w:val="clear" w:color="auto" w:fill="FFFFFF" w:themeFill="background1"/>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-13 339</w:t>
            </w:r>
          </w:p>
        </w:tc>
        <w:tc>
          <w:tcPr>
            <w:tcW w:w="1560" w:type="dxa"/>
            <w:shd w:val="clear" w:color="auto" w:fill="FFFFFF" w:themeFill="background1"/>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-15 293</w:t>
            </w:r>
          </w:p>
        </w:tc>
        <w:tc>
          <w:tcPr>
            <w:tcW w:w="1559" w:type="dxa"/>
            <w:shd w:val="clear" w:color="auto" w:fill="FFFFFF" w:themeFill="background1"/>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-18 368</w:t>
            </w:r>
          </w:p>
        </w:tc>
        <w:tc>
          <w:tcPr>
            <w:tcW w:w="2977" w:type="dxa"/>
            <w:vMerge w:val="restart"/>
            <w:shd w:val="clear" w:color="auto" w:fill="FFFFFF" w:themeFill="background1"/>
          </w:tcPr>
          <w:p w:rsidR="00EA543A" w:rsidRDefault="00EA543A" w:rsidP="00EA543A">
            <w:pPr>
              <w:jc w:val="both"/>
              <w:rPr>
                <w:rFonts w:ascii="Times New Roman" w:eastAsia="Times New Roman" w:hAnsi="Times New Roman" w:cs="Times New Roman"/>
                <w:bCs/>
                <w:sz w:val="24"/>
                <w:szCs w:val="20"/>
                <w:lang w:eastAsia="sk-SK"/>
              </w:rPr>
            </w:pPr>
            <w:r>
              <w:rPr>
                <w:rFonts w:ascii="Times New Roman" w:eastAsia="Times New Roman" w:hAnsi="Times New Roman" w:cs="Times New Roman"/>
                <w:sz w:val="24"/>
                <w:szCs w:val="24"/>
                <w:lang w:eastAsia="sk-SK"/>
              </w:rPr>
              <w:t xml:space="preserve">Zmena pri uplatňovaní </w:t>
            </w:r>
            <w:proofErr w:type="spellStart"/>
            <w:r>
              <w:rPr>
                <w:rFonts w:ascii="Times New Roman" w:eastAsia="Times New Roman" w:hAnsi="Times New Roman" w:cs="Times New Roman"/>
                <w:sz w:val="24"/>
                <w:szCs w:val="24"/>
                <w:lang w:eastAsia="sk-SK"/>
              </w:rPr>
              <w:t>superodpočtu</w:t>
            </w:r>
            <w:proofErr w:type="spellEnd"/>
            <w:r>
              <w:rPr>
                <w:rFonts w:ascii="Times New Roman" w:eastAsia="Times New Roman" w:hAnsi="Times New Roman" w:cs="Times New Roman"/>
                <w:sz w:val="24"/>
                <w:szCs w:val="24"/>
                <w:lang w:eastAsia="sk-SK"/>
              </w:rPr>
              <w:t xml:space="preserve"> výdavkov na vedu a výskum</w:t>
            </w:r>
            <w:r>
              <w:rPr>
                <w:rFonts w:ascii="Times New Roman" w:eastAsia="Times New Roman" w:hAnsi="Times New Roman" w:cs="Times New Roman"/>
                <w:bCs/>
                <w:sz w:val="24"/>
                <w:szCs w:val="20"/>
                <w:lang w:eastAsia="sk-SK"/>
              </w:rPr>
              <w:t xml:space="preserve"> </w:t>
            </w: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
                <w:bCs/>
                <w:sz w:val="24"/>
                <w:szCs w:val="24"/>
                <w:lang w:eastAsia="sk-SK"/>
              </w:rPr>
              <w:t>DPPO (112)</w:t>
            </w:r>
          </w:p>
        </w:tc>
        <w:tc>
          <w:tcPr>
            <w:tcW w:w="1417" w:type="dxa"/>
            <w:shd w:val="clear" w:color="auto" w:fill="FFFFFF" w:themeFill="background1"/>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-5 597</w:t>
            </w:r>
          </w:p>
        </w:tc>
        <w:tc>
          <w:tcPr>
            <w:tcW w:w="1559" w:type="dxa"/>
            <w:shd w:val="clear" w:color="auto" w:fill="FFFFFF" w:themeFill="background1"/>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-13 339</w:t>
            </w:r>
          </w:p>
        </w:tc>
        <w:tc>
          <w:tcPr>
            <w:tcW w:w="1560" w:type="dxa"/>
            <w:shd w:val="clear" w:color="auto" w:fill="FFFFFF" w:themeFill="background1"/>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-15 293</w:t>
            </w:r>
          </w:p>
        </w:tc>
        <w:tc>
          <w:tcPr>
            <w:tcW w:w="1559" w:type="dxa"/>
            <w:shd w:val="clear" w:color="auto" w:fill="FFFFFF" w:themeFill="background1"/>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-18 368</w:t>
            </w:r>
          </w:p>
        </w:tc>
        <w:tc>
          <w:tcPr>
            <w:tcW w:w="2977"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417"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417"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BFBFBF" w:themeFill="background1" w:themeFillShade="BF"/>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417" w:type="dxa"/>
            <w:shd w:val="clear" w:color="auto" w:fill="BFBFBF" w:themeFill="background1" w:themeFillShade="BF"/>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-5 597</w:t>
            </w:r>
          </w:p>
        </w:tc>
        <w:tc>
          <w:tcPr>
            <w:tcW w:w="1559" w:type="dxa"/>
            <w:shd w:val="clear" w:color="auto" w:fill="BFBFBF" w:themeFill="background1" w:themeFillShade="BF"/>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-13 339</w:t>
            </w:r>
          </w:p>
        </w:tc>
        <w:tc>
          <w:tcPr>
            <w:tcW w:w="1560" w:type="dxa"/>
            <w:shd w:val="clear" w:color="auto" w:fill="BFBFBF" w:themeFill="background1" w:themeFillShade="BF"/>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-15 293</w:t>
            </w:r>
          </w:p>
        </w:tc>
        <w:tc>
          <w:tcPr>
            <w:tcW w:w="1559" w:type="dxa"/>
            <w:shd w:val="clear" w:color="auto" w:fill="BFBFBF" w:themeFill="background1" w:themeFillShade="BF"/>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-18 368</w:t>
            </w:r>
          </w:p>
        </w:tc>
        <w:tc>
          <w:tcPr>
            <w:tcW w:w="2977" w:type="dxa"/>
            <w:shd w:val="clear" w:color="auto" w:fill="BFBFBF" w:themeFill="background1" w:themeFillShade="BF"/>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bl>
    <w:p w:rsidR="00EA543A" w:rsidRDefault="00EA543A" w:rsidP="00EA543A">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EA543A" w:rsidRDefault="00EA543A" w:rsidP="00EA543A">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EA543A" w:rsidRDefault="00EA543A" w:rsidP="00EA543A">
      <w:pPr>
        <w:tabs>
          <w:tab w:val="num" w:pos="1080"/>
        </w:tabs>
        <w:spacing w:after="0" w:line="240" w:lineRule="auto"/>
        <w:ind w:right="-32"/>
        <w:jc w:val="right"/>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Tabuľka č. 3.8.</w:t>
      </w:r>
    </w:p>
    <w:tbl>
      <w:tblPr>
        <w:tblStyle w:val="Mriekatabuky"/>
        <w:tblW w:w="14029" w:type="dxa"/>
        <w:tblLook w:val="04A0" w:firstRow="1" w:lastRow="0" w:firstColumn="1" w:lastColumn="0" w:noHBand="0" w:noVBand="1"/>
      </w:tblPr>
      <w:tblGrid>
        <w:gridCol w:w="4957"/>
        <w:gridCol w:w="1417"/>
        <w:gridCol w:w="1559"/>
        <w:gridCol w:w="1560"/>
        <w:gridCol w:w="1559"/>
        <w:gridCol w:w="2977"/>
      </w:tblGrid>
      <w:tr w:rsidR="00EA543A" w:rsidTr="00EA543A">
        <w:tc>
          <w:tcPr>
            <w:tcW w:w="4957" w:type="dxa"/>
            <w:vMerge w:val="restart"/>
            <w:shd w:val="clear" w:color="auto" w:fill="BFBFBF" w:themeFill="background1" w:themeFillShade="BF"/>
            <w:vAlign w:val="center"/>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Príjmy (v</w:t>
            </w:r>
            <w:r>
              <w:rPr>
                <w:rFonts w:ascii="Times New Roman" w:eastAsia="Times New Roman" w:hAnsi="Times New Roman" w:cs="Times New Roman"/>
                <w:b/>
                <w:bCs/>
                <w:sz w:val="24"/>
                <w:szCs w:val="24"/>
                <w:lang w:eastAsia="sk-SK"/>
              </w:rPr>
              <w:t xml:space="preserve"> tis.</w:t>
            </w:r>
            <w:r w:rsidRPr="007D5748">
              <w:rPr>
                <w:rFonts w:ascii="Times New Roman" w:eastAsia="Times New Roman" w:hAnsi="Times New Roman" w:cs="Times New Roman"/>
                <w:b/>
                <w:bCs/>
                <w:sz w:val="24"/>
                <w:szCs w:val="24"/>
                <w:lang w:eastAsia="sk-SK"/>
              </w:rPr>
              <w:t xml:space="preserve"> eur)</w:t>
            </w:r>
          </w:p>
        </w:tc>
        <w:tc>
          <w:tcPr>
            <w:tcW w:w="6095" w:type="dxa"/>
            <w:gridSpan w:val="4"/>
            <w:shd w:val="clear" w:color="auto" w:fill="BFBFBF" w:themeFill="background1" w:themeFillShade="BF"/>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Vplyv na rozpočet verejnej správy</w:t>
            </w:r>
          </w:p>
        </w:tc>
        <w:tc>
          <w:tcPr>
            <w:tcW w:w="2977" w:type="dxa"/>
            <w:shd w:val="clear" w:color="auto" w:fill="BFBFBF" w:themeFill="background1" w:themeFillShade="BF"/>
            <w:vAlign w:val="center"/>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poznámka</w:t>
            </w:r>
          </w:p>
        </w:tc>
      </w:tr>
      <w:tr w:rsidR="00EA543A" w:rsidTr="00EA543A">
        <w:tc>
          <w:tcPr>
            <w:tcW w:w="4957" w:type="dxa"/>
            <w:vMerge/>
            <w:shd w:val="clear" w:color="auto" w:fill="BFBFBF" w:themeFill="background1" w:themeFillShade="BF"/>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417" w:type="dxa"/>
            <w:shd w:val="clear" w:color="auto" w:fill="BFBFBF" w:themeFill="background1" w:themeFillShade="BF"/>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2019</w:t>
            </w:r>
          </w:p>
        </w:tc>
        <w:tc>
          <w:tcPr>
            <w:tcW w:w="1559" w:type="dxa"/>
            <w:shd w:val="clear" w:color="auto" w:fill="BFBFBF" w:themeFill="background1" w:themeFillShade="BF"/>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2020</w:t>
            </w:r>
          </w:p>
        </w:tc>
        <w:tc>
          <w:tcPr>
            <w:tcW w:w="1560" w:type="dxa"/>
            <w:shd w:val="clear" w:color="auto" w:fill="BFBFBF" w:themeFill="background1" w:themeFillShade="BF"/>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2021</w:t>
            </w:r>
          </w:p>
        </w:tc>
        <w:tc>
          <w:tcPr>
            <w:tcW w:w="1559" w:type="dxa"/>
            <w:shd w:val="clear" w:color="auto" w:fill="BFBFBF" w:themeFill="background1" w:themeFillShade="BF"/>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2022</w:t>
            </w:r>
          </w:p>
        </w:tc>
        <w:tc>
          <w:tcPr>
            <w:tcW w:w="2977" w:type="dxa"/>
            <w:shd w:val="clear" w:color="auto" w:fill="BFBFBF" w:themeFill="background1" w:themeFillShade="BF"/>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0</w:t>
            </w:r>
          </w:p>
        </w:tc>
        <w:tc>
          <w:tcPr>
            <w:tcW w:w="1559" w:type="dxa"/>
            <w:shd w:val="clear" w:color="auto" w:fill="FFFFFF" w:themeFill="background1"/>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0</w:t>
            </w:r>
          </w:p>
        </w:tc>
        <w:tc>
          <w:tcPr>
            <w:tcW w:w="1560" w:type="dxa"/>
            <w:shd w:val="clear" w:color="auto" w:fill="FFFFFF" w:themeFill="background1"/>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-1 100</w:t>
            </w:r>
          </w:p>
        </w:tc>
        <w:tc>
          <w:tcPr>
            <w:tcW w:w="1559" w:type="dxa"/>
            <w:shd w:val="clear" w:color="auto" w:fill="FFFFFF" w:themeFill="background1"/>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-1 100</w:t>
            </w:r>
          </w:p>
        </w:tc>
        <w:tc>
          <w:tcPr>
            <w:tcW w:w="2977" w:type="dxa"/>
            <w:vMerge w:val="restart"/>
            <w:shd w:val="clear" w:color="auto" w:fill="FFFFFF" w:themeFill="background1"/>
          </w:tcPr>
          <w:p w:rsidR="00EA543A" w:rsidRPr="003B74F5" w:rsidRDefault="00EA543A" w:rsidP="00EA543A">
            <w:pPr>
              <w:jc w:val="both"/>
              <w:rPr>
                <w:rFonts w:ascii="Times New Roman" w:eastAsia="Times New Roman" w:hAnsi="Times New Roman" w:cs="Times New Roman"/>
                <w:sz w:val="24"/>
                <w:szCs w:val="24"/>
                <w:lang w:eastAsia="sk-SK"/>
              </w:rPr>
            </w:pPr>
            <w:r w:rsidRPr="003B74F5">
              <w:rPr>
                <w:rFonts w:ascii="Times New Roman" w:eastAsia="Times New Roman" w:hAnsi="Times New Roman" w:cs="Times New Roman"/>
                <w:sz w:val="24"/>
                <w:szCs w:val="24"/>
                <w:lang w:eastAsia="sk-SK"/>
              </w:rPr>
              <w:t xml:space="preserve">Zavedenie možnosti tvorby daňových opravných položiek k pohľadávkam </w:t>
            </w:r>
            <w:proofErr w:type="spellStart"/>
            <w:r w:rsidRPr="003B74F5">
              <w:rPr>
                <w:rFonts w:ascii="Times New Roman" w:eastAsia="Times New Roman" w:hAnsi="Times New Roman" w:cs="Times New Roman"/>
                <w:sz w:val="24"/>
                <w:szCs w:val="24"/>
                <w:lang w:eastAsia="sk-SK"/>
              </w:rPr>
              <w:t>mikrodaňovníkov</w:t>
            </w:r>
            <w:proofErr w:type="spellEnd"/>
            <w:r w:rsidRPr="003B74F5">
              <w:rPr>
                <w:rFonts w:ascii="Times New Roman" w:eastAsia="Times New Roman" w:hAnsi="Times New Roman" w:cs="Times New Roman"/>
                <w:sz w:val="24"/>
                <w:szCs w:val="24"/>
                <w:lang w:eastAsia="sk-SK"/>
              </w:rPr>
              <w:t xml:space="preserve"> v súlade s účtovníctvom</w:t>
            </w:r>
          </w:p>
          <w:p w:rsidR="00EA543A" w:rsidRDefault="00EA543A" w:rsidP="00EA543A">
            <w:pPr>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
                <w:bCs/>
                <w:sz w:val="24"/>
                <w:szCs w:val="24"/>
                <w:lang w:eastAsia="sk-SK"/>
              </w:rPr>
              <w:t>DPPO (112)</w:t>
            </w:r>
          </w:p>
        </w:tc>
        <w:tc>
          <w:tcPr>
            <w:tcW w:w="1417" w:type="dxa"/>
            <w:shd w:val="clear" w:color="auto" w:fill="FFFFFF" w:themeFill="background1"/>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0</w:t>
            </w:r>
          </w:p>
        </w:tc>
        <w:tc>
          <w:tcPr>
            <w:tcW w:w="1559" w:type="dxa"/>
            <w:shd w:val="clear" w:color="auto" w:fill="FFFFFF" w:themeFill="background1"/>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0</w:t>
            </w:r>
          </w:p>
        </w:tc>
        <w:tc>
          <w:tcPr>
            <w:tcW w:w="1560" w:type="dxa"/>
            <w:shd w:val="clear" w:color="auto" w:fill="FFFFFF" w:themeFill="background1"/>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-1 100</w:t>
            </w:r>
          </w:p>
        </w:tc>
        <w:tc>
          <w:tcPr>
            <w:tcW w:w="1559" w:type="dxa"/>
            <w:shd w:val="clear" w:color="auto" w:fill="FFFFFF" w:themeFill="background1"/>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-1 100</w:t>
            </w:r>
          </w:p>
        </w:tc>
        <w:tc>
          <w:tcPr>
            <w:tcW w:w="2977"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417"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417"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BFBFBF" w:themeFill="background1" w:themeFillShade="BF"/>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417" w:type="dxa"/>
            <w:shd w:val="clear" w:color="auto" w:fill="BFBFBF" w:themeFill="background1" w:themeFillShade="BF"/>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0</w:t>
            </w:r>
          </w:p>
        </w:tc>
        <w:tc>
          <w:tcPr>
            <w:tcW w:w="1559" w:type="dxa"/>
            <w:shd w:val="clear" w:color="auto" w:fill="BFBFBF" w:themeFill="background1" w:themeFillShade="BF"/>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0</w:t>
            </w:r>
          </w:p>
        </w:tc>
        <w:tc>
          <w:tcPr>
            <w:tcW w:w="1560" w:type="dxa"/>
            <w:shd w:val="clear" w:color="auto" w:fill="BFBFBF" w:themeFill="background1" w:themeFillShade="BF"/>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-1 100</w:t>
            </w:r>
          </w:p>
        </w:tc>
        <w:tc>
          <w:tcPr>
            <w:tcW w:w="1559" w:type="dxa"/>
            <w:shd w:val="clear" w:color="auto" w:fill="BFBFBF" w:themeFill="background1" w:themeFillShade="BF"/>
            <w:vAlign w:val="bottom"/>
          </w:tcPr>
          <w:p w:rsidR="00EA543A" w:rsidRPr="00A10DEC" w:rsidRDefault="00EA543A" w:rsidP="00EA543A">
            <w:pPr>
              <w:tabs>
                <w:tab w:val="num" w:pos="1080"/>
              </w:tabs>
              <w:jc w:val="center"/>
              <w:rPr>
                <w:rFonts w:ascii="Times New Roman" w:eastAsia="Times New Roman" w:hAnsi="Times New Roman" w:cs="Times New Roman"/>
                <w:b/>
                <w:bCs/>
                <w:sz w:val="24"/>
                <w:szCs w:val="20"/>
                <w:lang w:eastAsia="sk-SK"/>
              </w:rPr>
            </w:pPr>
            <w:r w:rsidRPr="00A10DEC">
              <w:rPr>
                <w:rFonts w:ascii="Times New Roman" w:eastAsia="Times New Roman" w:hAnsi="Times New Roman" w:cs="Times New Roman"/>
                <w:b/>
                <w:bCs/>
                <w:sz w:val="24"/>
                <w:szCs w:val="20"/>
                <w:lang w:eastAsia="sk-SK"/>
              </w:rPr>
              <w:t>-1 100</w:t>
            </w:r>
          </w:p>
        </w:tc>
        <w:tc>
          <w:tcPr>
            <w:tcW w:w="2977" w:type="dxa"/>
            <w:shd w:val="clear" w:color="auto" w:fill="BFBFBF" w:themeFill="background1" w:themeFillShade="BF"/>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bl>
    <w:p w:rsidR="00EA543A" w:rsidRDefault="00EA543A" w:rsidP="00EA543A">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EA543A" w:rsidRDefault="00EA543A" w:rsidP="00EA543A">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EA543A" w:rsidRDefault="00EA543A" w:rsidP="00EA543A">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EA543A" w:rsidRDefault="00EA543A" w:rsidP="00EA543A">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EA543A" w:rsidRDefault="00EA543A" w:rsidP="00EA543A">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EA543A" w:rsidRDefault="00EA543A" w:rsidP="00EA543A">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EA543A" w:rsidRDefault="00EA543A" w:rsidP="00EA543A">
      <w:pPr>
        <w:tabs>
          <w:tab w:val="num" w:pos="1080"/>
        </w:tabs>
        <w:spacing w:after="0" w:line="240" w:lineRule="auto"/>
        <w:ind w:right="-32"/>
        <w:jc w:val="right"/>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lastRenderedPageBreak/>
        <w:t>Tabuľka č. 3.9.</w:t>
      </w:r>
    </w:p>
    <w:tbl>
      <w:tblPr>
        <w:tblStyle w:val="Mriekatabuky"/>
        <w:tblW w:w="14029" w:type="dxa"/>
        <w:tblLook w:val="04A0" w:firstRow="1" w:lastRow="0" w:firstColumn="1" w:lastColumn="0" w:noHBand="0" w:noVBand="1"/>
      </w:tblPr>
      <w:tblGrid>
        <w:gridCol w:w="4957"/>
        <w:gridCol w:w="1417"/>
        <w:gridCol w:w="1559"/>
        <w:gridCol w:w="1560"/>
        <w:gridCol w:w="1559"/>
        <w:gridCol w:w="2977"/>
      </w:tblGrid>
      <w:tr w:rsidR="00EA543A" w:rsidTr="00EA543A">
        <w:tc>
          <w:tcPr>
            <w:tcW w:w="4957" w:type="dxa"/>
            <w:vMerge w:val="restart"/>
            <w:shd w:val="clear" w:color="auto" w:fill="BFBFBF" w:themeFill="background1" w:themeFillShade="BF"/>
            <w:vAlign w:val="center"/>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Príjmy (v</w:t>
            </w:r>
            <w:r>
              <w:rPr>
                <w:rFonts w:ascii="Times New Roman" w:eastAsia="Times New Roman" w:hAnsi="Times New Roman" w:cs="Times New Roman"/>
                <w:b/>
                <w:bCs/>
                <w:sz w:val="24"/>
                <w:szCs w:val="24"/>
                <w:lang w:eastAsia="sk-SK"/>
              </w:rPr>
              <w:t xml:space="preserve"> tis.</w:t>
            </w:r>
            <w:r w:rsidRPr="007D5748">
              <w:rPr>
                <w:rFonts w:ascii="Times New Roman" w:eastAsia="Times New Roman" w:hAnsi="Times New Roman" w:cs="Times New Roman"/>
                <w:b/>
                <w:bCs/>
                <w:sz w:val="24"/>
                <w:szCs w:val="24"/>
                <w:lang w:eastAsia="sk-SK"/>
              </w:rPr>
              <w:t xml:space="preserve"> eur)</w:t>
            </w:r>
          </w:p>
        </w:tc>
        <w:tc>
          <w:tcPr>
            <w:tcW w:w="6095" w:type="dxa"/>
            <w:gridSpan w:val="4"/>
            <w:shd w:val="clear" w:color="auto" w:fill="BFBFBF" w:themeFill="background1" w:themeFillShade="BF"/>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Vplyv na rozpočet verejnej správy</w:t>
            </w:r>
          </w:p>
        </w:tc>
        <w:tc>
          <w:tcPr>
            <w:tcW w:w="2977" w:type="dxa"/>
            <w:shd w:val="clear" w:color="auto" w:fill="BFBFBF" w:themeFill="background1" w:themeFillShade="BF"/>
            <w:vAlign w:val="center"/>
          </w:tcPr>
          <w:p w:rsidR="00EA543A" w:rsidRDefault="00EA543A" w:rsidP="00EA543A">
            <w:pPr>
              <w:tabs>
                <w:tab w:val="num" w:pos="1080"/>
              </w:tabs>
              <w:jc w:val="center"/>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poznámka</w:t>
            </w:r>
          </w:p>
        </w:tc>
      </w:tr>
      <w:tr w:rsidR="00EA543A" w:rsidTr="00EA543A">
        <w:tc>
          <w:tcPr>
            <w:tcW w:w="4957" w:type="dxa"/>
            <w:vMerge/>
            <w:shd w:val="clear" w:color="auto" w:fill="BFBFBF" w:themeFill="background1" w:themeFillShade="BF"/>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417" w:type="dxa"/>
            <w:shd w:val="clear" w:color="auto" w:fill="BFBFBF" w:themeFill="background1" w:themeFillShade="BF"/>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2019</w:t>
            </w:r>
          </w:p>
        </w:tc>
        <w:tc>
          <w:tcPr>
            <w:tcW w:w="1559" w:type="dxa"/>
            <w:shd w:val="clear" w:color="auto" w:fill="BFBFBF" w:themeFill="background1" w:themeFillShade="BF"/>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2020</w:t>
            </w:r>
          </w:p>
        </w:tc>
        <w:tc>
          <w:tcPr>
            <w:tcW w:w="1560" w:type="dxa"/>
            <w:shd w:val="clear" w:color="auto" w:fill="BFBFBF" w:themeFill="background1" w:themeFillShade="BF"/>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2021</w:t>
            </w:r>
          </w:p>
        </w:tc>
        <w:tc>
          <w:tcPr>
            <w:tcW w:w="1559" w:type="dxa"/>
            <w:shd w:val="clear" w:color="auto" w:fill="BFBFBF" w:themeFill="background1" w:themeFillShade="BF"/>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4"/>
                <w:lang w:eastAsia="sk-SK"/>
              </w:rPr>
              <w:t>2022</w:t>
            </w:r>
          </w:p>
        </w:tc>
        <w:tc>
          <w:tcPr>
            <w:tcW w:w="2977" w:type="dxa"/>
            <w:shd w:val="clear" w:color="auto" w:fill="BFBFBF" w:themeFill="background1" w:themeFillShade="BF"/>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Daňové príjmy (100)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0</w:t>
            </w:r>
          </w:p>
        </w:tc>
        <w:tc>
          <w:tcPr>
            <w:tcW w:w="1559" w:type="dxa"/>
            <w:shd w:val="clear" w:color="auto" w:fill="FFFFFF" w:themeFill="background1"/>
          </w:tcPr>
          <w:p w:rsidR="00EA543A" w:rsidRPr="005C47E4" w:rsidRDefault="00EA543A" w:rsidP="00EA543A">
            <w:pPr>
              <w:jc w:val="center"/>
              <w:rPr>
                <w:rFonts w:ascii="Times New Roman" w:eastAsia="Times New Roman" w:hAnsi="Times New Roman" w:cs="Times New Roman"/>
                <w:b/>
                <w:bCs/>
                <w:sz w:val="24"/>
                <w:szCs w:val="20"/>
                <w:lang w:eastAsia="sk-SK"/>
              </w:rPr>
            </w:pPr>
            <w:r w:rsidRPr="005C47E4">
              <w:rPr>
                <w:rFonts w:ascii="Times New Roman" w:eastAsia="Times New Roman" w:hAnsi="Times New Roman" w:cs="Times New Roman"/>
                <w:b/>
                <w:bCs/>
                <w:sz w:val="24"/>
                <w:szCs w:val="20"/>
                <w:lang w:eastAsia="sk-SK"/>
              </w:rPr>
              <w:t>0</w:t>
            </w:r>
          </w:p>
        </w:tc>
        <w:tc>
          <w:tcPr>
            <w:tcW w:w="1560" w:type="dxa"/>
            <w:shd w:val="clear" w:color="auto" w:fill="FFFFFF" w:themeFill="background1"/>
          </w:tcPr>
          <w:p w:rsidR="00EA543A" w:rsidRPr="005C47E4" w:rsidRDefault="00EA543A" w:rsidP="00EA543A">
            <w:pPr>
              <w:tabs>
                <w:tab w:val="num" w:pos="1080"/>
              </w:tabs>
              <w:jc w:val="center"/>
              <w:rPr>
                <w:rFonts w:ascii="Times New Roman" w:eastAsia="Times New Roman" w:hAnsi="Times New Roman" w:cs="Times New Roman"/>
                <w:b/>
                <w:bCs/>
                <w:sz w:val="24"/>
                <w:szCs w:val="20"/>
                <w:lang w:eastAsia="sk-SK"/>
              </w:rPr>
            </w:pPr>
            <w:r w:rsidRPr="005C47E4">
              <w:rPr>
                <w:rFonts w:ascii="Times New Roman" w:eastAsia="Times New Roman" w:hAnsi="Times New Roman" w:cs="Times New Roman"/>
                <w:b/>
                <w:bCs/>
                <w:sz w:val="24"/>
                <w:szCs w:val="20"/>
                <w:lang w:eastAsia="sk-SK"/>
              </w:rPr>
              <w:t>-11 000</w:t>
            </w:r>
          </w:p>
        </w:tc>
        <w:tc>
          <w:tcPr>
            <w:tcW w:w="1559" w:type="dxa"/>
            <w:shd w:val="clear" w:color="auto" w:fill="FFFFFF" w:themeFill="background1"/>
          </w:tcPr>
          <w:p w:rsidR="00EA543A" w:rsidRPr="005C47E4" w:rsidRDefault="00EA543A" w:rsidP="00EA543A">
            <w:pPr>
              <w:tabs>
                <w:tab w:val="num" w:pos="1080"/>
              </w:tabs>
              <w:jc w:val="center"/>
              <w:rPr>
                <w:rFonts w:ascii="Times New Roman" w:eastAsia="Times New Roman" w:hAnsi="Times New Roman" w:cs="Times New Roman"/>
                <w:b/>
                <w:bCs/>
                <w:sz w:val="24"/>
                <w:szCs w:val="20"/>
                <w:lang w:eastAsia="sk-SK"/>
              </w:rPr>
            </w:pPr>
            <w:r w:rsidRPr="005C47E4">
              <w:rPr>
                <w:rFonts w:ascii="Times New Roman" w:eastAsia="Times New Roman" w:hAnsi="Times New Roman" w:cs="Times New Roman"/>
                <w:b/>
                <w:bCs/>
                <w:sz w:val="24"/>
                <w:szCs w:val="20"/>
                <w:lang w:eastAsia="sk-SK"/>
              </w:rPr>
              <w:t>0</w:t>
            </w:r>
          </w:p>
        </w:tc>
        <w:tc>
          <w:tcPr>
            <w:tcW w:w="2977" w:type="dxa"/>
            <w:vMerge w:val="restart"/>
            <w:shd w:val="clear" w:color="auto" w:fill="FFFFFF" w:themeFill="background1"/>
          </w:tcPr>
          <w:p w:rsidR="00EA543A" w:rsidRPr="003B74F5" w:rsidRDefault="00EA543A" w:rsidP="00EA543A">
            <w:pPr>
              <w:jc w:val="both"/>
              <w:rPr>
                <w:rFonts w:ascii="Times New Roman" w:eastAsia="Times New Roman" w:hAnsi="Times New Roman" w:cs="Times New Roman"/>
                <w:sz w:val="24"/>
                <w:szCs w:val="24"/>
                <w:lang w:eastAsia="sk-SK"/>
              </w:rPr>
            </w:pPr>
            <w:r w:rsidRPr="003B74F5">
              <w:rPr>
                <w:rFonts w:ascii="Times New Roman" w:eastAsia="Times New Roman" w:hAnsi="Times New Roman" w:cs="Times New Roman"/>
                <w:sz w:val="24"/>
                <w:szCs w:val="24"/>
                <w:lang w:eastAsia="sk-SK"/>
              </w:rPr>
              <w:t>Zvýšenie hranice pre platenie preddavkov u fyzických aj právnických osôb z 2 500 eur na 5 000 eur</w:t>
            </w:r>
          </w:p>
          <w:p w:rsidR="00EA543A" w:rsidRDefault="00EA543A" w:rsidP="00EA543A">
            <w:pPr>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Pr>
                <w:rFonts w:ascii="Times New Roman" w:eastAsia="Times New Roman" w:hAnsi="Times New Roman" w:cs="Times New Roman"/>
                <w:b/>
                <w:bCs/>
                <w:sz w:val="24"/>
                <w:szCs w:val="24"/>
                <w:lang w:eastAsia="sk-SK"/>
              </w:rPr>
              <w:t xml:space="preserve">DPFO (111) </w:t>
            </w:r>
          </w:p>
        </w:tc>
        <w:tc>
          <w:tcPr>
            <w:tcW w:w="1417" w:type="dxa"/>
            <w:shd w:val="clear" w:color="auto" w:fill="FFFFFF" w:themeFill="background1"/>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0</w:t>
            </w:r>
          </w:p>
        </w:tc>
        <w:tc>
          <w:tcPr>
            <w:tcW w:w="1559" w:type="dxa"/>
            <w:shd w:val="clear" w:color="auto" w:fill="FFFFFF" w:themeFill="background1"/>
          </w:tcPr>
          <w:p w:rsidR="00EA543A" w:rsidRPr="005C47E4" w:rsidRDefault="00EA543A" w:rsidP="00EA543A">
            <w:pPr>
              <w:tabs>
                <w:tab w:val="num" w:pos="1080"/>
              </w:tabs>
              <w:jc w:val="center"/>
              <w:rPr>
                <w:rFonts w:ascii="Times New Roman" w:eastAsia="Times New Roman" w:hAnsi="Times New Roman" w:cs="Times New Roman"/>
                <w:b/>
                <w:bCs/>
                <w:sz w:val="24"/>
                <w:szCs w:val="20"/>
                <w:lang w:eastAsia="sk-SK"/>
              </w:rPr>
            </w:pPr>
            <w:r w:rsidRPr="005C47E4">
              <w:rPr>
                <w:rFonts w:ascii="Times New Roman" w:eastAsia="Times New Roman" w:hAnsi="Times New Roman" w:cs="Times New Roman"/>
                <w:b/>
                <w:bCs/>
                <w:sz w:val="24"/>
                <w:szCs w:val="20"/>
                <w:lang w:eastAsia="sk-SK"/>
              </w:rPr>
              <w:t>0</w:t>
            </w:r>
          </w:p>
        </w:tc>
        <w:tc>
          <w:tcPr>
            <w:tcW w:w="1560" w:type="dxa"/>
            <w:shd w:val="clear" w:color="auto" w:fill="FFFFFF" w:themeFill="background1"/>
          </w:tcPr>
          <w:p w:rsidR="00EA543A" w:rsidRPr="005C47E4" w:rsidRDefault="00EA543A" w:rsidP="00EA543A">
            <w:pPr>
              <w:tabs>
                <w:tab w:val="num" w:pos="1080"/>
              </w:tabs>
              <w:jc w:val="center"/>
              <w:rPr>
                <w:rFonts w:ascii="Times New Roman" w:eastAsia="Times New Roman" w:hAnsi="Times New Roman" w:cs="Times New Roman"/>
                <w:b/>
                <w:bCs/>
                <w:sz w:val="24"/>
                <w:szCs w:val="20"/>
                <w:lang w:eastAsia="sk-SK"/>
              </w:rPr>
            </w:pPr>
            <w:r w:rsidRPr="005C47E4">
              <w:rPr>
                <w:rFonts w:ascii="Times New Roman" w:eastAsia="Times New Roman" w:hAnsi="Times New Roman" w:cs="Times New Roman"/>
                <w:b/>
                <w:bCs/>
                <w:sz w:val="24"/>
                <w:szCs w:val="20"/>
                <w:lang w:eastAsia="sk-SK"/>
              </w:rPr>
              <w:t>-3 300</w:t>
            </w:r>
          </w:p>
        </w:tc>
        <w:tc>
          <w:tcPr>
            <w:tcW w:w="1559" w:type="dxa"/>
            <w:shd w:val="clear" w:color="auto" w:fill="FFFFFF" w:themeFill="background1"/>
          </w:tcPr>
          <w:p w:rsidR="00EA543A" w:rsidRPr="005C47E4" w:rsidRDefault="00EA543A" w:rsidP="00EA543A">
            <w:pPr>
              <w:tabs>
                <w:tab w:val="num" w:pos="1080"/>
              </w:tabs>
              <w:jc w:val="center"/>
              <w:rPr>
                <w:rFonts w:ascii="Times New Roman" w:eastAsia="Times New Roman" w:hAnsi="Times New Roman" w:cs="Times New Roman"/>
                <w:b/>
                <w:bCs/>
                <w:sz w:val="24"/>
                <w:szCs w:val="20"/>
                <w:lang w:eastAsia="sk-SK"/>
              </w:rPr>
            </w:pPr>
            <w:r w:rsidRPr="005C47E4">
              <w:rPr>
                <w:rFonts w:ascii="Times New Roman" w:eastAsia="Times New Roman" w:hAnsi="Times New Roman" w:cs="Times New Roman"/>
                <w:b/>
                <w:bCs/>
                <w:sz w:val="24"/>
                <w:szCs w:val="20"/>
                <w:lang w:eastAsia="sk-SK"/>
              </w:rPr>
              <w:t>0</w:t>
            </w:r>
          </w:p>
        </w:tc>
        <w:tc>
          <w:tcPr>
            <w:tcW w:w="2977"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DPPO (112)</w:t>
            </w:r>
          </w:p>
        </w:tc>
        <w:tc>
          <w:tcPr>
            <w:tcW w:w="1417" w:type="dxa"/>
            <w:shd w:val="clear" w:color="auto" w:fill="FFFFFF" w:themeFill="background1"/>
          </w:tcPr>
          <w:p w:rsidR="00EA543A" w:rsidRDefault="00EA543A" w:rsidP="00EA543A">
            <w:pPr>
              <w:tabs>
                <w:tab w:val="num" w:pos="1080"/>
              </w:tabs>
              <w:jc w:val="center"/>
              <w:rPr>
                <w:rFonts w:ascii="Times New Roman" w:eastAsia="Times New Roman" w:hAnsi="Times New Roman" w:cs="Times New Roman"/>
                <w:b/>
                <w:bCs/>
                <w:sz w:val="24"/>
                <w:szCs w:val="20"/>
                <w:lang w:eastAsia="sk-SK"/>
              </w:rPr>
            </w:pPr>
          </w:p>
        </w:tc>
        <w:tc>
          <w:tcPr>
            <w:tcW w:w="1559" w:type="dxa"/>
            <w:shd w:val="clear" w:color="auto" w:fill="FFFFFF" w:themeFill="background1"/>
          </w:tcPr>
          <w:p w:rsidR="00EA543A" w:rsidRPr="005C47E4" w:rsidRDefault="00EA543A" w:rsidP="00EA543A">
            <w:pPr>
              <w:tabs>
                <w:tab w:val="num" w:pos="1080"/>
              </w:tabs>
              <w:jc w:val="center"/>
              <w:rPr>
                <w:rFonts w:ascii="Times New Roman" w:eastAsia="Times New Roman" w:hAnsi="Times New Roman" w:cs="Times New Roman"/>
                <w:b/>
                <w:bCs/>
                <w:sz w:val="24"/>
                <w:szCs w:val="20"/>
                <w:lang w:eastAsia="sk-SK"/>
              </w:rPr>
            </w:pPr>
          </w:p>
        </w:tc>
        <w:tc>
          <w:tcPr>
            <w:tcW w:w="1560" w:type="dxa"/>
            <w:shd w:val="clear" w:color="auto" w:fill="FFFFFF" w:themeFill="background1"/>
          </w:tcPr>
          <w:p w:rsidR="00EA543A" w:rsidRPr="005C47E4" w:rsidRDefault="00EA543A" w:rsidP="00EA543A">
            <w:pPr>
              <w:tabs>
                <w:tab w:val="num" w:pos="1080"/>
              </w:tabs>
              <w:jc w:val="center"/>
              <w:rPr>
                <w:rFonts w:ascii="Times New Roman" w:eastAsia="Times New Roman" w:hAnsi="Times New Roman" w:cs="Times New Roman"/>
                <w:b/>
                <w:bCs/>
                <w:sz w:val="24"/>
                <w:szCs w:val="20"/>
                <w:lang w:eastAsia="sk-SK"/>
              </w:rPr>
            </w:pPr>
            <w:r w:rsidRPr="005C47E4">
              <w:rPr>
                <w:rFonts w:ascii="Times New Roman" w:eastAsia="Times New Roman" w:hAnsi="Times New Roman" w:cs="Times New Roman"/>
                <w:b/>
                <w:bCs/>
                <w:sz w:val="24"/>
                <w:szCs w:val="20"/>
                <w:lang w:eastAsia="sk-SK"/>
              </w:rPr>
              <w:t>-7 700</w:t>
            </w:r>
          </w:p>
        </w:tc>
        <w:tc>
          <w:tcPr>
            <w:tcW w:w="1559" w:type="dxa"/>
            <w:shd w:val="clear" w:color="auto" w:fill="FFFFFF" w:themeFill="background1"/>
          </w:tcPr>
          <w:p w:rsidR="00EA543A" w:rsidRPr="005C47E4" w:rsidRDefault="00EA543A" w:rsidP="00EA543A">
            <w:pPr>
              <w:tabs>
                <w:tab w:val="num" w:pos="1080"/>
              </w:tabs>
              <w:jc w:val="center"/>
              <w:rPr>
                <w:rFonts w:ascii="Times New Roman" w:eastAsia="Times New Roman" w:hAnsi="Times New Roman" w:cs="Times New Roman"/>
                <w:b/>
                <w:bCs/>
                <w:sz w:val="24"/>
                <w:szCs w:val="20"/>
                <w:lang w:eastAsia="sk-SK"/>
              </w:rPr>
            </w:pPr>
          </w:p>
        </w:tc>
        <w:tc>
          <w:tcPr>
            <w:tcW w:w="2977"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Nedaňové príjmy (200)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Granty a transfery (300)</w:t>
            </w:r>
            <w:r w:rsidRPr="007D5748">
              <w:rPr>
                <w:rFonts w:ascii="Times New Roman" w:eastAsia="Times New Roman" w:hAnsi="Times New Roman" w:cs="Times New Roman"/>
                <w:b/>
                <w:bCs/>
                <w:sz w:val="24"/>
                <w:szCs w:val="24"/>
                <w:vertAlign w:val="superscript"/>
                <w:lang w:eastAsia="sk-SK"/>
              </w:rPr>
              <w:t>1</w:t>
            </w:r>
          </w:p>
        </w:tc>
        <w:tc>
          <w:tcPr>
            <w:tcW w:w="141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Príjmy z transakcií s finančnými aktívami a finančnými pasívami (400)</w:t>
            </w:r>
          </w:p>
        </w:tc>
        <w:tc>
          <w:tcPr>
            <w:tcW w:w="1417"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Prijaté úvery, pôžičky a návratné finančné výpomoci (500)</w:t>
            </w:r>
          </w:p>
        </w:tc>
        <w:tc>
          <w:tcPr>
            <w:tcW w:w="1417"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60"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1559" w:type="dxa"/>
            <w:shd w:val="clear" w:color="auto" w:fill="FFFF99"/>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c>
          <w:tcPr>
            <w:tcW w:w="2977" w:type="dxa"/>
            <w:vMerge/>
            <w:shd w:val="clear" w:color="auto" w:fill="FFFFFF" w:themeFill="background1"/>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r w:rsidR="00EA543A" w:rsidTr="00EA543A">
        <w:tc>
          <w:tcPr>
            <w:tcW w:w="4957" w:type="dxa"/>
            <w:shd w:val="clear" w:color="auto" w:fill="BFBFBF" w:themeFill="background1" w:themeFillShade="BF"/>
          </w:tcPr>
          <w:p w:rsidR="00EA543A" w:rsidRDefault="00EA543A" w:rsidP="00EA543A">
            <w:pPr>
              <w:tabs>
                <w:tab w:val="num" w:pos="1080"/>
              </w:tabs>
              <w:jc w:val="both"/>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
                <w:bCs/>
                <w:sz w:val="24"/>
                <w:szCs w:val="24"/>
                <w:lang w:eastAsia="sk-SK"/>
              </w:rPr>
              <w:t>Dopad na príjmy verejnej správy celkom</w:t>
            </w:r>
          </w:p>
        </w:tc>
        <w:tc>
          <w:tcPr>
            <w:tcW w:w="1417" w:type="dxa"/>
            <w:shd w:val="clear" w:color="auto" w:fill="BFBFBF" w:themeFill="background1" w:themeFillShade="BF"/>
          </w:tcPr>
          <w:p w:rsidR="00EA543A" w:rsidRPr="00526826" w:rsidRDefault="00EA543A" w:rsidP="00EA543A">
            <w:pPr>
              <w:tabs>
                <w:tab w:val="num" w:pos="1080"/>
              </w:tabs>
              <w:jc w:val="center"/>
              <w:rPr>
                <w:rFonts w:ascii="Times New Roman" w:eastAsia="Times New Roman" w:hAnsi="Times New Roman" w:cs="Times New Roman"/>
                <w:b/>
                <w:bCs/>
                <w:sz w:val="24"/>
                <w:szCs w:val="20"/>
                <w:lang w:eastAsia="sk-SK"/>
              </w:rPr>
            </w:pPr>
            <w:r>
              <w:rPr>
                <w:rFonts w:ascii="Times New Roman" w:eastAsia="Times New Roman" w:hAnsi="Times New Roman" w:cs="Times New Roman"/>
                <w:b/>
                <w:bCs/>
                <w:sz w:val="24"/>
                <w:szCs w:val="20"/>
                <w:lang w:eastAsia="sk-SK"/>
              </w:rPr>
              <w:t>0</w:t>
            </w:r>
          </w:p>
        </w:tc>
        <w:tc>
          <w:tcPr>
            <w:tcW w:w="1559" w:type="dxa"/>
            <w:shd w:val="clear" w:color="auto" w:fill="BFBFBF" w:themeFill="background1" w:themeFillShade="BF"/>
          </w:tcPr>
          <w:p w:rsidR="00EA543A" w:rsidRPr="005C47E4" w:rsidRDefault="00EA543A" w:rsidP="00EA543A">
            <w:pPr>
              <w:jc w:val="center"/>
              <w:rPr>
                <w:rFonts w:ascii="Times New Roman" w:eastAsia="Times New Roman" w:hAnsi="Times New Roman" w:cs="Times New Roman"/>
                <w:b/>
                <w:bCs/>
                <w:sz w:val="24"/>
                <w:szCs w:val="20"/>
                <w:lang w:eastAsia="sk-SK"/>
              </w:rPr>
            </w:pPr>
            <w:r w:rsidRPr="005C47E4">
              <w:rPr>
                <w:rFonts w:ascii="Times New Roman" w:eastAsia="Times New Roman" w:hAnsi="Times New Roman" w:cs="Times New Roman"/>
                <w:b/>
                <w:bCs/>
                <w:sz w:val="24"/>
                <w:szCs w:val="20"/>
                <w:lang w:eastAsia="sk-SK"/>
              </w:rPr>
              <w:t>0</w:t>
            </w:r>
          </w:p>
        </w:tc>
        <w:tc>
          <w:tcPr>
            <w:tcW w:w="1560" w:type="dxa"/>
            <w:shd w:val="clear" w:color="auto" w:fill="BFBFBF" w:themeFill="background1" w:themeFillShade="BF"/>
          </w:tcPr>
          <w:p w:rsidR="00EA543A" w:rsidRPr="005C47E4" w:rsidRDefault="00EA543A" w:rsidP="00EA543A">
            <w:pPr>
              <w:tabs>
                <w:tab w:val="num" w:pos="1080"/>
              </w:tabs>
              <w:jc w:val="center"/>
              <w:rPr>
                <w:rFonts w:ascii="Times New Roman" w:eastAsia="Times New Roman" w:hAnsi="Times New Roman" w:cs="Times New Roman"/>
                <w:b/>
                <w:bCs/>
                <w:sz w:val="24"/>
                <w:szCs w:val="20"/>
                <w:lang w:eastAsia="sk-SK"/>
              </w:rPr>
            </w:pPr>
            <w:r w:rsidRPr="005C47E4">
              <w:rPr>
                <w:rFonts w:ascii="Times New Roman" w:eastAsia="Times New Roman" w:hAnsi="Times New Roman" w:cs="Times New Roman"/>
                <w:b/>
                <w:bCs/>
                <w:sz w:val="24"/>
                <w:szCs w:val="20"/>
                <w:lang w:eastAsia="sk-SK"/>
              </w:rPr>
              <w:t>-11 000</w:t>
            </w:r>
          </w:p>
        </w:tc>
        <w:tc>
          <w:tcPr>
            <w:tcW w:w="1559" w:type="dxa"/>
            <w:shd w:val="clear" w:color="auto" w:fill="BFBFBF" w:themeFill="background1" w:themeFillShade="BF"/>
          </w:tcPr>
          <w:p w:rsidR="00EA543A" w:rsidRPr="005C47E4" w:rsidRDefault="00EA543A" w:rsidP="00EA543A">
            <w:pPr>
              <w:tabs>
                <w:tab w:val="num" w:pos="1080"/>
              </w:tabs>
              <w:jc w:val="center"/>
              <w:rPr>
                <w:rFonts w:ascii="Times New Roman" w:eastAsia="Times New Roman" w:hAnsi="Times New Roman" w:cs="Times New Roman"/>
                <w:b/>
                <w:bCs/>
                <w:sz w:val="24"/>
                <w:szCs w:val="20"/>
                <w:lang w:eastAsia="sk-SK"/>
              </w:rPr>
            </w:pPr>
            <w:r w:rsidRPr="005C47E4">
              <w:rPr>
                <w:rFonts w:ascii="Times New Roman" w:eastAsia="Times New Roman" w:hAnsi="Times New Roman" w:cs="Times New Roman"/>
                <w:b/>
                <w:bCs/>
                <w:sz w:val="24"/>
                <w:szCs w:val="20"/>
                <w:lang w:eastAsia="sk-SK"/>
              </w:rPr>
              <w:t>0</w:t>
            </w:r>
          </w:p>
        </w:tc>
        <w:tc>
          <w:tcPr>
            <w:tcW w:w="2977" w:type="dxa"/>
            <w:shd w:val="clear" w:color="auto" w:fill="BFBFBF" w:themeFill="background1" w:themeFillShade="BF"/>
          </w:tcPr>
          <w:p w:rsidR="00EA543A" w:rsidRDefault="00EA543A" w:rsidP="00EA543A">
            <w:pPr>
              <w:tabs>
                <w:tab w:val="num" w:pos="1080"/>
              </w:tabs>
              <w:jc w:val="both"/>
              <w:rPr>
                <w:rFonts w:ascii="Times New Roman" w:eastAsia="Times New Roman" w:hAnsi="Times New Roman" w:cs="Times New Roman"/>
                <w:bCs/>
                <w:sz w:val="24"/>
                <w:szCs w:val="20"/>
                <w:lang w:eastAsia="sk-SK"/>
              </w:rPr>
            </w:pPr>
          </w:p>
        </w:tc>
      </w:tr>
    </w:tbl>
    <w:p w:rsidR="00EA543A" w:rsidRDefault="00EA543A" w:rsidP="00EA543A">
      <w:pPr>
        <w:tabs>
          <w:tab w:val="num" w:pos="1080"/>
        </w:tabs>
        <w:spacing w:after="0" w:line="240" w:lineRule="auto"/>
        <w:ind w:right="-32"/>
        <w:jc w:val="right"/>
        <w:rPr>
          <w:rFonts w:ascii="Times New Roman" w:eastAsia="Times New Roman" w:hAnsi="Times New Roman" w:cs="Times New Roman"/>
          <w:bCs/>
          <w:sz w:val="24"/>
          <w:szCs w:val="24"/>
          <w:lang w:eastAsia="sk-SK"/>
        </w:rPr>
      </w:pPr>
    </w:p>
    <w:p w:rsidR="00EA543A" w:rsidRPr="007D5748" w:rsidRDefault="00EA543A" w:rsidP="00EA543A">
      <w:pPr>
        <w:tabs>
          <w:tab w:val="num" w:pos="1080"/>
        </w:tabs>
        <w:spacing w:after="0" w:line="240" w:lineRule="auto"/>
        <w:ind w:right="-32"/>
        <w:jc w:val="right"/>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4"/>
          <w:lang w:eastAsia="sk-SK"/>
        </w:rPr>
        <w:t xml:space="preserve">Tabuľka č. 4 </w:t>
      </w: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6374"/>
        <w:gridCol w:w="1276"/>
        <w:gridCol w:w="1417"/>
        <w:gridCol w:w="1276"/>
        <w:gridCol w:w="1276"/>
        <w:gridCol w:w="3831"/>
      </w:tblGrid>
      <w:tr w:rsidR="00EA543A" w:rsidRPr="007D5748" w:rsidTr="00EA543A">
        <w:trPr>
          <w:cantSplit/>
          <w:trHeight w:val="255"/>
        </w:trPr>
        <w:tc>
          <w:tcPr>
            <w:tcW w:w="6374"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EA543A" w:rsidRPr="007D5748" w:rsidRDefault="00EA543A" w:rsidP="00EA543A">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 xml:space="preserve">Výdavky (v </w:t>
            </w:r>
            <w:r>
              <w:rPr>
                <w:rFonts w:ascii="Times New Roman" w:eastAsia="Times New Roman" w:hAnsi="Times New Roman" w:cs="Times New Roman"/>
                <w:b/>
                <w:bCs/>
                <w:sz w:val="20"/>
                <w:szCs w:val="20"/>
                <w:lang w:eastAsia="sk-SK"/>
              </w:rPr>
              <w:t xml:space="preserve">tis. </w:t>
            </w:r>
            <w:r w:rsidRPr="007D5748">
              <w:rPr>
                <w:rFonts w:ascii="Times New Roman" w:eastAsia="Times New Roman" w:hAnsi="Times New Roman" w:cs="Times New Roman"/>
                <w:b/>
                <w:bCs/>
                <w:sz w:val="20"/>
                <w:szCs w:val="20"/>
                <w:lang w:eastAsia="sk-SK"/>
              </w:rPr>
              <w:t>eur)</w:t>
            </w:r>
          </w:p>
        </w:tc>
        <w:tc>
          <w:tcPr>
            <w:tcW w:w="5245"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EA543A" w:rsidRPr="007D5748" w:rsidRDefault="00EA543A" w:rsidP="00EA543A">
            <w:pPr>
              <w:spacing w:after="0" w:line="240" w:lineRule="auto"/>
              <w:jc w:val="center"/>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Vplyv na rozpočet verejnej správy</w:t>
            </w:r>
          </w:p>
        </w:tc>
        <w:tc>
          <w:tcPr>
            <w:tcW w:w="383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EA543A" w:rsidRPr="007D5748" w:rsidTr="00EA543A">
        <w:trPr>
          <w:cantSplit/>
          <w:trHeight w:val="255"/>
        </w:trPr>
        <w:tc>
          <w:tcPr>
            <w:tcW w:w="6374" w:type="dxa"/>
            <w:vMerge/>
            <w:tcBorders>
              <w:top w:val="single" w:sz="4" w:space="0" w:color="auto"/>
              <w:left w:val="single" w:sz="4" w:space="0" w:color="auto"/>
              <w:bottom w:val="single" w:sz="4" w:space="0" w:color="000000"/>
              <w:right w:val="single" w:sz="4" w:space="0" w:color="auto"/>
            </w:tcBorders>
            <w:vAlign w:val="center"/>
          </w:tcPr>
          <w:p w:rsidR="00EA543A" w:rsidRPr="007D5748" w:rsidRDefault="00EA543A" w:rsidP="00EA543A">
            <w:pPr>
              <w:spacing w:after="0" w:line="240" w:lineRule="auto"/>
              <w:rPr>
                <w:rFonts w:ascii="Times New Roman" w:eastAsia="Times New Roman" w:hAnsi="Times New Roman" w:cs="Times New Roman"/>
                <w:b/>
                <w:bCs/>
                <w:color w:val="FFFFFF"/>
                <w:sz w:val="20"/>
                <w:szCs w:val="20"/>
                <w:lang w:eastAsia="sk-SK"/>
              </w:rPr>
            </w:pPr>
          </w:p>
        </w:tc>
        <w:tc>
          <w:tcPr>
            <w:tcW w:w="1276" w:type="dxa"/>
            <w:tcBorders>
              <w:top w:val="nil"/>
              <w:left w:val="nil"/>
              <w:bottom w:val="single" w:sz="4" w:space="0" w:color="auto"/>
              <w:right w:val="single" w:sz="4" w:space="0" w:color="auto"/>
            </w:tcBorders>
            <w:shd w:val="clear" w:color="auto" w:fill="BFBFBF" w:themeFill="background1" w:themeFillShade="BF"/>
          </w:tcPr>
          <w:p w:rsidR="00EA543A" w:rsidRPr="004D77EC" w:rsidRDefault="00EA543A" w:rsidP="00EA543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2019</w:t>
            </w:r>
          </w:p>
        </w:tc>
        <w:tc>
          <w:tcPr>
            <w:tcW w:w="1417" w:type="dxa"/>
            <w:tcBorders>
              <w:top w:val="nil"/>
              <w:left w:val="nil"/>
              <w:bottom w:val="single" w:sz="4" w:space="0" w:color="auto"/>
              <w:right w:val="single" w:sz="4" w:space="0" w:color="auto"/>
            </w:tcBorders>
            <w:shd w:val="clear" w:color="auto" w:fill="BFBFBF" w:themeFill="background1" w:themeFillShade="BF"/>
          </w:tcPr>
          <w:p w:rsidR="00EA543A" w:rsidRPr="004D77EC" w:rsidRDefault="00EA543A" w:rsidP="00EA543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2020</w:t>
            </w:r>
          </w:p>
        </w:tc>
        <w:tc>
          <w:tcPr>
            <w:tcW w:w="1276" w:type="dxa"/>
            <w:tcBorders>
              <w:top w:val="nil"/>
              <w:left w:val="nil"/>
              <w:bottom w:val="single" w:sz="4" w:space="0" w:color="auto"/>
              <w:right w:val="single" w:sz="4" w:space="0" w:color="auto"/>
            </w:tcBorders>
            <w:shd w:val="clear" w:color="auto" w:fill="BFBFBF" w:themeFill="background1" w:themeFillShade="BF"/>
          </w:tcPr>
          <w:p w:rsidR="00EA543A" w:rsidRPr="004D77EC" w:rsidRDefault="00EA543A" w:rsidP="00EA543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2021</w:t>
            </w:r>
          </w:p>
        </w:tc>
        <w:tc>
          <w:tcPr>
            <w:tcW w:w="1276" w:type="dxa"/>
            <w:tcBorders>
              <w:top w:val="nil"/>
              <w:left w:val="nil"/>
              <w:bottom w:val="single" w:sz="4" w:space="0" w:color="auto"/>
              <w:right w:val="single" w:sz="4" w:space="0" w:color="auto"/>
            </w:tcBorders>
            <w:shd w:val="clear" w:color="auto" w:fill="BFBFBF" w:themeFill="background1" w:themeFillShade="BF"/>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2022</w:t>
            </w:r>
          </w:p>
        </w:tc>
        <w:tc>
          <w:tcPr>
            <w:tcW w:w="3831" w:type="dxa"/>
            <w:vMerge/>
            <w:tcBorders>
              <w:top w:val="single" w:sz="4" w:space="0" w:color="auto"/>
              <w:left w:val="single" w:sz="4" w:space="0" w:color="auto"/>
              <w:bottom w:val="single" w:sz="4" w:space="0" w:color="auto"/>
              <w:right w:val="single" w:sz="4" w:space="0" w:color="auto"/>
            </w:tcBorders>
            <w:vAlign w:val="center"/>
          </w:tcPr>
          <w:p w:rsidR="00EA543A" w:rsidRPr="007D5748" w:rsidRDefault="00EA543A" w:rsidP="00EA543A">
            <w:pPr>
              <w:spacing w:after="0" w:line="240" w:lineRule="auto"/>
              <w:rPr>
                <w:rFonts w:ascii="Times New Roman" w:eastAsia="Times New Roman" w:hAnsi="Times New Roman" w:cs="Times New Roman"/>
                <w:b/>
                <w:bCs/>
                <w:color w:val="FFFFFF"/>
                <w:sz w:val="24"/>
                <w:szCs w:val="24"/>
                <w:lang w:eastAsia="sk-SK"/>
              </w:rPr>
            </w:pPr>
          </w:p>
        </w:tc>
      </w:tr>
      <w:tr w:rsidR="00EA543A" w:rsidRPr="007D5748" w:rsidTr="00EA543A">
        <w:trPr>
          <w:trHeight w:val="255"/>
        </w:trPr>
        <w:tc>
          <w:tcPr>
            <w:tcW w:w="6374" w:type="dxa"/>
            <w:tcBorders>
              <w:top w:val="nil"/>
              <w:left w:val="single" w:sz="4" w:space="0" w:color="auto"/>
              <w:bottom w:val="single" w:sz="4" w:space="0" w:color="auto"/>
              <w:right w:val="single" w:sz="4" w:space="0" w:color="auto"/>
            </w:tcBorders>
          </w:tcPr>
          <w:p w:rsidR="00EA543A" w:rsidRPr="007D5748" w:rsidRDefault="00EA543A" w:rsidP="00EA543A">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Bežné výdavky (600)</w:t>
            </w:r>
          </w:p>
        </w:tc>
        <w:tc>
          <w:tcPr>
            <w:tcW w:w="1276"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b/>
                <w:bCs/>
                <w:sz w:val="20"/>
                <w:szCs w:val="20"/>
                <w:lang w:eastAsia="sk-SK"/>
              </w:rPr>
            </w:pPr>
          </w:p>
        </w:tc>
        <w:tc>
          <w:tcPr>
            <w:tcW w:w="1417" w:type="dxa"/>
            <w:tcBorders>
              <w:top w:val="nil"/>
              <w:left w:val="nil"/>
              <w:bottom w:val="single" w:sz="4" w:space="0" w:color="auto"/>
              <w:right w:val="single" w:sz="4" w:space="0" w:color="auto"/>
            </w:tcBorders>
          </w:tcPr>
          <w:p w:rsidR="00EA543A" w:rsidRPr="002D1539" w:rsidRDefault="00EA543A" w:rsidP="00EA543A">
            <w:pPr>
              <w:spacing w:after="0" w:line="240" w:lineRule="auto"/>
              <w:jc w:val="center"/>
              <w:rPr>
                <w:rFonts w:ascii="Times New Roman" w:eastAsia="Times New Roman" w:hAnsi="Times New Roman" w:cs="Times New Roman"/>
                <w:b/>
                <w:bCs/>
                <w:sz w:val="20"/>
                <w:szCs w:val="20"/>
                <w:lang w:eastAsia="sk-SK"/>
              </w:rPr>
            </w:pPr>
          </w:p>
        </w:tc>
        <w:tc>
          <w:tcPr>
            <w:tcW w:w="1276" w:type="dxa"/>
            <w:tcBorders>
              <w:top w:val="nil"/>
              <w:left w:val="nil"/>
              <w:bottom w:val="single" w:sz="4" w:space="0" w:color="auto"/>
              <w:right w:val="single" w:sz="4" w:space="0" w:color="auto"/>
            </w:tcBorders>
          </w:tcPr>
          <w:p w:rsidR="00EA543A" w:rsidRPr="002D1539" w:rsidRDefault="00EA543A" w:rsidP="00EA543A">
            <w:pPr>
              <w:spacing w:after="0" w:line="240" w:lineRule="auto"/>
              <w:jc w:val="center"/>
              <w:rPr>
                <w:rFonts w:ascii="Times New Roman" w:eastAsia="Times New Roman" w:hAnsi="Times New Roman" w:cs="Times New Roman"/>
                <w:b/>
                <w:bCs/>
                <w:sz w:val="20"/>
                <w:szCs w:val="20"/>
                <w:lang w:eastAsia="sk-SK"/>
              </w:rPr>
            </w:pPr>
          </w:p>
        </w:tc>
        <w:tc>
          <w:tcPr>
            <w:tcW w:w="1276" w:type="dxa"/>
            <w:tcBorders>
              <w:top w:val="nil"/>
              <w:left w:val="nil"/>
              <w:bottom w:val="single" w:sz="4" w:space="0" w:color="auto"/>
              <w:right w:val="single" w:sz="4" w:space="0" w:color="auto"/>
            </w:tcBorders>
          </w:tcPr>
          <w:p w:rsidR="00EA543A" w:rsidRPr="002D1539" w:rsidRDefault="00EA543A" w:rsidP="00EA543A">
            <w:pPr>
              <w:spacing w:after="0" w:line="240" w:lineRule="auto"/>
              <w:jc w:val="center"/>
              <w:rPr>
                <w:rFonts w:ascii="Times New Roman" w:eastAsia="Times New Roman" w:hAnsi="Times New Roman" w:cs="Times New Roman"/>
                <w:b/>
                <w:bCs/>
                <w:sz w:val="20"/>
                <w:szCs w:val="20"/>
                <w:lang w:eastAsia="sk-SK"/>
              </w:rPr>
            </w:pPr>
          </w:p>
        </w:tc>
        <w:tc>
          <w:tcPr>
            <w:tcW w:w="3831" w:type="dxa"/>
            <w:tcBorders>
              <w:top w:val="nil"/>
              <w:left w:val="nil"/>
              <w:bottom w:val="single" w:sz="4" w:space="0" w:color="auto"/>
              <w:right w:val="single" w:sz="4" w:space="0" w:color="auto"/>
            </w:tcBorders>
            <w:noWrap/>
            <w:vAlign w:val="bottom"/>
          </w:tcPr>
          <w:p w:rsidR="00EA543A" w:rsidRPr="007D5748" w:rsidRDefault="00EA543A" w:rsidP="00EA543A">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EA543A" w:rsidRPr="007D5748" w:rsidTr="00EA543A">
        <w:trPr>
          <w:trHeight w:val="255"/>
        </w:trPr>
        <w:tc>
          <w:tcPr>
            <w:tcW w:w="6374" w:type="dxa"/>
            <w:tcBorders>
              <w:top w:val="nil"/>
              <w:left w:val="single" w:sz="4" w:space="0" w:color="auto"/>
              <w:bottom w:val="single" w:sz="4" w:space="0" w:color="auto"/>
              <w:right w:val="single" w:sz="4" w:space="0" w:color="auto"/>
            </w:tcBorders>
          </w:tcPr>
          <w:p w:rsidR="00EA543A" w:rsidRPr="007D5748" w:rsidRDefault="00EA543A" w:rsidP="00EA543A">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Mzdy, platy, služobné príjmy a ostatné osobné vyrovnania (610)</w:t>
            </w:r>
          </w:p>
        </w:tc>
        <w:tc>
          <w:tcPr>
            <w:tcW w:w="1276"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sz w:val="20"/>
                <w:szCs w:val="20"/>
                <w:lang w:eastAsia="sk-SK"/>
              </w:rPr>
            </w:pPr>
          </w:p>
        </w:tc>
        <w:tc>
          <w:tcPr>
            <w:tcW w:w="1417" w:type="dxa"/>
            <w:tcBorders>
              <w:top w:val="nil"/>
              <w:left w:val="nil"/>
              <w:bottom w:val="single" w:sz="4" w:space="0" w:color="auto"/>
              <w:right w:val="single" w:sz="4" w:space="0" w:color="auto"/>
            </w:tcBorders>
          </w:tcPr>
          <w:p w:rsidR="00EA543A" w:rsidRPr="002D1539" w:rsidRDefault="00EA543A" w:rsidP="00EA543A">
            <w:pPr>
              <w:spacing w:after="0" w:line="240" w:lineRule="auto"/>
              <w:jc w:val="center"/>
              <w:rPr>
                <w:rFonts w:ascii="Times New Roman" w:eastAsia="Times New Roman" w:hAnsi="Times New Roman" w:cs="Times New Roman"/>
                <w:sz w:val="20"/>
                <w:szCs w:val="20"/>
                <w:lang w:eastAsia="sk-SK"/>
              </w:rPr>
            </w:pPr>
          </w:p>
        </w:tc>
        <w:tc>
          <w:tcPr>
            <w:tcW w:w="1276" w:type="dxa"/>
            <w:tcBorders>
              <w:top w:val="nil"/>
              <w:left w:val="nil"/>
              <w:bottom w:val="single" w:sz="4" w:space="0" w:color="auto"/>
              <w:right w:val="single" w:sz="4" w:space="0" w:color="auto"/>
            </w:tcBorders>
          </w:tcPr>
          <w:p w:rsidR="00EA543A" w:rsidRPr="002D1539" w:rsidRDefault="00EA543A" w:rsidP="00EA543A">
            <w:pPr>
              <w:spacing w:after="0" w:line="240" w:lineRule="auto"/>
              <w:jc w:val="center"/>
              <w:rPr>
                <w:rFonts w:ascii="Times New Roman" w:eastAsia="Times New Roman" w:hAnsi="Times New Roman" w:cs="Times New Roman"/>
                <w:sz w:val="20"/>
                <w:szCs w:val="20"/>
                <w:lang w:eastAsia="sk-SK"/>
              </w:rPr>
            </w:pPr>
          </w:p>
        </w:tc>
        <w:tc>
          <w:tcPr>
            <w:tcW w:w="1276" w:type="dxa"/>
            <w:tcBorders>
              <w:top w:val="nil"/>
              <w:left w:val="nil"/>
              <w:bottom w:val="single" w:sz="4" w:space="0" w:color="auto"/>
              <w:right w:val="single" w:sz="4" w:space="0" w:color="auto"/>
            </w:tcBorders>
          </w:tcPr>
          <w:p w:rsidR="00EA543A" w:rsidRPr="002D1539" w:rsidRDefault="00EA543A" w:rsidP="00EA543A">
            <w:pPr>
              <w:spacing w:after="0" w:line="240" w:lineRule="auto"/>
              <w:jc w:val="center"/>
              <w:rPr>
                <w:rFonts w:ascii="Times New Roman" w:eastAsia="Times New Roman" w:hAnsi="Times New Roman" w:cs="Times New Roman"/>
                <w:sz w:val="20"/>
                <w:szCs w:val="20"/>
                <w:lang w:eastAsia="sk-SK"/>
              </w:rPr>
            </w:pPr>
          </w:p>
        </w:tc>
        <w:tc>
          <w:tcPr>
            <w:tcW w:w="3831" w:type="dxa"/>
            <w:tcBorders>
              <w:top w:val="nil"/>
              <w:left w:val="nil"/>
              <w:bottom w:val="single" w:sz="4" w:space="0" w:color="auto"/>
              <w:right w:val="single" w:sz="4" w:space="0" w:color="auto"/>
            </w:tcBorders>
            <w:noWrap/>
            <w:vAlign w:val="bottom"/>
          </w:tcPr>
          <w:p w:rsidR="00EA543A" w:rsidRPr="007D5748" w:rsidRDefault="00EA543A" w:rsidP="00EA543A">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EA543A" w:rsidRPr="007D5748" w:rsidTr="00EA543A">
        <w:trPr>
          <w:trHeight w:val="255"/>
        </w:trPr>
        <w:tc>
          <w:tcPr>
            <w:tcW w:w="6374" w:type="dxa"/>
            <w:tcBorders>
              <w:top w:val="nil"/>
              <w:left w:val="single" w:sz="4" w:space="0" w:color="auto"/>
              <w:bottom w:val="single" w:sz="4" w:space="0" w:color="auto"/>
              <w:right w:val="single" w:sz="4" w:space="0" w:color="auto"/>
            </w:tcBorders>
          </w:tcPr>
          <w:p w:rsidR="00EA543A" w:rsidRPr="007D5748" w:rsidRDefault="00EA543A" w:rsidP="00EA543A">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Poistné a príspevok do poisťovní (620)</w:t>
            </w:r>
          </w:p>
        </w:tc>
        <w:tc>
          <w:tcPr>
            <w:tcW w:w="1276"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sz w:val="20"/>
                <w:szCs w:val="20"/>
                <w:lang w:eastAsia="sk-SK"/>
              </w:rPr>
            </w:pPr>
          </w:p>
        </w:tc>
        <w:tc>
          <w:tcPr>
            <w:tcW w:w="1417" w:type="dxa"/>
            <w:tcBorders>
              <w:top w:val="nil"/>
              <w:left w:val="nil"/>
              <w:bottom w:val="single" w:sz="4" w:space="0" w:color="auto"/>
              <w:right w:val="single" w:sz="4" w:space="0" w:color="auto"/>
            </w:tcBorders>
          </w:tcPr>
          <w:p w:rsidR="00EA543A" w:rsidRPr="002D1539" w:rsidRDefault="00EA543A" w:rsidP="00EA543A">
            <w:pPr>
              <w:spacing w:after="0" w:line="240" w:lineRule="auto"/>
              <w:jc w:val="center"/>
              <w:rPr>
                <w:rFonts w:ascii="Times New Roman" w:eastAsia="Times New Roman" w:hAnsi="Times New Roman" w:cs="Times New Roman"/>
                <w:sz w:val="20"/>
                <w:szCs w:val="20"/>
                <w:lang w:eastAsia="sk-SK"/>
              </w:rPr>
            </w:pPr>
          </w:p>
        </w:tc>
        <w:tc>
          <w:tcPr>
            <w:tcW w:w="1276" w:type="dxa"/>
            <w:tcBorders>
              <w:top w:val="nil"/>
              <w:left w:val="nil"/>
              <w:bottom w:val="single" w:sz="4" w:space="0" w:color="auto"/>
              <w:right w:val="single" w:sz="4" w:space="0" w:color="auto"/>
            </w:tcBorders>
          </w:tcPr>
          <w:p w:rsidR="00EA543A" w:rsidRPr="002D1539" w:rsidRDefault="00EA543A" w:rsidP="00EA543A">
            <w:pPr>
              <w:spacing w:after="0" w:line="240" w:lineRule="auto"/>
              <w:jc w:val="center"/>
              <w:rPr>
                <w:rFonts w:ascii="Times New Roman" w:eastAsia="Times New Roman" w:hAnsi="Times New Roman" w:cs="Times New Roman"/>
                <w:sz w:val="20"/>
                <w:szCs w:val="20"/>
                <w:lang w:eastAsia="sk-SK"/>
              </w:rPr>
            </w:pPr>
          </w:p>
        </w:tc>
        <w:tc>
          <w:tcPr>
            <w:tcW w:w="1276" w:type="dxa"/>
            <w:tcBorders>
              <w:top w:val="nil"/>
              <w:left w:val="nil"/>
              <w:bottom w:val="single" w:sz="4" w:space="0" w:color="auto"/>
              <w:right w:val="single" w:sz="4" w:space="0" w:color="auto"/>
            </w:tcBorders>
          </w:tcPr>
          <w:p w:rsidR="00EA543A" w:rsidRPr="002D1539" w:rsidRDefault="00EA543A" w:rsidP="00EA543A">
            <w:pPr>
              <w:spacing w:after="0" w:line="240" w:lineRule="auto"/>
              <w:jc w:val="center"/>
              <w:rPr>
                <w:rFonts w:ascii="Times New Roman" w:eastAsia="Times New Roman" w:hAnsi="Times New Roman" w:cs="Times New Roman"/>
                <w:sz w:val="20"/>
                <w:szCs w:val="20"/>
                <w:lang w:eastAsia="sk-SK"/>
              </w:rPr>
            </w:pPr>
          </w:p>
        </w:tc>
        <w:tc>
          <w:tcPr>
            <w:tcW w:w="3831" w:type="dxa"/>
            <w:tcBorders>
              <w:top w:val="nil"/>
              <w:left w:val="nil"/>
              <w:bottom w:val="single" w:sz="4" w:space="0" w:color="auto"/>
              <w:right w:val="single" w:sz="4" w:space="0" w:color="auto"/>
            </w:tcBorders>
            <w:noWrap/>
            <w:vAlign w:val="bottom"/>
          </w:tcPr>
          <w:p w:rsidR="00EA543A" w:rsidRPr="007D5748" w:rsidRDefault="00EA543A" w:rsidP="00EA543A">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EA543A" w:rsidRPr="007D5748" w:rsidTr="00EA543A">
        <w:trPr>
          <w:trHeight w:val="255"/>
        </w:trPr>
        <w:tc>
          <w:tcPr>
            <w:tcW w:w="6374" w:type="dxa"/>
            <w:tcBorders>
              <w:top w:val="nil"/>
              <w:left w:val="single" w:sz="4" w:space="0" w:color="auto"/>
              <w:bottom w:val="single" w:sz="4" w:space="0" w:color="auto"/>
              <w:right w:val="single" w:sz="4" w:space="0" w:color="auto"/>
            </w:tcBorders>
          </w:tcPr>
          <w:p w:rsidR="00EA543A" w:rsidRPr="007D5748" w:rsidRDefault="00EA543A" w:rsidP="00EA543A">
            <w:pPr>
              <w:spacing w:after="0" w:line="240" w:lineRule="auto"/>
              <w:rPr>
                <w:rFonts w:ascii="Times New Roman" w:eastAsia="Times New Roman" w:hAnsi="Times New Roman" w:cs="Times New Roman"/>
                <w:sz w:val="20"/>
                <w:szCs w:val="20"/>
                <w:vertAlign w:val="superscript"/>
                <w:lang w:eastAsia="sk-SK"/>
              </w:rPr>
            </w:pPr>
            <w:r w:rsidRPr="007D5748">
              <w:rPr>
                <w:rFonts w:ascii="Times New Roman" w:eastAsia="Times New Roman" w:hAnsi="Times New Roman" w:cs="Times New Roman"/>
                <w:sz w:val="20"/>
                <w:szCs w:val="20"/>
                <w:lang w:eastAsia="sk-SK"/>
              </w:rPr>
              <w:t xml:space="preserve">  Tovary a služby (630)</w:t>
            </w:r>
            <w:r w:rsidRPr="007D5748">
              <w:rPr>
                <w:rFonts w:ascii="Times New Roman" w:eastAsia="Times New Roman" w:hAnsi="Times New Roman" w:cs="Times New Roman"/>
                <w:sz w:val="20"/>
                <w:szCs w:val="20"/>
                <w:vertAlign w:val="superscript"/>
                <w:lang w:eastAsia="sk-SK"/>
              </w:rPr>
              <w:t>2</w:t>
            </w:r>
          </w:p>
        </w:tc>
        <w:tc>
          <w:tcPr>
            <w:tcW w:w="1276"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sz w:val="20"/>
                <w:szCs w:val="20"/>
                <w:lang w:eastAsia="sk-SK"/>
              </w:rPr>
            </w:pPr>
          </w:p>
        </w:tc>
        <w:tc>
          <w:tcPr>
            <w:tcW w:w="1417" w:type="dxa"/>
            <w:tcBorders>
              <w:top w:val="nil"/>
              <w:left w:val="nil"/>
              <w:bottom w:val="single" w:sz="4" w:space="0" w:color="auto"/>
              <w:right w:val="single" w:sz="4" w:space="0" w:color="auto"/>
            </w:tcBorders>
          </w:tcPr>
          <w:p w:rsidR="00EA543A" w:rsidRPr="002D1539" w:rsidRDefault="00EA543A" w:rsidP="00EA543A">
            <w:pPr>
              <w:spacing w:after="0" w:line="240" w:lineRule="auto"/>
              <w:jc w:val="center"/>
              <w:rPr>
                <w:rFonts w:ascii="Times New Roman" w:eastAsia="Times New Roman" w:hAnsi="Times New Roman" w:cs="Times New Roman"/>
                <w:sz w:val="20"/>
                <w:szCs w:val="20"/>
                <w:lang w:eastAsia="sk-SK"/>
              </w:rPr>
            </w:pPr>
          </w:p>
        </w:tc>
        <w:tc>
          <w:tcPr>
            <w:tcW w:w="1276" w:type="dxa"/>
            <w:tcBorders>
              <w:top w:val="nil"/>
              <w:left w:val="nil"/>
              <w:bottom w:val="single" w:sz="4" w:space="0" w:color="auto"/>
              <w:right w:val="single" w:sz="4" w:space="0" w:color="auto"/>
            </w:tcBorders>
          </w:tcPr>
          <w:p w:rsidR="00EA543A" w:rsidRPr="002D1539" w:rsidRDefault="00EA543A" w:rsidP="00EA543A">
            <w:pPr>
              <w:spacing w:after="0" w:line="240" w:lineRule="auto"/>
              <w:jc w:val="center"/>
              <w:rPr>
                <w:rFonts w:ascii="Times New Roman" w:eastAsia="Times New Roman" w:hAnsi="Times New Roman" w:cs="Times New Roman"/>
                <w:sz w:val="20"/>
                <w:szCs w:val="20"/>
                <w:lang w:eastAsia="sk-SK"/>
              </w:rPr>
            </w:pPr>
          </w:p>
        </w:tc>
        <w:tc>
          <w:tcPr>
            <w:tcW w:w="1276" w:type="dxa"/>
            <w:tcBorders>
              <w:top w:val="nil"/>
              <w:left w:val="nil"/>
              <w:bottom w:val="single" w:sz="4" w:space="0" w:color="auto"/>
              <w:right w:val="single" w:sz="4" w:space="0" w:color="auto"/>
            </w:tcBorders>
          </w:tcPr>
          <w:p w:rsidR="00EA543A" w:rsidRPr="002D1539" w:rsidRDefault="00EA543A" w:rsidP="00EA543A">
            <w:pPr>
              <w:spacing w:after="0" w:line="240" w:lineRule="auto"/>
              <w:jc w:val="center"/>
              <w:rPr>
                <w:rFonts w:ascii="Times New Roman" w:eastAsia="Times New Roman" w:hAnsi="Times New Roman" w:cs="Times New Roman"/>
                <w:sz w:val="20"/>
                <w:szCs w:val="20"/>
                <w:lang w:eastAsia="sk-SK"/>
              </w:rPr>
            </w:pPr>
          </w:p>
        </w:tc>
        <w:tc>
          <w:tcPr>
            <w:tcW w:w="3831" w:type="dxa"/>
            <w:tcBorders>
              <w:top w:val="nil"/>
              <w:left w:val="nil"/>
              <w:bottom w:val="single" w:sz="4" w:space="0" w:color="auto"/>
              <w:right w:val="single" w:sz="4" w:space="0" w:color="auto"/>
            </w:tcBorders>
            <w:noWrap/>
            <w:vAlign w:val="bottom"/>
          </w:tcPr>
          <w:p w:rsidR="00EA543A" w:rsidRPr="007D5748" w:rsidRDefault="00EA543A" w:rsidP="00EA543A">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EA543A" w:rsidRPr="007D5748" w:rsidTr="00EA543A">
        <w:trPr>
          <w:trHeight w:val="255"/>
        </w:trPr>
        <w:tc>
          <w:tcPr>
            <w:tcW w:w="6374" w:type="dxa"/>
            <w:tcBorders>
              <w:top w:val="nil"/>
              <w:left w:val="single" w:sz="4" w:space="0" w:color="auto"/>
              <w:bottom w:val="single" w:sz="4" w:space="0" w:color="auto"/>
              <w:right w:val="single" w:sz="4" w:space="0" w:color="auto"/>
            </w:tcBorders>
          </w:tcPr>
          <w:p w:rsidR="00EA543A" w:rsidRPr="007D5748" w:rsidRDefault="00EA543A" w:rsidP="00EA543A">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Bežné transfery (640)</w:t>
            </w:r>
            <w:r w:rsidRPr="007D5748">
              <w:rPr>
                <w:rFonts w:ascii="Times New Roman" w:eastAsia="Times New Roman" w:hAnsi="Times New Roman" w:cs="Times New Roman"/>
                <w:sz w:val="20"/>
                <w:szCs w:val="20"/>
                <w:vertAlign w:val="superscript"/>
                <w:lang w:eastAsia="sk-SK"/>
              </w:rPr>
              <w:t>2</w:t>
            </w:r>
          </w:p>
        </w:tc>
        <w:tc>
          <w:tcPr>
            <w:tcW w:w="1276"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sz w:val="20"/>
                <w:szCs w:val="20"/>
                <w:lang w:eastAsia="sk-SK"/>
              </w:rPr>
            </w:pPr>
          </w:p>
        </w:tc>
        <w:tc>
          <w:tcPr>
            <w:tcW w:w="1417" w:type="dxa"/>
            <w:tcBorders>
              <w:top w:val="nil"/>
              <w:left w:val="nil"/>
              <w:bottom w:val="single" w:sz="4" w:space="0" w:color="auto"/>
              <w:right w:val="single" w:sz="4" w:space="0" w:color="auto"/>
            </w:tcBorders>
          </w:tcPr>
          <w:p w:rsidR="00EA543A" w:rsidRPr="002D1539" w:rsidRDefault="00EA543A" w:rsidP="00EA543A">
            <w:pPr>
              <w:spacing w:after="0" w:line="240" w:lineRule="auto"/>
              <w:jc w:val="center"/>
              <w:rPr>
                <w:rFonts w:ascii="Times New Roman" w:eastAsia="Times New Roman" w:hAnsi="Times New Roman" w:cs="Times New Roman"/>
                <w:sz w:val="20"/>
                <w:szCs w:val="20"/>
                <w:lang w:eastAsia="sk-SK"/>
              </w:rPr>
            </w:pPr>
          </w:p>
        </w:tc>
        <w:tc>
          <w:tcPr>
            <w:tcW w:w="1276" w:type="dxa"/>
            <w:tcBorders>
              <w:top w:val="nil"/>
              <w:left w:val="nil"/>
              <w:bottom w:val="single" w:sz="4" w:space="0" w:color="auto"/>
              <w:right w:val="single" w:sz="4" w:space="0" w:color="auto"/>
            </w:tcBorders>
          </w:tcPr>
          <w:p w:rsidR="00EA543A" w:rsidRPr="002D1539" w:rsidRDefault="00EA543A" w:rsidP="00EA543A">
            <w:pPr>
              <w:spacing w:after="0" w:line="240" w:lineRule="auto"/>
              <w:jc w:val="center"/>
              <w:rPr>
                <w:rFonts w:ascii="Times New Roman" w:eastAsia="Times New Roman" w:hAnsi="Times New Roman" w:cs="Times New Roman"/>
                <w:sz w:val="20"/>
                <w:szCs w:val="20"/>
                <w:lang w:eastAsia="sk-SK"/>
              </w:rPr>
            </w:pPr>
          </w:p>
        </w:tc>
        <w:tc>
          <w:tcPr>
            <w:tcW w:w="1276" w:type="dxa"/>
            <w:tcBorders>
              <w:top w:val="nil"/>
              <w:left w:val="nil"/>
              <w:bottom w:val="single" w:sz="4" w:space="0" w:color="auto"/>
              <w:right w:val="single" w:sz="4" w:space="0" w:color="auto"/>
            </w:tcBorders>
          </w:tcPr>
          <w:p w:rsidR="00EA543A" w:rsidRPr="002D1539" w:rsidRDefault="00EA543A" w:rsidP="00EA543A">
            <w:pPr>
              <w:spacing w:after="0" w:line="240" w:lineRule="auto"/>
              <w:jc w:val="center"/>
              <w:rPr>
                <w:rFonts w:ascii="Times New Roman" w:eastAsia="Times New Roman" w:hAnsi="Times New Roman" w:cs="Times New Roman"/>
                <w:sz w:val="20"/>
                <w:szCs w:val="20"/>
                <w:lang w:eastAsia="sk-SK"/>
              </w:rPr>
            </w:pPr>
          </w:p>
        </w:tc>
        <w:tc>
          <w:tcPr>
            <w:tcW w:w="3831" w:type="dxa"/>
            <w:tcBorders>
              <w:top w:val="nil"/>
              <w:left w:val="nil"/>
              <w:bottom w:val="single" w:sz="4" w:space="0" w:color="auto"/>
              <w:right w:val="single" w:sz="4" w:space="0" w:color="auto"/>
            </w:tcBorders>
            <w:noWrap/>
            <w:vAlign w:val="bottom"/>
          </w:tcPr>
          <w:p w:rsidR="00EA543A" w:rsidRPr="007D5748" w:rsidRDefault="00EA543A" w:rsidP="00EA543A">
            <w:pPr>
              <w:spacing w:after="0" w:line="240" w:lineRule="auto"/>
              <w:rPr>
                <w:rFonts w:ascii="Times New Roman" w:eastAsia="Times New Roman" w:hAnsi="Times New Roman" w:cs="Times New Roman"/>
                <w:sz w:val="24"/>
                <w:szCs w:val="24"/>
                <w:lang w:eastAsia="sk-SK"/>
              </w:rPr>
            </w:pPr>
          </w:p>
        </w:tc>
      </w:tr>
      <w:tr w:rsidR="00EA543A" w:rsidRPr="007D5748" w:rsidTr="00EA543A">
        <w:trPr>
          <w:trHeight w:val="255"/>
        </w:trPr>
        <w:tc>
          <w:tcPr>
            <w:tcW w:w="6374" w:type="dxa"/>
            <w:tcBorders>
              <w:top w:val="nil"/>
              <w:left w:val="single" w:sz="4" w:space="0" w:color="auto"/>
              <w:bottom w:val="single" w:sz="4" w:space="0" w:color="auto"/>
              <w:right w:val="single" w:sz="4" w:space="0" w:color="auto"/>
            </w:tcBorders>
          </w:tcPr>
          <w:p w:rsidR="00EA543A" w:rsidRPr="007D5748" w:rsidRDefault="00EA543A" w:rsidP="00EA543A">
            <w:pPr>
              <w:spacing w:after="0" w:line="240" w:lineRule="auto"/>
              <w:ind w:left="209"/>
              <w:rPr>
                <w:rFonts w:ascii="Times New Roman" w:eastAsia="Times New Roman" w:hAnsi="Times New Roman" w:cs="Times New Roman"/>
                <w:sz w:val="20"/>
                <w:szCs w:val="20"/>
                <w:lang w:eastAsia="sk-SK"/>
              </w:rPr>
            </w:pPr>
            <w:proofErr w:type="spellStart"/>
            <w:r>
              <w:rPr>
                <w:rFonts w:ascii="Times New Roman" w:eastAsia="Times New Roman" w:hAnsi="Times New Roman" w:cs="Times New Roman"/>
                <w:sz w:val="20"/>
                <w:szCs w:val="20"/>
                <w:lang w:eastAsia="sk-SK"/>
              </w:rPr>
              <w:t>Transféry</w:t>
            </w:r>
            <w:proofErr w:type="spellEnd"/>
            <w:r>
              <w:rPr>
                <w:rFonts w:ascii="Times New Roman" w:eastAsia="Times New Roman" w:hAnsi="Times New Roman" w:cs="Times New Roman"/>
                <w:sz w:val="20"/>
                <w:szCs w:val="20"/>
                <w:lang w:eastAsia="sk-SK"/>
              </w:rPr>
              <w:t xml:space="preserve"> jednotlivcom a neziskovým právnickým osobám (642)</w:t>
            </w:r>
          </w:p>
        </w:tc>
        <w:tc>
          <w:tcPr>
            <w:tcW w:w="1276"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sz w:val="20"/>
                <w:szCs w:val="20"/>
                <w:lang w:eastAsia="sk-SK"/>
              </w:rPr>
            </w:pPr>
          </w:p>
        </w:tc>
        <w:tc>
          <w:tcPr>
            <w:tcW w:w="1417" w:type="dxa"/>
            <w:tcBorders>
              <w:top w:val="nil"/>
              <w:left w:val="nil"/>
              <w:bottom w:val="single" w:sz="4" w:space="0" w:color="auto"/>
              <w:right w:val="single" w:sz="4" w:space="0" w:color="auto"/>
            </w:tcBorders>
          </w:tcPr>
          <w:p w:rsidR="00EA543A" w:rsidRPr="002D1539" w:rsidRDefault="00EA543A" w:rsidP="00EA543A">
            <w:pPr>
              <w:spacing w:after="0" w:line="240" w:lineRule="auto"/>
              <w:jc w:val="center"/>
              <w:rPr>
                <w:rFonts w:ascii="Times New Roman" w:eastAsia="Times New Roman" w:hAnsi="Times New Roman" w:cs="Times New Roman"/>
                <w:b/>
                <w:bCs/>
                <w:sz w:val="20"/>
                <w:szCs w:val="20"/>
                <w:lang w:eastAsia="sk-SK"/>
              </w:rPr>
            </w:pPr>
          </w:p>
        </w:tc>
        <w:tc>
          <w:tcPr>
            <w:tcW w:w="1276" w:type="dxa"/>
            <w:tcBorders>
              <w:top w:val="nil"/>
              <w:left w:val="nil"/>
              <w:bottom w:val="single" w:sz="4" w:space="0" w:color="auto"/>
              <w:right w:val="single" w:sz="4" w:space="0" w:color="auto"/>
            </w:tcBorders>
          </w:tcPr>
          <w:p w:rsidR="00EA543A" w:rsidRPr="002D1539" w:rsidRDefault="00EA543A" w:rsidP="00EA543A">
            <w:pPr>
              <w:spacing w:after="0" w:line="240" w:lineRule="auto"/>
              <w:jc w:val="center"/>
              <w:rPr>
                <w:rFonts w:ascii="Times New Roman" w:eastAsia="Times New Roman" w:hAnsi="Times New Roman" w:cs="Times New Roman"/>
                <w:b/>
                <w:bCs/>
                <w:sz w:val="20"/>
                <w:szCs w:val="20"/>
                <w:lang w:eastAsia="sk-SK"/>
              </w:rPr>
            </w:pPr>
          </w:p>
        </w:tc>
        <w:tc>
          <w:tcPr>
            <w:tcW w:w="1276" w:type="dxa"/>
            <w:tcBorders>
              <w:top w:val="nil"/>
              <w:left w:val="nil"/>
              <w:bottom w:val="single" w:sz="4" w:space="0" w:color="auto"/>
              <w:right w:val="single" w:sz="4" w:space="0" w:color="auto"/>
            </w:tcBorders>
          </w:tcPr>
          <w:p w:rsidR="00EA543A" w:rsidRPr="002D1539" w:rsidRDefault="00EA543A" w:rsidP="00EA543A">
            <w:pPr>
              <w:spacing w:after="0" w:line="240" w:lineRule="auto"/>
              <w:jc w:val="center"/>
              <w:rPr>
                <w:rFonts w:ascii="Times New Roman" w:eastAsia="Times New Roman" w:hAnsi="Times New Roman" w:cs="Times New Roman"/>
                <w:b/>
                <w:bCs/>
                <w:sz w:val="20"/>
                <w:szCs w:val="20"/>
                <w:lang w:eastAsia="sk-SK"/>
              </w:rPr>
            </w:pPr>
          </w:p>
        </w:tc>
        <w:tc>
          <w:tcPr>
            <w:tcW w:w="3831" w:type="dxa"/>
            <w:tcBorders>
              <w:top w:val="nil"/>
              <w:left w:val="nil"/>
              <w:bottom w:val="single" w:sz="4" w:space="0" w:color="auto"/>
              <w:right w:val="single" w:sz="4" w:space="0" w:color="auto"/>
            </w:tcBorders>
            <w:noWrap/>
            <w:vAlign w:val="bottom"/>
          </w:tcPr>
          <w:p w:rsidR="00EA543A" w:rsidRPr="007D5748" w:rsidRDefault="00EA543A" w:rsidP="00EA543A">
            <w:pPr>
              <w:spacing w:after="0" w:line="240" w:lineRule="auto"/>
              <w:rPr>
                <w:rFonts w:ascii="Times New Roman" w:eastAsia="Times New Roman" w:hAnsi="Times New Roman" w:cs="Times New Roman"/>
                <w:sz w:val="24"/>
                <w:szCs w:val="24"/>
                <w:lang w:eastAsia="sk-SK"/>
              </w:rPr>
            </w:pPr>
          </w:p>
        </w:tc>
      </w:tr>
      <w:tr w:rsidR="00EA543A" w:rsidRPr="007D5748" w:rsidTr="00EA543A">
        <w:trPr>
          <w:trHeight w:val="255"/>
        </w:trPr>
        <w:tc>
          <w:tcPr>
            <w:tcW w:w="6374" w:type="dxa"/>
            <w:tcBorders>
              <w:top w:val="nil"/>
              <w:left w:val="single" w:sz="4" w:space="0" w:color="auto"/>
              <w:bottom w:val="single" w:sz="4" w:space="0" w:color="auto"/>
              <w:right w:val="single" w:sz="4" w:space="0" w:color="auto"/>
            </w:tcBorders>
            <w:vAlign w:val="center"/>
          </w:tcPr>
          <w:p w:rsidR="00EA543A" w:rsidRPr="007D5748" w:rsidRDefault="00EA543A" w:rsidP="00EA543A">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Splácanie úrokov a ostatné platby súvisiace s </w:t>
            </w:r>
            <w:r>
              <w:t xml:space="preserve"> </w:t>
            </w:r>
            <w:r w:rsidRPr="008D339D">
              <w:rPr>
                <w:rFonts w:ascii="Times New Roman" w:eastAsia="Times New Roman" w:hAnsi="Times New Roman" w:cs="Times New Roman"/>
                <w:sz w:val="20"/>
                <w:szCs w:val="20"/>
                <w:lang w:eastAsia="sk-SK"/>
              </w:rPr>
              <w:t>úverom, pôžičkou, návratnou finančnou výpomocou a finančným prenájmom</w:t>
            </w:r>
            <w:r w:rsidRPr="007D5748">
              <w:rPr>
                <w:rFonts w:ascii="Times New Roman" w:eastAsia="Times New Roman" w:hAnsi="Times New Roman" w:cs="Times New Roman"/>
                <w:sz w:val="20"/>
                <w:szCs w:val="20"/>
                <w:lang w:eastAsia="sk-SK"/>
              </w:rPr>
              <w:t xml:space="preserve"> (650)</w:t>
            </w:r>
            <w:r w:rsidRPr="007D5748">
              <w:rPr>
                <w:rFonts w:ascii="Times New Roman" w:eastAsia="Times New Roman" w:hAnsi="Times New Roman" w:cs="Times New Roman"/>
                <w:sz w:val="20"/>
                <w:szCs w:val="20"/>
                <w:vertAlign w:val="superscript"/>
                <w:lang w:eastAsia="sk-SK"/>
              </w:rPr>
              <w:t>2</w:t>
            </w:r>
          </w:p>
        </w:tc>
        <w:tc>
          <w:tcPr>
            <w:tcW w:w="1276"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sz w:val="20"/>
                <w:szCs w:val="20"/>
                <w:lang w:eastAsia="sk-SK"/>
              </w:rPr>
            </w:pPr>
          </w:p>
        </w:tc>
        <w:tc>
          <w:tcPr>
            <w:tcW w:w="1417"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sz w:val="20"/>
                <w:szCs w:val="20"/>
                <w:lang w:eastAsia="sk-SK"/>
              </w:rPr>
            </w:pPr>
          </w:p>
        </w:tc>
        <w:tc>
          <w:tcPr>
            <w:tcW w:w="1276"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sz w:val="20"/>
                <w:szCs w:val="20"/>
                <w:lang w:eastAsia="sk-SK"/>
              </w:rPr>
            </w:pPr>
          </w:p>
        </w:tc>
        <w:tc>
          <w:tcPr>
            <w:tcW w:w="1276"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sz w:val="24"/>
                <w:szCs w:val="24"/>
                <w:lang w:eastAsia="sk-SK"/>
              </w:rPr>
            </w:pPr>
          </w:p>
        </w:tc>
        <w:tc>
          <w:tcPr>
            <w:tcW w:w="3831" w:type="dxa"/>
            <w:tcBorders>
              <w:top w:val="nil"/>
              <w:left w:val="nil"/>
              <w:bottom w:val="single" w:sz="4" w:space="0" w:color="auto"/>
              <w:right w:val="single" w:sz="4" w:space="0" w:color="auto"/>
            </w:tcBorders>
            <w:noWrap/>
            <w:vAlign w:val="bottom"/>
          </w:tcPr>
          <w:p w:rsidR="00EA543A" w:rsidRPr="007D5748" w:rsidRDefault="00EA543A" w:rsidP="00EA543A">
            <w:pPr>
              <w:spacing w:after="0" w:line="240" w:lineRule="auto"/>
              <w:rPr>
                <w:rFonts w:ascii="Times New Roman" w:eastAsia="Times New Roman" w:hAnsi="Times New Roman" w:cs="Times New Roman"/>
                <w:sz w:val="24"/>
                <w:szCs w:val="24"/>
                <w:lang w:eastAsia="sk-SK"/>
              </w:rPr>
            </w:pPr>
          </w:p>
        </w:tc>
      </w:tr>
      <w:tr w:rsidR="00EA543A" w:rsidRPr="007D5748" w:rsidTr="00EA543A">
        <w:trPr>
          <w:trHeight w:val="255"/>
        </w:trPr>
        <w:tc>
          <w:tcPr>
            <w:tcW w:w="6374" w:type="dxa"/>
            <w:tcBorders>
              <w:top w:val="nil"/>
              <w:left w:val="single" w:sz="4" w:space="0" w:color="auto"/>
              <w:bottom w:val="single" w:sz="4" w:space="0" w:color="auto"/>
              <w:right w:val="single" w:sz="4" w:space="0" w:color="auto"/>
            </w:tcBorders>
          </w:tcPr>
          <w:p w:rsidR="00EA543A" w:rsidRPr="007D5748" w:rsidRDefault="00EA543A" w:rsidP="00EA543A">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Kapitálové výdavky (700)</w:t>
            </w:r>
          </w:p>
        </w:tc>
        <w:tc>
          <w:tcPr>
            <w:tcW w:w="1276"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1 608</w:t>
            </w:r>
          </w:p>
        </w:tc>
        <w:tc>
          <w:tcPr>
            <w:tcW w:w="1417"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b/>
                <w:bCs/>
                <w:sz w:val="20"/>
                <w:szCs w:val="20"/>
                <w:lang w:eastAsia="sk-SK"/>
              </w:rPr>
            </w:pPr>
          </w:p>
        </w:tc>
        <w:tc>
          <w:tcPr>
            <w:tcW w:w="1276"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b/>
                <w:bCs/>
                <w:sz w:val="20"/>
                <w:szCs w:val="20"/>
                <w:lang w:eastAsia="sk-SK"/>
              </w:rPr>
            </w:pPr>
          </w:p>
        </w:tc>
        <w:tc>
          <w:tcPr>
            <w:tcW w:w="1276"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p>
        </w:tc>
        <w:tc>
          <w:tcPr>
            <w:tcW w:w="3831" w:type="dxa"/>
            <w:tcBorders>
              <w:top w:val="nil"/>
              <w:left w:val="nil"/>
              <w:bottom w:val="single" w:sz="4" w:space="0" w:color="auto"/>
              <w:right w:val="single" w:sz="4" w:space="0" w:color="auto"/>
            </w:tcBorders>
            <w:noWrap/>
            <w:vAlign w:val="bottom"/>
          </w:tcPr>
          <w:p w:rsidR="00EA543A" w:rsidRPr="007D5748" w:rsidRDefault="00EA543A" w:rsidP="00EA543A">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výdavky súvisiace s úpravou informačného systému FS SR</w:t>
            </w:r>
          </w:p>
        </w:tc>
      </w:tr>
      <w:tr w:rsidR="00EA543A" w:rsidRPr="007D5748" w:rsidTr="00EA543A">
        <w:trPr>
          <w:trHeight w:val="255"/>
        </w:trPr>
        <w:tc>
          <w:tcPr>
            <w:tcW w:w="6374" w:type="dxa"/>
            <w:tcBorders>
              <w:top w:val="nil"/>
              <w:left w:val="single" w:sz="4" w:space="0" w:color="auto"/>
              <w:bottom w:val="single" w:sz="4" w:space="0" w:color="auto"/>
              <w:right w:val="single" w:sz="4" w:space="0" w:color="auto"/>
            </w:tcBorders>
          </w:tcPr>
          <w:p w:rsidR="00EA543A" w:rsidRPr="007D5748" w:rsidRDefault="00EA543A" w:rsidP="00EA543A">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Obstarávanie kapitálových aktív (710)</w:t>
            </w:r>
            <w:r w:rsidRPr="007D5748">
              <w:rPr>
                <w:rFonts w:ascii="Times New Roman" w:eastAsia="Times New Roman" w:hAnsi="Times New Roman" w:cs="Times New Roman"/>
                <w:sz w:val="20"/>
                <w:szCs w:val="20"/>
                <w:vertAlign w:val="superscript"/>
                <w:lang w:eastAsia="sk-SK"/>
              </w:rPr>
              <w:t>2</w:t>
            </w:r>
          </w:p>
        </w:tc>
        <w:tc>
          <w:tcPr>
            <w:tcW w:w="1276"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1 608</w:t>
            </w:r>
          </w:p>
        </w:tc>
        <w:tc>
          <w:tcPr>
            <w:tcW w:w="1417"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sz w:val="20"/>
                <w:szCs w:val="20"/>
                <w:lang w:eastAsia="sk-SK"/>
              </w:rPr>
            </w:pPr>
          </w:p>
        </w:tc>
        <w:tc>
          <w:tcPr>
            <w:tcW w:w="1276"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sz w:val="20"/>
                <w:szCs w:val="20"/>
                <w:lang w:eastAsia="sk-SK"/>
              </w:rPr>
            </w:pPr>
          </w:p>
        </w:tc>
        <w:tc>
          <w:tcPr>
            <w:tcW w:w="1276"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sz w:val="24"/>
                <w:szCs w:val="24"/>
                <w:lang w:eastAsia="sk-SK"/>
              </w:rPr>
            </w:pPr>
          </w:p>
        </w:tc>
        <w:tc>
          <w:tcPr>
            <w:tcW w:w="3831" w:type="dxa"/>
            <w:tcBorders>
              <w:top w:val="nil"/>
              <w:left w:val="nil"/>
              <w:bottom w:val="single" w:sz="4" w:space="0" w:color="auto"/>
              <w:right w:val="single" w:sz="4" w:space="0" w:color="auto"/>
            </w:tcBorders>
            <w:noWrap/>
            <w:vAlign w:val="bottom"/>
          </w:tcPr>
          <w:p w:rsidR="00EA543A" w:rsidRPr="007D5748" w:rsidRDefault="00EA543A" w:rsidP="00EA543A">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EA543A" w:rsidRPr="007D5748" w:rsidTr="00EA543A">
        <w:trPr>
          <w:trHeight w:val="255"/>
        </w:trPr>
        <w:tc>
          <w:tcPr>
            <w:tcW w:w="6374" w:type="dxa"/>
            <w:tcBorders>
              <w:top w:val="nil"/>
              <w:left w:val="single" w:sz="4" w:space="0" w:color="auto"/>
              <w:bottom w:val="single" w:sz="4" w:space="0" w:color="auto"/>
              <w:right w:val="single" w:sz="4" w:space="0" w:color="auto"/>
            </w:tcBorders>
          </w:tcPr>
          <w:p w:rsidR="00EA543A" w:rsidRPr="007D5748" w:rsidRDefault="00EA543A" w:rsidP="00EA543A">
            <w:pPr>
              <w:spacing w:after="0" w:line="240" w:lineRule="auto"/>
              <w:rPr>
                <w:rFonts w:ascii="Times New Roman" w:eastAsia="Times New Roman" w:hAnsi="Times New Roman" w:cs="Times New Roman"/>
                <w:sz w:val="20"/>
                <w:szCs w:val="20"/>
                <w:lang w:eastAsia="sk-SK"/>
              </w:rPr>
            </w:pPr>
            <w:r w:rsidRPr="007D5748">
              <w:rPr>
                <w:rFonts w:ascii="Times New Roman" w:eastAsia="Times New Roman" w:hAnsi="Times New Roman" w:cs="Times New Roman"/>
                <w:sz w:val="20"/>
                <w:szCs w:val="20"/>
                <w:lang w:eastAsia="sk-SK"/>
              </w:rPr>
              <w:t xml:space="preserve">  Kapitálové transfery (720)</w:t>
            </w:r>
            <w:r w:rsidRPr="007D5748">
              <w:rPr>
                <w:rFonts w:ascii="Times New Roman" w:eastAsia="Times New Roman" w:hAnsi="Times New Roman" w:cs="Times New Roman"/>
                <w:sz w:val="20"/>
                <w:szCs w:val="20"/>
                <w:vertAlign w:val="superscript"/>
                <w:lang w:eastAsia="sk-SK"/>
              </w:rPr>
              <w:t>2</w:t>
            </w:r>
          </w:p>
        </w:tc>
        <w:tc>
          <w:tcPr>
            <w:tcW w:w="1276"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sz w:val="20"/>
                <w:szCs w:val="20"/>
                <w:lang w:eastAsia="sk-SK"/>
              </w:rPr>
            </w:pPr>
          </w:p>
        </w:tc>
        <w:tc>
          <w:tcPr>
            <w:tcW w:w="1417"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sz w:val="20"/>
                <w:szCs w:val="20"/>
                <w:lang w:eastAsia="sk-SK"/>
              </w:rPr>
            </w:pPr>
          </w:p>
        </w:tc>
        <w:tc>
          <w:tcPr>
            <w:tcW w:w="1276"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sz w:val="20"/>
                <w:szCs w:val="20"/>
                <w:lang w:eastAsia="sk-SK"/>
              </w:rPr>
            </w:pPr>
          </w:p>
        </w:tc>
        <w:tc>
          <w:tcPr>
            <w:tcW w:w="1276"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sz w:val="24"/>
                <w:szCs w:val="24"/>
                <w:lang w:eastAsia="sk-SK"/>
              </w:rPr>
            </w:pPr>
          </w:p>
        </w:tc>
        <w:tc>
          <w:tcPr>
            <w:tcW w:w="3831" w:type="dxa"/>
            <w:tcBorders>
              <w:top w:val="nil"/>
              <w:left w:val="nil"/>
              <w:bottom w:val="single" w:sz="4" w:space="0" w:color="auto"/>
              <w:right w:val="single" w:sz="4" w:space="0" w:color="auto"/>
            </w:tcBorders>
            <w:noWrap/>
            <w:vAlign w:val="bottom"/>
          </w:tcPr>
          <w:p w:rsidR="00EA543A" w:rsidRPr="007D5748" w:rsidRDefault="00EA543A" w:rsidP="00EA543A">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EA543A" w:rsidRPr="007D5748" w:rsidTr="00EA543A">
        <w:trPr>
          <w:trHeight w:val="255"/>
        </w:trPr>
        <w:tc>
          <w:tcPr>
            <w:tcW w:w="6374" w:type="dxa"/>
            <w:tcBorders>
              <w:top w:val="nil"/>
              <w:left w:val="single" w:sz="4" w:space="0" w:color="auto"/>
              <w:bottom w:val="single" w:sz="4" w:space="0" w:color="auto"/>
              <w:right w:val="single" w:sz="4" w:space="0" w:color="auto"/>
            </w:tcBorders>
          </w:tcPr>
          <w:p w:rsidR="00EA543A" w:rsidRPr="007D5748" w:rsidRDefault="00EA543A" w:rsidP="00EA543A">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Výdavky z transakcií s finančnými aktívami a finančnými pasívami (800)</w:t>
            </w:r>
          </w:p>
        </w:tc>
        <w:tc>
          <w:tcPr>
            <w:tcW w:w="1276" w:type="dxa"/>
            <w:tcBorders>
              <w:top w:val="nil"/>
              <w:left w:val="nil"/>
              <w:bottom w:val="single" w:sz="4" w:space="0" w:color="auto"/>
              <w:right w:val="single" w:sz="4" w:space="0" w:color="auto"/>
            </w:tcBorders>
            <w:shd w:val="clear" w:color="auto" w:fill="FFFF99"/>
          </w:tcPr>
          <w:p w:rsidR="00EA543A" w:rsidRPr="007D5748" w:rsidRDefault="00EA543A" w:rsidP="00EA543A">
            <w:pPr>
              <w:spacing w:after="0" w:line="240" w:lineRule="auto"/>
              <w:jc w:val="center"/>
              <w:rPr>
                <w:rFonts w:ascii="Times New Roman" w:eastAsia="Times New Roman" w:hAnsi="Times New Roman" w:cs="Times New Roman"/>
                <w:b/>
                <w:bCs/>
                <w:sz w:val="20"/>
                <w:szCs w:val="20"/>
                <w:lang w:eastAsia="sk-SK"/>
              </w:rPr>
            </w:pPr>
          </w:p>
        </w:tc>
        <w:tc>
          <w:tcPr>
            <w:tcW w:w="1417" w:type="dxa"/>
            <w:tcBorders>
              <w:top w:val="nil"/>
              <w:left w:val="nil"/>
              <w:bottom w:val="single" w:sz="4" w:space="0" w:color="auto"/>
              <w:right w:val="single" w:sz="4" w:space="0" w:color="auto"/>
            </w:tcBorders>
            <w:shd w:val="clear" w:color="auto" w:fill="FFFF99"/>
          </w:tcPr>
          <w:p w:rsidR="00EA543A" w:rsidRPr="007D5748" w:rsidRDefault="00EA543A" w:rsidP="00EA543A">
            <w:pPr>
              <w:spacing w:after="0" w:line="240" w:lineRule="auto"/>
              <w:jc w:val="center"/>
              <w:rPr>
                <w:rFonts w:ascii="Times New Roman" w:eastAsia="Times New Roman" w:hAnsi="Times New Roman" w:cs="Times New Roman"/>
                <w:b/>
                <w:bCs/>
                <w:sz w:val="20"/>
                <w:szCs w:val="20"/>
                <w:lang w:eastAsia="sk-SK"/>
              </w:rPr>
            </w:pPr>
          </w:p>
        </w:tc>
        <w:tc>
          <w:tcPr>
            <w:tcW w:w="1276" w:type="dxa"/>
            <w:tcBorders>
              <w:top w:val="nil"/>
              <w:left w:val="nil"/>
              <w:bottom w:val="single" w:sz="4" w:space="0" w:color="auto"/>
              <w:right w:val="single" w:sz="4" w:space="0" w:color="auto"/>
            </w:tcBorders>
            <w:shd w:val="clear" w:color="auto" w:fill="FFFF99"/>
          </w:tcPr>
          <w:p w:rsidR="00EA543A" w:rsidRPr="007D5748" w:rsidRDefault="00EA543A" w:rsidP="00EA543A">
            <w:pPr>
              <w:spacing w:after="0" w:line="240" w:lineRule="auto"/>
              <w:jc w:val="center"/>
              <w:rPr>
                <w:rFonts w:ascii="Times New Roman" w:eastAsia="Times New Roman" w:hAnsi="Times New Roman" w:cs="Times New Roman"/>
                <w:b/>
                <w:bCs/>
                <w:sz w:val="20"/>
                <w:szCs w:val="20"/>
                <w:lang w:eastAsia="sk-SK"/>
              </w:rPr>
            </w:pPr>
          </w:p>
        </w:tc>
        <w:tc>
          <w:tcPr>
            <w:tcW w:w="1276" w:type="dxa"/>
            <w:tcBorders>
              <w:top w:val="nil"/>
              <w:left w:val="nil"/>
              <w:bottom w:val="single" w:sz="4" w:space="0" w:color="auto"/>
              <w:right w:val="single" w:sz="4" w:space="0" w:color="auto"/>
            </w:tcBorders>
            <w:shd w:val="clear" w:color="auto" w:fill="FFFF99"/>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p>
        </w:tc>
        <w:tc>
          <w:tcPr>
            <w:tcW w:w="3831" w:type="dxa"/>
            <w:tcBorders>
              <w:top w:val="nil"/>
              <w:left w:val="nil"/>
              <w:bottom w:val="single" w:sz="4" w:space="0" w:color="auto"/>
              <w:right w:val="single" w:sz="4" w:space="0" w:color="auto"/>
            </w:tcBorders>
            <w:noWrap/>
            <w:vAlign w:val="bottom"/>
          </w:tcPr>
          <w:p w:rsidR="00EA543A" w:rsidRPr="007D5748" w:rsidRDefault="00EA543A" w:rsidP="00EA543A">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EA543A" w:rsidRPr="007D5748" w:rsidTr="00EA543A">
        <w:trPr>
          <w:trHeight w:val="255"/>
        </w:trPr>
        <w:tc>
          <w:tcPr>
            <w:tcW w:w="6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A543A" w:rsidRPr="007D5748" w:rsidRDefault="00EA543A" w:rsidP="00EA543A">
            <w:pPr>
              <w:spacing w:after="0" w:line="240" w:lineRule="auto"/>
              <w:rPr>
                <w:rFonts w:ascii="Times New Roman" w:eastAsia="Times New Roman" w:hAnsi="Times New Roman" w:cs="Times New Roman"/>
                <w:b/>
                <w:bCs/>
                <w:sz w:val="20"/>
                <w:szCs w:val="20"/>
                <w:lang w:eastAsia="sk-SK"/>
              </w:rPr>
            </w:pPr>
            <w:r w:rsidRPr="007D5748">
              <w:rPr>
                <w:rFonts w:ascii="Times New Roman" w:eastAsia="Times New Roman" w:hAnsi="Times New Roman" w:cs="Times New Roman"/>
                <w:b/>
                <w:bCs/>
                <w:sz w:val="20"/>
                <w:szCs w:val="20"/>
                <w:lang w:eastAsia="sk-SK"/>
              </w:rPr>
              <w:t>Dopad na výdavky verejnej správy celkom</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tcPr>
          <w:p w:rsidR="00EA543A" w:rsidRPr="007D5748" w:rsidRDefault="00EA543A" w:rsidP="00EA543A">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1 608</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tcPr>
          <w:p w:rsidR="00EA543A" w:rsidRPr="007D5748" w:rsidRDefault="00EA543A" w:rsidP="00EA543A">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tcPr>
          <w:p w:rsidR="00EA543A" w:rsidRPr="007D5748" w:rsidRDefault="00EA543A" w:rsidP="00EA543A">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3831"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EA543A" w:rsidRPr="007D5748" w:rsidRDefault="00EA543A" w:rsidP="00EA543A">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rsidR="00EA543A" w:rsidRDefault="00EA543A" w:rsidP="00EA543A">
      <w:pPr>
        <w:tabs>
          <w:tab w:val="num" w:pos="1080"/>
        </w:tabs>
        <w:spacing w:after="0" w:line="240" w:lineRule="auto"/>
        <w:jc w:val="right"/>
        <w:rPr>
          <w:rFonts w:ascii="Times New Roman" w:eastAsia="Times New Roman" w:hAnsi="Times New Roman" w:cs="Times New Roman"/>
          <w:bCs/>
          <w:sz w:val="24"/>
          <w:szCs w:val="24"/>
          <w:lang w:eastAsia="sk-SK"/>
        </w:rPr>
      </w:pPr>
    </w:p>
    <w:p w:rsidR="00EA543A" w:rsidRDefault="00EA543A" w:rsidP="00EA543A">
      <w:pPr>
        <w:tabs>
          <w:tab w:val="num" w:pos="1080"/>
        </w:tabs>
        <w:spacing w:after="0" w:line="240" w:lineRule="auto"/>
        <w:jc w:val="right"/>
        <w:rPr>
          <w:rFonts w:ascii="Times New Roman" w:eastAsia="Times New Roman" w:hAnsi="Times New Roman" w:cs="Times New Roman"/>
          <w:bCs/>
          <w:sz w:val="24"/>
          <w:szCs w:val="24"/>
          <w:lang w:eastAsia="sk-SK"/>
        </w:rPr>
      </w:pPr>
    </w:p>
    <w:p w:rsidR="00EA543A" w:rsidRDefault="00EA543A" w:rsidP="00EA543A">
      <w:pPr>
        <w:tabs>
          <w:tab w:val="num" w:pos="1080"/>
        </w:tabs>
        <w:spacing w:after="0" w:line="240" w:lineRule="auto"/>
        <w:jc w:val="right"/>
        <w:rPr>
          <w:rFonts w:ascii="Times New Roman" w:eastAsia="Times New Roman" w:hAnsi="Times New Roman" w:cs="Times New Roman"/>
          <w:bCs/>
          <w:sz w:val="24"/>
          <w:szCs w:val="24"/>
          <w:lang w:eastAsia="sk-SK"/>
        </w:rPr>
      </w:pPr>
    </w:p>
    <w:p w:rsidR="00EA543A" w:rsidRPr="007D5748" w:rsidRDefault="00EA543A" w:rsidP="00EA543A">
      <w:pPr>
        <w:tabs>
          <w:tab w:val="num" w:pos="1080"/>
        </w:tabs>
        <w:spacing w:after="0" w:line="240" w:lineRule="auto"/>
        <w:jc w:val="right"/>
        <w:rPr>
          <w:rFonts w:ascii="Times New Roman" w:eastAsia="Times New Roman" w:hAnsi="Times New Roman" w:cs="Times New Roman"/>
          <w:bCs/>
          <w:sz w:val="24"/>
          <w:szCs w:val="20"/>
          <w:lang w:eastAsia="sk-SK"/>
        </w:rPr>
      </w:pPr>
      <w:r w:rsidRPr="007D5748">
        <w:rPr>
          <w:rFonts w:ascii="Times New Roman" w:eastAsia="Times New Roman" w:hAnsi="Times New Roman" w:cs="Times New Roman"/>
          <w:bCs/>
          <w:sz w:val="24"/>
          <w:szCs w:val="24"/>
          <w:lang w:eastAsia="sk-SK"/>
        </w:rPr>
        <w:t xml:space="preserve">               Tabuľka č. 5 </w:t>
      </w: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2418"/>
        <w:gridCol w:w="1722"/>
        <w:gridCol w:w="1620"/>
      </w:tblGrid>
      <w:tr w:rsidR="00EA543A" w:rsidRPr="007D5748" w:rsidTr="00EA543A">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Zamestnanosť</w:t>
            </w:r>
          </w:p>
        </w:tc>
        <w:tc>
          <w:tcPr>
            <w:tcW w:w="7626"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Vplyv na rozpočet verejnej správy</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poznámka</w:t>
            </w:r>
          </w:p>
        </w:tc>
      </w:tr>
      <w:tr w:rsidR="00EA543A" w:rsidRPr="007D5748" w:rsidTr="00EA543A">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A543A" w:rsidRPr="007D5748" w:rsidRDefault="00EA543A" w:rsidP="00EA543A">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2017</w:t>
            </w:r>
          </w:p>
        </w:tc>
        <w:tc>
          <w:tcPr>
            <w:tcW w:w="1788" w:type="dxa"/>
            <w:tcBorders>
              <w:top w:val="nil"/>
              <w:left w:val="nil"/>
              <w:bottom w:val="single" w:sz="4" w:space="0" w:color="auto"/>
              <w:right w:val="single" w:sz="4" w:space="0" w:color="auto"/>
            </w:tcBorders>
            <w:shd w:val="clear" w:color="auto" w:fill="BFBFBF" w:themeFill="background1" w:themeFillShade="BF"/>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2018</w:t>
            </w:r>
          </w:p>
        </w:tc>
        <w:tc>
          <w:tcPr>
            <w:tcW w:w="2418" w:type="dxa"/>
            <w:tcBorders>
              <w:top w:val="nil"/>
              <w:left w:val="nil"/>
              <w:bottom w:val="single" w:sz="4" w:space="0" w:color="auto"/>
              <w:right w:val="single" w:sz="4" w:space="0" w:color="auto"/>
            </w:tcBorders>
            <w:shd w:val="clear" w:color="auto" w:fill="BFBFBF" w:themeFill="background1" w:themeFillShade="BF"/>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2019</w:t>
            </w:r>
          </w:p>
        </w:tc>
        <w:tc>
          <w:tcPr>
            <w:tcW w:w="1722" w:type="dxa"/>
            <w:tcBorders>
              <w:top w:val="nil"/>
              <w:left w:val="nil"/>
              <w:bottom w:val="single" w:sz="4" w:space="0" w:color="auto"/>
              <w:right w:val="single" w:sz="4" w:space="0" w:color="auto"/>
            </w:tcBorders>
            <w:shd w:val="clear" w:color="auto" w:fill="BFBFBF" w:themeFill="background1" w:themeFillShade="BF"/>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2020</w:t>
            </w:r>
          </w:p>
        </w:tc>
        <w:tc>
          <w:tcPr>
            <w:tcW w:w="162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A543A" w:rsidRPr="007D5748" w:rsidRDefault="00EA543A" w:rsidP="00EA543A">
            <w:pPr>
              <w:spacing w:after="0" w:line="240" w:lineRule="auto"/>
              <w:rPr>
                <w:rFonts w:ascii="Times New Roman" w:eastAsia="Times New Roman" w:hAnsi="Times New Roman" w:cs="Times New Roman"/>
                <w:b/>
                <w:bCs/>
                <w:color w:val="FFFFFF"/>
                <w:sz w:val="24"/>
                <w:szCs w:val="24"/>
                <w:lang w:eastAsia="sk-SK"/>
              </w:rPr>
            </w:pPr>
          </w:p>
        </w:tc>
      </w:tr>
      <w:tr w:rsidR="00EA543A" w:rsidRPr="007D5748" w:rsidTr="00EA543A">
        <w:trPr>
          <w:trHeight w:val="255"/>
        </w:trPr>
        <w:tc>
          <w:tcPr>
            <w:tcW w:w="6188" w:type="dxa"/>
            <w:tcBorders>
              <w:top w:val="nil"/>
              <w:left w:val="single" w:sz="4" w:space="0" w:color="auto"/>
              <w:bottom w:val="single" w:sz="4" w:space="0" w:color="auto"/>
              <w:right w:val="single" w:sz="4" w:space="0" w:color="auto"/>
            </w:tcBorders>
          </w:tcPr>
          <w:p w:rsidR="00EA543A" w:rsidRPr="007D5748" w:rsidRDefault="00EA543A" w:rsidP="00EA543A">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p>
        </w:tc>
        <w:tc>
          <w:tcPr>
            <w:tcW w:w="2418"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p>
        </w:tc>
        <w:tc>
          <w:tcPr>
            <w:tcW w:w="1620" w:type="dxa"/>
            <w:tcBorders>
              <w:top w:val="nil"/>
              <w:left w:val="nil"/>
              <w:bottom w:val="single" w:sz="4" w:space="0" w:color="auto"/>
              <w:right w:val="single" w:sz="4" w:space="0" w:color="auto"/>
            </w:tcBorders>
            <w:noWrap/>
            <w:vAlign w:val="bottom"/>
          </w:tcPr>
          <w:p w:rsidR="00EA543A" w:rsidRPr="007D5748" w:rsidRDefault="00EA543A" w:rsidP="00EA543A">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EA543A" w:rsidRPr="007D5748" w:rsidTr="00EA543A">
        <w:trPr>
          <w:trHeight w:val="255"/>
        </w:trPr>
        <w:tc>
          <w:tcPr>
            <w:tcW w:w="6188" w:type="dxa"/>
            <w:tcBorders>
              <w:top w:val="nil"/>
              <w:left w:val="single" w:sz="4" w:space="0" w:color="auto"/>
              <w:bottom w:val="single" w:sz="4" w:space="0" w:color="auto"/>
              <w:right w:val="single" w:sz="4" w:space="0" w:color="auto"/>
            </w:tcBorders>
          </w:tcPr>
          <w:p w:rsidR="00EA543A" w:rsidRPr="007D5748" w:rsidRDefault="00EA543A" w:rsidP="00EA543A">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p>
        </w:tc>
        <w:tc>
          <w:tcPr>
            <w:tcW w:w="2418" w:type="dxa"/>
            <w:tcBorders>
              <w:top w:val="single" w:sz="4" w:space="0" w:color="auto"/>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p>
        </w:tc>
        <w:tc>
          <w:tcPr>
            <w:tcW w:w="1620" w:type="dxa"/>
            <w:tcBorders>
              <w:top w:val="nil"/>
              <w:left w:val="nil"/>
              <w:bottom w:val="single" w:sz="4" w:space="0" w:color="auto"/>
              <w:right w:val="single" w:sz="4" w:space="0" w:color="auto"/>
            </w:tcBorders>
            <w:noWrap/>
            <w:vAlign w:val="bottom"/>
          </w:tcPr>
          <w:p w:rsidR="00EA543A" w:rsidRPr="007D5748" w:rsidRDefault="00EA543A" w:rsidP="00EA543A">
            <w:pPr>
              <w:spacing w:after="0" w:line="240" w:lineRule="auto"/>
              <w:rPr>
                <w:rFonts w:ascii="Times New Roman" w:eastAsia="Times New Roman" w:hAnsi="Times New Roman" w:cs="Times New Roman"/>
                <w:sz w:val="24"/>
                <w:szCs w:val="24"/>
                <w:lang w:eastAsia="sk-SK"/>
              </w:rPr>
            </w:pPr>
          </w:p>
        </w:tc>
      </w:tr>
      <w:tr w:rsidR="00EA543A" w:rsidRPr="007D5748" w:rsidTr="00EA543A">
        <w:trPr>
          <w:trHeight w:val="255"/>
        </w:trPr>
        <w:tc>
          <w:tcPr>
            <w:tcW w:w="6188" w:type="dxa"/>
            <w:tcBorders>
              <w:top w:val="nil"/>
              <w:left w:val="single" w:sz="4" w:space="0" w:color="auto"/>
              <w:bottom w:val="single" w:sz="4" w:space="0" w:color="auto"/>
              <w:right w:val="single" w:sz="4" w:space="0" w:color="auto"/>
            </w:tcBorders>
          </w:tcPr>
          <w:p w:rsidR="00EA543A" w:rsidRPr="007D5748" w:rsidRDefault="00EA543A" w:rsidP="00EA543A">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p>
        </w:tc>
        <w:tc>
          <w:tcPr>
            <w:tcW w:w="2418" w:type="dxa"/>
            <w:tcBorders>
              <w:top w:val="single" w:sz="4" w:space="0" w:color="auto"/>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single" w:sz="4" w:space="0" w:color="auto"/>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p>
        </w:tc>
        <w:tc>
          <w:tcPr>
            <w:tcW w:w="1620" w:type="dxa"/>
            <w:tcBorders>
              <w:top w:val="nil"/>
              <w:left w:val="nil"/>
              <w:bottom w:val="single" w:sz="4" w:space="0" w:color="auto"/>
              <w:right w:val="single" w:sz="4" w:space="0" w:color="auto"/>
            </w:tcBorders>
            <w:noWrap/>
            <w:vAlign w:val="bottom"/>
          </w:tcPr>
          <w:p w:rsidR="00EA543A" w:rsidRPr="007D5748" w:rsidRDefault="00EA543A" w:rsidP="00EA543A">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EA543A" w:rsidRPr="007D5748" w:rsidTr="00EA543A">
        <w:trPr>
          <w:trHeight w:val="255"/>
        </w:trPr>
        <w:tc>
          <w:tcPr>
            <w:tcW w:w="6188" w:type="dxa"/>
            <w:tcBorders>
              <w:top w:val="nil"/>
              <w:left w:val="single" w:sz="4" w:space="0" w:color="auto"/>
              <w:bottom w:val="single" w:sz="4" w:space="0" w:color="auto"/>
              <w:right w:val="single" w:sz="4" w:space="0" w:color="auto"/>
            </w:tcBorders>
          </w:tcPr>
          <w:p w:rsidR="00EA543A" w:rsidRPr="007D5748" w:rsidRDefault="00EA543A" w:rsidP="00EA543A">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2418" w:type="dxa"/>
            <w:tcBorders>
              <w:top w:val="single" w:sz="4" w:space="0" w:color="auto"/>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1722" w:type="dxa"/>
            <w:tcBorders>
              <w:top w:val="single" w:sz="4" w:space="0" w:color="auto"/>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c>
          <w:tcPr>
            <w:tcW w:w="1620" w:type="dxa"/>
            <w:tcBorders>
              <w:top w:val="nil"/>
              <w:left w:val="nil"/>
              <w:bottom w:val="single" w:sz="4" w:space="0" w:color="auto"/>
              <w:right w:val="single" w:sz="4" w:space="0" w:color="auto"/>
            </w:tcBorders>
            <w:noWrap/>
            <w:vAlign w:val="bottom"/>
          </w:tcPr>
          <w:p w:rsidR="00EA543A" w:rsidRPr="007D5748" w:rsidRDefault="00EA543A" w:rsidP="00EA543A">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EA543A" w:rsidRPr="007D5748" w:rsidTr="00EA543A">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EA543A" w:rsidRPr="007D5748" w:rsidRDefault="00EA543A" w:rsidP="00EA543A">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2418" w:type="dxa"/>
            <w:tcBorders>
              <w:top w:val="nil"/>
              <w:left w:val="nil"/>
              <w:bottom w:val="single" w:sz="4" w:space="0" w:color="auto"/>
              <w:right w:val="single" w:sz="4" w:space="0" w:color="auto"/>
            </w:tcBorders>
            <w:shd w:val="clear" w:color="auto" w:fill="BFBFBF" w:themeFill="background1" w:themeFillShade="BF"/>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722" w:type="dxa"/>
            <w:tcBorders>
              <w:top w:val="nil"/>
              <w:left w:val="nil"/>
              <w:bottom w:val="single" w:sz="4" w:space="0" w:color="auto"/>
              <w:right w:val="single" w:sz="4" w:space="0" w:color="auto"/>
            </w:tcBorders>
            <w:shd w:val="clear" w:color="auto" w:fill="BFBFBF" w:themeFill="background1" w:themeFillShade="BF"/>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0</w:t>
            </w:r>
          </w:p>
        </w:tc>
        <w:tc>
          <w:tcPr>
            <w:tcW w:w="1620" w:type="dxa"/>
            <w:tcBorders>
              <w:top w:val="nil"/>
              <w:left w:val="nil"/>
              <w:bottom w:val="single" w:sz="4" w:space="0" w:color="auto"/>
              <w:right w:val="single" w:sz="4" w:space="0" w:color="auto"/>
            </w:tcBorders>
            <w:shd w:val="clear" w:color="auto" w:fill="BFBFBF" w:themeFill="background1" w:themeFillShade="BF"/>
            <w:noWrap/>
            <w:vAlign w:val="bottom"/>
          </w:tcPr>
          <w:p w:rsidR="00EA543A" w:rsidRPr="007D5748" w:rsidRDefault="00EA543A" w:rsidP="00EA543A">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EA543A" w:rsidRPr="007D5748" w:rsidTr="00EA543A">
        <w:trPr>
          <w:trHeight w:val="255"/>
        </w:trPr>
        <w:tc>
          <w:tcPr>
            <w:tcW w:w="6188" w:type="dxa"/>
            <w:tcBorders>
              <w:top w:val="nil"/>
              <w:left w:val="single" w:sz="4" w:space="0" w:color="auto"/>
              <w:bottom w:val="single" w:sz="4" w:space="0" w:color="auto"/>
              <w:right w:val="single" w:sz="4" w:space="0" w:color="auto"/>
            </w:tcBorders>
          </w:tcPr>
          <w:p w:rsidR="00EA543A" w:rsidRPr="007D5748" w:rsidRDefault="00EA543A" w:rsidP="00EA543A">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p>
        </w:tc>
        <w:tc>
          <w:tcPr>
            <w:tcW w:w="2418"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p>
        </w:tc>
        <w:tc>
          <w:tcPr>
            <w:tcW w:w="1620" w:type="dxa"/>
            <w:tcBorders>
              <w:top w:val="nil"/>
              <w:left w:val="nil"/>
              <w:bottom w:val="single" w:sz="4" w:space="0" w:color="auto"/>
              <w:right w:val="single" w:sz="4" w:space="0" w:color="auto"/>
            </w:tcBorders>
            <w:noWrap/>
            <w:vAlign w:val="bottom"/>
          </w:tcPr>
          <w:p w:rsidR="00EA543A" w:rsidRPr="007D5748" w:rsidRDefault="00EA543A" w:rsidP="00EA543A">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EA543A" w:rsidRPr="007D5748" w:rsidTr="00EA543A">
        <w:trPr>
          <w:trHeight w:val="255"/>
        </w:trPr>
        <w:tc>
          <w:tcPr>
            <w:tcW w:w="6188" w:type="dxa"/>
            <w:tcBorders>
              <w:top w:val="nil"/>
              <w:left w:val="single" w:sz="4" w:space="0" w:color="auto"/>
              <w:bottom w:val="single" w:sz="4" w:space="0" w:color="auto"/>
              <w:right w:val="single" w:sz="4" w:space="0" w:color="auto"/>
            </w:tcBorders>
          </w:tcPr>
          <w:p w:rsidR="00EA543A" w:rsidRPr="007D5748" w:rsidRDefault="00EA543A" w:rsidP="00EA543A">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sz w:val="24"/>
                <w:szCs w:val="24"/>
                <w:lang w:eastAsia="sk-SK"/>
              </w:rPr>
            </w:pPr>
          </w:p>
        </w:tc>
        <w:tc>
          <w:tcPr>
            <w:tcW w:w="2418"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sz w:val="24"/>
                <w:szCs w:val="24"/>
                <w:lang w:eastAsia="sk-SK"/>
              </w:rPr>
            </w:pPr>
          </w:p>
        </w:tc>
        <w:tc>
          <w:tcPr>
            <w:tcW w:w="1620" w:type="dxa"/>
            <w:tcBorders>
              <w:top w:val="nil"/>
              <w:left w:val="nil"/>
              <w:bottom w:val="single" w:sz="4" w:space="0" w:color="auto"/>
              <w:right w:val="single" w:sz="4" w:space="0" w:color="auto"/>
            </w:tcBorders>
            <w:noWrap/>
            <w:vAlign w:val="bottom"/>
          </w:tcPr>
          <w:p w:rsidR="00EA543A" w:rsidRPr="007D5748" w:rsidRDefault="00EA543A" w:rsidP="00EA543A">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r w:rsidR="00EA543A" w:rsidRPr="007D5748" w:rsidTr="00EA543A">
        <w:trPr>
          <w:trHeight w:val="255"/>
        </w:trPr>
        <w:tc>
          <w:tcPr>
            <w:tcW w:w="6188" w:type="dxa"/>
            <w:tcBorders>
              <w:top w:val="nil"/>
              <w:left w:val="single" w:sz="4" w:space="0" w:color="auto"/>
              <w:bottom w:val="single" w:sz="4" w:space="0" w:color="auto"/>
              <w:right w:val="single" w:sz="4" w:space="0" w:color="auto"/>
            </w:tcBorders>
          </w:tcPr>
          <w:p w:rsidR="00EA543A" w:rsidRPr="007D5748" w:rsidRDefault="00EA543A" w:rsidP="00EA543A">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p>
        </w:tc>
        <w:tc>
          <w:tcPr>
            <w:tcW w:w="2418"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p>
        </w:tc>
        <w:tc>
          <w:tcPr>
            <w:tcW w:w="1722"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b/>
                <w:bCs/>
                <w:sz w:val="24"/>
                <w:szCs w:val="24"/>
                <w:lang w:eastAsia="sk-SK"/>
              </w:rPr>
            </w:pPr>
          </w:p>
        </w:tc>
        <w:tc>
          <w:tcPr>
            <w:tcW w:w="1620" w:type="dxa"/>
            <w:tcBorders>
              <w:top w:val="nil"/>
              <w:left w:val="nil"/>
              <w:bottom w:val="single" w:sz="4" w:space="0" w:color="auto"/>
              <w:right w:val="single" w:sz="4" w:space="0" w:color="auto"/>
            </w:tcBorders>
            <w:noWrap/>
            <w:vAlign w:val="bottom"/>
          </w:tcPr>
          <w:p w:rsidR="00EA543A" w:rsidRPr="007D5748" w:rsidRDefault="00EA543A" w:rsidP="00EA543A">
            <w:pPr>
              <w:spacing w:after="0" w:line="240" w:lineRule="auto"/>
              <w:rPr>
                <w:rFonts w:ascii="Times New Roman" w:eastAsia="Times New Roman" w:hAnsi="Times New Roman" w:cs="Times New Roman"/>
                <w:b/>
                <w:bCs/>
                <w:sz w:val="24"/>
                <w:szCs w:val="24"/>
                <w:lang w:eastAsia="sk-SK"/>
              </w:rPr>
            </w:pPr>
            <w:r w:rsidRPr="007D5748">
              <w:rPr>
                <w:rFonts w:ascii="Times New Roman" w:eastAsia="Times New Roman" w:hAnsi="Times New Roman" w:cs="Times New Roman"/>
                <w:b/>
                <w:bCs/>
                <w:sz w:val="24"/>
                <w:szCs w:val="24"/>
                <w:lang w:eastAsia="sk-SK"/>
              </w:rPr>
              <w:t> </w:t>
            </w:r>
          </w:p>
        </w:tc>
      </w:tr>
      <w:tr w:rsidR="00EA543A" w:rsidRPr="007D5748" w:rsidTr="00EA543A">
        <w:trPr>
          <w:trHeight w:val="255"/>
        </w:trPr>
        <w:tc>
          <w:tcPr>
            <w:tcW w:w="6188" w:type="dxa"/>
            <w:tcBorders>
              <w:top w:val="nil"/>
              <w:left w:val="single" w:sz="4" w:space="0" w:color="auto"/>
              <w:bottom w:val="single" w:sz="4" w:space="0" w:color="auto"/>
              <w:right w:val="single" w:sz="4" w:space="0" w:color="auto"/>
            </w:tcBorders>
          </w:tcPr>
          <w:p w:rsidR="00EA543A" w:rsidRPr="007D5748" w:rsidRDefault="00EA543A" w:rsidP="00EA543A">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sz w:val="24"/>
                <w:szCs w:val="24"/>
                <w:lang w:eastAsia="sk-SK"/>
              </w:rPr>
            </w:pPr>
          </w:p>
        </w:tc>
        <w:tc>
          <w:tcPr>
            <w:tcW w:w="2418"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sz w:val="24"/>
                <w:szCs w:val="24"/>
                <w:lang w:eastAsia="sk-SK"/>
              </w:rPr>
            </w:pPr>
          </w:p>
        </w:tc>
        <w:tc>
          <w:tcPr>
            <w:tcW w:w="1722" w:type="dxa"/>
            <w:tcBorders>
              <w:top w:val="nil"/>
              <w:left w:val="nil"/>
              <w:bottom w:val="single" w:sz="4" w:space="0" w:color="auto"/>
              <w:right w:val="single" w:sz="4" w:space="0" w:color="auto"/>
            </w:tcBorders>
          </w:tcPr>
          <w:p w:rsidR="00EA543A" w:rsidRPr="007D5748" w:rsidRDefault="00EA543A" w:rsidP="00EA543A">
            <w:pPr>
              <w:spacing w:after="0" w:line="240" w:lineRule="auto"/>
              <w:jc w:val="center"/>
              <w:rPr>
                <w:rFonts w:ascii="Times New Roman" w:eastAsia="Times New Roman" w:hAnsi="Times New Roman" w:cs="Times New Roman"/>
                <w:sz w:val="24"/>
                <w:szCs w:val="24"/>
                <w:lang w:eastAsia="sk-SK"/>
              </w:rPr>
            </w:pPr>
          </w:p>
        </w:tc>
        <w:tc>
          <w:tcPr>
            <w:tcW w:w="1620" w:type="dxa"/>
            <w:tcBorders>
              <w:top w:val="nil"/>
              <w:left w:val="nil"/>
              <w:bottom w:val="single" w:sz="4" w:space="0" w:color="auto"/>
              <w:right w:val="single" w:sz="4" w:space="0" w:color="auto"/>
            </w:tcBorders>
            <w:noWrap/>
            <w:vAlign w:val="bottom"/>
          </w:tcPr>
          <w:p w:rsidR="00EA543A" w:rsidRPr="007D5748" w:rsidRDefault="00EA543A" w:rsidP="00EA543A">
            <w:pPr>
              <w:spacing w:after="0" w:line="240" w:lineRule="auto"/>
              <w:rPr>
                <w:rFonts w:ascii="Times New Roman" w:eastAsia="Times New Roman" w:hAnsi="Times New Roman" w:cs="Times New Roman"/>
                <w:sz w:val="24"/>
                <w:szCs w:val="24"/>
                <w:lang w:eastAsia="sk-SK"/>
              </w:rPr>
            </w:pPr>
            <w:r w:rsidRPr="007D5748">
              <w:rPr>
                <w:rFonts w:ascii="Times New Roman" w:eastAsia="Times New Roman" w:hAnsi="Times New Roman" w:cs="Times New Roman"/>
                <w:sz w:val="24"/>
                <w:szCs w:val="24"/>
                <w:lang w:eastAsia="sk-SK"/>
              </w:rPr>
              <w:t> </w:t>
            </w:r>
          </w:p>
        </w:tc>
      </w:tr>
    </w:tbl>
    <w:p w:rsidR="00EA543A" w:rsidRP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sectPr w:rsidR="00EA543A" w:rsidSect="00EA543A">
          <w:footerReference w:type="default" r:id="rId14"/>
          <w:pgSz w:w="16838" w:h="11906" w:orient="landscape"/>
          <w:pgMar w:top="1417" w:right="1417" w:bottom="1417" w:left="1417" w:header="708" w:footer="708" w:gutter="0"/>
          <w:cols w:space="708"/>
          <w:docGrid w:linePitch="360"/>
        </w:sectPr>
      </w:pPr>
    </w:p>
    <w:tbl>
      <w:tblPr>
        <w:tblStyle w:val="Mriekatabuky"/>
        <w:tblW w:w="0" w:type="auto"/>
        <w:tblLook w:val="04A0" w:firstRow="1" w:lastRow="0" w:firstColumn="1" w:lastColumn="0" w:noHBand="0" w:noVBand="1"/>
      </w:tblPr>
      <w:tblGrid>
        <w:gridCol w:w="9062"/>
      </w:tblGrid>
      <w:tr w:rsidR="007A5B13" w:rsidRPr="007A5B13" w:rsidTr="007A5B13">
        <w:trPr>
          <w:trHeight w:val="567"/>
        </w:trPr>
        <w:tc>
          <w:tcPr>
            <w:tcW w:w="9062" w:type="dxa"/>
            <w:shd w:val="clear" w:color="auto" w:fill="D9D9D9" w:themeFill="background1" w:themeFillShade="D9"/>
          </w:tcPr>
          <w:p w:rsidR="007A5B13" w:rsidRPr="007A5B13" w:rsidRDefault="007A5B13" w:rsidP="00D225C7">
            <w:pPr>
              <w:jc w:val="center"/>
              <w:rPr>
                <w:rFonts w:ascii="Times New Roman" w:hAnsi="Times New Roman" w:cs="Times New Roman"/>
                <w:b/>
                <w:sz w:val="24"/>
                <w:szCs w:val="24"/>
              </w:rPr>
            </w:pPr>
            <w:r w:rsidRPr="007A5B13">
              <w:rPr>
                <w:rFonts w:ascii="Times New Roman" w:hAnsi="Times New Roman" w:cs="Times New Roman"/>
                <w:b/>
                <w:sz w:val="24"/>
                <w:szCs w:val="24"/>
              </w:rPr>
              <w:lastRenderedPageBreak/>
              <w:t xml:space="preserve">Analýza vplyvov na podnikateľské prostredie </w:t>
            </w:r>
          </w:p>
          <w:p w:rsidR="007A5B13" w:rsidRPr="007A5B13" w:rsidRDefault="007A5B13" w:rsidP="00D225C7">
            <w:pPr>
              <w:jc w:val="center"/>
              <w:rPr>
                <w:rFonts w:ascii="Times New Roman" w:hAnsi="Times New Roman" w:cs="Times New Roman"/>
                <w:b/>
                <w:sz w:val="24"/>
                <w:szCs w:val="24"/>
              </w:rPr>
            </w:pPr>
            <w:r w:rsidRPr="007A5B13">
              <w:rPr>
                <w:rFonts w:ascii="Times New Roman" w:hAnsi="Times New Roman" w:cs="Times New Roman"/>
                <w:b/>
                <w:sz w:val="24"/>
                <w:szCs w:val="24"/>
              </w:rPr>
              <w:t>(vrátane testu MSP)</w:t>
            </w:r>
          </w:p>
        </w:tc>
      </w:tr>
      <w:tr w:rsidR="007A5B13" w:rsidRPr="007A5B13" w:rsidTr="007A5B13">
        <w:trPr>
          <w:trHeight w:val="567"/>
        </w:trPr>
        <w:tc>
          <w:tcPr>
            <w:tcW w:w="9062" w:type="dxa"/>
            <w:shd w:val="clear" w:color="auto" w:fill="D9D9D9" w:themeFill="background1" w:themeFillShade="D9"/>
          </w:tcPr>
          <w:p w:rsidR="007A5B13" w:rsidRPr="007A5B13" w:rsidRDefault="007A5B13" w:rsidP="00D225C7">
            <w:pPr>
              <w:rPr>
                <w:rFonts w:ascii="Times New Roman" w:hAnsi="Times New Roman" w:cs="Times New Roman"/>
                <w:b/>
                <w:sz w:val="24"/>
                <w:szCs w:val="24"/>
              </w:rPr>
            </w:pPr>
            <w:r w:rsidRPr="007A5B13">
              <w:rPr>
                <w:rFonts w:ascii="Times New Roman" w:hAnsi="Times New Roman" w:cs="Times New Roman"/>
                <w:b/>
                <w:sz w:val="24"/>
                <w:szCs w:val="24"/>
              </w:rPr>
              <w:t>Materiál bude mať vplyv s ohľadom na veľkostnú kategóriu podnikov:</w:t>
            </w:r>
          </w:p>
        </w:tc>
      </w:tr>
      <w:tr w:rsidR="007A5B13" w:rsidRPr="007A5B13" w:rsidTr="007A5B13">
        <w:trPr>
          <w:trHeight w:val="567"/>
        </w:trPr>
        <w:tc>
          <w:tcPr>
            <w:tcW w:w="9062" w:type="dxa"/>
            <w:shd w:val="clear" w:color="auto" w:fill="auto"/>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410"/>
            </w:tblGrid>
            <w:tr w:rsidR="007A5B13" w:rsidRPr="007A5B13" w:rsidTr="00D225C7">
              <w:sdt>
                <w:sdtPr>
                  <w:rPr>
                    <w:rFonts w:ascii="Times New Roman" w:hAnsi="Times New Roman" w:cs="Times New Roman"/>
                    <w:sz w:val="24"/>
                    <w:szCs w:val="24"/>
                  </w:rPr>
                  <w:id w:val="43339831"/>
                  <w14:checkbox>
                    <w14:checked w14:val="0"/>
                    <w14:checkedState w14:val="2612" w14:font="MS Gothic"/>
                    <w14:uncheckedState w14:val="2610" w14:font="MS Gothic"/>
                  </w14:checkbox>
                </w:sdtPr>
                <w:sdtContent>
                  <w:tc>
                    <w:tcPr>
                      <w:tcW w:w="436" w:type="dxa"/>
                    </w:tcPr>
                    <w:p w:rsidR="007A5B13" w:rsidRPr="007A5B13" w:rsidRDefault="007A5B13" w:rsidP="00D225C7">
                      <w:pPr>
                        <w:jc w:val="center"/>
                        <w:rPr>
                          <w:rFonts w:ascii="Times New Roman" w:hAnsi="Times New Roman" w:cs="Times New Roman"/>
                          <w:sz w:val="24"/>
                          <w:szCs w:val="24"/>
                        </w:rPr>
                      </w:pPr>
                      <w:r w:rsidRPr="007A5B13">
                        <w:rPr>
                          <w:rFonts w:ascii="Segoe UI Symbol" w:eastAsia="MS Mincho" w:hAnsi="Segoe UI Symbol" w:cs="Segoe UI Symbol"/>
                          <w:sz w:val="24"/>
                          <w:szCs w:val="24"/>
                        </w:rPr>
                        <w:t>☐</w:t>
                      </w:r>
                    </w:p>
                  </w:tc>
                </w:sdtContent>
              </w:sdt>
              <w:tc>
                <w:tcPr>
                  <w:tcW w:w="8545" w:type="dxa"/>
                </w:tcPr>
                <w:p w:rsidR="007A5B13" w:rsidRPr="007A5B13" w:rsidRDefault="007A5B13" w:rsidP="00D225C7">
                  <w:pPr>
                    <w:rPr>
                      <w:rFonts w:ascii="Times New Roman" w:hAnsi="Times New Roman" w:cs="Times New Roman"/>
                      <w:b/>
                      <w:sz w:val="24"/>
                      <w:szCs w:val="24"/>
                    </w:rPr>
                  </w:pPr>
                  <w:r w:rsidRPr="007A5B13">
                    <w:rPr>
                      <w:rFonts w:ascii="Times New Roman" w:hAnsi="Times New Roman" w:cs="Times New Roman"/>
                      <w:b/>
                      <w:sz w:val="24"/>
                      <w:szCs w:val="24"/>
                    </w:rPr>
                    <w:t xml:space="preserve">iba na MSP (0 - 249 zamestnancov) </w:t>
                  </w:r>
                </w:p>
              </w:tc>
            </w:tr>
            <w:tr w:rsidR="007A5B13" w:rsidRPr="007A5B13" w:rsidTr="00D225C7">
              <w:sdt>
                <w:sdtPr>
                  <w:rPr>
                    <w:rFonts w:ascii="Times New Roman" w:hAnsi="Times New Roman" w:cs="Times New Roman"/>
                    <w:sz w:val="24"/>
                    <w:szCs w:val="24"/>
                  </w:rPr>
                  <w:id w:val="-79453833"/>
                  <w14:checkbox>
                    <w14:checked w14:val="0"/>
                    <w14:checkedState w14:val="2612" w14:font="MS Gothic"/>
                    <w14:uncheckedState w14:val="2610" w14:font="MS Gothic"/>
                  </w14:checkbox>
                </w:sdtPr>
                <w:sdtContent>
                  <w:tc>
                    <w:tcPr>
                      <w:tcW w:w="436" w:type="dxa"/>
                    </w:tcPr>
                    <w:p w:rsidR="007A5B13" w:rsidRPr="007A5B13" w:rsidRDefault="007A5B13" w:rsidP="00D225C7">
                      <w:pPr>
                        <w:jc w:val="center"/>
                        <w:rPr>
                          <w:rFonts w:ascii="Times New Roman" w:hAnsi="Times New Roman" w:cs="Times New Roman"/>
                          <w:sz w:val="24"/>
                          <w:szCs w:val="24"/>
                        </w:rPr>
                      </w:pPr>
                      <w:r w:rsidRPr="007A5B13">
                        <w:rPr>
                          <w:rFonts w:ascii="Segoe UI Symbol" w:eastAsia="MS Mincho" w:hAnsi="Segoe UI Symbol" w:cs="Segoe UI Symbol"/>
                          <w:sz w:val="24"/>
                          <w:szCs w:val="24"/>
                        </w:rPr>
                        <w:t>☐</w:t>
                      </w:r>
                    </w:p>
                  </w:tc>
                </w:sdtContent>
              </w:sdt>
              <w:tc>
                <w:tcPr>
                  <w:tcW w:w="8545" w:type="dxa"/>
                </w:tcPr>
                <w:p w:rsidR="007A5B13" w:rsidRPr="007A5B13" w:rsidRDefault="007A5B13" w:rsidP="00D225C7">
                  <w:pPr>
                    <w:rPr>
                      <w:rFonts w:ascii="Times New Roman" w:hAnsi="Times New Roman" w:cs="Times New Roman"/>
                      <w:b/>
                      <w:sz w:val="24"/>
                      <w:szCs w:val="24"/>
                    </w:rPr>
                  </w:pPr>
                  <w:r w:rsidRPr="007A5B13">
                    <w:rPr>
                      <w:rFonts w:ascii="Times New Roman" w:hAnsi="Times New Roman" w:cs="Times New Roman"/>
                      <w:b/>
                      <w:sz w:val="24"/>
                      <w:szCs w:val="24"/>
                    </w:rPr>
                    <w:t>iba na veľké podniky (250 a viac zamestnancov)</w:t>
                  </w:r>
                </w:p>
              </w:tc>
            </w:tr>
            <w:tr w:rsidR="007A5B13" w:rsidRPr="007A5B13" w:rsidTr="00D225C7">
              <w:sdt>
                <w:sdtPr>
                  <w:rPr>
                    <w:rFonts w:ascii="Times New Roman" w:hAnsi="Times New Roman" w:cs="Times New Roman"/>
                    <w:sz w:val="24"/>
                    <w:szCs w:val="24"/>
                  </w:rPr>
                  <w:id w:val="1290634502"/>
                  <w14:checkbox>
                    <w14:checked w14:val="1"/>
                    <w14:checkedState w14:val="2612" w14:font="MS Gothic"/>
                    <w14:uncheckedState w14:val="2610" w14:font="MS Gothic"/>
                  </w14:checkbox>
                </w:sdtPr>
                <w:sdtContent>
                  <w:tc>
                    <w:tcPr>
                      <w:tcW w:w="436" w:type="dxa"/>
                    </w:tcPr>
                    <w:p w:rsidR="007A5B13" w:rsidRPr="007A5B13" w:rsidRDefault="007A5B13" w:rsidP="00D225C7">
                      <w:pPr>
                        <w:jc w:val="center"/>
                        <w:rPr>
                          <w:rFonts w:ascii="Times New Roman" w:hAnsi="Times New Roman" w:cs="Times New Roman"/>
                          <w:sz w:val="24"/>
                          <w:szCs w:val="24"/>
                        </w:rPr>
                      </w:pPr>
                      <w:r w:rsidRPr="007A5B13">
                        <w:rPr>
                          <w:rFonts w:ascii="Segoe UI Symbol" w:eastAsia="MS Gothic" w:hAnsi="Segoe UI Symbol" w:cs="Segoe UI Symbol"/>
                          <w:sz w:val="24"/>
                          <w:szCs w:val="24"/>
                        </w:rPr>
                        <w:t>☒</w:t>
                      </w:r>
                    </w:p>
                  </w:tc>
                </w:sdtContent>
              </w:sdt>
              <w:tc>
                <w:tcPr>
                  <w:tcW w:w="8545" w:type="dxa"/>
                </w:tcPr>
                <w:p w:rsidR="007A5B13" w:rsidRPr="007A5B13" w:rsidRDefault="007A5B13" w:rsidP="00D225C7">
                  <w:pPr>
                    <w:rPr>
                      <w:rFonts w:ascii="Times New Roman" w:hAnsi="Times New Roman" w:cs="Times New Roman"/>
                      <w:sz w:val="24"/>
                      <w:szCs w:val="24"/>
                    </w:rPr>
                  </w:pPr>
                  <w:r w:rsidRPr="007A5B13">
                    <w:rPr>
                      <w:rFonts w:ascii="Times New Roman" w:hAnsi="Times New Roman" w:cs="Times New Roman"/>
                      <w:b/>
                      <w:sz w:val="24"/>
                      <w:szCs w:val="24"/>
                    </w:rPr>
                    <w:t>na všetky kategórie podnikov</w:t>
                  </w:r>
                </w:p>
              </w:tc>
            </w:tr>
          </w:tbl>
          <w:p w:rsidR="007A5B13" w:rsidRPr="007A5B13" w:rsidRDefault="007A5B13" w:rsidP="00D225C7">
            <w:pPr>
              <w:rPr>
                <w:rFonts w:ascii="Times New Roman" w:hAnsi="Times New Roman" w:cs="Times New Roman"/>
                <w:b/>
                <w:sz w:val="24"/>
                <w:szCs w:val="24"/>
              </w:rPr>
            </w:pPr>
          </w:p>
        </w:tc>
      </w:tr>
      <w:tr w:rsidR="007A5B13" w:rsidRPr="007A5B13" w:rsidTr="007A5B13">
        <w:tc>
          <w:tcPr>
            <w:tcW w:w="9062" w:type="dxa"/>
            <w:shd w:val="clear" w:color="auto" w:fill="D9D9D9" w:themeFill="background1" w:themeFillShade="D9"/>
          </w:tcPr>
          <w:p w:rsidR="007A5B13" w:rsidRPr="007A5B13" w:rsidRDefault="007A5B13" w:rsidP="00D225C7">
            <w:pPr>
              <w:rPr>
                <w:rFonts w:ascii="Times New Roman" w:hAnsi="Times New Roman" w:cs="Times New Roman"/>
                <w:b/>
                <w:sz w:val="24"/>
                <w:szCs w:val="24"/>
              </w:rPr>
            </w:pPr>
            <w:r w:rsidRPr="007A5B13">
              <w:rPr>
                <w:rFonts w:ascii="Times New Roman" w:hAnsi="Times New Roman" w:cs="Times New Roman"/>
                <w:b/>
                <w:sz w:val="24"/>
                <w:szCs w:val="24"/>
              </w:rPr>
              <w:t>3.1 Dotknuté podnikateľské subjekty</w:t>
            </w:r>
          </w:p>
          <w:p w:rsidR="007A5B13" w:rsidRPr="007A5B13" w:rsidRDefault="007A5B13" w:rsidP="00D225C7">
            <w:pPr>
              <w:ind w:left="284"/>
              <w:rPr>
                <w:rFonts w:ascii="Times New Roman" w:hAnsi="Times New Roman" w:cs="Times New Roman"/>
                <w:b/>
                <w:sz w:val="24"/>
                <w:szCs w:val="24"/>
              </w:rPr>
            </w:pPr>
            <w:r w:rsidRPr="007A5B13">
              <w:rPr>
                <w:rFonts w:ascii="Times New Roman" w:hAnsi="Times New Roman" w:cs="Times New Roman"/>
                <w:sz w:val="24"/>
                <w:szCs w:val="24"/>
              </w:rPr>
              <w:t xml:space="preserve"> - </w:t>
            </w:r>
            <w:r w:rsidRPr="007A5B13">
              <w:rPr>
                <w:rFonts w:ascii="Times New Roman" w:hAnsi="Times New Roman" w:cs="Times New Roman"/>
                <w:b/>
                <w:sz w:val="24"/>
                <w:szCs w:val="24"/>
              </w:rPr>
              <w:t>z toho MSP</w:t>
            </w:r>
          </w:p>
        </w:tc>
      </w:tr>
      <w:tr w:rsidR="007A5B13" w:rsidRPr="007A5B13" w:rsidTr="007A5B13">
        <w:tc>
          <w:tcPr>
            <w:tcW w:w="9062" w:type="dxa"/>
            <w:tcBorders>
              <w:bottom w:val="single" w:sz="4" w:space="0" w:color="auto"/>
            </w:tcBorders>
          </w:tcPr>
          <w:p w:rsidR="007A5B13" w:rsidRPr="007A5B13" w:rsidRDefault="007A5B13" w:rsidP="00D225C7">
            <w:pPr>
              <w:rPr>
                <w:rFonts w:ascii="Times New Roman" w:hAnsi="Times New Roman" w:cs="Times New Roman"/>
                <w:i/>
                <w:sz w:val="24"/>
                <w:szCs w:val="24"/>
              </w:rPr>
            </w:pPr>
            <w:r w:rsidRPr="007A5B13">
              <w:rPr>
                <w:rFonts w:ascii="Times New Roman" w:hAnsi="Times New Roman" w:cs="Times New Roman"/>
                <w:i/>
                <w:sz w:val="24"/>
                <w:szCs w:val="24"/>
              </w:rPr>
              <w:t>Uveďte, aké podnikateľské subjekty budú predkladaným návrhom ovplyvnené.</w:t>
            </w:r>
          </w:p>
          <w:p w:rsidR="007A5B13" w:rsidRPr="007A5B13" w:rsidRDefault="007A5B13" w:rsidP="00D225C7">
            <w:pPr>
              <w:rPr>
                <w:rFonts w:ascii="Times New Roman" w:hAnsi="Times New Roman" w:cs="Times New Roman"/>
                <w:i/>
                <w:sz w:val="24"/>
                <w:szCs w:val="24"/>
              </w:rPr>
            </w:pPr>
            <w:r w:rsidRPr="007A5B13">
              <w:rPr>
                <w:rFonts w:ascii="Times New Roman" w:hAnsi="Times New Roman" w:cs="Times New Roman"/>
                <w:i/>
                <w:sz w:val="24"/>
                <w:szCs w:val="24"/>
              </w:rPr>
              <w:t>Aký je ich počet?</w:t>
            </w:r>
          </w:p>
        </w:tc>
      </w:tr>
      <w:tr w:rsidR="007A5B13" w:rsidRPr="007A5B13" w:rsidTr="007A5B13">
        <w:trPr>
          <w:trHeight w:val="1440"/>
        </w:trPr>
        <w:tc>
          <w:tcPr>
            <w:tcW w:w="9062" w:type="dxa"/>
            <w:tcBorders>
              <w:bottom w:val="single" w:sz="4" w:space="0" w:color="auto"/>
            </w:tcBorders>
          </w:tcPr>
          <w:p w:rsidR="007A5B13" w:rsidRPr="007A5B13" w:rsidRDefault="007A5B13" w:rsidP="00D225C7">
            <w:pPr>
              <w:rPr>
                <w:rFonts w:ascii="Times New Roman" w:hAnsi="Times New Roman" w:cs="Times New Roman"/>
                <w:b/>
                <w:sz w:val="24"/>
                <w:szCs w:val="24"/>
              </w:rPr>
            </w:pPr>
            <w:r w:rsidRPr="007A5B13">
              <w:rPr>
                <w:rFonts w:ascii="Times New Roman" w:hAnsi="Times New Roman" w:cs="Times New Roman"/>
                <w:b/>
                <w:sz w:val="24"/>
                <w:szCs w:val="24"/>
              </w:rPr>
              <w:t>Predpokladá sa, že návrh zákona ovplyvní:</w:t>
            </w:r>
          </w:p>
          <w:p w:rsidR="007A5B13" w:rsidRPr="007A5B13" w:rsidRDefault="007A5B13" w:rsidP="007A5B13">
            <w:pPr>
              <w:pStyle w:val="Odsekzoznamu"/>
              <w:numPr>
                <w:ilvl w:val="0"/>
                <w:numId w:val="27"/>
              </w:numPr>
              <w:spacing w:after="200" w:line="276" w:lineRule="auto"/>
              <w:rPr>
                <w:rFonts w:ascii="Times New Roman" w:hAnsi="Times New Roman" w:cs="Times New Roman"/>
                <w:b/>
                <w:sz w:val="24"/>
                <w:szCs w:val="24"/>
              </w:rPr>
            </w:pPr>
            <w:proofErr w:type="spellStart"/>
            <w:r w:rsidRPr="007A5B13">
              <w:rPr>
                <w:rFonts w:ascii="Times New Roman" w:hAnsi="Times New Roman" w:cs="Times New Roman"/>
                <w:b/>
                <w:sz w:val="24"/>
                <w:szCs w:val="24"/>
              </w:rPr>
              <w:t>mikrodaňovníkov</w:t>
            </w:r>
            <w:proofErr w:type="spellEnd"/>
            <w:r w:rsidRPr="007A5B13">
              <w:rPr>
                <w:rFonts w:ascii="Times New Roman" w:hAnsi="Times New Roman" w:cs="Times New Roman"/>
                <w:b/>
                <w:sz w:val="24"/>
                <w:szCs w:val="24"/>
              </w:rPr>
              <w:t xml:space="preserve"> spĺňajúcich podmienky podľa zákona o dani z príjmov</w:t>
            </w:r>
          </w:p>
          <w:p w:rsidR="007A5B13" w:rsidRPr="007A5B13" w:rsidRDefault="007A5B13" w:rsidP="007A5B13">
            <w:pPr>
              <w:pStyle w:val="Odsekzoznamu"/>
              <w:numPr>
                <w:ilvl w:val="0"/>
                <w:numId w:val="27"/>
              </w:numPr>
              <w:spacing w:after="200" w:line="276" w:lineRule="auto"/>
              <w:rPr>
                <w:rFonts w:ascii="Times New Roman" w:hAnsi="Times New Roman" w:cs="Times New Roman"/>
                <w:b/>
                <w:sz w:val="24"/>
                <w:szCs w:val="24"/>
              </w:rPr>
            </w:pPr>
            <w:r w:rsidRPr="007A5B13">
              <w:rPr>
                <w:rFonts w:ascii="Times New Roman" w:hAnsi="Times New Roman" w:cs="Times New Roman"/>
                <w:b/>
                <w:sz w:val="24"/>
                <w:szCs w:val="24"/>
              </w:rPr>
              <w:t>daňovníkov tvoriacich daňovo uznané opravné položky k pohľadávkam</w:t>
            </w:r>
          </w:p>
          <w:p w:rsidR="007A5B13" w:rsidRPr="007A5B13" w:rsidRDefault="007A5B13" w:rsidP="007A5B13">
            <w:pPr>
              <w:pStyle w:val="Odsekzoznamu"/>
              <w:numPr>
                <w:ilvl w:val="0"/>
                <w:numId w:val="27"/>
              </w:numPr>
              <w:spacing w:after="200" w:line="276" w:lineRule="auto"/>
              <w:rPr>
                <w:rFonts w:ascii="Times New Roman" w:hAnsi="Times New Roman" w:cs="Times New Roman"/>
                <w:b/>
                <w:sz w:val="24"/>
                <w:szCs w:val="24"/>
              </w:rPr>
            </w:pPr>
            <w:r w:rsidRPr="007A5B13">
              <w:rPr>
                <w:rFonts w:ascii="Times New Roman" w:hAnsi="Times New Roman" w:cs="Times New Roman"/>
                <w:b/>
                <w:sz w:val="24"/>
                <w:szCs w:val="24"/>
              </w:rPr>
              <w:t>právnické osoby, u ktorých dochádza k hybridným nesúladom</w:t>
            </w:r>
          </w:p>
          <w:p w:rsidR="007A5B13" w:rsidRPr="007A5B13" w:rsidRDefault="007A5B13" w:rsidP="007A5B13">
            <w:pPr>
              <w:pStyle w:val="Odsekzoznamu"/>
              <w:numPr>
                <w:ilvl w:val="0"/>
                <w:numId w:val="27"/>
              </w:numPr>
              <w:spacing w:after="200" w:line="276" w:lineRule="auto"/>
              <w:rPr>
                <w:rFonts w:ascii="Times New Roman" w:hAnsi="Times New Roman" w:cs="Times New Roman"/>
                <w:b/>
                <w:sz w:val="24"/>
                <w:szCs w:val="24"/>
              </w:rPr>
            </w:pPr>
            <w:r w:rsidRPr="007A5B13">
              <w:rPr>
                <w:rFonts w:ascii="Times New Roman" w:hAnsi="Times New Roman" w:cs="Times New Roman"/>
                <w:b/>
                <w:sz w:val="24"/>
                <w:szCs w:val="24"/>
              </w:rPr>
              <w:t>podnikateľské subjekty poskytujúce dopravu zamestnancom do zamestnania a späť</w:t>
            </w:r>
          </w:p>
          <w:p w:rsidR="007A5B13" w:rsidRPr="007A5B13" w:rsidRDefault="007A5B13" w:rsidP="007A5B13">
            <w:pPr>
              <w:pStyle w:val="Odsekzoznamu"/>
              <w:numPr>
                <w:ilvl w:val="0"/>
                <w:numId w:val="27"/>
              </w:numPr>
              <w:spacing w:after="200" w:line="276" w:lineRule="auto"/>
              <w:rPr>
                <w:rFonts w:ascii="Times New Roman" w:hAnsi="Times New Roman" w:cs="Times New Roman"/>
                <w:b/>
                <w:sz w:val="24"/>
                <w:szCs w:val="24"/>
              </w:rPr>
            </w:pPr>
            <w:r w:rsidRPr="007A5B13">
              <w:rPr>
                <w:rFonts w:ascii="Times New Roman" w:hAnsi="Times New Roman" w:cs="Times New Roman"/>
                <w:b/>
                <w:sz w:val="24"/>
                <w:szCs w:val="24"/>
              </w:rPr>
              <w:t xml:space="preserve">podnikateľské subjekty využívajúce elektromobily </w:t>
            </w:r>
          </w:p>
          <w:p w:rsidR="007A5B13" w:rsidRPr="007A5B13" w:rsidRDefault="007A5B13" w:rsidP="007A5B13">
            <w:pPr>
              <w:pStyle w:val="Odsekzoznamu"/>
              <w:numPr>
                <w:ilvl w:val="0"/>
                <w:numId w:val="27"/>
              </w:numPr>
              <w:spacing w:after="200" w:line="276" w:lineRule="auto"/>
              <w:rPr>
                <w:rFonts w:ascii="Times New Roman" w:hAnsi="Times New Roman" w:cs="Times New Roman"/>
                <w:b/>
                <w:sz w:val="24"/>
                <w:szCs w:val="24"/>
              </w:rPr>
            </w:pPr>
            <w:r w:rsidRPr="007A5B13">
              <w:rPr>
                <w:rFonts w:ascii="Times New Roman" w:hAnsi="Times New Roman" w:cs="Times New Roman"/>
                <w:b/>
                <w:sz w:val="24"/>
                <w:szCs w:val="24"/>
              </w:rPr>
              <w:t>podnikateľské subjekty odpočítavajúce daňovú stratu</w:t>
            </w:r>
          </w:p>
          <w:p w:rsidR="007A5B13" w:rsidRPr="007A5B13" w:rsidRDefault="007A5B13" w:rsidP="007A5B13">
            <w:pPr>
              <w:pStyle w:val="Odsekzoznamu"/>
              <w:numPr>
                <w:ilvl w:val="0"/>
                <w:numId w:val="27"/>
              </w:numPr>
              <w:spacing w:after="200" w:line="276" w:lineRule="auto"/>
              <w:rPr>
                <w:rFonts w:ascii="Times New Roman" w:hAnsi="Times New Roman" w:cs="Times New Roman"/>
                <w:b/>
                <w:sz w:val="24"/>
                <w:szCs w:val="24"/>
              </w:rPr>
            </w:pPr>
            <w:r w:rsidRPr="007A5B13">
              <w:rPr>
                <w:rFonts w:ascii="Times New Roman" w:hAnsi="Times New Roman" w:cs="Times New Roman"/>
                <w:b/>
                <w:sz w:val="24"/>
                <w:szCs w:val="24"/>
              </w:rPr>
              <w:t>podnikateľské subjekty vykonávajúce podnikový výskum a vývoj</w:t>
            </w:r>
          </w:p>
          <w:p w:rsidR="007A5B13" w:rsidRPr="007A5B13" w:rsidRDefault="007A5B13" w:rsidP="007A5B13">
            <w:pPr>
              <w:pStyle w:val="Odsekzoznamu"/>
              <w:numPr>
                <w:ilvl w:val="0"/>
                <w:numId w:val="27"/>
              </w:numPr>
              <w:spacing w:after="200" w:line="276" w:lineRule="auto"/>
              <w:rPr>
                <w:rFonts w:ascii="Times New Roman" w:hAnsi="Times New Roman" w:cs="Times New Roman"/>
                <w:b/>
                <w:sz w:val="24"/>
                <w:szCs w:val="24"/>
              </w:rPr>
            </w:pPr>
            <w:r w:rsidRPr="007A5B13">
              <w:rPr>
                <w:rFonts w:ascii="Times New Roman" w:hAnsi="Times New Roman" w:cs="Times New Roman"/>
                <w:b/>
                <w:sz w:val="24"/>
                <w:szCs w:val="24"/>
              </w:rPr>
              <w:t>právnické osoby poberajúce príjmy z predaja akcii, obchodných podielov a členských vkladov v družstve</w:t>
            </w:r>
          </w:p>
          <w:p w:rsidR="007A5B13" w:rsidRPr="007A5B13" w:rsidRDefault="007A5B13" w:rsidP="007A5B13">
            <w:pPr>
              <w:pStyle w:val="Odsekzoznamu"/>
              <w:numPr>
                <w:ilvl w:val="0"/>
                <w:numId w:val="27"/>
              </w:numPr>
              <w:spacing w:after="200" w:line="276" w:lineRule="auto"/>
              <w:rPr>
                <w:rFonts w:ascii="Times New Roman" w:hAnsi="Times New Roman" w:cs="Times New Roman"/>
                <w:b/>
                <w:sz w:val="24"/>
                <w:szCs w:val="24"/>
              </w:rPr>
            </w:pPr>
            <w:r w:rsidRPr="007A5B13">
              <w:rPr>
                <w:rFonts w:ascii="Times New Roman" w:hAnsi="Times New Roman" w:cs="Times New Roman"/>
                <w:b/>
                <w:sz w:val="24"/>
                <w:szCs w:val="24"/>
              </w:rPr>
              <w:t>podnikateľské subjekty – zamestnávateľov pri doručovaní dokladov elektronickými prostriedkami</w:t>
            </w:r>
          </w:p>
          <w:p w:rsidR="007A5B13" w:rsidRPr="007A5B13" w:rsidRDefault="007A5B13" w:rsidP="007A5B13">
            <w:pPr>
              <w:pStyle w:val="Odsekzoznamu"/>
              <w:numPr>
                <w:ilvl w:val="0"/>
                <w:numId w:val="27"/>
              </w:numPr>
              <w:spacing w:after="200" w:line="276" w:lineRule="auto"/>
              <w:rPr>
                <w:rFonts w:ascii="Times New Roman" w:hAnsi="Times New Roman" w:cs="Times New Roman"/>
                <w:b/>
                <w:sz w:val="24"/>
                <w:szCs w:val="24"/>
              </w:rPr>
            </w:pPr>
            <w:r w:rsidRPr="007A5B13">
              <w:rPr>
                <w:rFonts w:ascii="Times New Roman" w:hAnsi="Times New Roman" w:cs="Times New Roman"/>
                <w:b/>
                <w:sz w:val="24"/>
                <w:szCs w:val="24"/>
              </w:rPr>
              <w:t>podnikateľské subjekty s povinnosťou platiť preddavky na daň z príjmov</w:t>
            </w:r>
          </w:p>
          <w:p w:rsidR="007A5B13" w:rsidRPr="007A5B13" w:rsidRDefault="007A5B13" w:rsidP="007A5B13">
            <w:pPr>
              <w:pStyle w:val="Odsekzoznamu"/>
              <w:numPr>
                <w:ilvl w:val="0"/>
                <w:numId w:val="27"/>
              </w:numPr>
              <w:spacing w:after="200" w:line="276" w:lineRule="auto"/>
              <w:rPr>
                <w:rFonts w:ascii="Times New Roman" w:hAnsi="Times New Roman" w:cs="Times New Roman"/>
                <w:b/>
                <w:sz w:val="24"/>
                <w:szCs w:val="24"/>
              </w:rPr>
            </w:pPr>
            <w:r w:rsidRPr="007A5B13">
              <w:rPr>
                <w:rFonts w:ascii="Times New Roman" w:hAnsi="Times New Roman" w:cs="Times New Roman"/>
                <w:b/>
                <w:sz w:val="24"/>
                <w:szCs w:val="24"/>
              </w:rPr>
              <w:t>registráciu podnikateľských subjektov</w:t>
            </w:r>
          </w:p>
          <w:p w:rsidR="007A5B13" w:rsidRPr="007A5B13" w:rsidRDefault="007A5B13" w:rsidP="00D225C7">
            <w:pPr>
              <w:rPr>
                <w:rFonts w:ascii="Times New Roman" w:hAnsi="Times New Roman" w:cs="Times New Roman"/>
                <w:i/>
                <w:sz w:val="24"/>
                <w:szCs w:val="24"/>
              </w:rPr>
            </w:pPr>
            <w:r w:rsidRPr="007A5B13">
              <w:rPr>
                <w:rFonts w:ascii="Times New Roman" w:hAnsi="Times New Roman" w:cs="Times New Roman"/>
                <w:b/>
                <w:sz w:val="24"/>
                <w:szCs w:val="24"/>
              </w:rPr>
              <w:t>Počet dotknutých subjektov nie je možné presne určiť.</w:t>
            </w:r>
            <w:r w:rsidRPr="007A5B13">
              <w:rPr>
                <w:rFonts w:ascii="Times New Roman" w:hAnsi="Times New Roman" w:cs="Times New Roman"/>
                <w:sz w:val="24"/>
                <w:szCs w:val="24"/>
              </w:rPr>
              <w:t xml:space="preserve"> </w:t>
            </w:r>
            <w:r w:rsidRPr="007A5B13">
              <w:rPr>
                <w:rFonts w:ascii="Times New Roman" w:hAnsi="Times New Roman" w:cs="Times New Roman"/>
                <w:b/>
                <w:sz w:val="24"/>
                <w:szCs w:val="24"/>
              </w:rPr>
              <w:t xml:space="preserve">Podľa individuálnych daňových priznaní za rok 2017 na Slovensku pôsobí približne 152 - tisíc </w:t>
            </w:r>
            <w:proofErr w:type="spellStart"/>
            <w:r w:rsidRPr="007A5B13">
              <w:rPr>
                <w:rFonts w:ascii="Times New Roman" w:hAnsi="Times New Roman" w:cs="Times New Roman"/>
                <w:b/>
                <w:sz w:val="24"/>
                <w:szCs w:val="24"/>
              </w:rPr>
              <w:t>mikrodaňovníkov</w:t>
            </w:r>
            <w:proofErr w:type="spellEnd"/>
            <w:r w:rsidRPr="007A5B13">
              <w:rPr>
                <w:rFonts w:ascii="Times New Roman" w:hAnsi="Times New Roman" w:cs="Times New Roman"/>
                <w:b/>
                <w:sz w:val="24"/>
                <w:szCs w:val="24"/>
              </w:rPr>
              <w:t xml:space="preserve">. Ďalších približne 90 - tisíc daňovníkov nespĺňa definíciu </w:t>
            </w:r>
            <w:proofErr w:type="spellStart"/>
            <w:r w:rsidRPr="007A5B13">
              <w:rPr>
                <w:rFonts w:ascii="Times New Roman" w:hAnsi="Times New Roman" w:cs="Times New Roman"/>
                <w:b/>
                <w:sz w:val="24"/>
                <w:szCs w:val="24"/>
              </w:rPr>
              <w:t>mikrodaňovníka</w:t>
            </w:r>
            <w:proofErr w:type="spellEnd"/>
            <w:r w:rsidRPr="007A5B13">
              <w:rPr>
                <w:rFonts w:ascii="Times New Roman" w:hAnsi="Times New Roman" w:cs="Times New Roman"/>
                <w:b/>
                <w:sz w:val="24"/>
                <w:szCs w:val="24"/>
              </w:rPr>
              <w:t>.</w:t>
            </w:r>
          </w:p>
        </w:tc>
      </w:tr>
      <w:tr w:rsidR="007A5B13" w:rsidRPr="007A5B13" w:rsidTr="007A5B13">
        <w:trPr>
          <w:trHeight w:val="339"/>
        </w:trPr>
        <w:tc>
          <w:tcPr>
            <w:tcW w:w="9062" w:type="dxa"/>
            <w:tcBorders>
              <w:bottom w:val="single" w:sz="4" w:space="0" w:color="auto"/>
            </w:tcBorders>
            <w:shd w:val="clear" w:color="auto" w:fill="D9D9D9" w:themeFill="background1" w:themeFillShade="D9"/>
          </w:tcPr>
          <w:p w:rsidR="007A5B13" w:rsidRPr="007A5B13" w:rsidRDefault="007A5B13" w:rsidP="00D225C7">
            <w:pPr>
              <w:rPr>
                <w:rFonts w:ascii="Times New Roman" w:hAnsi="Times New Roman" w:cs="Times New Roman"/>
                <w:b/>
                <w:sz w:val="24"/>
                <w:szCs w:val="24"/>
              </w:rPr>
            </w:pPr>
            <w:r w:rsidRPr="007A5B13">
              <w:rPr>
                <w:rFonts w:ascii="Times New Roman" w:hAnsi="Times New Roman" w:cs="Times New Roman"/>
                <w:b/>
                <w:sz w:val="24"/>
                <w:szCs w:val="24"/>
              </w:rPr>
              <w:t>3.2 Vyhodnotenie konzultácií</w:t>
            </w:r>
          </w:p>
          <w:p w:rsidR="007A5B13" w:rsidRPr="007A5B13" w:rsidRDefault="007A5B13" w:rsidP="00D225C7">
            <w:pPr>
              <w:rPr>
                <w:rFonts w:ascii="Times New Roman" w:hAnsi="Times New Roman" w:cs="Times New Roman"/>
                <w:b/>
                <w:sz w:val="24"/>
                <w:szCs w:val="24"/>
              </w:rPr>
            </w:pPr>
            <w:r w:rsidRPr="007A5B13">
              <w:rPr>
                <w:rFonts w:ascii="Times New Roman" w:hAnsi="Times New Roman" w:cs="Times New Roman"/>
                <w:sz w:val="24"/>
                <w:szCs w:val="24"/>
              </w:rPr>
              <w:t xml:space="preserve">       - </w:t>
            </w:r>
            <w:r w:rsidRPr="007A5B13">
              <w:rPr>
                <w:rFonts w:ascii="Times New Roman" w:hAnsi="Times New Roman" w:cs="Times New Roman"/>
                <w:b/>
                <w:sz w:val="24"/>
                <w:szCs w:val="24"/>
              </w:rPr>
              <w:t>z toho MSP</w:t>
            </w:r>
          </w:p>
        </w:tc>
      </w:tr>
      <w:tr w:rsidR="007A5B13" w:rsidRPr="007A5B13" w:rsidTr="007A5B13">
        <w:trPr>
          <w:trHeight w:val="557"/>
        </w:trPr>
        <w:tc>
          <w:tcPr>
            <w:tcW w:w="9062" w:type="dxa"/>
            <w:tcBorders>
              <w:bottom w:val="single" w:sz="4" w:space="0" w:color="auto"/>
            </w:tcBorders>
          </w:tcPr>
          <w:p w:rsidR="007A5B13" w:rsidRPr="007A5B13" w:rsidRDefault="007A5B13" w:rsidP="00D225C7">
            <w:pPr>
              <w:rPr>
                <w:rFonts w:ascii="Times New Roman" w:hAnsi="Times New Roman" w:cs="Times New Roman"/>
                <w:i/>
                <w:sz w:val="24"/>
                <w:szCs w:val="24"/>
              </w:rPr>
            </w:pPr>
            <w:r w:rsidRPr="007A5B13">
              <w:rPr>
                <w:rFonts w:ascii="Times New Roman" w:hAnsi="Times New Roman" w:cs="Times New Roman"/>
                <w:i/>
                <w:sz w:val="24"/>
                <w:szCs w:val="24"/>
              </w:rPr>
              <w:t>Uveďte, akou formou (verejné alebo cielené konzultácie a prečo) a s kým bol návrh konzultovaný.</w:t>
            </w:r>
          </w:p>
          <w:p w:rsidR="007A5B13" w:rsidRPr="007A5B13" w:rsidRDefault="007A5B13" w:rsidP="00D225C7">
            <w:pPr>
              <w:rPr>
                <w:rFonts w:ascii="Times New Roman" w:hAnsi="Times New Roman" w:cs="Times New Roman"/>
                <w:i/>
                <w:sz w:val="24"/>
                <w:szCs w:val="24"/>
              </w:rPr>
            </w:pPr>
            <w:r w:rsidRPr="007A5B13">
              <w:rPr>
                <w:rFonts w:ascii="Times New Roman" w:hAnsi="Times New Roman" w:cs="Times New Roman"/>
                <w:i/>
                <w:sz w:val="24"/>
                <w:szCs w:val="24"/>
              </w:rPr>
              <w:t>Ako dlho trvali konzultácie?</w:t>
            </w:r>
          </w:p>
          <w:p w:rsidR="007A5B13" w:rsidRPr="007A5B13" w:rsidRDefault="007A5B13" w:rsidP="00D225C7">
            <w:pPr>
              <w:rPr>
                <w:rFonts w:ascii="Times New Roman" w:hAnsi="Times New Roman" w:cs="Times New Roman"/>
                <w:i/>
                <w:sz w:val="24"/>
                <w:szCs w:val="24"/>
              </w:rPr>
            </w:pPr>
            <w:r w:rsidRPr="007A5B13">
              <w:rPr>
                <w:rFonts w:ascii="Times New Roman" w:hAnsi="Times New Roman" w:cs="Times New Roman"/>
                <w:i/>
                <w:sz w:val="24"/>
                <w:szCs w:val="24"/>
              </w:rPr>
              <w:t xml:space="preserve">Uveďte hlavné body konzultácií a výsledky konzultácií. </w:t>
            </w:r>
          </w:p>
        </w:tc>
      </w:tr>
      <w:tr w:rsidR="007A5B13" w:rsidRPr="007A5B13" w:rsidTr="007A5B13">
        <w:trPr>
          <w:trHeight w:val="1440"/>
        </w:trPr>
        <w:tc>
          <w:tcPr>
            <w:tcW w:w="9062" w:type="dxa"/>
            <w:tcBorders>
              <w:bottom w:val="single" w:sz="4" w:space="0" w:color="auto"/>
            </w:tcBorders>
          </w:tcPr>
          <w:p w:rsidR="007A5B13" w:rsidRPr="007A5B13" w:rsidRDefault="007A5B13" w:rsidP="00D225C7">
            <w:pPr>
              <w:jc w:val="both"/>
              <w:rPr>
                <w:rFonts w:ascii="Times New Roman" w:hAnsi="Times New Roman" w:cs="Times New Roman"/>
                <w:sz w:val="24"/>
                <w:szCs w:val="24"/>
              </w:rPr>
            </w:pPr>
            <w:r w:rsidRPr="007A5B13">
              <w:rPr>
                <w:rFonts w:ascii="Times New Roman" w:hAnsi="Times New Roman" w:cs="Times New Roman"/>
                <w:sz w:val="24"/>
                <w:szCs w:val="24"/>
              </w:rPr>
              <w:t>Konzultácie sa uskutočnili formou osobných stretnutí v termíne od 21. 1. 2019 do 15. 2. 2019. Následne bolo vykonané aj druhé kolo konzultácií s vybranými účastníkmi v dňoch 15.3.2019 a 18.3.2019.</w:t>
            </w:r>
          </w:p>
          <w:p w:rsidR="007A5B13" w:rsidRPr="007A5B13" w:rsidRDefault="007A5B13" w:rsidP="00D225C7">
            <w:pPr>
              <w:jc w:val="both"/>
              <w:rPr>
                <w:rFonts w:ascii="Times New Roman" w:hAnsi="Times New Roman" w:cs="Times New Roman"/>
                <w:sz w:val="24"/>
                <w:szCs w:val="24"/>
              </w:rPr>
            </w:pPr>
          </w:p>
          <w:p w:rsidR="007A5B13" w:rsidRPr="007A5B13" w:rsidRDefault="007A5B13" w:rsidP="00D225C7">
            <w:pPr>
              <w:jc w:val="both"/>
              <w:rPr>
                <w:rFonts w:ascii="Times New Roman" w:hAnsi="Times New Roman" w:cs="Times New Roman"/>
                <w:sz w:val="24"/>
                <w:szCs w:val="24"/>
              </w:rPr>
            </w:pPr>
            <w:r w:rsidRPr="007A5B13">
              <w:rPr>
                <w:rFonts w:ascii="Times New Roman" w:hAnsi="Times New Roman" w:cs="Times New Roman"/>
                <w:sz w:val="24"/>
                <w:szCs w:val="24"/>
              </w:rPr>
              <w:t>Konzultácií sa zúčastnili:</w:t>
            </w:r>
          </w:p>
          <w:p w:rsidR="007A5B13" w:rsidRPr="007A5B13" w:rsidRDefault="007A5B13" w:rsidP="007A5B13">
            <w:pPr>
              <w:pStyle w:val="Odsekzoznamu"/>
              <w:numPr>
                <w:ilvl w:val="0"/>
                <w:numId w:val="28"/>
              </w:numPr>
              <w:spacing w:after="200" w:line="276" w:lineRule="auto"/>
              <w:jc w:val="both"/>
              <w:rPr>
                <w:rFonts w:ascii="Times New Roman" w:hAnsi="Times New Roman" w:cs="Times New Roman"/>
                <w:b/>
                <w:sz w:val="24"/>
                <w:szCs w:val="24"/>
              </w:rPr>
            </w:pPr>
            <w:r w:rsidRPr="007A5B13">
              <w:rPr>
                <w:rFonts w:ascii="Times New Roman" w:hAnsi="Times New Roman" w:cs="Times New Roman"/>
                <w:b/>
                <w:sz w:val="24"/>
                <w:szCs w:val="24"/>
              </w:rPr>
              <w:t>SKDP</w:t>
            </w:r>
          </w:p>
          <w:p w:rsidR="007A5B13" w:rsidRPr="007A5B13" w:rsidRDefault="007A5B13" w:rsidP="007A5B13">
            <w:pPr>
              <w:pStyle w:val="Odsekzoznamu"/>
              <w:numPr>
                <w:ilvl w:val="0"/>
                <w:numId w:val="28"/>
              </w:numPr>
              <w:spacing w:after="200" w:line="276" w:lineRule="auto"/>
              <w:jc w:val="both"/>
              <w:rPr>
                <w:rFonts w:ascii="Times New Roman" w:hAnsi="Times New Roman" w:cs="Times New Roman"/>
                <w:b/>
                <w:sz w:val="24"/>
                <w:szCs w:val="24"/>
              </w:rPr>
            </w:pPr>
            <w:r w:rsidRPr="007A5B13">
              <w:rPr>
                <w:rFonts w:ascii="Times New Roman" w:hAnsi="Times New Roman" w:cs="Times New Roman"/>
                <w:b/>
                <w:sz w:val="24"/>
                <w:szCs w:val="24"/>
              </w:rPr>
              <w:t>Klub 500</w:t>
            </w:r>
          </w:p>
          <w:p w:rsidR="007A5B13" w:rsidRPr="007A5B13" w:rsidRDefault="007A5B13" w:rsidP="007A5B13">
            <w:pPr>
              <w:pStyle w:val="Odsekzoznamu"/>
              <w:numPr>
                <w:ilvl w:val="0"/>
                <w:numId w:val="28"/>
              </w:numPr>
              <w:spacing w:after="200" w:line="276" w:lineRule="auto"/>
              <w:jc w:val="both"/>
              <w:rPr>
                <w:rFonts w:ascii="Times New Roman" w:hAnsi="Times New Roman" w:cs="Times New Roman"/>
                <w:b/>
                <w:sz w:val="24"/>
                <w:szCs w:val="24"/>
              </w:rPr>
            </w:pPr>
            <w:proofErr w:type="spellStart"/>
            <w:r w:rsidRPr="007A5B13">
              <w:rPr>
                <w:rFonts w:ascii="Times New Roman" w:hAnsi="Times New Roman" w:cs="Times New Roman"/>
                <w:b/>
                <w:sz w:val="24"/>
                <w:szCs w:val="24"/>
              </w:rPr>
              <w:t>Deloitte</w:t>
            </w:r>
            <w:proofErr w:type="spellEnd"/>
            <w:r w:rsidRPr="007A5B13">
              <w:rPr>
                <w:rFonts w:ascii="Times New Roman" w:hAnsi="Times New Roman" w:cs="Times New Roman"/>
                <w:b/>
                <w:sz w:val="24"/>
                <w:szCs w:val="24"/>
              </w:rPr>
              <w:t xml:space="preserve"> </w:t>
            </w:r>
          </w:p>
          <w:p w:rsidR="007A5B13" w:rsidRPr="007A5B13" w:rsidRDefault="007A5B13" w:rsidP="007A5B13">
            <w:pPr>
              <w:pStyle w:val="Odsekzoznamu"/>
              <w:numPr>
                <w:ilvl w:val="0"/>
                <w:numId w:val="28"/>
              </w:numPr>
              <w:spacing w:after="200" w:line="276" w:lineRule="auto"/>
              <w:jc w:val="both"/>
              <w:rPr>
                <w:rFonts w:ascii="Times New Roman" w:hAnsi="Times New Roman" w:cs="Times New Roman"/>
                <w:b/>
                <w:sz w:val="24"/>
                <w:szCs w:val="24"/>
              </w:rPr>
            </w:pPr>
            <w:proofErr w:type="spellStart"/>
            <w:r w:rsidRPr="007A5B13">
              <w:rPr>
                <w:rFonts w:ascii="Times New Roman" w:hAnsi="Times New Roman" w:cs="Times New Roman"/>
                <w:b/>
                <w:sz w:val="24"/>
                <w:szCs w:val="24"/>
              </w:rPr>
              <w:t>Ernst</w:t>
            </w:r>
            <w:proofErr w:type="spellEnd"/>
            <w:r w:rsidRPr="007A5B13">
              <w:rPr>
                <w:rFonts w:ascii="Times New Roman" w:hAnsi="Times New Roman" w:cs="Times New Roman"/>
                <w:b/>
                <w:sz w:val="24"/>
                <w:szCs w:val="24"/>
              </w:rPr>
              <w:t xml:space="preserve"> &amp; </w:t>
            </w:r>
            <w:proofErr w:type="spellStart"/>
            <w:r w:rsidRPr="007A5B13">
              <w:rPr>
                <w:rFonts w:ascii="Times New Roman" w:hAnsi="Times New Roman" w:cs="Times New Roman"/>
                <w:b/>
                <w:sz w:val="24"/>
                <w:szCs w:val="24"/>
              </w:rPr>
              <w:t>Young</w:t>
            </w:r>
            <w:proofErr w:type="spellEnd"/>
          </w:p>
          <w:p w:rsidR="007A5B13" w:rsidRPr="007A5B13" w:rsidRDefault="007A5B13" w:rsidP="007A5B13">
            <w:pPr>
              <w:pStyle w:val="Odsekzoznamu"/>
              <w:numPr>
                <w:ilvl w:val="0"/>
                <w:numId w:val="28"/>
              </w:numPr>
              <w:spacing w:after="200" w:line="276" w:lineRule="auto"/>
              <w:jc w:val="both"/>
              <w:rPr>
                <w:rFonts w:ascii="Times New Roman" w:hAnsi="Times New Roman" w:cs="Times New Roman"/>
                <w:b/>
                <w:sz w:val="24"/>
                <w:szCs w:val="24"/>
              </w:rPr>
            </w:pPr>
            <w:r w:rsidRPr="007A5B13">
              <w:rPr>
                <w:rFonts w:ascii="Times New Roman" w:hAnsi="Times New Roman" w:cs="Times New Roman"/>
                <w:b/>
                <w:sz w:val="24"/>
                <w:szCs w:val="24"/>
              </w:rPr>
              <w:t>PWC</w:t>
            </w:r>
          </w:p>
          <w:p w:rsidR="007A5B13" w:rsidRPr="007A5B13" w:rsidRDefault="007A5B13" w:rsidP="007A5B13">
            <w:pPr>
              <w:pStyle w:val="Odsekzoznamu"/>
              <w:numPr>
                <w:ilvl w:val="0"/>
                <w:numId w:val="28"/>
              </w:numPr>
              <w:spacing w:after="200" w:line="276" w:lineRule="auto"/>
              <w:jc w:val="both"/>
              <w:rPr>
                <w:rFonts w:ascii="Times New Roman" w:hAnsi="Times New Roman" w:cs="Times New Roman"/>
                <w:b/>
                <w:sz w:val="24"/>
                <w:szCs w:val="24"/>
              </w:rPr>
            </w:pPr>
            <w:r w:rsidRPr="007A5B13">
              <w:rPr>
                <w:rFonts w:ascii="Times New Roman" w:hAnsi="Times New Roman" w:cs="Times New Roman"/>
                <w:b/>
                <w:sz w:val="24"/>
                <w:szCs w:val="24"/>
              </w:rPr>
              <w:lastRenderedPageBreak/>
              <w:t>KPMG</w:t>
            </w:r>
          </w:p>
          <w:p w:rsidR="007A5B13" w:rsidRPr="007A5B13" w:rsidRDefault="007A5B13" w:rsidP="007A5B13">
            <w:pPr>
              <w:pStyle w:val="Odsekzoznamu"/>
              <w:numPr>
                <w:ilvl w:val="0"/>
                <w:numId w:val="28"/>
              </w:numPr>
              <w:spacing w:after="200" w:line="276" w:lineRule="auto"/>
              <w:jc w:val="both"/>
              <w:rPr>
                <w:rFonts w:ascii="Times New Roman" w:hAnsi="Times New Roman" w:cs="Times New Roman"/>
                <w:b/>
                <w:sz w:val="24"/>
                <w:szCs w:val="24"/>
              </w:rPr>
            </w:pPr>
            <w:r w:rsidRPr="007A5B13">
              <w:rPr>
                <w:rFonts w:ascii="Times New Roman" w:hAnsi="Times New Roman" w:cs="Times New Roman"/>
                <w:b/>
                <w:sz w:val="24"/>
                <w:szCs w:val="24"/>
              </w:rPr>
              <w:t>AZZZ</w:t>
            </w:r>
          </w:p>
          <w:p w:rsidR="007A5B13" w:rsidRPr="007A5B13" w:rsidRDefault="007A5B13" w:rsidP="007A5B13">
            <w:pPr>
              <w:pStyle w:val="Odsekzoznamu"/>
              <w:numPr>
                <w:ilvl w:val="0"/>
                <w:numId w:val="28"/>
              </w:numPr>
              <w:spacing w:after="200" w:line="276" w:lineRule="auto"/>
              <w:jc w:val="both"/>
              <w:rPr>
                <w:rFonts w:ascii="Times New Roman" w:hAnsi="Times New Roman" w:cs="Times New Roman"/>
                <w:b/>
                <w:sz w:val="24"/>
                <w:szCs w:val="24"/>
              </w:rPr>
            </w:pPr>
            <w:r w:rsidRPr="007A5B13">
              <w:rPr>
                <w:rFonts w:ascii="Times New Roman" w:hAnsi="Times New Roman" w:cs="Times New Roman"/>
                <w:b/>
                <w:sz w:val="24"/>
                <w:szCs w:val="24"/>
              </w:rPr>
              <w:t>RÚZ</w:t>
            </w:r>
          </w:p>
          <w:p w:rsidR="007A5B13" w:rsidRPr="007A5B13" w:rsidRDefault="007A5B13" w:rsidP="007A5B13">
            <w:pPr>
              <w:pStyle w:val="Odsekzoznamu"/>
              <w:numPr>
                <w:ilvl w:val="0"/>
                <w:numId w:val="28"/>
              </w:numPr>
              <w:spacing w:after="200" w:line="276" w:lineRule="auto"/>
              <w:jc w:val="both"/>
              <w:rPr>
                <w:rFonts w:ascii="Times New Roman" w:hAnsi="Times New Roman" w:cs="Times New Roman"/>
                <w:b/>
                <w:sz w:val="24"/>
                <w:szCs w:val="24"/>
              </w:rPr>
            </w:pPr>
            <w:r w:rsidRPr="007A5B13">
              <w:rPr>
                <w:rFonts w:ascii="Times New Roman" w:hAnsi="Times New Roman" w:cs="Times New Roman"/>
                <w:b/>
                <w:sz w:val="24"/>
                <w:szCs w:val="24"/>
              </w:rPr>
              <w:t>INESS - Inštitút ekonomických a spoločenských analýz</w:t>
            </w:r>
          </w:p>
          <w:p w:rsidR="007A5B13" w:rsidRPr="007A5B13" w:rsidRDefault="007A5B13" w:rsidP="007A5B13">
            <w:pPr>
              <w:pStyle w:val="Odsekzoznamu"/>
              <w:numPr>
                <w:ilvl w:val="0"/>
                <w:numId w:val="28"/>
              </w:numPr>
              <w:spacing w:after="200" w:line="276" w:lineRule="auto"/>
              <w:jc w:val="both"/>
              <w:rPr>
                <w:rFonts w:ascii="Times New Roman" w:hAnsi="Times New Roman" w:cs="Times New Roman"/>
                <w:b/>
                <w:sz w:val="24"/>
                <w:szCs w:val="24"/>
              </w:rPr>
            </w:pPr>
            <w:r w:rsidRPr="007A5B13">
              <w:rPr>
                <w:rFonts w:ascii="Times New Roman" w:hAnsi="Times New Roman" w:cs="Times New Roman"/>
                <w:b/>
                <w:sz w:val="24"/>
                <w:szCs w:val="24"/>
              </w:rPr>
              <w:t>SLASPO</w:t>
            </w:r>
          </w:p>
          <w:p w:rsidR="007A5B13" w:rsidRPr="007A5B13" w:rsidRDefault="007A5B13" w:rsidP="007A5B13">
            <w:pPr>
              <w:pStyle w:val="Odsekzoznamu"/>
              <w:numPr>
                <w:ilvl w:val="0"/>
                <w:numId w:val="28"/>
              </w:numPr>
              <w:spacing w:after="200" w:line="276" w:lineRule="auto"/>
              <w:jc w:val="both"/>
              <w:rPr>
                <w:rFonts w:ascii="Times New Roman" w:hAnsi="Times New Roman" w:cs="Times New Roman"/>
                <w:b/>
                <w:sz w:val="24"/>
                <w:szCs w:val="24"/>
              </w:rPr>
            </w:pPr>
            <w:r w:rsidRPr="007A5B13">
              <w:rPr>
                <w:rFonts w:ascii="Times New Roman" w:hAnsi="Times New Roman" w:cs="Times New Roman"/>
                <w:b/>
                <w:sz w:val="24"/>
                <w:szCs w:val="24"/>
              </w:rPr>
              <w:t>SAMP - Slovenská asociácia malých a stredných podnikov a živnostníkov</w:t>
            </w:r>
          </w:p>
          <w:p w:rsidR="007A5B13" w:rsidRPr="007A5B13" w:rsidRDefault="007A5B13" w:rsidP="007A5B13">
            <w:pPr>
              <w:pStyle w:val="Odsekzoznamu"/>
              <w:numPr>
                <w:ilvl w:val="0"/>
                <w:numId w:val="28"/>
              </w:numPr>
              <w:spacing w:after="200" w:line="276" w:lineRule="auto"/>
              <w:jc w:val="both"/>
              <w:rPr>
                <w:rFonts w:ascii="Times New Roman" w:hAnsi="Times New Roman" w:cs="Times New Roman"/>
                <w:b/>
                <w:sz w:val="24"/>
                <w:szCs w:val="24"/>
              </w:rPr>
            </w:pPr>
            <w:r w:rsidRPr="007A5B13">
              <w:rPr>
                <w:rFonts w:ascii="Times New Roman" w:hAnsi="Times New Roman" w:cs="Times New Roman"/>
                <w:b/>
                <w:sz w:val="24"/>
                <w:szCs w:val="24"/>
              </w:rPr>
              <w:t>SŽZ - Slovenský živnostenský zväz</w:t>
            </w:r>
          </w:p>
          <w:p w:rsidR="007A5B13" w:rsidRPr="007A5B13" w:rsidRDefault="007A5B13" w:rsidP="007A5B13">
            <w:pPr>
              <w:pStyle w:val="Odsekzoznamu"/>
              <w:numPr>
                <w:ilvl w:val="0"/>
                <w:numId w:val="28"/>
              </w:numPr>
              <w:spacing w:after="200" w:line="276" w:lineRule="auto"/>
              <w:jc w:val="both"/>
              <w:rPr>
                <w:rFonts w:ascii="Times New Roman" w:hAnsi="Times New Roman" w:cs="Times New Roman"/>
                <w:b/>
                <w:sz w:val="24"/>
                <w:szCs w:val="24"/>
              </w:rPr>
            </w:pPr>
            <w:proofErr w:type="spellStart"/>
            <w:r w:rsidRPr="007A5B13">
              <w:rPr>
                <w:rFonts w:ascii="Times New Roman" w:hAnsi="Times New Roman" w:cs="Times New Roman"/>
                <w:b/>
                <w:sz w:val="24"/>
                <w:szCs w:val="24"/>
              </w:rPr>
              <w:t>AmCham</w:t>
            </w:r>
            <w:proofErr w:type="spellEnd"/>
          </w:p>
          <w:p w:rsidR="007A5B13" w:rsidRPr="007A5B13" w:rsidRDefault="007A5B13" w:rsidP="007A5B13">
            <w:pPr>
              <w:pStyle w:val="Odsekzoznamu"/>
              <w:numPr>
                <w:ilvl w:val="0"/>
                <w:numId w:val="28"/>
              </w:numPr>
              <w:spacing w:after="200" w:line="276" w:lineRule="auto"/>
              <w:jc w:val="both"/>
              <w:rPr>
                <w:rFonts w:ascii="Times New Roman" w:hAnsi="Times New Roman" w:cs="Times New Roman"/>
                <w:b/>
                <w:sz w:val="24"/>
                <w:szCs w:val="24"/>
              </w:rPr>
            </w:pPr>
            <w:r w:rsidRPr="007A5B13">
              <w:rPr>
                <w:rFonts w:ascii="Times New Roman" w:hAnsi="Times New Roman" w:cs="Times New Roman"/>
                <w:b/>
                <w:sz w:val="24"/>
                <w:szCs w:val="24"/>
              </w:rPr>
              <w:t>Slovak Business Agency</w:t>
            </w:r>
          </w:p>
          <w:p w:rsidR="007A5B13" w:rsidRPr="007A5B13" w:rsidRDefault="007A5B13" w:rsidP="007A5B13">
            <w:pPr>
              <w:pStyle w:val="Odsekzoznamu"/>
              <w:numPr>
                <w:ilvl w:val="0"/>
                <w:numId w:val="28"/>
              </w:numPr>
              <w:spacing w:after="200" w:line="276" w:lineRule="auto"/>
              <w:jc w:val="both"/>
              <w:rPr>
                <w:rFonts w:ascii="Times New Roman" w:hAnsi="Times New Roman" w:cs="Times New Roman"/>
                <w:b/>
                <w:sz w:val="24"/>
                <w:szCs w:val="24"/>
              </w:rPr>
            </w:pPr>
            <w:r w:rsidRPr="007A5B13">
              <w:rPr>
                <w:rFonts w:ascii="Times New Roman" w:hAnsi="Times New Roman" w:cs="Times New Roman"/>
                <w:b/>
                <w:sz w:val="24"/>
                <w:szCs w:val="24"/>
              </w:rPr>
              <w:t>APZ - Asociácia priemyselných zväzov</w:t>
            </w:r>
          </w:p>
          <w:p w:rsidR="007A5B13" w:rsidRPr="007A5B13" w:rsidRDefault="007A5B13" w:rsidP="007A5B13">
            <w:pPr>
              <w:pStyle w:val="Odsekzoznamu"/>
              <w:numPr>
                <w:ilvl w:val="0"/>
                <w:numId w:val="28"/>
              </w:numPr>
              <w:spacing w:after="200" w:line="276" w:lineRule="auto"/>
              <w:jc w:val="both"/>
              <w:rPr>
                <w:rFonts w:ascii="Times New Roman" w:hAnsi="Times New Roman" w:cs="Times New Roman"/>
                <w:b/>
                <w:sz w:val="24"/>
                <w:szCs w:val="24"/>
              </w:rPr>
            </w:pPr>
            <w:r w:rsidRPr="007A5B13">
              <w:rPr>
                <w:rFonts w:ascii="Times New Roman" w:hAnsi="Times New Roman" w:cs="Times New Roman"/>
                <w:b/>
                <w:sz w:val="24"/>
                <w:szCs w:val="24"/>
              </w:rPr>
              <w:t xml:space="preserve">Slovenská asociácia podnikových finančníkov </w:t>
            </w:r>
          </w:p>
          <w:p w:rsidR="007A5B13" w:rsidRPr="007A5B13" w:rsidRDefault="007A5B13" w:rsidP="007A5B13">
            <w:pPr>
              <w:pStyle w:val="Odsekzoznamu"/>
              <w:numPr>
                <w:ilvl w:val="0"/>
                <w:numId w:val="28"/>
              </w:numPr>
              <w:spacing w:after="200" w:line="276" w:lineRule="auto"/>
              <w:jc w:val="both"/>
              <w:rPr>
                <w:rFonts w:ascii="Times New Roman" w:hAnsi="Times New Roman" w:cs="Times New Roman"/>
                <w:b/>
                <w:sz w:val="24"/>
                <w:szCs w:val="24"/>
              </w:rPr>
            </w:pPr>
            <w:r w:rsidRPr="007A5B13">
              <w:rPr>
                <w:rFonts w:ascii="Times New Roman" w:hAnsi="Times New Roman" w:cs="Times New Roman"/>
                <w:b/>
                <w:sz w:val="24"/>
                <w:szCs w:val="24"/>
              </w:rPr>
              <w:t>Slovenská poľnohospodárska a potravinárska komora</w:t>
            </w:r>
          </w:p>
          <w:p w:rsidR="007A5B13" w:rsidRPr="007A5B13" w:rsidRDefault="007A5B13" w:rsidP="00D225C7">
            <w:pPr>
              <w:jc w:val="both"/>
              <w:rPr>
                <w:rFonts w:ascii="Times New Roman" w:hAnsi="Times New Roman" w:cs="Times New Roman"/>
                <w:sz w:val="24"/>
                <w:szCs w:val="24"/>
              </w:rPr>
            </w:pPr>
            <w:r w:rsidRPr="007A5B13">
              <w:rPr>
                <w:rFonts w:ascii="Times New Roman" w:hAnsi="Times New Roman" w:cs="Times New Roman"/>
                <w:sz w:val="24"/>
                <w:szCs w:val="24"/>
              </w:rPr>
              <w:t>Zúčastnené subjekty boli informované o pripravovaných zmenách týkajúcich sa zákona č. 595/2003 Z. z. o dani z príjmov v znení neskorších predpisov. Uvedené zmeny vyplývajú aj z analýzy zjednodušenia výpočtu základu dane pre malé a stredné podniky, ktorá bola prerokovaná vládou Slovenskej republiky. Zúčastnené subjekty zároveň predniesli aj pripomienky nad rámec návrhu novely zákona. Tieto pripomienky smerovali k riešeniu problematických oblastí v závislosti od jednotlivých subjektov.</w:t>
            </w:r>
          </w:p>
          <w:p w:rsidR="007A5B13" w:rsidRPr="007A5B13" w:rsidRDefault="007A5B13" w:rsidP="00D225C7">
            <w:pPr>
              <w:jc w:val="both"/>
              <w:rPr>
                <w:rFonts w:ascii="Times New Roman" w:hAnsi="Times New Roman" w:cs="Times New Roman"/>
                <w:sz w:val="24"/>
                <w:szCs w:val="24"/>
              </w:rPr>
            </w:pPr>
          </w:p>
        </w:tc>
      </w:tr>
      <w:tr w:rsidR="007A5B13" w:rsidRPr="007A5B13" w:rsidTr="007A5B13">
        <w:tc>
          <w:tcPr>
            <w:tcW w:w="9062" w:type="dxa"/>
            <w:shd w:val="clear" w:color="auto" w:fill="D9D9D9" w:themeFill="background1" w:themeFillShade="D9"/>
          </w:tcPr>
          <w:p w:rsidR="007A5B13" w:rsidRPr="007A5B13" w:rsidRDefault="007A5B13" w:rsidP="00D225C7">
            <w:pPr>
              <w:rPr>
                <w:rFonts w:ascii="Times New Roman" w:hAnsi="Times New Roman" w:cs="Times New Roman"/>
                <w:b/>
                <w:sz w:val="24"/>
                <w:szCs w:val="24"/>
              </w:rPr>
            </w:pPr>
            <w:r w:rsidRPr="007A5B13">
              <w:rPr>
                <w:rFonts w:ascii="Times New Roman" w:hAnsi="Times New Roman" w:cs="Times New Roman"/>
                <w:b/>
                <w:sz w:val="24"/>
                <w:szCs w:val="24"/>
              </w:rPr>
              <w:lastRenderedPageBreak/>
              <w:t>3.3 Náklady regulácie</w:t>
            </w:r>
          </w:p>
          <w:p w:rsidR="007A5B13" w:rsidRPr="007A5B13" w:rsidRDefault="007A5B13" w:rsidP="00D225C7">
            <w:pPr>
              <w:rPr>
                <w:rFonts w:ascii="Times New Roman" w:hAnsi="Times New Roman" w:cs="Times New Roman"/>
                <w:b/>
                <w:sz w:val="24"/>
                <w:szCs w:val="24"/>
              </w:rPr>
            </w:pPr>
            <w:r w:rsidRPr="007A5B13">
              <w:rPr>
                <w:rFonts w:ascii="Times New Roman" w:hAnsi="Times New Roman" w:cs="Times New Roman"/>
                <w:sz w:val="24"/>
                <w:szCs w:val="24"/>
              </w:rPr>
              <w:t xml:space="preserve">      - </w:t>
            </w:r>
            <w:r w:rsidRPr="007A5B13">
              <w:rPr>
                <w:rFonts w:ascii="Times New Roman" w:hAnsi="Times New Roman" w:cs="Times New Roman"/>
                <w:b/>
                <w:sz w:val="24"/>
                <w:szCs w:val="24"/>
              </w:rPr>
              <w:t>z toho MSP</w:t>
            </w:r>
          </w:p>
        </w:tc>
      </w:tr>
      <w:tr w:rsidR="007A5B13" w:rsidRPr="007A5B13" w:rsidTr="007A5B13">
        <w:tc>
          <w:tcPr>
            <w:tcW w:w="9062" w:type="dxa"/>
            <w:tcBorders>
              <w:bottom w:val="single" w:sz="4" w:space="0" w:color="auto"/>
            </w:tcBorders>
          </w:tcPr>
          <w:p w:rsidR="007A5B13" w:rsidRPr="007A5B13" w:rsidRDefault="007A5B13" w:rsidP="00D225C7">
            <w:pPr>
              <w:rPr>
                <w:rFonts w:ascii="Times New Roman" w:hAnsi="Times New Roman" w:cs="Times New Roman"/>
                <w:b/>
                <w:i/>
                <w:sz w:val="24"/>
                <w:szCs w:val="24"/>
              </w:rPr>
            </w:pPr>
            <w:r w:rsidRPr="007A5B13">
              <w:rPr>
                <w:rFonts w:ascii="Times New Roman" w:hAnsi="Times New Roman" w:cs="Times New Roman"/>
                <w:b/>
                <w:i/>
                <w:sz w:val="24"/>
                <w:szCs w:val="24"/>
              </w:rPr>
              <w:t>3.3.1 Priame finančné náklady</w:t>
            </w:r>
          </w:p>
          <w:p w:rsidR="007A5B13" w:rsidRPr="007A5B13" w:rsidRDefault="007A5B13" w:rsidP="00D225C7">
            <w:pPr>
              <w:rPr>
                <w:rFonts w:ascii="Times New Roman" w:hAnsi="Times New Roman" w:cs="Times New Roman"/>
                <w:i/>
                <w:sz w:val="24"/>
                <w:szCs w:val="24"/>
              </w:rPr>
            </w:pPr>
            <w:r w:rsidRPr="007A5B13">
              <w:rPr>
                <w:rFonts w:ascii="Times New Roman" w:hAnsi="Times New Roman" w:cs="Times New Roman"/>
                <w:i/>
                <w:sz w:val="24"/>
                <w:szCs w:val="24"/>
              </w:rPr>
              <w:t xml:space="preserve">Dochádza k zvýšeniu/zníženiu priamych finančných nákladov (poplatky, odvody, dane clá...)? Ak áno, popíšte a vyčíslite ich. Uveďte tiež spôsob ich výpočtu. </w:t>
            </w:r>
          </w:p>
        </w:tc>
      </w:tr>
      <w:tr w:rsidR="007A5B13" w:rsidRPr="007A5B13" w:rsidTr="007A5B13">
        <w:tc>
          <w:tcPr>
            <w:tcW w:w="9062" w:type="dxa"/>
            <w:tcBorders>
              <w:bottom w:val="single" w:sz="4" w:space="0" w:color="auto"/>
            </w:tcBorders>
          </w:tcPr>
          <w:p w:rsidR="007A5B13" w:rsidRPr="007A5B13" w:rsidRDefault="007A5B13" w:rsidP="00D225C7">
            <w:pPr>
              <w:rPr>
                <w:rFonts w:ascii="Times New Roman" w:hAnsi="Times New Roman" w:cs="Times New Roman"/>
                <w:b/>
                <w:i/>
                <w:sz w:val="24"/>
                <w:szCs w:val="24"/>
              </w:rPr>
            </w:pPr>
          </w:p>
          <w:p w:rsidR="007A5B13" w:rsidRPr="007A5B13" w:rsidRDefault="007A5B13" w:rsidP="00D225C7">
            <w:pPr>
              <w:rPr>
                <w:rFonts w:ascii="Times New Roman" w:hAnsi="Times New Roman" w:cs="Times New Roman"/>
                <w:b/>
                <w:sz w:val="24"/>
                <w:szCs w:val="24"/>
              </w:rPr>
            </w:pPr>
            <w:r w:rsidRPr="007A5B13">
              <w:rPr>
                <w:rFonts w:ascii="Times New Roman" w:hAnsi="Times New Roman" w:cs="Times New Roman"/>
                <w:b/>
                <w:sz w:val="24"/>
                <w:szCs w:val="24"/>
              </w:rPr>
              <w:t>Predpokladá sa zníženie priamych finančných nákladov v súvislosti so:</w:t>
            </w:r>
          </w:p>
          <w:p w:rsidR="007A5B13" w:rsidRPr="007A5B13" w:rsidRDefault="007A5B13" w:rsidP="00D225C7">
            <w:pPr>
              <w:rPr>
                <w:rFonts w:ascii="Times New Roman" w:hAnsi="Times New Roman" w:cs="Times New Roman"/>
                <w:b/>
                <w:sz w:val="24"/>
                <w:szCs w:val="24"/>
              </w:rPr>
            </w:pPr>
          </w:p>
          <w:p w:rsidR="007A5B13" w:rsidRPr="007A5B13" w:rsidRDefault="007A5B13" w:rsidP="007A5B13">
            <w:pPr>
              <w:pStyle w:val="Odsekzoznamu"/>
              <w:numPr>
                <w:ilvl w:val="0"/>
                <w:numId w:val="27"/>
              </w:numPr>
              <w:ind w:left="312" w:hanging="357"/>
              <w:rPr>
                <w:rFonts w:ascii="Times New Roman" w:hAnsi="Times New Roman" w:cs="Times New Roman"/>
                <w:b/>
                <w:sz w:val="24"/>
                <w:szCs w:val="24"/>
              </w:rPr>
            </w:pPr>
            <w:r w:rsidRPr="007A5B13">
              <w:rPr>
                <w:rFonts w:ascii="Times New Roman" w:hAnsi="Times New Roman" w:cs="Times New Roman"/>
                <w:b/>
                <w:sz w:val="24"/>
                <w:szCs w:val="24"/>
              </w:rPr>
              <w:t xml:space="preserve">zavedením osobitného daňového režimu u </w:t>
            </w:r>
            <w:proofErr w:type="spellStart"/>
            <w:r w:rsidRPr="007A5B13">
              <w:rPr>
                <w:rFonts w:ascii="Times New Roman" w:hAnsi="Times New Roman" w:cs="Times New Roman"/>
                <w:b/>
                <w:sz w:val="24"/>
                <w:szCs w:val="24"/>
              </w:rPr>
              <w:t>mikrodaňovníkov</w:t>
            </w:r>
            <w:proofErr w:type="spellEnd"/>
            <w:r w:rsidRPr="007A5B13">
              <w:rPr>
                <w:rFonts w:ascii="Times New Roman" w:hAnsi="Times New Roman" w:cs="Times New Roman"/>
                <w:b/>
                <w:sz w:val="24"/>
                <w:szCs w:val="24"/>
              </w:rPr>
              <w:t xml:space="preserve"> spĺňajúcich podmienky podľa zákona o dani z príjmov v oblasti odpisov majetku, opravných položiek, odpočítania daňovej straty</w:t>
            </w:r>
          </w:p>
          <w:p w:rsidR="007A5B13" w:rsidRPr="007A5B13" w:rsidRDefault="007A5B13" w:rsidP="007A5B13">
            <w:pPr>
              <w:pStyle w:val="Odsekzoznamu"/>
              <w:numPr>
                <w:ilvl w:val="0"/>
                <w:numId w:val="27"/>
              </w:numPr>
              <w:ind w:left="312" w:hanging="357"/>
              <w:rPr>
                <w:rFonts w:ascii="Times New Roman" w:hAnsi="Times New Roman" w:cs="Times New Roman"/>
                <w:b/>
                <w:sz w:val="24"/>
                <w:szCs w:val="24"/>
              </w:rPr>
            </w:pPr>
            <w:r w:rsidRPr="007A5B13">
              <w:rPr>
                <w:rFonts w:ascii="Times New Roman" w:hAnsi="Times New Roman" w:cs="Times New Roman"/>
                <w:b/>
                <w:sz w:val="24"/>
                <w:szCs w:val="24"/>
              </w:rPr>
              <w:t>zjednodušením tvorby opravnej položky k pohľadávke a uplatnením daňového výdavku pri odpise a postúpení pohľadávky vzhľadom na nepremlčanie pohľadávky</w:t>
            </w:r>
          </w:p>
          <w:p w:rsidR="007A5B13" w:rsidRPr="007A5B13" w:rsidRDefault="007A5B13" w:rsidP="007A5B13">
            <w:pPr>
              <w:pStyle w:val="Odsekzoznamu"/>
              <w:numPr>
                <w:ilvl w:val="0"/>
                <w:numId w:val="27"/>
              </w:numPr>
              <w:ind w:left="312" w:hanging="357"/>
              <w:rPr>
                <w:rFonts w:ascii="Times New Roman" w:hAnsi="Times New Roman" w:cs="Times New Roman"/>
                <w:b/>
                <w:sz w:val="24"/>
                <w:szCs w:val="24"/>
              </w:rPr>
            </w:pPr>
            <w:r w:rsidRPr="007A5B13">
              <w:rPr>
                <w:rFonts w:ascii="Times New Roman" w:hAnsi="Times New Roman" w:cs="Times New Roman"/>
                <w:b/>
                <w:sz w:val="24"/>
                <w:szCs w:val="24"/>
              </w:rPr>
              <w:t>zvýhodnením odpočtu daňovej straty</w:t>
            </w:r>
          </w:p>
          <w:p w:rsidR="007A5B13" w:rsidRPr="007A5B13" w:rsidRDefault="007A5B13" w:rsidP="007A5B13">
            <w:pPr>
              <w:pStyle w:val="Odsekzoznamu"/>
              <w:numPr>
                <w:ilvl w:val="0"/>
                <w:numId w:val="27"/>
              </w:numPr>
              <w:ind w:left="312" w:hanging="357"/>
              <w:rPr>
                <w:rFonts w:ascii="Times New Roman" w:hAnsi="Times New Roman" w:cs="Times New Roman"/>
                <w:b/>
                <w:sz w:val="24"/>
                <w:szCs w:val="24"/>
              </w:rPr>
            </w:pPr>
            <w:r w:rsidRPr="007A5B13">
              <w:rPr>
                <w:rFonts w:ascii="Times New Roman" w:hAnsi="Times New Roman" w:cs="Times New Roman"/>
                <w:b/>
                <w:sz w:val="24"/>
                <w:szCs w:val="24"/>
              </w:rPr>
              <w:t>zavedením novej odpisovej skupiny pre elektromobily</w:t>
            </w:r>
          </w:p>
          <w:p w:rsidR="007A5B13" w:rsidRPr="007A5B13" w:rsidRDefault="007A5B13" w:rsidP="007A5B13">
            <w:pPr>
              <w:pStyle w:val="Odsekzoznamu"/>
              <w:numPr>
                <w:ilvl w:val="0"/>
                <w:numId w:val="27"/>
              </w:numPr>
              <w:ind w:left="312" w:hanging="357"/>
              <w:rPr>
                <w:rFonts w:ascii="Times New Roman" w:hAnsi="Times New Roman" w:cs="Times New Roman"/>
                <w:b/>
                <w:sz w:val="24"/>
                <w:szCs w:val="24"/>
              </w:rPr>
            </w:pPr>
            <w:r w:rsidRPr="007A5B13">
              <w:rPr>
                <w:rFonts w:ascii="Times New Roman" w:hAnsi="Times New Roman" w:cs="Times New Roman"/>
                <w:b/>
                <w:sz w:val="24"/>
                <w:szCs w:val="24"/>
              </w:rPr>
              <w:t>zvýšením hranice pre platenie preddavkov na daň z príjmov</w:t>
            </w:r>
          </w:p>
          <w:p w:rsidR="007A5B13" w:rsidRPr="007A5B13" w:rsidRDefault="007A5B13" w:rsidP="007A5B13">
            <w:pPr>
              <w:pStyle w:val="Odsekzoznamu"/>
              <w:numPr>
                <w:ilvl w:val="0"/>
                <w:numId w:val="27"/>
              </w:numPr>
              <w:ind w:left="312" w:hanging="357"/>
              <w:rPr>
                <w:rFonts w:ascii="Times New Roman" w:hAnsi="Times New Roman" w:cs="Times New Roman"/>
                <w:b/>
                <w:sz w:val="24"/>
                <w:szCs w:val="24"/>
              </w:rPr>
            </w:pPr>
            <w:r w:rsidRPr="007A5B13">
              <w:rPr>
                <w:rFonts w:ascii="Times New Roman" w:hAnsi="Times New Roman" w:cs="Times New Roman"/>
                <w:b/>
                <w:sz w:val="24"/>
                <w:szCs w:val="24"/>
              </w:rPr>
              <w:t>zvýšením % odpočtu výdavkov (nákladov) vynaložených na výskum a vývoj</w:t>
            </w:r>
          </w:p>
          <w:p w:rsidR="007A5B13" w:rsidRPr="007A5B13" w:rsidRDefault="007A5B13" w:rsidP="007A5B13">
            <w:pPr>
              <w:pStyle w:val="Odsekzoznamu"/>
              <w:numPr>
                <w:ilvl w:val="0"/>
                <w:numId w:val="27"/>
              </w:numPr>
              <w:ind w:left="312" w:hanging="357"/>
              <w:rPr>
                <w:rFonts w:ascii="Times New Roman" w:hAnsi="Times New Roman" w:cs="Times New Roman"/>
                <w:b/>
                <w:sz w:val="24"/>
                <w:szCs w:val="24"/>
              </w:rPr>
            </w:pPr>
            <w:r w:rsidRPr="007A5B13">
              <w:rPr>
                <w:rFonts w:ascii="Times New Roman" w:hAnsi="Times New Roman" w:cs="Times New Roman"/>
                <w:b/>
                <w:sz w:val="24"/>
                <w:szCs w:val="24"/>
              </w:rPr>
              <w:t>zavedením oslobodenia príjmu z predaja akcií jednoduchej spoločnosti na akcie</w:t>
            </w:r>
          </w:p>
          <w:p w:rsidR="007A5B13" w:rsidRPr="007A5B13" w:rsidRDefault="007A5B13" w:rsidP="007A5B13">
            <w:pPr>
              <w:pStyle w:val="Odsekzoznamu"/>
              <w:numPr>
                <w:ilvl w:val="0"/>
                <w:numId w:val="27"/>
              </w:numPr>
              <w:ind w:left="312" w:hanging="357"/>
              <w:rPr>
                <w:rFonts w:ascii="Times New Roman" w:hAnsi="Times New Roman" w:cs="Times New Roman"/>
                <w:b/>
                <w:sz w:val="24"/>
                <w:szCs w:val="24"/>
              </w:rPr>
            </w:pPr>
            <w:r w:rsidRPr="007A5B13">
              <w:rPr>
                <w:rFonts w:ascii="Times New Roman" w:hAnsi="Times New Roman" w:cs="Times New Roman"/>
                <w:b/>
                <w:sz w:val="24"/>
                <w:szCs w:val="24"/>
              </w:rPr>
              <w:t>znížením administratívnej náročnosti pri registrácii na daň z príjmov od roku 2021 a pri doručovaní dokladov zamestnávateľmi elektronickými prostriedkami</w:t>
            </w:r>
          </w:p>
          <w:p w:rsidR="007A5B13" w:rsidRPr="007A5B13" w:rsidRDefault="007A5B13" w:rsidP="00D225C7">
            <w:pPr>
              <w:rPr>
                <w:rFonts w:ascii="Times New Roman" w:hAnsi="Times New Roman" w:cs="Times New Roman"/>
                <w:b/>
                <w:sz w:val="24"/>
                <w:szCs w:val="24"/>
              </w:rPr>
            </w:pPr>
          </w:p>
          <w:p w:rsidR="007A5B13" w:rsidRPr="007A5B13" w:rsidRDefault="007A5B13" w:rsidP="00D225C7">
            <w:pPr>
              <w:jc w:val="both"/>
              <w:rPr>
                <w:rFonts w:ascii="Times New Roman" w:hAnsi="Times New Roman" w:cs="Times New Roman"/>
                <w:b/>
                <w:sz w:val="24"/>
                <w:szCs w:val="24"/>
              </w:rPr>
            </w:pPr>
            <w:r w:rsidRPr="007A5B13">
              <w:rPr>
                <w:rFonts w:ascii="Times New Roman" w:hAnsi="Times New Roman" w:cs="Times New Roman"/>
                <w:b/>
                <w:sz w:val="24"/>
                <w:szCs w:val="24"/>
              </w:rPr>
              <w:t>Negatívny vplyv sa očakáva z dôvodu zavedenia opatrenia proti hybridným nesúladom. Vplyv zavedenia opatrenia pre hybridné nesúlady nie je možné vyčísliť.</w:t>
            </w:r>
          </w:p>
          <w:p w:rsidR="007A5B13" w:rsidRPr="007A5B13" w:rsidRDefault="007A5B13" w:rsidP="00D225C7">
            <w:pPr>
              <w:jc w:val="both"/>
              <w:rPr>
                <w:rFonts w:ascii="Times New Roman" w:hAnsi="Times New Roman" w:cs="Times New Roman"/>
                <w:b/>
                <w:sz w:val="24"/>
                <w:szCs w:val="24"/>
              </w:rPr>
            </w:pPr>
          </w:p>
          <w:p w:rsidR="007A5B13" w:rsidRPr="007A5B13" w:rsidRDefault="007A5B13" w:rsidP="00D225C7">
            <w:pPr>
              <w:jc w:val="both"/>
              <w:rPr>
                <w:rFonts w:ascii="Times New Roman" w:hAnsi="Times New Roman" w:cs="Times New Roman"/>
                <w:b/>
                <w:sz w:val="24"/>
                <w:szCs w:val="24"/>
              </w:rPr>
            </w:pPr>
            <w:r w:rsidRPr="007A5B13">
              <w:rPr>
                <w:rFonts w:ascii="Times New Roman" w:hAnsi="Times New Roman" w:cs="Times New Roman"/>
                <w:b/>
                <w:sz w:val="24"/>
                <w:szCs w:val="24"/>
              </w:rPr>
              <w:t>Kvantifikácia zníženia/zvýšenia priamych finančných nákladov je odvodená z fiškálnych vplyvov uvedených v analýze vplyvov na rozpočet verejnej správy, na zamestnanosť vo verejnej správe a financovanie návrhu. Konkrétne:</w:t>
            </w:r>
          </w:p>
          <w:p w:rsidR="007A5B13" w:rsidRPr="007A5B13" w:rsidRDefault="007A5B13" w:rsidP="00D225C7">
            <w:pPr>
              <w:rPr>
                <w:rFonts w:ascii="Times New Roman" w:hAnsi="Times New Roman" w:cs="Times New Roman"/>
                <w:b/>
                <w:i/>
                <w:sz w:val="24"/>
                <w:szCs w:val="24"/>
              </w:rPr>
            </w:pPr>
          </w:p>
          <w:p w:rsidR="007A5B13" w:rsidRPr="007A5B13" w:rsidRDefault="007A5B13" w:rsidP="007A5B13">
            <w:pPr>
              <w:pStyle w:val="Odsekzoznamu"/>
              <w:numPr>
                <w:ilvl w:val="0"/>
                <w:numId w:val="27"/>
              </w:numPr>
              <w:spacing w:after="200" w:line="276" w:lineRule="auto"/>
              <w:ind w:left="454"/>
              <w:jc w:val="both"/>
              <w:rPr>
                <w:rFonts w:ascii="Times New Roman" w:eastAsia="Times New Roman" w:hAnsi="Times New Roman" w:cs="Times New Roman"/>
                <w:b/>
                <w:sz w:val="24"/>
                <w:szCs w:val="24"/>
                <w:lang w:eastAsia="sk-SK"/>
              </w:rPr>
            </w:pPr>
            <w:r w:rsidRPr="007A5B13">
              <w:rPr>
                <w:rFonts w:ascii="Times New Roman" w:eastAsia="Times New Roman" w:hAnsi="Times New Roman" w:cs="Times New Roman"/>
                <w:b/>
                <w:sz w:val="24"/>
                <w:szCs w:val="24"/>
                <w:lang w:eastAsia="sk-SK"/>
              </w:rPr>
              <w:lastRenderedPageBreak/>
              <w:t xml:space="preserve">zníženie priamych finančných nákladov pre </w:t>
            </w:r>
            <w:proofErr w:type="spellStart"/>
            <w:r w:rsidRPr="007A5B13">
              <w:rPr>
                <w:rFonts w:ascii="Times New Roman" w:eastAsia="Times New Roman" w:hAnsi="Times New Roman" w:cs="Times New Roman"/>
                <w:b/>
                <w:sz w:val="24"/>
                <w:szCs w:val="24"/>
                <w:lang w:eastAsia="sk-SK"/>
              </w:rPr>
              <w:t>mikrodaňovníkov</w:t>
            </w:r>
            <w:proofErr w:type="spellEnd"/>
            <w:r w:rsidRPr="007A5B13">
              <w:rPr>
                <w:rFonts w:ascii="Times New Roman" w:eastAsia="Times New Roman" w:hAnsi="Times New Roman" w:cs="Times New Roman"/>
                <w:b/>
                <w:sz w:val="24"/>
                <w:szCs w:val="24"/>
                <w:lang w:eastAsia="sk-SK"/>
              </w:rPr>
              <w:t xml:space="preserve"> vychádza z priamej finančnej úspory z titulu uvoľnenie odpočtu daňovej straty, uvoľnenie odpisu hmotného majetku a zavedenie možnosti tvorby daňových opravných položiek v súlade s účtovníctvom. Celkový objem úspory priamych finančných nákladov odhadujeme v objeme -16 mil. eur v roku 2021 a -20 mil. eur v roku 2022. V priemere na jedného </w:t>
            </w:r>
            <w:proofErr w:type="spellStart"/>
            <w:r w:rsidRPr="007A5B13">
              <w:rPr>
                <w:rFonts w:ascii="Times New Roman" w:eastAsia="Times New Roman" w:hAnsi="Times New Roman" w:cs="Times New Roman"/>
                <w:b/>
                <w:sz w:val="24"/>
                <w:szCs w:val="24"/>
                <w:lang w:eastAsia="sk-SK"/>
              </w:rPr>
              <w:t>mikrodaňovníka</w:t>
            </w:r>
            <w:proofErr w:type="spellEnd"/>
            <w:r w:rsidRPr="007A5B13">
              <w:rPr>
                <w:rFonts w:ascii="Times New Roman" w:eastAsia="Times New Roman" w:hAnsi="Times New Roman" w:cs="Times New Roman"/>
                <w:b/>
                <w:sz w:val="24"/>
                <w:szCs w:val="24"/>
                <w:lang w:eastAsia="sk-SK"/>
              </w:rPr>
              <w:t xml:space="preserve"> ide o zníženie priamych finančných nákladov o -110 až -135 eur v rokoch 2021 a 2022.</w:t>
            </w:r>
          </w:p>
          <w:p w:rsidR="007A5B13" w:rsidRPr="007A5B13" w:rsidRDefault="007A5B13" w:rsidP="007A5B13">
            <w:pPr>
              <w:pStyle w:val="Odsekzoznamu"/>
              <w:numPr>
                <w:ilvl w:val="0"/>
                <w:numId w:val="27"/>
              </w:numPr>
              <w:ind w:left="453" w:hanging="357"/>
              <w:jc w:val="both"/>
              <w:rPr>
                <w:rFonts w:ascii="Times New Roman" w:eastAsia="Times New Roman" w:hAnsi="Times New Roman" w:cs="Times New Roman"/>
                <w:b/>
                <w:sz w:val="24"/>
                <w:szCs w:val="24"/>
                <w:lang w:eastAsia="sk-SK"/>
              </w:rPr>
            </w:pPr>
            <w:r w:rsidRPr="007A5B13">
              <w:rPr>
                <w:rFonts w:ascii="Times New Roman" w:eastAsia="Times New Roman" w:hAnsi="Times New Roman" w:cs="Times New Roman"/>
                <w:b/>
                <w:sz w:val="24"/>
                <w:szCs w:val="24"/>
                <w:lang w:eastAsia="sk-SK"/>
              </w:rPr>
              <w:t xml:space="preserve">zvýšenie priamych finančných nákladov je spojené s úpravou odpočtu daňovej straty pre daňovníkov, ktorí nespĺňajú definíciu </w:t>
            </w:r>
            <w:proofErr w:type="spellStart"/>
            <w:r w:rsidRPr="007A5B13">
              <w:rPr>
                <w:rFonts w:ascii="Times New Roman" w:eastAsia="Times New Roman" w:hAnsi="Times New Roman" w:cs="Times New Roman"/>
                <w:b/>
                <w:sz w:val="24"/>
                <w:szCs w:val="24"/>
                <w:lang w:eastAsia="sk-SK"/>
              </w:rPr>
              <w:t>mikrodaňovníka</w:t>
            </w:r>
            <w:proofErr w:type="spellEnd"/>
            <w:r w:rsidRPr="007A5B13">
              <w:rPr>
                <w:rFonts w:ascii="Times New Roman" w:eastAsia="Times New Roman" w:hAnsi="Times New Roman" w:cs="Times New Roman"/>
                <w:b/>
                <w:sz w:val="24"/>
                <w:szCs w:val="24"/>
                <w:lang w:eastAsia="sk-SK"/>
              </w:rPr>
              <w:t xml:space="preserve">. V roku 2021 sa odhaduje zvýšenie priamych finančných nákladov o 36 mil. eur. Naopak zníženie priamych finančných nákladov prinášajú výhodnejšie odpisy elektromobilov a zvýšenie odpočtu na vedu a výskum v objeme -30 mil. eur v roku 2021. U oboch opatrení znižujúcich priame finančné náklady sa predpokladá ich využitie najmä u väčších firiem nespadajúcich pod definíciu </w:t>
            </w:r>
            <w:proofErr w:type="spellStart"/>
            <w:r w:rsidRPr="007A5B13">
              <w:rPr>
                <w:rFonts w:ascii="Times New Roman" w:eastAsia="Times New Roman" w:hAnsi="Times New Roman" w:cs="Times New Roman"/>
                <w:b/>
                <w:sz w:val="24"/>
                <w:szCs w:val="24"/>
                <w:lang w:eastAsia="sk-SK"/>
              </w:rPr>
              <w:t>mikrodaňovníka</w:t>
            </w:r>
            <w:proofErr w:type="spellEnd"/>
            <w:r w:rsidRPr="007A5B13">
              <w:rPr>
                <w:rFonts w:ascii="Times New Roman" w:eastAsia="Times New Roman" w:hAnsi="Times New Roman" w:cs="Times New Roman"/>
                <w:b/>
                <w:sz w:val="24"/>
                <w:szCs w:val="24"/>
                <w:lang w:eastAsia="sk-SK"/>
              </w:rPr>
              <w:t xml:space="preserve">. Priemerné saldo týchto opatrení na 1 daňovníka zvyšuje priame finančné náklady o +67 eur na jedného daňovníka (nie </w:t>
            </w:r>
            <w:proofErr w:type="spellStart"/>
            <w:r w:rsidRPr="007A5B13">
              <w:rPr>
                <w:rFonts w:ascii="Times New Roman" w:eastAsia="Times New Roman" w:hAnsi="Times New Roman" w:cs="Times New Roman"/>
                <w:b/>
                <w:sz w:val="24"/>
                <w:szCs w:val="24"/>
                <w:lang w:eastAsia="sk-SK"/>
              </w:rPr>
              <w:t>mikrodaňovníka</w:t>
            </w:r>
            <w:proofErr w:type="spellEnd"/>
            <w:r w:rsidRPr="007A5B13">
              <w:rPr>
                <w:rFonts w:ascii="Times New Roman" w:eastAsia="Times New Roman" w:hAnsi="Times New Roman" w:cs="Times New Roman"/>
                <w:b/>
                <w:sz w:val="24"/>
                <w:szCs w:val="24"/>
                <w:lang w:eastAsia="sk-SK"/>
              </w:rPr>
              <w:t>).</w:t>
            </w:r>
          </w:p>
          <w:p w:rsidR="007A5B13" w:rsidRPr="007A5B13" w:rsidRDefault="007A5B13" w:rsidP="00D225C7">
            <w:pPr>
              <w:rPr>
                <w:rFonts w:ascii="Times New Roman" w:hAnsi="Times New Roman" w:cs="Times New Roman"/>
                <w:b/>
                <w:i/>
                <w:sz w:val="24"/>
                <w:szCs w:val="24"/>
              </w:rPr>
            </w:pPr>
          </w:p>
        </w:tc>
      </w:tr>
      <w:tr w:rsidR="007A5B13" w:rsidRPr="007A5B13" w:rsidTr="007A5B13">
        <w:tc>
          <w:tcPr>
            <w:tcW w:w="9062" w:type="dxa"/>
            <w:tcBorders>
              <w:bottom w:val="single" w:sz="4" w:space="0" w:color="auto"/>
            </w:tcBorders>
          </w:tcPr>
          <w:p w:rsidR="007A5B13" w:rsidRPr="007A5B13" w:rsidRDefault="007A5B13" w:rsidP="00D225C7">
            <w:pPr>
              <w:rPr>
                <w:rFonts w:ascii="Times New Roman" w:hAnsi="Times New Roman" w:cs="Times New Roman"/>
                <w:b/>
                <w:i/>
                <w:sz w:val="24"/>
                <w:szCs w:val="24"/>
              </w:rPr>
            </w:pPr>
            <w:r w:rsidRPr="007A5B13">
              <w:rPr>
                <w:rFonts w:ascii="Times New Roman" w:hAnsi="Times New Roman" w:cs="Times New Roman"/>
                <w:b/>
                <w:i/>
                <w:sz w:val="24"/>
                <w:szCs w:val="24"/>
              </w:rPr>
              <w:lastRenderedPageBreak/>
              <w:t>3.3.2 Nepriame finančné náklady</w:t>
            </w:r>
          </w:p>
          <w:p w:rsidR="007A5B13" w:rsidRPr="007A5B13" w:rsidRDefault="007A5B13" w:rsidP="00D225C7">
            <w:pPr>
              <w:rPr>
                <w:rFonts w:ascii="Times New Roman" w:hAnsi="Times New Roman" w:cs="Times New Roman"/>
                <w:i/>
                <w:sz w:val="24"/>
                <w:szCs w:val="24"/>
              </w:rPr>
            </w:pPr>
            <w:r w:rsidRPr="007A5B13">
              <w:rPr>
                <w:rFonts w:ascii="Times New Roman" w:hAnsi="Times New Roman" w:cs="Times New Roman"/>
                <w:i/>
                <w:sz w:val="24"/>
                <w:szCs w:val="24"/>
              </w:rPr>
              <w:t>Vyžaduje si predkladaný návrh dodatočné náklady na nákup tovarov alebo služieb? Zvyšuje predkladaný návrh náklady súvisiace so zamestnávaním? Ak áno, popíšte a vyčíslite ich. Uveďte tiež spôsob ich výpočtu.</w:t>
            </w:r>
          </w:p>
        </w:tc>
      </w:tr>
      <w:tr w:rsidR="007A5B13" w:rsidRPr="007A5B13" w:rsidTr="007A5B13">
        <w:tc>
          <w:tcPr>
            <w:tcW w:w="9062" w:type="dxa"/>
            <w:tcBorders>
              <w:bottom w:val="single" w:sz="4" w:space="0" w:color="auto"/>
            </w:tcBorders>
          </w:tcPr>
          <w:p w:rsidR="007A5B13" w:rsidRPr="007A5B13" w:rsidRDefault="007A5B13" w:rsidP="00D225C7">
            <w:pPr>
              <w:rPr>
                <w:rFonts w:ascii="Times New Roman" w:hAnsi="Times New Roman" w:cs="Times New Roman"/>
                <w:b/>
                <w:i/>
                <w:sz w:val="24"/>
                <w:szCs w:val="24"/>
              </w:rPr>
            </w:pPr>
          </w:p>
          <w:p w:rsidR="007A5B13" w:rsidRPr="007A5B13" w:rsidRDefault="007A5B13" w:rsidP="00D225C7">
            <w:pPr>
              <w:rPr>
                <w:rFonts w:ascii="Times New Roman" w:hAnsi="Times New Roman" w:cs="Times New Roman"/>
                <w:b/>
                <w:sz w:val="24"/>
                <w:szCs w:val="24"/>
              </w:rPr>
            </w:pPr>
            <w:r w:rsidRPr="007A5B13">
              <w:rPr>
                <w:rFonts w:ascii="Times New Roman" w:hAnsi="Times New Roman" w:cs="Times New Roman"/>
                <w:b/>
                <w:sz w:val="24"/>
                <w:szCs w:val="24"/>
              </w:rPr>
              <w:t xml:space="preserve">Predloženými návrhmi dôjde k vzniku nepriamych nákladov zo strany podnikateľov z dôvodu možnej potreby úpravy softvérov vyžívaných pri výpočte daňových povinností . </w:t>
            </w:r>
          </w:p>
          <w:p w:rsidR="007A5B13" w:rsidRPr="007A5B13" w:rsidRDefault="007A5B13" w:rsidP="00D225C7">
            <w:pPr>
              <w:rPr>
                <w:rFonts w:ascii="Times New Roman" w:hAnsi="Times New Roman" w:cs="Times New Roman"/>
                <w:b/>
                <w:sz w:val="24"/>
                <w:szCs w:val="24"/>
              </w:rPr>
            </w:pPr>
            <w:r w:rsidRPr="007A5B13">
              <w:rPr>
                <w:rFonts w:ascii="Times New Roman" w:hAnsi="Times New Roman" w:cs="Times New Roman"/>
                <w:b/>
                <w:sz w:val="24"/>
                <w:szCs w:val="24"/>
              </w:rPr>
              <w:t>Predkladaný návrh nezvyšuje náklady súvisiace so zamestnávaním.</w:t>
            </w:r>
          </w:p>
          <w:p w:rsidR="007A5B13" w:rsidRPr="007A5B13" w:rsidRDefault="007A5B13" w:rsidP="00D225C7">
            <w:pPr>
              <w:rPr>
                <w:rFonts w:ascii="Times New Roman" w:hAnsi="Times New Roman" w:cs="Times New Roman"/>
                <w:b/>
                <w:sz w:val="24"/>
                <w:szCs w:val="24"/>
              </w:rPr>
            </w:pPr>
          </w:p>
          <w:p w:rsidR="007A5B13" w:rsidRPr="007A5B13" w:rsidRDefault="007A5B13" w:rsidP="00D225C7">
            <w:pPr>
              <w:rPr>
                <w:rFonts w:ascii="Times New Roman" w:hAnsi="Times New Roman" w:cs="Times New Roman"/>
                <w:b/>
                <w:i/>
                <w:sz w:val="24"/>
                <w:szCs w:val="24"/>
              </w:rPr>
            </w:pPr>
          </w:p>
          <w:p w:rsidR="007A5B13" w:rsidRPr="007A5B13" w:rsidRDefault="007A5B13" w:rsidP="00D225C7">
            <w:pPr>
              <w:rPr>
                <w:rFonts w:ascii="Times New Roman" w:hAnsi="Times New Roman" w:cs="Times New Roman"/>
                <w:b/>
                <w:i/>
                <w:sz w:val="24"/>
                <w:szCs w:val="24"/>
              </w:rPr>
            </w:pPr>
          </w:p>
        </w:tc>
      </w:tr>
      <w:tr w:rsidR="007A5B13" w:rsidRPr="007A5B13" w:rsidTr="007A5B13">
        <w:tc>
          <w:tcPr>
            <w:tcW w:w="9062" w:type="dxa"/>
            <w:tcBorders>
              <w:bottom w:val="single" w:sz="4" w:space="0" w:color="auto"/>
            </w:tcBorders>
          </w:tcPr>
          <w:p w:rsidR="007A5B13" w:rsidRPr="007A5B13" w:rsidRDefault="007A5B13" w:rsidP="00D225C7">
            <w:pPr>
              <w:rPr>
                <w:rFonts w:ascii="Times New Roman" w:hAnsi="Times New Roman" w:cs="Times New Roman"/>
                <w:b/>
                <w:i/>
                <w:sz w:val="24"/>
                <w:szCs w:val="24"/>
              </w:rPr>
            </w:pPr>
            <w:r w:rsidRPr="007A5B13">
              <w:rPr>
                <w:rFonts w:ascii="Times New Roman" w:hAnsi="Times New Roman" w:cs="Times New Roman"/>
                <w:b/>
                <w:i/>
                <w:sz w:val="24"/>
                <w:szCs w:val="24"/>
              </w:rPr>
              <w:t>3.3.3 Administratívne náklady</w:t>
            </w:r>
          </w:p>
          <w:p w:rsidR="007A5B13" w:rsidRPr="007A5B13" w:rsidRDefault="007A5B13" w:rsidP="00D225C7">
            <w:pPr>
              <w:rPr>
                <w:rFonts w:ascii="Times New Roman" w:hAnsi="Times New Roman" w:cs="Times New Roman"/>
                <w:i/>
                <w:sz w:val="24"/>
                <w:szCs w:val="24"/>
              </w:rPr>
            </w:pPr>
            <w:r w:rsidRPr="007A5B13">
              <w:rPr>
                <w:rFonts w:ascii="Times New Roman" w:hAnsi="Times New Roman" w:cs="Times New Roman"/>
                <w:i/>
                <w:sz w:val="24"/>
                <w:szCs w:val="24"/>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7A5B13" w:rsidRPr="007A5B13" w:rsidTr="007A5B13">
        <w:tc>
          <w:tcPr>
            <w:tcW w:w="9062" w:type="dxa"/>
            <w:tcBorders>
              <w:bottom w:val="single" w:sz="4" w:space="0" w:color="auto"/>
            </w:tcBorders>
          </w:tcPr>
          <w:p w:rsidR="007A5B13" w:rsidRPr="007A5B13" w:rsidRDefault="007A5B13" w:rsidP="00D225C7">
            <w:pPr>
              <w:jc w:val="both"/>
              <w:rPr>
                <w:rFonts w:ascii="Times New Roman" w:hAnsi="Times New Roman" w:cs="Times New Roman"/>
                <w:b/>
                <w:i/>
                <w:sz w:val="24"/>
                <w:szCs w:val="24"/>
              </w:rPr>
            </w:pPr>
            <w:r w:rsidRPr="007A5B13">
              <w:rPr>
                <w:rFonts w:ascii="Times New Roman" w:hAnsi="Times New Roman" w:cs="Times New Roman"/>
                <w:b/>
                <w:i/>
                <w:sz w:val="24"/>
                <w:szCs w:val="24"/>
              </w:rPr>
              <w:t xml:space="preserve">Zníženie administratívnej záťaže v súvislosti s odstránením sledovania splnenia dodatočných podmienok v § 17 ods. 19 zákona o dani z príjmov okrem podmienky zaplatenia. </w:t>
            </w:r>
          </w:p>
          <w:p w:rsidR="007A5B13" w:rsidRPr="007A5B13" w:rsidRDefault="007A5B13" w:rsidP="00D225C7">
            <w:pPr>
              <w:jc w:val="both"/>
              <w:rPr>
                <w:rFonts w:ascii="Times New Roman" w:hAnsi="Times New Roman" w:cs="Times New Roman"/>
                <w:b/>
                <w:i/>
                <w:sz w:val="24"/>
                <w:szCs w:val="24"/>
              </w:rPr>
            </w:pPr>
            <w:r w:rsidRPr="007A5B13">
              <w:rPr>
                <w:rFonts w:ascii="Times New Roman" w:hAnsi="Times New Roman" w:cs="Times New Roman"/>
                <w:b/>
                <w:i/>
                <w:sz w:val="24"/>
                <w:szCs w:val="24"/>
              </w:rPr>
              <w:t xml:space="preserve">Zjednodušenie výpočtu poslednej známej daňovej povinnosti u fyzickej osoby podľa § 34 na účely výpočtu preddavkov na daň z príjmov. </w:t>
            </w:r>
          </w:p>
          <w:p w:rsidR="007A5B13" w:rsidRPr="007A5B13" w:rsidRDefault="007A5B13" w:rsidP="00D225C7">
            <w:pPr>
              <w:jc w:val="both"/>
              <w:rPr>
                <w:rFonts w:ascii="Times New Roman" w:hAnsi="Times New Roman" w:cs="Times New Roman"/>
                <w:b/>
                <w:i/>
                <w:sz w:val="24"/>
                <w:szCs w:val="24"/>
              </w:rPr>
            </w:pPr>
            <w:r w:rsidRPr="007A5B13">
              <w:rPr>
                <w:rFonts w:ascii="Times New Roman" w:hAnsi="Times New Roman" w:cs="Times New Roman"/>
                <w:b/>
                <w:i/>
                <w:sz w:val="24"/>
                <w:szCs w:val="24"/>
              </w:rPr>
              <w:t>Zvýšenie hranice poslednej známej daňovej povinnosti od ktorej sa odvíja povinnosť a periodicita platenia preddavkov na daň z príjmov.</w:t>
            </w:r>
          </w:p>
          <w:p w:rsidR="007A5B13" w:rsidRPr="007A5B13" w:rsidRDefault="007A5B13" w:rsidP="00D225C7">
            <w:pPr>
              <w:jc w:val="both"/>
              <w:rPr>
                <w:rFonts w:ascii="Times New Roman" w:hAnsi="Times New Roman" w:cs="Times New Roman"/>
                <w:b/>
                <w:i/>
                <w:sz w:val="24"/>
                <w:szCs w:val="24"/>
              </w:rPr>
            </w:pPr>
            <w:r w:rsidRPr="007A5B13">
              <w:rPr>
                <w:rFonts w:ascii="Times New Roman" w:hAnsi="Times New Roman" w:cs="Times New Roman"/>
                <w:b/>
                <w:i/>
                <w:sz w:val="24"/>
                <w:szCs w:val="24"/>
              </w:rPr>
              <w:t>Zníženie administratívnej záťaže v súvislosti so zavedením možnosti elektronickej komunikácie zamestnávateľa so zamestnancom.</w:t>
            </w:r>
          </w:p>
          <w:p w:rsidR="007A5B13" w:rsidRPr="007A5B13" w:rsidRDefault="007A5B13" w:rsidP="00D225C7">
            <w:pPr>
              <w:rPr>
                <w:rFonts w:ascii="Times New Roman" w:hAnsi="Times New Roman" w:cs="Times New Roman"/>
                <w:b/>
                <w:i/>
                <w:sz w:val="24"/>
                <w:szCs w:val="24"/>
              </w:rPr>
            </w:pPr>
            <w:r w:rsidRPr="007A5B13">
              <w:rPr>
                <w:rFonts w:ascii="Times New Roman" w:hAnsi="Times New Roman" w:cs="Times New Roman"/>
                <w:b/>
                <w:i/>
                <w:sz w:val="24"/>
                <w:szCs w:val="24"/>
              </w:rPr>
              <w:t>Zníženie administratívnej záťaže v súvislosti s registráciou daňovníka na daň z príjmov priamo správcom dane na základe jeho evidencie v Registri právnických osôb, podnikateľov a orgánov verejnej moci od roku 2021.</w:t>
            </w:r>
          </w:p>
          <w:p w:rsidR="007A5B13" w:rsidRPr="007A5B13" w:rsidRDefault="007A5B13" w:rsidP="00D225C7">
            <w:pPr>
              <w:rPr>
                <w:rFonts w:ascii="Times New Roman" w:hAnsi="Times New Roman" w:cs="Times New Roman"/>
                <w:b/>
                <w:i/>
                <w:sz w:val="24"/>
                <w:szCs w:val="24"/>
              </w:rPr>
            </w:pPr>
          </w:p>
          <w:p w:rsidR="007A5B13" w:rsidRPr="007A5B13" w:rsidRDefault="007A5B13" w:rsidP="00D225C7">
            <w:pPr>
              <w:jc w:val="both"/>
              <w:rPr>
                <w:rFonts w:ascii="Times New Roman" w:hAnsi="Times New Roman" w:cs="Times New Roman"/>
                <w:b/>
                <w:bCs/>
                <w:i/>
                <w:sz w:val="24"/>
                <w:szCs w:val="24"/>
              </w:rPr>
            </w:pPr>
            <w:r w:rsidRPr="007A5B13">
              <w:rPr>
                <w:rFonts w:ascii="Times New Roman" w:hAnsi="Times New Roman" w:cs="Times New Roman"/>
                <w:b/>
                <w:bCs/>
                <w:i/>
                <w:sz w:val="24"/>
                <w:szCs w:val="24"/>
              </w:rPr>
              <w:t>Odhad zníženia/zvýšenia nepriamych finančných a administratívnych nákladov nie je možné kvantifikovať.</w:t>
            </w:r>
          </w:p>
          <w:p w:rsidR="007A5B13" w:rsidRPr="007A5B13" w:rsidRDefault="007A5B13" w:rsidP="00D225C7">
            <w:pPr>
              <w:rPr>
                <w:rFonts w:ascii="Times New Roman" w:hAnsi="Times New Roman" w:cs="Times New Roman"/>
                <w:b/>
                <w:i/>
                <w:sz w:val="24"/>
                <w:szCs w:val="24"/>
              </w:rPr>
            </w:pPr>
          </w:p>
        </w:tc>
      </w:tr>
      <w:tr w:rsidR="007A5B13" w:rsidRPr="007A5B13" w:rsidTr="007A5B13">
        <w:trPr>
          <w:trHeight w:val="2318"/>
        </w:trPr>
        <w:tc>
          <w:tcPr>
            <w:tcW w:w="9062" w:type="dxa"/>
            <w:tcBorders>
              <w:bottom w:val="single" w:sz="4" w:space="0" w:color="auto"/>
            </w:tcBorders>
          </w:tcPr>
          <w:p w:rsidR="007A5B13" w:rsidRPr="007A5B13" w:rsidRDefault="007A5B13" w:rsidP="00D225C7">
            <w:pPr>
              <w:rPr>
                <w:rFonts w:ascii="Times New Roman" w:hAnsi="Times New Roman" w:cs="Times New Roman"/>
                <w:i/>
                <w:sz w:val="24"/>
                <w:szCs w:val="24"/>
              </w:rPr>
            </w:pPr>
            <w:r w:rsidRPr="007A5B13">
              <w:rPr>
                <w:rFonts w:ascii="Times New Roman" w:hAnsi="Times New Roman" w:cs="Times New Roman"/>
                <w:b/>
                <w:i/>
                <w:sz w:val="24"/>
                <w:szCs w:val="24"/>
              </w:rPr>
              <w:lastRenderedPageBreak/>
              <w:t>3.3.4 Súhrnná tabuľka nákladov regulácie</w:t>
            </w:r>
          </w:p>
          <w:p w:rsidR="007A5B13" w:rsidRPr="007A5B13" w:rsidRDefault="007A5B13" w:rsidP="00D225C7">
            <w:pPr>
              <w:rPr>
                <w:rFonts w:ascii="Times New Roman" w:hAnsi="Times New Roman" w:cs="Times New Roman"/>
                <w:i/>
                <w:sz w:val="24"/>
                <w:szCs w:val="24"/>
              </w:rPr>
            </w:pPr>
          </w:p>
          <w:tbl>
            <w:tblPr>
              <w:tblStyle w:val="Mriekatabuky"/>
              <w:tblW w:w="0" w:type="auto"/>
              <w:tblLook w:val="04A0" w:firstRow="1" w:lastRow="0" w:firstColumn="1" w:lastColumn="0" w:noHBand="0" w:noVBand="1"/>
            </w:tblPr>
            <w:tblGrid>
              <w:gridCol w:w="2951"/>
              <w:gridCol w:w="2939"/>
              <w:gridCol w:w="2946"/>
            </w:tblGrid>
            <w:tr w:rsidR="007A5B13" w:rsidRPr="007A5B13" w:rsidTr="00D225C7">
              <w:tc>
                <w:tcPr>
                  <w:tcW w:w="2993" w:type="dxa"/>
                </w:tcPr>
                <w:p w:rsidR="007A5B13" w:rsidRPr="007A5B13" w:rsidRDefault="007A5B13" w:rsidP="00D225C7">
                  <w:pPr>
                    <w:rPr>
                      <w:rFonts w:ascii="Times New Roman" w:hAnsi="Times New Roman" w:cs="Times New Roman"/>
                      <w:i/>
                      <w:sz w:val="24"/>
                      <w:szCs w:val="24"/>
                    </w:rPr>
                  </w:pPr>
                </w:p>
              </w:tc>
              <w:tc>
                <w:tcPr>
                  <w:tcW w:w="2994" w:type="dxa"/>
                </w:tcPr>
                <w:p w:rsidR="007A5B13" w:rsidRPr="007A5B13" w:rsidRDefault="007A5B13" w:rsidP="00D225C7">
                  <w:pPr>
                    <w:jc w:val="center"/>
                    <w:rPr>
                      <w:rFonts w:ascii="Times New Roman" w:hAnsi="Times New Roman" w:cs="Times New Roman"/>
                      <w:i/>
                      <w:sz w:val="24"/>
                      <w:szCs w:val="24"/>
                    </w:rPr>
                  </w:pPr>
                  <w:r w:rsidRPr="007A5B13">
                    <w:rPr>
                      <w:rFonts w:ascii="Times New Roman" w:hAnsi="Times New Roman" w:cs="Times New Roman"/>
                      <w:i/>
                      <w:sz w:val="24"/>
                      <w:szCs w:val="24"/>
                    </w:rPr>
                    <w:t>Náklady na 1 podnikateľa</w:t>
                  </w:r>
                </w:p>
              </w:tc>
              <w:tc>
                <w:tcPr>
                  <w:tcW w:w="2994" w:type="dxa"/>
                </w:tcPr>
                <w:p w:rsidR="007A5B13" w:rsidRPr="007A5B13" w:rsidRDefault="007A5B13" w:rsidP="00D225C7">
                  <w:pPr>
                    <w:jc w:val="center"/>
                    <w:rPr>
                      <w:rFonts w:ascii="Times New Roman" w:hAnsi="Times New Roman" w:cs="Times New Roman"/>
                      <w:i/>
                      <w:sz w:val="24"/>
                      <w:szCs w:val="24"/>
                    </w:rPr>
                  </w:pPr>
                  <w:r w:rsidRPr="007A5B13">
                    <w:rPr>
                      <w:rFonts w:ascii="Times New Roman" w:hAnsi="Times New Roman" w:cs="Times New Roman"/>
                      <w:i/>
                      <w:sz w:val="24"/>
                      <w:szCs w:val="24"/>
                    </w:rPr>
                    <w:t>Náklady na celé podnikateľské prostredie</w:t>
                  </w:r>
                </w:p>
              </w:tc>
            </w:tr>
            <w:tr w:rsidR="007A5B13" w:rsidRPr="007A5B13" w:rsidTr="00D225C7">
              <w:tc>
                <w:tcPr>
                  <w:tcW w:w="2993" w:type="dxa"/>
                </w:tcPr>
                <w:p w:rsidR="007A5B13" w:rsidRPr="007A5B13" w:rsidRDefault="007A5B13" w:rsidP="00D225C7">
                  <w:pPr>
                    <w:rPr>
                      <w:rFonts w:ascii="Times New Roman" w:hAnsi="Times New Roman" w:cs="Times New Roman"/>
                      <w:i/>
                      <w:sz w:val="24"/>
                      <w:szCs w:val="24"/>
                    </w:rPr>
                  </w:pPr>
                  <w:r w:rsidRPr="007A5B13">
                    <w:rPr>
                      <w:rFonts w:ascii="Times New Roman" w:hAnsi="Times New Roman" w:cs="Times New Roman"/>
                      <w:i/>
                      <w:sz w:val="24"/>
                      <w:szCs w:val="24"/>
                    </w:rPr>
                    <w:t>Priame finančné náklady</w:t>
                  </w:r>
                </w:p>
              </w:tc>
              <w:tc>
                <w:tcPr>
                  <w:tcW w:w="2994" w:type="dxa"/>
                </w:tcPr>
                <w:p w:rsidR="007A5B13" w:rsidRPr="007A5B13" w:rsidRDefault="007A5B13" w:rsidP="00D225C7">
                  <w:pPr>
                    <w:jc w:val="center"/>
                    <w:rPr>
                      <w:rFonts w:ascii="Times New Roman" w:hAnsi="Times New Roman" w:cs="Times New Roman"/>
                      <w:i/>
                      <w:sz w:val="24"/>
                      <w:szCs w:val="24"/>
                    </w:rPr>
                  </w:pPr>
                  <w:r w:rsidRPr="007A5B13">
                    <w:rPr>
                      <w:rFonts w:ascii="Times New Roman" w:hAnsi="Times New Roman" w:cs="Times New Roman"/>
                      <w:i/>
                      <w:sz w:val="24"/>
                      <w:szCs w:val="24"/>
                    </w:rPr>
                    <w:t>0</w:t>
                  </w:r>
                </w:p>
              </w:tc>
              <w:tc>
                <w:tcPr>
                  <w:tcW w:w="2994" w:type="dxa"/>
                </w:tcPr>
                <w:p w:rsidR="007A5B13" w:rsidRPr="007A5B13" w:rsidRDefault="007A5B13" w:rsidP="00D225C7">
                  <w:pPr>
                    <w:jc w:val="center"/>
                    <w:rPr>
                      <w:rFonts w:ascii="Times New Roman" w:hAnsi="Times New Roman" w:cs="Times New Roman"/>
                      <w:i/>
                      <w:sz w:val="24"/>
                      <w:szCs w:val="24"/>
                    </w:rPr>
                  </w:pPr>
                  <w:r w:rsidRPr="007A5B13">
                    <w:rPr>
                      <w:rFonts w:ascii="Times New Roman" w:hAnsi="Times New Roman" w:cs="Times New Roman"/>
                      <w:i/>
                      <w:sz w:val="24"/>
                      <w:szCs w:val="24"/>
                    </w:rPr>
                    <w:t>0</w:t>
                  </w:r>
                </w:p>
              </w:tc>
            </w:tr>
            <w:tr w:rsidR="007A5B13" w:rsidRPr="007A5B13" w:rsidTr="00D225C7">
              <w:tc>
                <w:tcPr>
                  <w:tcW w:w="2993" w:type="dxa"/>
                </w:tcPr>
                <w:p w:rsidR="007A5B13" w:rsidRPr="007A5B13" w:rsidRDefault="007A5B13" w:rsidP="00D225C7">
                  <w:pPr>
                    <w:rPr>
                      <w:rFonts w:ascii="Times New Roman" w:hAnsi="Times New Roman" w:cs="Times New Roman"/>
                      <w:i/>
                      <w:sz w:val="24"/>
                      <w:szCs w:val="24"/>
                    </w:rPr>
                  </w:pPr>
                  <w:r w:rsidRPr="007A5B13">
                    <w:rPr>
                      <w:rFonts w:ascii="Times New Roman" w:hAnsi="Times New Roman" w:cs="Times New Roman"/>
                      <w:i/>
                      <w:sz w:val="24"/>
                      <w:szCs w:val="24"/>
                    </w:rPr>
                    <w:t>Nepriame finančné náklady</w:t>
                  </w:r>
                </w:p>
              </w:tc>
              <w:tc>
                <w:tcPr>
                  <w:tcW w:w="2994" w:type="dxa"/>
                </w:tcPr>
                <w:p w:rsidR="007A5B13" w:rsidRPr="007A5B13" w:rsidRDefault="007A5B13" w:rsidP="00D225C7">
                  <w:pPr>
                    <w:jc w:val="center"/>
                    <w:rPr>
                      <w:rFonts w:ascii="Times New Roman" w:hAnsi="Times New Roman" w:cs="Times New Roman"/>
                      <w:i/>
                      <w:sz w:val="24"/>
                      <w:szCs w:val="24"/>
                    </w:rPr>
                  </w:pPr>
                  <w:r w:rsidRPr="007A5B13">
                    <w:rPr>
                      <w:rFonts w:ascii="Times New Roman" w:hAnsi="Times New Roman" w:cs="Times New Roman"/>
                      <w:i/>
                      <w:sz w:val="24"/>
                      <w:szCs w:val="24"/>
                    </w:rPr>
                    <w:t>0</w:t>
                  </w:r>
                </w:p>
              </w:tc>
              <w:tc>
                <w:tcPr>
                  <w:tcW w:w="2994" w:type="dxa"/>
                </w:tcPr>
                <w:p w:rsidR="007A5B13" w:rsidRPr="007A5B13" w:rsidRDefault="007A5B13" w:rsidP="00D225C7">
                  <w:pPr>
                    <w:jc w:val="center"/>
                    <w:rPr>
                      <w:rFonts w:ascii="Times New Roman" w:hAnsi="Times New Roman" w:cs="Times New Roman"/>
                      <w:i/>
                      <w:sz w:val="24"/>
                      <w:szCs w:val="24"/>
                    </w:rPr>
                  </w:pPr>
                  <w:r w:rsidRPr="007A5B13">
                    <w:rPr>
                      <w:rFonts w:ascii="Times New Roman" w:hAnsi="Times New Roman" w:cs="Times New Roman"/>
                      <w:i/>
                      <w:sz w:val="24"/>
                      <w:szCs w:val="24"/>
                    </w:rPr>
                    <w:t>0</w:t>
                  </w:r>
                </w:p>
              </w:tc>
            </w:tr>
            <w:tr w:rsidR="007A5B13" w:rsidRPr="007A5B13" w:rsidTr="00D225C7">
              <w:tc>
                <w:tcPr>
                  <w:tcW w:w="2993" w:type="dxa"/>
                </w:tcPr>
                <w:p w:rsidR="007A5B13" w:rsidRPr="007A5B13" w:rsidRDefault="007A5B13" w:rsidP="00D225C7">
                  <w:pPr>
                    <w:rPr>
                      <w:rFonts w:ascii="Times New Roman" w:hAnsi="Times New Roman" w:cs="Times New Roman"/>
                      <w:i/>
                      <w:sz w:val="24"/>
                      <w:szCs w:val="24"/>
                    </w:rPr>
                  </w:pPr>
                  <w:r w:rsidRPr="007A5B13">
                    <w:rPr>
                      <w:rFonts w:ascii="Times New Roman" w:hAnsi="Times New Roman" w:cs="Times New Roman"/>
                      <w:i/>
                      <w:sz w:val="24"/>
                      <w:szCs w:val="24"/>
                    </w:rPr>
                    <w:t>Administratívne náklady</w:t>
                  </w:r>
                </w:p>
              </w:tc>
              <w:tc>
                <w:tcPr>
                  <w:tcW w:w="2994" w:type="dxa"/>
                </w:tcPr>
                <w:p w:rsidR="007A5B13" w:rsidRPr="007A5B13" w:rsidRDefault="007A5B13" w:rsidP="00D225C7">
                  <w:pPr>
                    <w:jc w:val="center"/>
                    <w:rPr>
                      <w:rFonts w:ascii="Times New Roman" w:hAnsi="Times New Roman" w:cs="Times New Roman"/>
                      <w:i/>
                      <w:sz w:val="24"/>
                      <w:szCs w:val="24"/>
                    </w:rPr>
                  </w:pPr>
                  <w:r w:rsidRPr="007A5B13">
                    <w:rPr>
                      <w:rFonts w:ascii="Times New Roman" w:hAnsi="Times New Roman" w:cs="Times New Roman"/>
                      <w:i/>
                      <w:sz w:val="24"/>
                      <w:szCs w:val="24"/>
                    </w:rPr>
                    <w:t>0</w:t>
                  </w:r>
                </w:p>
              </w:tc>
              <w:tc>
                <w:tcPr>
                  <w:tcW w:w="2994" w:type="dxa"/>
                </w:tcPr>
                <w:p w:rsidR="007A5B13" w:rsidRPr="007A5B13" w:rsidRDefault="007A5B13" w:rsidP="00D225C7">
                  <w:pPr>
                    <w:jc w:val="center"/>
                    <w:rPr>
                      <w:rFonts w:ascii="Times New Roman" w:hAnsi="Times New Roman" w:cs="Times New Roman"/>
                      <w:i/>
                      <w:sz w:val="24"/>
                      <w:szCs w:val="24"/>
                    </w:rPr>
                  </w:pPr>
                  <w:r w:rsidRPr="007A5B13">
                    <w:rPr>
                      <w:rFonts w:ascii="Times New Roman" w:hAnsi="Times New Roman" w:cs="Times New Roman"/>
                      <w:i/>
                      <w:sz w:val="24"/>
                      <w:szCs w:val="24"/>
                    </w:rPr>
                    <w:t>0</w:t>
                  </w:r>
                </w:p>
              </w:tc>
            </w:tr>
            <w:tr w:rsidR="007A5B13" w:rsidRPr="007A5B13" w:rsidTr="00D225C7">
              <w:tc>
                <w:tcPr>
                  <w:tcW w:w="2993" w:type="dxa"/>
                </w:tcPr>
                <w:p w:rsidR="007A5B13" w:rsidRPr="007A5B13" w:rsidRDefault="007A5B13" w:rsidP="00D225C7">
                  <w:pPr>
                    <w:rPr>
                      <w:rFonts w:ascii="Times New Roman" w:hAnsi="Times New Roman" w:cs="Times New Roman"/>
                      <w:b/>
                      <w:i/>
                      <w:sz w:val="24"/>
                      <w:szCs w:val="24"/>
                    </w:rPr>
                  </w:pPr>
                  <w:r w:rsidRPr="007A5B13">
                    <w:rPr>
                      <w:rFonts w:ascii="Times New Roman" w:hAnsi="Times New Roman" w:cs="Times New Roman"/>
                      <w:b/>
                      <w:i/>
                      <w:sz w:val="24"/>
                      <w:szCs w:val="24"/>
                    </w:rPr>
                    <w:t>Celkové náklady regulácie</w:t>
                  </w:r>
                </w:p>
              </w:tc>
              <w:tc>
                <w:tcPr>
                  <w:tcW w:w="2994" w:type="dxa"/>
                </w:tcPr>
                <w:p w:rsidR="007A5B13" w:rsidRPr="007A5B13" w:rsidRDefault="007A5B13" w:rsidP="00D225C7">
                  <w:pPr>
                    <w:jc w:val="center"/>
                    <w:rPr>
                      <w:rFonts w:ascii="Times New Roman" w:hAnsi="Times New Roman" w:cs="Times New Roman"/>
                      <w:b/>
                      <w:i/>
                      <w:sz w:val="24"/>
                      <w:szCs w:val="24"/>
                    </w:rPr>
                  </w:pPr>
                  <w:r w:rsidRPr="007A5B13">
                    <w:rPr>
                      <w:rFonts w:ascii="Times New Roman" w:hAnsi="Times New Roman" w:cs="Times New Roman"/>
                      <w:b/>
                      <w:i/>
                      <w:sz w:val="24"/>
                      <w:szCs w:val="24"/>
                    </w:rPr>
                    <w:t>0</w:t>
                  </w:r>
                </w:p>
              </w:tc>
              <w:tc>
                <w:tcPr>
                  <w:tcW w:w="2994" w:type="dxa"/>
                </w:tcPr>
                <w:p w:rsidR="007A5B13" w:rsidRPr="007A5B13" w:rsidRDefault="007A5B13" w:rsidP="00D225C7">
                  <w:pPr>
                    <w:jc w:val="center"/>
                    <w:rPr>
                      <w:rFonts w:ascii="Times New Roman" w:hAnsi="Times New Roman" w:cs="Times New Roman"/>
                      <w:b/>
                      <w:i/>
                      <w:sz w:val="24"/>
                      <w:szCs w:val="24"/>
                    </w:rPr>
                  </w:pPr>
                  <w:r w:rsidRPr="007A5B13">
                    <w:rPr>
                      <w:rFonts w:ascii="Times New Roman" w:hAnsi="Times New Roman" w:cs="Times New Roman"/>
                      <w:b/>
                      <w:i/>
                      <w:sz w:val="24"/>
                      <w:szCs w:val="24"/>
                    </w:rPr>
                    <w:t>0</w:t>
                  </w:r>
                </w:p>
              </w:tc>
            </w:tr>
          </w:tbl>
          <w:p w:rsidR="007A5B13" w:rsidRPr="007A5B13" w:rsidRDefault="007A5B13" w:rsidP="00D225C7">
            <w:pPr>
              <w:rPr>
                <w:rFonts w:ascii="Times New Roman" w:hAnsi="Times New Roman" w:cs="Times New Roman"/>
                <w:i/>
                <w:sz w:val="24"/>
                <w:szCs w:val="24"/>
              </w:rPr>
            </w:pPr>
          </w:p>
        </w:tc>
      </w:tr>
      <w:tr w:rsidR="007A5B13" w:rsidRPr="007A5B13" w:rsidTr="007A5B13">
        <w:tc>
          <w:tcPr>
            <w:tcW w:w="9062" w:type="dxa"/>
            <w:shd w:val="clear" w:color="auto" w:fill="D9D9D9" w:themeFill="background1" w:themeFillShade="D9"/>
          </w:tcPr>
          <w:p w:rsidR="007A5B13" w:rsidRPr="007A5B13" w:rsidRDefault="007A5B13" w:rsidP="00D225C7">
            <w:pPr>
              <w:rPr>
                <w:rFonts w:ascii="Times New Roman" w:hAnsi="Times New Roman" w:cs="Times New Roman"/>
                <w:b/>
                <w:sz w:val="24"/>
                <w:szCs w:val="24"/>
              </w:rPr>
            </w:pPr>
            <w:r w:rsidRPr="007A5B13">
              <w:rPr>
                <w:rFonts w:ascii="Times New Roman" w:hAnsi="Times New Roman" w:cs="Times New Roman"/>
                <w:b/>
                <w:sz w:val="24"/>
                <w:szCs w:val="24"/>
              </w:rPr>
              <w:t>3.4 Konkurencieschopnosť a správanie sa podnikov na trhu</w:t>
            </w:r>
          </w:p>
          <w:p w:rsidR="007A5B13" w:rsidRPr="007A5B13" w:rsidRDefault="007A5B13" w:rsidP="00D225C7">
            <w:pPr>
              <w:rPr>
                <w:rFonts w:ascii="Times New Roman" w:hAnsi="Times New Roman" w:cs="Times New Roman"/>
                <w:sz w:val="24"/>
                <w:szCs w:val="24"/>
              </w:rPr>
            </w:pPr>
            <w:r w:rsidRPr="007A5B13">
              <w:rPr>
                <w:rFonts w:ascii="Times New Roman" w:hAnsi="Times New Roman" w:cs="Times New Roman"/>
                <w:b/>
                <w:sz w:val="24"/>
                <w:szCs w:val="24"/>
              </w:rPr>
              <w:t xml:space="preserve">       </w:t>
            </w:r>
            <w:r w:rsidRPr="007A5B13">
              <w:rPr>
                <w:rFonts w:ascii="Times New Roman" w:hAnsi="Times New Roman" w:cs="Times New Roman"/>
                <w:sz w:val="24"/>
                <w:szCs w:val="24"/>
              </w:rPr>
              <w:t xml:space="preserve">- </w:t>
            </w:r>
            <w:r w:rsidRPr="007A5B13">
              <w:rPr>
                <w:rFonts w:ascii="Times New Roman" w:hAnsi="Times New Roman" w:cs="Times New Roman"/>
                <w:b/>
                <w:sz w:val="24"/>
                <w:szCs w:val="24"/>
              </w:rPr>
              <w:t>z toho MSP</w:t>
            </w:r>
          </w:p>
        </w:tc>
      </w:tr>
      <w:tr w:rsidR="007A5B13" w:rsidRPr="007A5B13" w:rsidTr="007A5B13">
        <w:tc>
          <w:tcPr>
            <w:tcW w:w="9062" w:type="dxa"/>
            <w:tcBorders>
              <w:bottom w:val="single" w:sz="4" w:space="0" w:color="auto"/>
            </w:tcBorders>
          </w:tcPr>
          <w:p w:rsidR="007A5B13" w:rsidRPr="007A5B13" w:rsidRDefault="007A5B13" w:rsidP="00D225C7">
            <w:pPr>
              <w:rPr>
                <w:rFonts w:ascii="Times New Roman" w:hAnsi="Times New Roman" w:cs="Times New Roman"/>
                <w:i/>
                <w:sz w:val="24"/>
                <w:szCs w:val="24"/>
              </w:rPr>
            </w:pPr>
            <w:r w:rsidRPr="007A5B13">
              <w:rPr>
                <w:rFonts w:ascii="Times New Roman" w:hAnsi="Times New Roman" w:cs="Times New Roman"/>
                <w:i/>
                <w:sz w:val="24"/>
                <w:szCs w:val="24"/>
              </w:rPr>
              <w:t xml:space="preserve">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w:t>
            </w:r>
            <w:proofErr w:type="spellStart"/>
            <w:r w:rsidRPr="007A5B13">
              <w:rPr>
                <w:rFonts w:ascii="Times New Roman" w:hAnsi="Times New Roman" w:cs="Times New Roman"/>
                <w:i/>
                <w:sz w:val="24"/>
                <w:szCs w:val="24"/>
              </w:rPr>
              <w:t>mikro</w:t>
            </w:r>
            <w:proofErr w:type="spellEnd"/>
            <w:r w:rsidRPr="007A5B13">
              <w:rPr>
                <w:rFonts w:ascii="Times New Roman" w:hAnsi="Times New Roman" w:cs="Times New Roman"/>
                <w:i/>
                <w:sz w:val="24"/>
                <w:szCs w:val="24"/>
              </w:rPr>
              <w:t>, malé a stredné podniky tzv. MSP)? Ak áno, popíšte.</w:t>
            </w:r>
          </w:p>
          <w:p w:rsidR="007A5B13" w:rsidRPr="007A5B13" w:rsidRDefault="007A5B13" w:rsidP="00D225C7">
            <w:pPr>
              <w:rPr>
                <w:rFonts w:ascii="Times New Roman" w:hAnsi="Times New Roman" w:cs="Times New Roman"/>
                <w:i/>
                <w:sz w:val="24"/>
                <w:szCs w:val="24"/>
              </w:rPr>
            </w:pPr>
            <w:r w:rsidRPr="007A5B13">
              <w:rPr>
                <w:rFonts w:ascii="Times New Roman" w:hAnsi="Times New Roman" w:cs="Times New Roman"/>
                <w:i/>
                <w:sz w:val="24"/>
                <w:szCs w:val="24"/>
              </w:rPr>
              <w:t>Aký vplyv bude mať navrhovaná zmena na obchodné bariéry? Bude mať vplyv na vyvolanie cezhraničných investícií (príliv /odliv zahraničných investícií resp. uplatnenie slovenských podnikov na zahraničných trhoch)? Ak áno, popíšte.</w:t>
            </w:r>
          </w:p>
          <w:p w:rsidR="007A5B13" w:rsidRPr="007A5B13" w:rsidRDefault="007A5B13" w:rsidP="00D225C7">
            <w:pPr>
              <w:rPr>
                <w:rFonts w:ascii="Times New Roman" w:hAnsi="Times New Roman" w:cs="Times New Roman"/>
                <w:i/>
                <w:sz w:val="24"/>
                <w:szCs w:val="24"/>
              </w:rPr>
            </w:pPr>
            <w:r w:rsidRPr="007A5B13">
              <w:rPr>
                <w:rFonts w:ascii="Times New Roman" w:hAnsi="Times New Roman" w:cs="Times New Roman"/>
                <w:i/>
                <w:sz w:val="24"/>
                <w:szCs w:val="24"/>
              </w:rPr>
              <w:t>Ako ovplyvní cenu alebo dostupnosť základných zdrojov (suroviny, mechanizmy, pracovná sila, energie atď.)?</w:t>
            </w:r>
          </w:p>
          <w:p w:rsidR="007A5B13" w:rsidRPr="007A5B13" w:rsidRDefault="007A5B13" w:rsidP="00D225C7">
            <w:pPr>
              <w:rPr>
                <w:rFonts w:ascii="Times New Roman" w:hAnsi="Times New Roman" w:cs="Times New Roman"/>
                <w:i/>
                <w:sz w:val="24"/>
                <w:szCs w:val="24"/>
              </w:rPr>
            </w:pPr>
            <w:r w:rsidRPr="007A5B13">
              <w:rPr>
                <w:rFonts w:ascii="Times New Roman" w:hAnsi="Times New Roman" w:cs="Times New Roman"/>
                <w:i/>
                <w:sz w:val="24"/>
                <w:szCs w:val="24"/>
              </w:rPr>
              <w:t>Ovplyvňuje prístup k financiám? Ak áno, ako?</w:t>
            </w:r>
          </w:p>
        </w:tc>
      </w:tr>
      <w:tr w:rsidR="007A5B13" w:rsidRPr="007A5B13" w:rsidTr="007A5B13">
        <w:trPr>
          <w:trHeight w:val="1282"/>
        </w:trPr>
        <w:tc>
          <w:tcPr>
            <w:tcW w:w="9062" w:type="dxa"/>
            <w:tcBorders>
              <w:bottom w:val="single" w:sz="4" w:space="0" w:color="auto"/>
            </w:tcBorders>
          </w:tcPr>
          <w:p w:rsidR="007A5B13" w:rsidRPr="007A5B13" w:rsidRDefault="007A5B13" w:rsidP="00D225C7">
            <w:pPr>
              <w:jc w:val="both"/>
              <w:rPr>
                <w:rFonts w:ascii="Times New Roman" w:hAnsi="Times New Roman" w:cs="Times New Roman"/>
                <w:sz w:val="24"/>
                <w:szCs w:val="24"/>
              </w:rPr>
            </w:pPr>
            <w:r w:rsidRPr="007A5B13">
              <w:rPr>
                <w:rFonts w:ascii="Times New Roman" w:hAnsi="Times New Roman" w:cs="Times New Roman"/>
                <w:b/>
                <w:sz w:val="24"/>
                <w:szCs w:val="24"/>
              </w:rPr>
              <w:t>Nepredpokladá sa vplyv navrhovanej zmeny na konkurencieschopnosť a správanie podnikov na trhu</w:t>
            </w:r>
            <w:r w:rsidRPr="007A5B13">
              <w:rPr>
                <w:rFonts w:ascii="Times New Roman" w:hAnsi="Times New Roman" w:cs="Times New Roman"/>
                <w:sz w:val="24"/>
                <w:szCs w:val="24"/>
              </w:rPr>
              <w:t>.</w:t>
            </w:r>
          </w:p>
          <w:p w:rsidR="007A5B13" w:rsidRPr="007A5B13" w:rsidRDefault="007A5B13" w:rsidP="00D225C7">
            <w:pPr>
              <w:jc w:val="both"/>
              <w:rPr>
                <w:rFonts w:ascii="Times New Roman" w:hAnsi="Times New Roman" w:cs="Times New Roman"/>
                <w:b/>
                <w:sz w:val="24"/>
                <w:szCs w:val="24"/>
              </w:rPr>
            </w:pPr>
            <w:r w:rsidRPr="007A5B13">
              <w:rPr>
                <w:rFonts w:ascii="Times New Roman" w:hAnsi="Times New Roman" w:cs="Times New Roman"/>
                <w:b/>
                <w:sz w:val="24"/>
                <w:szCs w:val="24"/>
              </w:rPr>
              <w:t xml:space="preserve">Predpokladá sa pozitívny vplyv na vybranú skupinu daňovníkov vymedzených v zákone o dani z príjmov ako </w:t>
            </w:r>
            <w:proofErr w:type="spellStart"/>
            <w:r w:rsidRPr="007A5B13">
              <w:rPr>
                <w:rFonts w:ascii="Times New Roman" w:hAnsi="Times New Roman" w:cs="Times New Roman"/>
                <w:b/>
                <w:sz w:val="24"/>
                <w:szCs w:val="24"/>
              </w:rPr>
              <w:t>mikrodaňovník</w:t>
            </w:r>
            <w:proofErr w:type="spellEnd"/>
            <w:r w:rsidRPr="007A5B13">
              <w:rPr>
                <w:rFonts w:ascii="Times New Roman" w:hAnsi="Times New Roman" w:cs="Times New Roman"/>
                <w:b/>
                <w:sz w:val="24"/>
                <w:szCs w:val="24"/>
              </w:rPr>
              <w:t>. U </w:t>
            </w:r>
            <w:proofErr w:type="spellStart"/>
            <w:r w:rsidRPr="007A5B13">
              <w:rPr>
                <w:rFonts w:ascii="Times New Roman" w:hAnsi="Times New Roman" w:cs="Times New Roman"/>
                <w:b/>
                <w:sz w:val="24"/>
                <w:szCs w:val="24"/>
              </w:rPr>
              <w:t>mikrodaňovníka</w:t>
            </w:r>
            <w:proofErr w:type="spellEnd"/>
            <w:r w:rsidRPr="007A5B13">
              <w:rPr>
                <w:rFonts w:ascii="Times New Roman" w:hAnsi="Times New Roman" w:cs="Times New Roman"/>
                <w:b/>
                <w:sz w:val="24"/>
                <w:szCs w:val="24"/>
              </w:rPr>
              <w:t xml:space="preserve"> sa umožňuje:</w:t>
            </w:r>
          </w:p>
          <w:p w:rsidR="007A5B13" w:rsidRPr="007A5B13" w:rsidRDefault="007A5B13" w:rsidP="007A5B13">
            <w:pPr>
              <w:pStyle w:val="Odsekzoznamu"/>
              <w:numPr>
                <w:ilvl w:val="0"/>
                <w:numId w:val="27"/>
              </w:numPr>
              <w:spacing w:after="200" w:line="276" w:lineRule="auto"/>
              <w:ind w:left="454"/>
              <w:jc w:val="both"/>
              <w:rPr>
                <w:rFonts w:ascii="Times New Roman" w:eastAsia="Times New Roman" w:hAnsi="Times New Roman" w:cs="Times New Roman"/>
                <w:b/>
                <w:sz w:val="24"/>
                <w:szCs w:val="24"/>
                <w:lang w:eastAsia="sk-SK"/>
              </w:rPr>
            </w:pPr>
            <w:r w:rsidRPr="007A5B13">
              <w:rPr>
                <w:rFonts w:ascii="Times New Roman" w:eastAsia="Times New Roman" w:hAnsi="Times New Roman" w:cs="Times New Roman"/>
                <w:b/>
                <w:sz w:val="24"/>
                <w:szCs w:val="24"/>
                <w:lang w:eastAsia="sk-SK"/>
              </w:rPr>
              <w:t>zjednodušenie tvorby opravnej položky k nepremlčanej pohľadávke v súlade s účtovníctvom</w:t>
            </w:r>
          </w:p>
          <w:p w:rsidR="007A5B13" w:rsidRPr="007A5B13" w:rsidRDefault="007A5B13" w:rsidP="007A5B13">
            <w:pPr>
              <w:pStyle w:val="Odsekzoznamu"/>
              <w:numPr>
                <w:ilvl w:val="0"/>
                <w:numId w:val="27"/>
              </w:numPr>
              <w:spacing w:after="200" w:line="276" w:lineRule="auto"/>
              <w:ind w:left="454"/>
              <w:jc w:val="both"/>
              <w:rPr>
                <w:rFonts w:ascii="Times New Roman" w:eastAsia="Times New Roman" w:hAnsi="Times New Roman" w:cs="Times New Roman"/>
                <w:b/>
                <w:sz w:val="24"/>
                <w:szCs w:val="24"/>
                <w:lang w:eastAsia="sk-SK"/>
              </w:rPr>
            </w:pPr>
            <w:r w:rsidRPr="007A5B13">
              <w:rPr>
                <w:rFonts w:ascii="Times New Roman" w:eastAsia="Times New Roman" w:hAnsi="Times New Roman" w:cs="Times New Roman"/>
                <w:b/>
                <w:sz w:val="24"/>
                <w:szCs w:val="24"/>
                <w:lang w:eastAsia="sk-SK"/>
              </w:rPr>
              <w:t xml:space="preserve">zvýhodnené odpisovanie hmotného majetku zaradeného do odpisových skupín 0 až 4 v stanovenej výške </w:t>
            </w:r>
            <w:proofErr w:type="spellStart"/>
            <w:r w:rsidRPr="007A5B13">
              <w:rPr>
                <w:rFonts w:ascii="Times New Roman" w:eastAsia="Times New Roman" w:hAnsi="Times New Roman" w:cs="Times New Roman"/>
                <w:b/>
                <w:sz w:val="24"/>
                <w:szCs w:val="24"/>
                <w:lang w:eastAsia="sk-SK"/>
              </w:rPr>
              <w:t>mikrodaňovníkom</w:t>
            </w:r>
            <w:proofErr w:type="spellEnd"/>
            <w:r w:rsidRPr="007A5B13">
              <w:rPr>
                <w:rFonts w:ascii="Times New Roman" w:eastAsia="Times New Roman" w:hAnsi="Times New Roman" w:cs="Times New Roman"/>
                <w:b/>
                <w:sz w:val="24"/>
                <w:szCs w:val="24"/>
                <w:lang w:eastAsia="sk-SK"/>
              </w:rPr>
              <w:t>, najviac do výšky vstupnej ceny majetku</w:t>
            </w:r>
          </w:p>
          <w:p w:rsidR="007A5B13" w:rsidRPr="007A5B13" w:rsidRDefault="007A5B13" w:rsidP="007A5B13">
            <w:pPr>
              <w:pStyle w:val="Odsekzoznamu"/>
              <w:numPr>
                <w:ilvl w:val="0"/>
                <w:numId w:val="27"/>
              </w:numPr>
              <w:spacing w:after="200" w:line="276" w:lineRule="auto"/>
              <w:ind w:left="454"/>
              <w:jc w:val="both"/>
              <w:rPr>
                <w:rFonts w:ascii="Times New Roman" w:hAnsi="Times New Roman" w:cs="Times New Roman"/>
                <w:i/>
                <w:sz w:val="24"/>
                <w:szCs w:val="24"/>
              </w:rPr>
            </w:pPr>
            <w:r w:rsidRPr="007A5B13">
              <w:rPr>
                <w:rFonts w:ascii="Times New Roman" w:eastAsia="Times New Roman" w:hAnsi="Times New Roman" w:cs="Times New Roman"/>
                <w:b/>
                <w:sz w:val="24"/>
                <w:szCs w:val="24"/>
                <w:lang w:eastAsia="sk-SK"/>
              </w:rPr>
              <w:t>zvýhodnené odpočítavanie daňovej straty</w:t>
            </w:r>
            <w:r w:rsidRPr="007A5B13">
              <w:rPr>
                <w:rFonts w:ascii="Times New Roman" w:eastAsia="Times New Roman" w:hAnsi="Times New Roman" w:cs="Times New Roman"/>
                <w:sz w:val="24"/>
                <w:szCs w:val="24"/>
                <w:lang w:eastAsia="sk-SK"/>
              </w:rPr>
              <w:t>.</w:t>
            </w:r>
            <w:r w:rsidRPr="007A5B13">
              <w:rPr>
                <w:rFonts w:ascii="Times New Roman" w:hAnsi="Times New Roman" w:cs="Times New Roman"/>
                <w:sz w:val="24"/>
                <w:szCs w:val="24"/>
              </w:rPr>
              <w:t xml:space="preserve"> </w:t>
            </w:r>
          </w:p>
        </w:tc>
      </w:tr>
      <w:tr w:rsidR="007A5B13" w:rsidRPr="007A5B13" w:rsidTr="007A5B13">
        <w:tc>
          <w:tcPr>
            <w:tcW w:w="9062" w:type="dxa"/>
            <w:shd w:val="clear" w:color="auto" w:fill="D9D9D9" w:themeFill="background1" w:themeFillShade="D9"/>
          </w:tcPr>
          <w:p w:rsidR="007A5B13" w:rsidRPr="007A5B13" w:rsidRDefault="007A5B13" w:rsidP="00D225C7">
            <w:pPr>
              <w:rPr>
                <w:rFonts w:ascii="Times New Roman" w:hAnsi="Times New Roman" w:cs="Times New Roman"/>
                <w:b/>
                <w:sz w:val="24"/>
                <w:szCs w:val="24"/>
              </w:rPr>
            </w:pPr>
            <w:r w:rsidRPr="007A5B13">
              <w:rPr>
                <w:rFonts w:ascii="Times New Roman" w:hAnsi="Times New Roman" w:cs="Times New Roman"/>
                <w:b/>
                <w:sz w:val="24"/>
                <w:szCs w:val="24"/>
              </w:rPr>
              <w:t xml:space="preserve">3.5 Inovácie </w:t>
            </w:r>
          </w:p>
          <w:p w:rsidR="007A5B13" w:rsidRPr="007A5B13" w:rsidRDefault="007A5B13" w:rsidP="00D225C7">
            <w:pPr>
              <w:rPr>
                <w:rFonts w:ascii="Times New Roman" w:hAnsi="Times New Roman" w:cs="Times New Roman"/>
                <w:b/>
                <w:sz w:val="24"/>
                <w:szCs w:val="24"/>
              </w:rPr>
            </w:pPr>
            <w:r w:rsidRPr="007A5B13">
              <w:rPr>
                <w:rFonts w:ascii="Times New Roman" w:hAnsi="Times New Roman" w:cs="Times New Roman"/>
                <w:sz w:val="24"/>
                <w:szCs w:val="24"/>
              </w:rPr>
              <w:t xml:space="preserve">       - </w:t>
            </w:r>
            <w:r w:rsidRPr="007A5B13">
              <w:rPr>
                <w:rFonts w:ascii="Times New Roman" w:hAnsi="Times New Roman" w:cs="Times New Roman"/>
                <w:b/>
                <w:sz w:val="24"/>
                <w:szCs w:val="24"/>
              </w:rPr>
              <w:t>z toho MSP</w:t>
            </w:r>
          </w:p>
        </w:tc>
      </w:tr>
      <w:tr w:rsidR="007A5B13" w:rsidRPr="007A5B13" w:rsidTr="007A5B13">
        <w:tc>
          <w:tcPr>
            <w:tcW w:w="9062" w:type="dxa"/>
          </w:tcPr>
          <w:p w:rsidR="007A5B13" w:rsidRPr="007A5B13" w:rsidRDefault="007A5B13" w:rsidP="00D225C7">
            <w:pPr>
              <w:rPr>
                <w:rFonts w:ascii="Times New Roman" w:hAnsi="Times New Roman" w:cs="Times New Roman"/>
                <w:i/>
                <w:sz w:val="24"/>
                <w:szCs w:val="24"/>
              </w:rPr>
            </w:pPr>
            <w:r w:rsidRPr="007A5B13">
              <w:rPr>
                <w:rFonts w:ascii="Times New Roman" w:hAnsi="Times New Roman" w:cs="Times New Roman"/>
                <w:i/>
                <w:sz w:val="24"/>
                <w:szCs w:val="24"/>
              </w:rPr>
              <w:t>Uveďte, ako podporuje navrhovaná zmena inovácie.</w:t>
            </w:r>
          </w:p>
          <w:p w:rsidR="007A5B13" w:rsidRPr="007A5B13" w:rsidRDefault="007A5B13" w:rsidP="00D225C7">
            <w:pPr>
              <w:rPr>
                <w:rFonts w:ascii="Times New Roman" w:hAnsi="Times New Roman" w:cs="Times New Roman"/>
                <w:i/>
                <w:sz w:val="24"/>
                <w:szCs w:val="24"/>
              </w:rPr>
            </w:pPr>
            <w:r w:rsidRPr="007A5B13">
              <w:rPr>
                <w:rFonts w:ascii="Times New Roman" w:hAnsi="Times New Roman" w:cs="Times New Roman"/>
                <w:i/>
                <w:sz w:val="24"/>
                <w:szCs w:val="24"/>
              </w:rPr>
              <w:t>Zjednodušuje uvedenie alebo rozšírenie nových výrobných metód, technológií a výrobkov na trh?</w:t>
            </w:r>
          </w:p>
          <w:p w:rsidR="007A5B13" w:rsidRPr="007A5B13" w:rsidRDefault="007A5B13" w:rsidP="00D225C7">
            <w:pPr>
              <w:rPr>
                <w:rFonts w:ascii="Times New Roman" w:hAnsi="Times New Roman" w:cs="Times New Roman"/>
                <w:i/>
                <w:sz w:val="24"/>
                <w:szCs w:val="24"/>
              </w:rPr>
            </w:pPr>
            <w:r w:rsidRPr="007A5B13">
              <w:rPr>
                <w:rFonts w:ascii="Times New Roman" w:hAnsi="Times New Roman" w:cs="Times New Roman"/>
                <w:i/>
                <w:sz w:val="24"/>
                <w:szCs w:val="24"/>
              </w:rPr>
              <w:t>Uveďte, ako vplýva navrhovaná zmena na jednotlivé práva duševného vlastníctva (napr. patenty, ochranné známky, autorské práva, vlastníctvo know-how).</w:t>
            </w:r>
          </w:p>
          <w:p w:rsidR="007A5B13" w:rsidRPr="007A5B13" w:rsidRDefault="007A5B13" w:rsidP="00D225C7">
            <w:pPr>
              <w:rPr>
                <w:rFonts w:ascii="Times New Roman" w:hAnsi="Times New Roman" w:cs="Times New Roman"/>
                <w:i/>
                <w:sz w:val="24"/>
                <w:szCs w:val="24"/>
              </w:rPr>
            </w:pPr>
            <w:r w:rsidRPr="007A5B13">
              <w:rPr>
                <w:rFonts w:ascii="Times New Roman" w:hAnsi="Times New Roman" w:cs="Times New Roman"/>
                <w:i/>
                <w:sz w:val="24"/>
                <w:szCs w:val="24"/>
              </w:rPr>
              <w:t>Podporuje vyššiu efektivitu výroby/využívania zdrojov? Ak áno, ako?</w:t>
            </w:r>
          </w:p>
          <w:p w:rsidR="007A5B13" w:rsidRPr="007A5B13" w:rsidRDefault="007A5B13" w:rsidP="00D225C7">
            <w:pPr>
              <w:rPr>
                <w:rFonts w:ascii="Times New Roman" w:hAnsi="Times New Roman" w:cs="Times New Roman"/>
                <w:sz w:val="24"/>
                <w:szCs w:val="24"/>
              </w:rPr>
            </w:pPr>
            <w:r w:rsidRPr="007A5B13">
              <w:rPr>
                <w:rFonts w:ascii="Times New Roman" w:hAnsi="Times New Roman" w:cs="Times New Roman"/>
                <w:i/>
                <w:sz w:val="24"/>
                <w:szCs w:val="24"/>
              </w:rPr>
              <w:t>Vytvorí zmena nové pracovné miesta pre zamestnancov výskumu a vývoja v SR?</w:t>
            </w:r>
          </w:p>
        </w:tc>
      </w:tr>
      <w:tr w:rsidR="007A5B13" w:rsidRPr="007A5B13" w:rsidTr="007A5B13">
        <w:trPr>
          <w:trHeight w:val="1747"/>
        </w:trPr>
        <w:tc>
          <w:tcPr>
            <w:tcW w:w="9062" w:type="dxa"/>
          </w:tcPr>
          <w:p w:rsidR="007A5B13" w:rsidRPr="007A5B13" w:rsidRDefault="007A5B13" w:rsidP="00D225C7">
            <w:pPr>
              <w:jc w:val="both"/>
              <w:rPr>
                <w:rFonts w:ascii="Times New Roman" w:hAnsi="Times New Roman" w:cs="Times New Roman"/>
                <w:b/>
                <w:sz w:val="24"/>
                <w:szCs w:val="24"/>
              </w:rPr>
            </w:pPr>
            <w:r w:rsidRPr="007A5B13">
              <w:rPr>
                <w:rFonts w:ascii="Times New Roman" w:hAnsi="Times New Roman" w:cs="Times New Roman"/>
                <w:b/>
                <w:sz w:val="24"/>
                <w:szCs w:val="24"/>
              </w:rPr>
              <w:t xml:space="preserve">Zmena % výšky odpočtu nákladov na výskum a vývoj bude znamenať významné zvýšenie položky, ktorá bude znižovať základ dane daňového subjektu, ktorý vykonáva podnikový výskum a vývoj. Na strane tohto daňového subjektu príde úsporou na dani k vytvoreniu dodatočných zdrojov, ktoré bude možné venovať na rozvoj podnikania. Maximálna dĺžka obdobia odpočtu sa predlžuje zo štyroch zdaňovacích období bezprostredne nasledujúcich po zdaňovacom období, v ktorom nárok na odpočet vznikol, na päť zdaňovacích období. Podporou podnikového výskumu a vývoja prichádza k rýchlejšiemu zavádzaniu moderných technológii a spôsobov výroby a tým </w:t>
            </w:r>
            <w:r w:rsidRPr="007A5B13">
              <w:rPr>
                <w:rFonts w:ascii="Times New Roman" w:hAnsi="Times New Roman" w:cs="Times New Roman"/>
                <w:b/>
                <w:sz w:val="24"/>
                <w:szCs w:val="24"/>
              </w:rPr>
              <w:lastRenderedPageBreak/>
              <w:t>aj k zvýšeniu efektívnosti výroby. Zároveň sa vytvára motivácia k zvýšeniu zamestnanosti v oblasti výskumu a vývoja.</w:t>
            </w:r>
          </w:p>
        </w:tc>
      </w:tr>
    </w:tbl>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p w:rsidR="007A5B13" w:rsidRDefault="007A5B13" w:rsidP="00EA543A">
      <w:pPr>
        <w:spacing w:after="0" w:line="240" w:lineRule="auto"/>
        <w:jc w:val="both"/>
        <w:rPr>
          <w:rFonts w:ascii="Times New Roman" w:hAnsi="Times New Roman" w:cs="Times New Roman"/>
          <w:b/>
          <w:sz w:val="24"/>
          <w:szCs w:val="24"/>
        </w:r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36"/>
        <w:gridCol w:w="951"/>
        <w:gridCol w:w="4687"/>
      </w:tblGrid>
      <w:tr w:rsidR="007A5B13" w:rsidRPr="00CD4982" w:rsidTr="007A5B13">
        <w:trPr>
          <w:trHeight w:val="759"/>
          <w:jc w:val="center"/>
        </w:trPr>
        <w:tc>
          <w:tcPr>
            <w:tcW w:w="5000" w:type="pct"/>
            <w:gridSpan w:val="3"/>
            <w:tcBorders>
              <w:top w:val="single" w:sz="4" w:space="0" w:color="auto"/>
              <w:bottom w:val="dotted" w:sz="4" w:space="0" w:color="auto"/>
            </w:tcBorders>
            <w:shd w:val="clear" w:color="auto" w:fill="auto"/>
          </w:tcPr>
          <w:p w:rsidR="007A5B13" w:rsidRPr="00A57582" w:rsidRDefault="007A5B13" w:rsidP="007A5B13">
            <w:pPr>
              <w:spacing w:after="0" w:line="240" w:lineRule="auto"/>
              <w:ind w:left="-284" w:firstLine="284"/>
              <w:jc w:val="center"/>
              <w:rPr>
                <w:rFonts w:ascii="Times New Roman" w:hAnsi="Times New Roman" w:cs="Times New Roman"/>
                <w:b/>
                <w:sz w:val="24"/>
                <w:szCs w:val="24"/>
                <w:lang w:eastAsia="sk-SK"/>
              </w:rPr>
            </w:pPr>
            <w:r w:rsidRPr="00A57582">
              <w:rPr>
                <w:rFonts w:ascii="Times New Roman" w:hAnsi="Times New Roman" w:cs="Times New Roman"/>
                <w:b/>
                <w:sz w:val="24"/>
                <w:szCs w:val="24"/>
                <w:lang w:eastAsia="sk-SK"/>
              </w:rPr>
              <w:t>Analýza sociálnych vplyvov</w:t>
            </w:r>
          </w:p>
          <w:p w:rsidR="007A5B13" w:rsidRPr="00012826" w:rsidRDefault="007A5B13" w:rsidP="007A5B13">
            <w:pPr>
              <w:spacing w:after="0" w:line="240" w:lineRule="auto"/>
              <w:rPr>
                <w:rFonts w:ascii="Times New Roman" w:eastAsia="Calibri" w:hAnsi="Times New Roman" w:cs="Times New Roman"/>
                <w:sz w:val="20"/>
                <w:szCs w:val="20"/>
                <w:lang w:eastAsia="sk-SK"/>
              </w:rPr>
            </w:pPr>
            <w:r w:rsidRPr="00A57582">
              <w:rPr>
                <w:rFonts w:ascii="Times New Roman" w:hAnsi="Times New Roman" w:cs="Times New Roman"/>
                <w:b/>
                <w:sz w:val="24"/>
                <w:szCs w:val="24"/>
                <w:lang w:eastAsia="sk-SK"/>
              </w:rPr>
              <w:t>Vplyvy na hospodárenie domácností, prístup k zdrojom, právam, tovarom a službám, sociálnu inklúziu, rovnosť príležitostí a rodovú rovnosť a vplyvy na zamestnanosť</w:t>
            </w:r>
          </w:p>
        </w:tc>
      </w:tr>
      <w:tr w:rsidR="007A5B13" w:rsidRPr="00CD4982" w:rsidTr="007A5B13">
        <w:trPr>
          <w:trHeight w:val="759"/>
          <w:jc w:val="center"/>
        </w:trPr>
        <w:tc>
          <w:tcPr>
            <w:tcW w:w="5000" w:type="pct"/>
            <w:gridSpan w:val="3"/>
            <w:tcBorders>
              <w:top w:val="nil"/>
              <w:bottom w:val="dotted" w:sz="4" w:space="0" w:color="auto"/>
            </w:tcBorders>
            <w:shd w:val="clear" w:color="auto" w:fill="auto"/>
          </w:tcPr>
          <w:p w:rsidR="007A5B13" w:rsidRPr="00012826" w:rsidRDefault="007A5B13" w:rsidP="00D225C7">
            <w:pPr>
              <w:spacing w:after="0" w:line="240" w:lineRule="auto"/>
              <w:rPr>
                <w:rFonts w:ascii="Times New Roman" w:eastAsia="Calibri" w:hAnsi="Times New Roman" w:cs="Times New Roman"/>
                <w:sz w:val="20"/>
                <w:szCs w:val="20"/>
                <w:lang w:eastAsia="sk-SK"/>
              </w:rPr>
            </w:pPr>
            <w:r w:rsidRPr="00A57582">
              <w:rPr>
                <w:rFonts w:ascii="Times New Roman" w:hAnsi="Times New Roman" w:cs="Times New Roman"/>
                <w:b/>
                <w:sz w:val="24"/>
                <w:szCs w:val="24"/>
                <w:lang w:eastAsia="sk-SK"/>
              </w:rPr>
              <w:t>4.1 Identifikujte, popíšte a kvantifikujte vplyv na hospodárenie domácností a špecifikujte ovplyvnené skupiny domácností, ktoré budú pozitívne/negatívne ovplyvnené.</w:t>
            </w:r>
          </w:p>
        </w:tc>
      </w:tr>
      <w:tr w:rsidR="007A5B13" w:rsidRPr="00CD4982" w:rsidTr="007A5B13">
        <w:trPr>
          <w:trHeight w:val="759"/>
          <w:jc w:val="center"/>
        </w:trPr>
        <w:tc>
          <w:tcPr>
            <w:tcW w:w="5000" w:type="pct"/>
            <w:gridSpan w:val="3"/>
            <w:tcBorders>
              <w:top w:val="nil"/>
              <w:bottom w:val="dotted" w:sz="4" w:space="0" w:color="auto"/>
            </w:tcBorders>
            <w:shd w:val="clear" w:color="auto" w:fill="auto"/>
          </w:tcPr>
          <w:p w:rsidR="007A5B13" w:rsidRPr="00A57582" w:rsidRDefault="007A5B13" w:rsidP="007A5B13">
            <w:pPr>
              <w:spacing w:after="0" w:line="240" w:lineRule="auto"/>
              <w:rPr>
                <w:rFonts w:ascii="Times New Roman" w:hAnsi="Times New Roman" w:cs="Times New Roman"/>
                <w:b/>
                <w:sz w:val="24"/>
                <w:szCs w:val="24"/>
                <w:lang w:eastAsia="sk-SK"/>
              </w:rPr>
            </w:pPr>
            <w:r w:rsidRPr="00A57582">
              <w:rPr>
                <w:rFonts w:ascii="Times New Roman" w:hAnsi="Times New Roman" w:cs="Times New Roman"/>
                <w:b/>
                <w:sz w:val="24"/>
                <w:szCs w:val="24"/>
                <w:lang w:eastAsia="sk-SK"/>
              </w:rPr>
              <w:t xml:space="preserve">Vedie návrh k zvýšeniu alebo zníženiu príjmov alebo výdavkov domácností? </w:t>
            </w:r>
          </w:p>
          <w:p w:rsidR="007A5B13" w:rsidRPr="00A57582" w:rsidRDefault="007A5B13" w:rsidP="007A5B13">
            <w:pPr>
              <w:spacing w:after="0" w:line="240" w:lineRule="auto"/>
              <w:rPr>
                <w:rFonts w:ascii="Times New Roman" w:hAnsi="Times New Roman" w:cs="Times New Roman"/>
                <w:b/>
                <w:sz w:val="24"/>
                <w:szCs w:val="24"/>
                <w:lang w:eastAsia="sk-SK"/>
              </w:rPr>
            </w:pPr>
            <w:r w:rsidRPr="00A57582">
              <w:rPr>
                <w:rFonts w:ascii="Times New Roman" w:hAnsi="Times New Roman" w:cs="Times New Roman"/>
                <w:b/>
                <w:sz w:val="24"/>
                <w:szCs w:val="24"/>
                <w:lang w:eastAsia="sk-SK"/>
              </w:rPr>
              <w:t xml:space="preserve">Ktoré skupiny domácností/obyvateľstva sú takto ovplyvnené a akým spôsobom? </w:t>
            </w:r>
          </w:p>
          <w:p w:rsidR="007A5B13" w:rsidRPr="00012826" w:rsidRDefault="007A5B13" w:rsidP="007A5B13">
            <w:pPr>
              <w:spacing w:after="0" w:line="240" w:lineRule="auto"/>
              <w:rPr>
                <w:rFonts w:ascii="Times New Roman" w:eastAsia="Calibri" w:hAnsi="Times New Roman" w:cs="Times New Roman"/>
                <w:sz w:val="20"/>
                <w:szCs w:val="20"/>
                <w:lang w:eastAsia="sk-SK"/>
              </w:rPr>
            </w:pPr>
            <w:r w:rsidRPr="00A57582">
              <w:rPr>
                <w:rFonts w:ascii="Times New Roman" w:hAnsi="Times New Roman" w:cs="Times New Roman"/>
                <w:b/>
                <w:sz w:val="24"/>
                <w:szCs w:val="24"/>
                <w:lang w:eastAsia="sk-SK"/>
              </w:rPr>
              <w:t>Sú medzi potenciálne ovplyvnenými skupinami skupiny v riziku chudoby alebo sociálneho vylúčenia?</w:t>
            </w:r>
          </w:p>
        </w:tc>
      </w:tr>
      <w:tr w:rsidR="007A5B13" w:rsidRPr="00CD4982" w:rsidTr="00D225C7">
        <w:trPr>
          <w:trHeight w:val="759"/>
          <w:jc w:val="center"/>
        </w:trPr>
        <w:tc>
          <w:tcPr>
            <w:tcW w:w="2500" w:type="pct"/>
            <w:gridSpan w:val="2"/>
            <w:tcBorders>
              <w:top w:val="nil"/>
              <w:bottom w:val="dotted" w:sz="4" w:space="0" w:color="auto"/>
            </w:tcBorders>
            <w:shd w:val="clear" w:color="auto" w:fill="auto"/>
          </w:tcPr>
          <w:p w:rsidR="007A5B13" w:rsidRPr="007A5B13" w:rsidRDefault="007A5B13" w:rsidP="00D225C7">
            <w:pPr>
              <w:spacing w:after="0" w:line="240" w:lineRule="auto"/>
              <w:rPr>
                <w:rFonts w:ascii="Times New Roman" w:eastAsia="Calibri" w:hAnsi="Times New Roman" w:cs="Times New Roman"/>
                <w:i/>
                <w:sz w:val="24"/>
                <w:szCs w:val="24"/>
                <w:lang w:eastAsia="sk-SK"/>
              </w:rPr>
            </w:pPr>
            <w:r w:rsidRPr="007A5B13">
              <w:rPr>
                <w:rFonts w:ascii="Times New Roman" w:eastAsia="Calibri" w:hAnsi="Times New Roman" w:cs="Times New Roman"/>
                <w:i/>
                <w:sz w:val="24"/>
                <w:szCs w:val="24"/>
                <w:lang w:eastAsia="sk-SK"/>
              </w:rPr>
              <w:t xml:space="preserve">Popíšte </w:t>
            </w:r>
            <w:r w:rsidRPr="007A5B13">
              <w:rPr>
                <w:rFonts w:ascii="Times New Roman" w:eastAsia="Calibri" w:hAnsi="Times New Roman" w:cs="Times New Roman"/>
                <w:b/>
                <w:i/>
                <w:sz w:val="24"/>
                <w:szCs w:val="24"/>
                <w:lang w:eastAsia="sk-SK"/>
              </w:rPr>
              <w:t>pozitívny</w:t>
            </w:r>
            <w:r w:rsidRPr="007A5B13">
              <w:rPr>
                <w:rFonts w:ascii="Times New Roman" w:eastAsia="Calibri" w:hAnsi="Times New Roman" w:cs="Times New Roman"/>
                <w:i/>
                <w:sz w:val="24"/>
                <w:szCs w:val="24"/>
                <w:lang w:eastAsia="sk-SK"/>
              </w:rPr>
              <w:t xml:space="preserve"> vplyv na hospodárenie domácností s uvedením, či ide o zvýšenie príjmov alebo zníženie výdavkov:</w:t>
            </w:r>
          </w:p>
        </w:tc>
        <w:tc>
          <w:tcPr>
            <w:tcW w:w="2500" w:type="pct"/>
            <w:tcBorders>
              <w:top w:val="nil"/>
              <w:bottom w:val="dotted" w:sz="4" w:space="0" w:color="auto"/>
            </w:tcBorders>
            <w:shd w:val="clear" w:color="auto" w:fill="auto"/>
          </w:tcPr>
          <w:p w:rsidR="007A5B13" w:rsidRPr="007A5B13" w:rsidRDefault="007A5B13" w:rsidP="00D225C7">
            <w:pPr>
              <w:spacing w:after="0" w:line="240" w:lineRule="auto"/>
              <w:rPr>
                <w:rFonts w:ascii="Times New Roman" w:eastAsia="Calibri" w:hAnsi="Times New Roman" w:cs="Times New Roman"/>
                <w:b/>
                <w:sz w:val="24"/>
                <w:szCs w:val="24"/>
                <w:lang w:eastAsia="sk-SK"/>
              </w:rPr>
            </w:pPr>
            <w:r w:rsidRPr="007A5B13">
              <w:rPr>
                <w:rFonts w:ascii="Times New Roman" w:eastAsia="Calibri" w:hAnsi="Times New Roman" w:cs="Times New Roman"/>
                <w:b/>
                <w:sz w:val="24"/>
                <w:szCs w:val="24"/>
                <w:lang w:eastAsia="sk-SK"/>
              </w:rPr>
              <w:t>Návrh zákona bude mať mierne pozitívny vplyv na sociálne prostredie, predovšetkým vďaka oslobodeniu nepeňažného plnenia, ktoré by malo mať pozitívny vplyv na disponibilné príjmy obyvateľstva.</w:t>
            </w:r>
          </w:p>
        </w:tc>
      </w:tr>
      <w:tr w:rsidR="007A5B13" w:rsidRPr="00CD4982" w:rsidTr="00D225C7">
        <w:trPr>
          <w:trHeight w:val="624"/>
          <w:jc w:val="center"/>
        </w:trPr>
        <w:tc>
          <w:tcPr>
            <w:tcW w:w="2500" w:type="pct"/>
            <w:gridSpan w:val="2"/>
            <w:tcBorders>
              <w:top w:val="dotted" w:sz="4" w:space="0" w:color="auto"/>
            </w:tcBorders>
            <w:shd w:val="clear" w:color="auto" w:fill="auto"/>
          </w:tcPr>
          <w:p w:rsidR="007A5B13" w:rsidRPr="007A5B13" w:rsidRDefault="007A5B13" w:rsidP="00D225C7">
            <w:pPr>
              <w:spacing w:after="0" w:line="240" w:lineRule="auto"/>
              <w:rPr>
                <w:rFonts w:ascii="Times New Roman" w:eastAsia="Calibri" w:hAnsi="Times New Roman" w:cs="Times New Roman"/>
                <w:i/>
                <w:sz w:val="24"/>
                <w:szCs w:val="24"/>
                <w:lang w:eastAsia="sk-SK"/>
              </w:rPr>
            </w:pPr>
            <w:r w:rsidRPr="007A5B13">
              <w:rPr>
                <w:rFonts w:ascii="Times New Roman" w:eastAsia="Calibri" w:hAnsi="Times New Roman" w:cs="Times New Roman"/>
                <w:i/>
                <w:sz w:val="24"/>
                <w:szCs w:val="24"/>
                <w:lang w:eastAsia="sk-SK"/>
              </w:rPr>
              <w:t xml:space="preserve">Špecifikujte </w:t>
            </w:r>
            <w:r w:rsidRPr="007A5B13">
              <w:rPr>
                <w:rFonts w:ascii="Times New Roman" w:eastAsia="Calibri" w:hAnsi="Times New Roman" w:cs="Times New Roman"/>
                <w:b/>
                <w:i/>
                <w:sz w:val="24"/>
                <w:szCs w:val="24"/>
                <w:lang w:eastAsia="sk-SK"/>
              </w:rPr>
              <w:t>pozitívne</w:t>
            </w:r>
            <w:r w:rsidRPr="007A5B13">
              <w:rPr>
                <w:rFonts w:ascii="Times New Roman" w:eastAsia="Calibri" w:hAnsi="Times New Roman" w:cs="Times New Roman"/>
                <w:i/>
                <w:sz w:val="24"/>
                <w:szCs w:val="24"/>
                <w:lang w:eastAsia="sk-SK"/>
              </w:rPr>
              <w:t xml:space="preserve"> ovplyvnené skupiny:</w:t>
            </w:r>
          </w:p>
        </w:tc>
        <w:tc>
          <w:tcPr>
            <w:tcW w:w="2500" w:type="pct"/>
            <w:tcBorders>
              <w:top w:val="dotted" w:sz="4" w:space="0" w:color="auto"/>
            </w:tcBorders>
            <w:shd w:val="clear" w:color="auto" w:fill="auto"/>
          </w:tcPr>
          <w:p w:rsidR="007A5B13" w:rsidRPr="007A5B13" w:rsidRDefault="007A5B13" w:rsidP="00D225C7">
            <w:pPr>
              <w:spacing w:after="0" w:line="240" w:lineRule="auto"/>
              <w:rPr>
                <w:rFonts w:ascii="Times New Roman" w:eastAsia="Calibri" w:hAnsi="Times New Roman" w:cs="Times New Roman"/>
                <w:b/>
                <w:sz w:val="24"/>
                <w:szCs w:val="24"/>
                <w:lang w:eastAsia="sk-SK"/>
              </w:rPr>
            </w:pPr>
            <w:r w:rsidRPr="007A5B13">
              <w:rPr>
                <w:rFonts w:ascii="Times New Roman" w:eastAsia="Calibri" w:hAnsi="Times New Roman" w:cs="Times New Roman"/>
                <w:sz w:val="24"/>
                <w:szCs w:val="24"/>
                <w:lang w:eastAsia="sk-SK"/>
              </w:rPr>
              <w:t>1</w:t>
            </w:r>
            <w:r w:rsidRPr="007A5B13">
              <w:rPr>
                <w:rFonts w:ascii="Times New Roman" w:eastAsia="Calibri" w:hAnsi="Times New Roman" w:cs="Times New Roman"/>
                <w:b/>
                <w:sz w:val="24"/>
                <w:szCs w:val="24"/>
                <w:lang w:eastAsia="sk-SK"/>
              </w:rPr>
              <w:t xml:space="preserve">. Daňovníci, fyzické osoby - zamestnanci, ktorým zamestnávateľ poskytne plnenia oslobodené od dane z príjmov: </w:t>
            </w:r>
          </w:p>
          <w:p w:rsidR="007A5B13" w:rsidRPr="007A5B13" w:rsidRDefault="007A5B13" w:rsidP="00D225C7">
            <w:pPr>
              <w:spacing w:after="0" w:line="240" w:lineRule="auto"/>
              <w:rPr>
                <w:rFonts w:ascii="Times New Roman" w:eastAsia="Calibri" w:hAnsi="Times New Roman" w:cs="Times New Roman"/>
                <w:b/>
                <w:sz w:val="24"/>
                <w:szCs w:val="24"/>
                <w:lang w:eastAsia="sk-SK"/>
              </w:rPr>
            </w:pPr>
            <w:r w:rsidRPr="007A5B13">
              <w:rPr>
                <w:rFonts w:ascii="Times New Roman" w:eastAsia="Calibri" w:hAnsi="Times New Roman" w:cs="Times New Roman"/>
                <w:b/>
                <w:sz w:val="24"/>
                <w:szCs w:val="24"/>
                <w:lang w:eastAsia="sk-SK"/>
              </w:rPr>
              <w:t>-  príspevok zo sociálneho fondu na preventívnu zdravotnú starostlivosť nad rámec zákona,</w:t>
            </w:r>
          </w:p>
          <w:p w:rsidR="007A5B13" w:rsidRPr="007A5B13" w:rsidRDefault="007A5B13" w:rsidP="00D225C7">
            <w:pPr>
              <w:spacing w:after="0" w:line="240" w:lineRule="auto"/>
              <w:rPr>
                <w:rFonts w:ascii="Times New Roman" w:eastAsia="Calibri" w:hAnsi="Times New Roman" w:cs="Times New Roman"/>
                <w:b/>
                <w:sz w:val="24"/>
                <w:szCs w:val="24"/>
                <w:lang w:eastAsia="sk-SK"/>
              </w:rPr>
            </w:pPr>
            <w:r w:rsidRPr="007A5B13">
              <w:rPr>
                <w:rFonts w:ascii="Times New Roman" w:eastAsia="Calibri" w:hAnsi="Times New Roman" w:cs="Times New Roman"/>
                <w:b/>
                <w:sz w:val="24"/>
                <w:szCs w:val="24"/>
                <w:lang w:eastAsia="sk-SK"/>
              </w:rPr>
              <w:t xml:space="preserve">- dopravu do zamestnania a späť, </w:t>
            </w:r>
          </w:p>
          <w:p w:rsidR="007A5B13" w:rsidRPr="007A5B13" w:rsidRDefault="007A5B13" w:rsidP="00D225C7">
            <w:pPr>
              <w:spacing w:after="0" w:line="240" w:lineRule="auto"/>
              <w:rPr>
                <w:rFonts w:ascii="Times New Roman" w:eastAsia="Calibri" w:hAnsi="Times New Roman" w:cs="Times New Roman"/>
                <w:b/>
                <w:sz w:val="24"/>
                <w:szCs w:val="24"/>
                <w:lang w:eastAsia="sk-SK"/>
              </w:rPr>
            </w:pPr>
            <w:r w:rsidRPr="007A5B13">
              <w:rPr>
                <w:rFonts w:ascii="Times New Roman" w:eastAsia="Calibri" w:hAnsi="Times New Roman" w:cs="Times New Roman"/>
                <w:b/>
                <w:sz w:val="24"/>
                <w:szCs w:val="24"/>
                <w:lang w:eastAsia="sk-SK"/>
              </w:rPr>
              <w:t>- ubytovanie (len ak prevažujúcou činnosťou zamestnávateľa je výroba vo viaczmennej prevádzke)</w:t>
            </w:r>
          </w:p>
          <w:p w:rsidR="007A5B13" w:rsidRPr="007A5B13" w:rsidRDefault="007A5B13" w:rsidP="00D225C7">
            <w:pPr>
              <w:spacing w:after="0" w:line="240" w:lineRule="auto"/>
              <w:rPr>
                <w:rFonts w:ascii="Times New Roman" w:eastAsia="Calibri" w:hAnsi="Times New Roman" w:cs="Times New Roman"/>
                <w:b/>
                <w:sz w:val="24"/>
                <w:szCs w:val="24"/>
                <w:lang w:eastAsia="sk-SK"/>
              </w:rPr>
            </w:pPr>
            <w:r w:rsidRPr="007A5B13">
              <w:rPr>
                <w:rFonts w:ascii="Times New Roman" w:eastAsia="Calibri" w:hAnsi="Times New Roman" w:cs="Times New Roman"/>
                <w:b/>
                <w:sz w:val="24"/>
                <w:szCs w:val="24"/>
                <w:lang w:eastAsia="sk-SK"/>
              </w:rPr>
              <w:t>- nepeňažné plnenie bez špecifikácie účelu v ustanovenej sume 500 eur.</w:t>
            </w:r>
          </w:p>
          <w:p w:rsidR="007A5B13" w:rsidRPr="007A5B13" w:rsidRDefault="007A5B13" w:rsidP="00D225C7">
            <w:pPr>
              <w:spacing w:after="0" w:line="240" w:lineRule="auto"/>
              <w:rPr>
                <w:rFonts w:ascii="Times New Roman" w:eastAsia="Calibri" w:hAnsi="Times New Roman" w:cs="Times New Roman"/>
                <w:b/>
                <w:sz w:val="24"/>
                <w:szCs w:val="24"/>
                <w:lang w:eastAsia="sk-SK"/>
              </w:rPr>
            </w:pPr>
          </w:p>
          <w:p w:rsidR="007A5B13" w:rsidRPr="007A5B13" w:rsidRDefault="007A5B13" w:rsidP="00D225C7">
            <w:pPr>
              <w:spacing w:after="0" w:line="240" w:lineRule="auto"/>
              <w:rPr>
                <w:rFonts w:ascii="Times New Roman" w:eastAsia="Calibri" w:hAnsi="Times New Roman" w:cs="Times New Roman"/>
                <w:sz w:val="24"/>
                <w:szCs w:val="24"/>
                <w:lang w:eastAsia="sk-SK"/>
              </w:rPr>
            </w:pPr>
            <w:r w:rsidRPr="007A5B13">
              <w:rPr>
                <w:rFonts w:ascii="Times New Roman" w:eastAsia="Calibri" w:hAnsi="Times New Roman" w:cs="Times New Roman"/>
                <w:b/>
                <w:sz w:val="24"/>
                <w:szCs w:val="24"/>
                <w:lang w:eastAsia="sk-SK"/>
              </w:rPr>
              <w:t>2. Daňovníci – fyzické osoby, ktorých schopnosť vykonávať doterajšiu činnosť v dôsledku úrazu klesla o viac ako 40 % a ktorým bolo poskytnuté jednorazové vysporiadanie odškodnenia budúcich poistných nárokov (ide o náhradu škody resp. náhradu za stratu na zárobku po skončení pracovnej neschopnosti), plynúcich z komerčného poistenia zodpovednosti za škodu.</w:t>
            </w:r>
          </w:p>
        </w:tc>
      </w:tr>
      <w:tr w:rsidR="007A5B13" w:rsidRPr="00CD4982" w:rsidTr="00D225C7">
        <w:trPr>
          <w:trHeight w:val="759"/>
          <w:jc w:val="center"/>
        </w:trPr>
        <w:tc>
          <w:tcPr>
            <w:tcW w:w="2500" w:type="pct"/>
            <w:gridSpan w:val="2"/>
            <w:tcBorders>
              <w:bottom w:val="dotted" w:sz="4" w:space="0" w:color="auto"/>
            </w:tcBorders>
            <w:shd w:val="clear" w:color="auto" w:fill="auto"/>
          </w:tcPr>
          <w:p w:rsidR="007A5B13" w:rsidRPr="007A5B13" w:rsidRDefault="007A5B13" w:rsidP="00D225C7">
            <w:pPr>
              <w:spacing w:after="0" w:line="240" w:lineRule="auto"/>
              <w:rPr>
                <w:rFonts w:ascii="Times New Roman" w:eastAsia="Calibri" w:hAnsi="Times New Roman" w:cs="Times New Roman"/>
                <w:i/>
                <w:sz w:val="24"/>
                <w:szCs w:val="24"/>
                <w:lang w:eastAsia="sk-SK"/>
              </w:rPr>
            </w:pPr>
            <w:r w:rsidRPr="007A5B13">
              <w:rPr>
                <w:rFonts w:ascii="Times New Roman" w:eastAsia="Calibri" w:hAnsi="Times New Roman" w:cs="Times New Roman"/>
                <w:i/>
                <w:sz w:val="24"/>
                <w:szCs w:val="24"/>
                <w:lang w:eastAsia="sk-SK"/>
              </w:rPr>
              <w:t xml:space="preserve">Popíšte </w:t>
            </w:r>
            <w:r w:rsidRPr="007A5B13">
              <w:rPr>
                <w:rFonts w:ascii="Times New Roman" w:eastAsia="Calibri" w:hAnsi="Times New Roman" w:cs="Times New Roman"/>
                <w:b/>
                <w:i/>
                <w:sz w:val="24"/>
                <w:szCs w:val="24"/>
                <w:lang w:eastAsia="sk-SK"/>
              </w:rPr>
              <w:t xml:space="preserve">negatívny </w:t>
            </w:r>
            <w:r w:rsidRPr="007A5B13">
              <w:rPr>
                <w:rFonts w:ascii="Times New Roman" w:eastAsia="Calibri" w:hAnsi="Times New Roman" w:cs="Times New Roman"/>
                <w:i/>
                <w:sz w:val="24"/>
                <w:szCs w:val="24"/>
                <w:lang w:eastAsia="sk-SK"/>
              </w:rPr>
              <w:t>vplyv na hospodárenie domácností s uvedením, či ide o zníženie príjmov alebo zvýšenie výdavkov:</w:t>
            </w:r>
          </w:p>
        </w:tc>
        <w:tc>
          <w:tcPr>
            <w:tcW w:w="2500" w:type="pct"/>
            <w:tcBorders>
              <w:bottom w:val="dotted" w:sz="4" w:space="0" w:color="auto"/>
            </w:tcBorders>
            <w:shd w:val="clear" w:color="auto" w:fill="auto"/>
          </w:tcPr>
          <w:p w:rsidR="007A5B13" w:rsidRPr="007A5B13" w:rsidRDefault="007A5B13" w:rsidP="00D225C7">
            <w:pPr>
              <w:spacing w:after="0" w:line="240" w:lineRule="auto"/>
              <w:rPr>
                <w:rFonts w:ascii="Times New Roman" w:eastAsia="Calibri" w:hAnsi="Times New Roman" w:cs="Times New Roman"/>
                <w:sz w:val="24"/>
                <w:szCs w:val="24"/>
                <w:lang w:eastAsia="sk-SK"/>
              </w:rPr>
            </w:pPr>
          </w:p>
        </w:tc>
      </w:tr>
      <w:tr w:rsidR="007A5B13" w:rsidRPr="00CD4982" w:rsidTr="007A5B13">
        <w:trPr>
          <w:trHeight w:val="624"/>
          <w:jc w:val="center"/>
        </w:trPr>
        <w:tc>
          <w:tcPr>
            <w:tcW w:w="2500" w:type="pct"/>
            <w:gridSpan w:val="2"/>
            <w:tcBorders>
              <w:top w:val="dotted" w:sz="4" w:space="0" w:color="auto"/>
              <w:bottom w:val="single" w:sz="4" w:space="0" w:color="auto"/>
            </w:tcBorders>
            <w:shd w:val="clear" w:color="auto" w:fill="auto"/>
          </w:tcPr>
          <w:p w:rsidR="007A5B13" w:rsidRPr="007A5B13" w:rsidRDefault="007A5B13" w:rsidP="00D225C7">
            <w:pPr>
              <w:spacing w:after="0" w:line="240" w:lineRule="auto"/>
              <w:rPr>
                <w:rFonts w:ascii="Times New Roman" w:eastAsia="Calibri" w:hAnsi="Times New Roman" w:cs="Times New Roman"/>
                <w:i/>
                <w:sz w:val="24"/>
                <w:szCs w:val="24"/>
                <w:lang w:eastAsia="sk-SK"/>
              </w:rPr>
            </w:pPr>
            <w:r w:rsidRPr="007A5B13">
              <w:rPr>
                <w:rFonts w:ascii="Times New Roman" w:eastAsia="Calibri" w:hAnsi="Times New Roman" w:cs="Times New Roman"/>
                <w:i/>
                <w:sz w:val="24"/>
                <w:szCs w:val="24"/>
                <w:lang w:eastAsia="sk-SK"/>
              </w:rPr>
              <w:t xml:space="preserve">Špecifikujte </w:t>
            </w:r>
            <w:r w:rsidRPr="007A5B13">
              <w:rPr>
                <w:rFonts w:ascii="Times New Roman" w:eastAsia="Calibri" w:hAnsi="Times New Roman" w:cs="Times New Roman"/>
                <w:b/>
                <w:i/>
                <w:sz w:val="24"/>
                <w:szCs w:val="24"/>
                <w:lang w:eastAsia="sk-SK"/>
              </w:rPr>
              <w:t>negatívne</w:t>
            </w:r>
            <w:r w:rsidRPr="007A5B13">
              <w:rPr>
                <w:rFonts w:ascii="Times New Roman" w:eastAsia="Calibri" w:hAnsi="Times New Roman" w:cs="Times New Roman"/>
                <w:i/>
                <w:sz w:val="24"/>
                <w:szCs w:val="24"/>
                <w:lang w:eastAsia="sk-SK"/>
              </w:rPr>
              <w:t xml:space="preserve"> ovplyvnené skupiny:</w:t>
            </w:r>
          </w:p>
        </w:tc>
        <w:tc>
          <w:tcPr>
            <w:tcW w:w="2500" w:type="pct"/>
            <w:tcBorders>
              <w:top w:val="dotted" w:sz="4" w:space="0" w:color="auto"/>
              <w:bottom w:val="single" w:sz="4" w:space="0" w:color="auto"/>
            </w:tcBorders>
            <w:shd w:val="clear" w:color="auto" w:fill="auto"/>
          </w:tcPr>
          <w:p w:rsidR="007A5B13" w:rsidRPr="007A5B13" w:rsidRDefault="007A5B13" w:rsidP="00D225C7">
            <w:pPr>
              <w:spacing w:after="0" w:line="240" w:lineRule="auto"/>
              <w:rPr>
                <w:rFonts w:ascii="Times New Roman" w:eastAsia="Calibri" w:hAnsi="Times New Roman" w:cs="Times New Roman"/>
                <w:sz w:val="24"/>
                <w:szCs w:val="24"/>
                <w:lang w:eastAsia="sk-SK"/>
              </w:rPr>
            </w:pPr>
          </w:p>
        </w:tc>
      </w:tr>
      <w:tr w:rsidR="007A5B13" w:rsidRPr="00CD4982" w:rsidTr="007A5B13">
        <w:trPr>
          <w:trHeight w:val="680"/>
          <w:jc w:val="center"/>
        </w:trPr>
        <w:tc>
          <w:tcPr>
            <w:tcW w:w="2500" w:type="pct"/>
            <w:gridSpan w:val="2"/>
            <w:shd w:val="clear" w:color="auto" w:fill="auto"/>
          </w:tcPr>
          <w:p w:rsidR="007A5B13" w:rsidRPr="007A5B13" w:rsidRDefault="007A5B13" w:rsidP="00D225C7">
            <w:pPr>
              <w:spacing w:after="0" w:line="240" w:lineRule="auto"/>
              <w:rPr>
                <w:rFonts w:ascii="Times New Roman" w:eastAsia="Calibri" w:hAnsi="Times New Roman" w:cs="Times New Roman"/>
                <w:i/>
                <w:sz w:val="24"/>
                <w:szCs w:val="24"/>
                <w:lang w:eastAsia="sk-SK"/>
              </w:rPr>
            </w:pPr>
            <w:r w:rsidRPr="007A5B13">
              <w:rPr>
                <w:rFonts w:ascii="Times New Roman" w:eastAsia="Calibri" w:hAnsi="Times New Roman" w:cs="Times New Roman"/>
                <w:i/>
                <w:sz w:val="24"/>
                <w:szCs w:val="24"/>
                <w:lang w:eastAsia="sk-SK"/>
              </w:rPr>
              <w:t xml:space="preserve">Špecifikujte ovplyvnené skupiny </w:t>
            </w:r>
            <w:r w:rsidRPr="007A5B13">
              <w:rPr>
                <w:rFonts w:ascii="Times New Roman" w:eastAsia="Calibri" w:hAnsi="Times New Roman" w:cs="Times New Roman"/>
                <w:b/>
                <w:i/>
                <w:sz w:val="24"/>
                <w:szCs w:val="24"/>
                <w:lang w:eastAsia="sk-SK"/>
              </w:rPr>
              <w:t>v riziku chudoby alebo sociálneho vylúčenia</w:t>
            </w:r>
            <w:r w:rsidRPr="007A5B13">
              <w:rPr>
                <w:rFonts w:ascii="Times New Roman" w:eastAsia="Calibri" w:hAnsi="Times New Roman" w:cs="Times New Roman"/>
                <w:i/>
                <w:sz w:val="24"/>
                <w:szCs w:val="24"/>
                <w:lang w:eastAsia="sk-SK"/>
              </w:rPr>
              <w:t xml:space="preserve"> a popíšte vplyv:</w:t>
            </w:r>
          </w:p>
        </w:tc>
        <w:tc>
          <w:tcPr>
            <w:tcW w:w="2500" w:type="pct"/>
            <w:shd w:val="clear" w:color="auto" w:fill="auto"/>
          </w:tcPr>
          <w:p w:rsidR="007A5B13" w:rsidRPr="007A5B13" w:rsidRDefault="007A5B13" w:rsidP="00D225C7">
            <w:pPr>
              <w:spacing w:after="0" w:line="240" w:lineRule="auto"/>
              <w:rPr>
                <w:rFonts w:ascii="Times New Roman" w:eastAsia="Calibri" w:hAnsi="Times New Roman" w:cs="Times New Roman"/>
                <w:b/>
                <w:sz w:val="24"/>
                <w:szCs w:val="24"/>
                <w:lang w:eastAsia="sk-SK"/>
              </w:rPr>
            </w:pPr>
            <w:r w:rsidRPr="007A5B13">
              <w:rPr>
                <w:rFonts w:ascii="Times New Roman" w:eastAsia="Calibri" w:hAnsi="Times New Roman" w:cs="Times New Roman"/>
                <w:b/>
                <w:sz w:val="24"/>
                <w:szCs w:val="24"/>
                <w:lang w:eastAsia="sk-SK"/>
              </w:rPr>
              <w:t xml:space="preserve">Ľudia so zdravotným postihnutím, ktorí v dôsledku úrazu nemôžu, resp. môžu len </w:t>
            </w:r>
            <w:r w:rsidRPr="007A5B13">
              <w:rPr>
                <w:rFonts w:ascii="Times New Roman" w:eastAsia="Calibri" w:hAnsi="Times New Roman" w:cs="Times New Roman"/>
                <w:b/>
                <w:sz w:val="24"/>
                <w:szCs w:val="24"/>
                <w:lang w:eastAsia="sk-SK"/>
              </w:rPr>
              <w:lastRenderedPageBreak/>
              <w:t>v obmedzenej miere, vykonávať zárobkovú činnosť.</w:t>
            </w:r>
          </w:p>
          <w:p w:rsidR="007A5B13" w:rsidRPr="007A5B13" w:rsidRDefault="007A5B13" w:rsidP="00D225C7">
            <w:pPr>
              <w:spacing w:after="0" w:line="240" w:lineRule="auto"/>
              <w:rPr>
                <w:rFonts w:ascii="Times New Roman" w:eastAsia="Calibri" w:hAnsi="Times New Roman" w:cs="Times New Roman"/>
                <w:b/>
                <w:sz w:val="24"/>
                <w:szCs w:val="24"/>
                <w:lang w:eastAsia="sk-SK"/>
              </w:rPr>
            </w:pPr>
          </w:p>
          <w:p w:rsidR="007A5B13" w:rsidRPr="007A5B13" w:rsidRDefault="007A5B13" w:rsidP="00D225C7">
            <w:pPr>
              <w:spacing w:after="0" w:line="240" w:lineRule="auto"/>
              <w:rPr>
                <w:rFonts w:ascii="Times New Roman" w:eastAsia="Calibri" w:hAnsi="Times New Roman" w:cs="Times New Roman"/>
                <w:sz w:val="24"/>
                <w:szCs w:val="24"/>
                <w:lang w:eastAsia="sk-SK"/>
              </w:rPr>
            </w:pPr>
            <w:r w:rsidRPr="007A5B13">
              <w:rPr>
                <w:rFonts w:ascii="Times New Roman" w:eastAsia="Calibri" w:hAnsi="Times New Roman" w:cs="Times New Roman"/>
                <w:b/>
                <w:sz w:val="24"/>
                <w:szCs w:val="24"/>
                <w:lang w:eastAsia="sk-SK"/>
              </w:rPr>
              <w:t>Sociálne slabšie skupiny ľudí, ktorí budú mať viac príležitostí bezodplatného prístupu k potravinám, ktorým exspirovala doba použiteľnosti.</w:t>
            </w:r>
          </w:p>
        </w:tc>
      </w:tr>
      <w:tr w:rsidR="007A5B13" w:rsidRPr="00CD4982" w:rsidTr="007A5B13">
        <w:trPr>
          <w:trHeight w:val="680"/>
          <w:jc w:val="center"/>
        </w:trPr>
        <w:tc>
          <w:tcPr>
            <w:tcW w:w="5000" w:type="pct"/>
            <w:gridSpan w:val="3"/>
            <w:tcBorders>
              <w:bottom w:val="single" w:sz="4" w:space="0" w:color="auto"/>
            </w:tcBorders>
            <w:shd w:val="clear" w:color="auto" w:fill="auto"/>
          </w:tcPr>
          <w:p w:rsidR="007A5B13" w:rsidRPr="007A5B13" w:rsidRDefault="007A5B13" w:rsidP="007A5B13">
            <w:pPr>
              <w:spacing w:after="0" w:line="240" w:lineRule="auto"/>
              <w:jc w:val="both"/>
              <w:rPr>
                <w:rFonts w:ascii="Times New Roman" w:hAnsi="Times New Roman" w:cs="Times New Roman"/>
                <w:i/>
                <w:sz w:val="24"/>
                <w:szCs w:val="24"/>
                <w:lang w:eastAsia="sk-SK"/>
              </w:rPr>
            </w:pPr>
            <w:r w:rsidRPr="007A5B13">
              <w:rPr>
                <w:rFonts w:ascii="Times New Roman" w:hAnsi="Times New Roman" w:cs="Times New Roman"/>
                <w:i/>
                <w:sz w:val="24"/>
                <w:szCs w:val="24"/>
                <w:lang w:eastAsia="sk-SK"/>
              </w:rPr>
              <w:lastRenderedPageBreak/>
              <w:t>Kvantifikujte rast alebo pokles príjmov/výdavkov za jednotliv</w:t>
            </w:r>
            <w:r w:rsidRPr="007A5B13">
              <w:rPr>
                <w:rFonts w:ascii="Times New Roman" w:hAnsi="Times New Roman" w:cs="Times New Roman"/>
                <w:i/>
                <w:sz w:val="24"/>
                <w:szCs w:val="24"/>
                <w:lang w:eastAsia="sk-SK"/>
              </w:rPr>
              <w:t>é ovplyvnené skupiny domácností</w:t>
            </w:r>
            <w:r w:rsidRPr="007A5B13">
              <w:rPr>
                <w:rFonts w:ascii="Times New Roman" w:hAnsi="Times New Roman" w:cs="Times New Roman"/>
                <w:i/>
                <w:sz w:val="24"/>
                <w:szCs w:val="24"/>
                <w:lang w:eastAsia="sk-SK"/>
              </w:rPr>
              <w:t>/skupiny jednotlivcov a počet obyvateľstva/domácností ovplyvnených predkladaným materiálom.</w:t>
            </w:r>
          </w:p>
          <w:p w:rsidR="007A5B13" w:rsidRPr="007A5B13" w:rsidRDefault="007A5B13" w:rsidP="007A5B13">
            <w:pPr>
              <w:spacing w:after="0" w:line="240" w:lineRule="auto"/>
              <w:jc w:val="both"/>
              <w:rPr>
                <w:rFonts w:ascii="Times New Roman" w:hAnsi="Times New Roman" w:cs="Times New Roman"/>
                <w:i/>
                <w:sz w:val="24"/>
                <w:szCs w:val="24"/>
                <w:lang w:eastAsia="sk-SK"/>
              </w:rPr>
            </w:pPr>
            <w:r w:rsidRPr="007A5B13">
              <w:rPr>
                <w:rFonts w:ascii="Times New Roman" w:hAnsi="Times New Roman" w:cs="Times New Roman"/>
                <w:i/>
                <w:sz w:val="24"/>
                <w:szCs w:val="24"/>
                <w:lang w:eastAsia="sk-SK"/>
              </w:rPr>
              <w:t>V prípade vyššieho počtu ovplyvnených skupín doplňte do tabuľky ďalšie riadky.</w:t>
            </w:r>
          </w:p>
          <w:p w:rsidR="007A5B13" w:rsidRPr="007A5B13" w:rsidRDefault="007A5B13" w:rsidP="007A5B13">
            <w:pPr>
              <w:spacing w:after="0" w:line="240" w:lineRule="auto"/>
              <w:rPr>
                <w:rFonts w:ascii="Times New Roman" w:eastAsia="Calibri" w:hAnsi="Times New Roman" w:cs="Times New Roman"/>
                <w:sz w:val="24"/>
                <w:szCs w:val="24"/>
                <w:lang w:eastAsia="sk-SK"/>
              </w:rPr>
            </w:pPr>
            <w:r w:rsidRPr="007A5B13">
              <w:rPr>
                <w:rFonts w:ascii="Times New Roman" w:hAnsi="Times New Roman" w:cs="Times New Roman"/>
                <w:i/>
                <w:sz w:val="24"/>
                <w:szCs w:val="24"/>
                <w:lang w:eastAsia="sk-SK"/>
              </w:rPr>
              <w:t>V prípade, ak neuvádzate kvantifikáciu, uveďte dôvod.</w:t>
            </w:r>
          </w:p>
        </w:tc>
      </w:tr>
      <w:tr w:rsidR="007A5B13" w:rsidRPr="00CD4982" w:rsidTr="007A5B13">
        <w:trPr>
          <w:trHeight w:val="68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7A5B13" w:rsidRPr="007A5B13" w:rsidRDefault="007A5B13" w:rsidP="00D225C7">
            <w:pPr>
              <w:spacing w:after="0" w:line="240" w:lineRule="auto"/>
              <w:jc w:val="both"/>
              <w:rPr>
                <w:rFonts w:ascii="Times New Roman" w:hAnsi="Times New Roman" w:cs="Times New Roman"/>
                <w:i/>
                <w:sz w:val="24"/>
                <w:szCs w:val="24"/>
                <w:lang w:eastAsia="sk-SK"/>
              </w:rPr>
            </w:pPr>
            <w:r w:rsidRPr="007A5B13">
              <w:rPr>
                <w:rFonts w:ascii="Times New Roman" w:hAnsi="Times New Roman" w:cs="Times New Roman"/>
                <w:i/>
                <w:sz w:val="24"/>
                <w:szCs w:val="24"/>
                <w:lang w:eastAsia="sk-SK"/>
              </w:rPr>
              <w:t>Ovplyvnená skupina č. 1:</w:t>
            </w:r>
          </w:p>
        </w:tc>
      </w:tr>
      <w:tr w:rsidR="007A5B13" w:rsidRPr="00CD4982" w:rsidTr="00F018BF">
        <w:trPr>
          <w:trHeight w:val="503"/>
          <w:jc w:val="center"/>
        </w:trPr>
        <w:tc>
          <w:tcPr>
            <w:tcW w:w="2500" w:type="pct"/>
            <w:gridSpan w:val="2"/>
            <w:tcBorders>
              <w:bottom w:val="single" w:sz="4" w:space="0" w:color="BFBFBF" w:themeColor="background1" w:themeShade="BF"/>
            </w:tcBorders>
            <w:shd w:val="clear" w:color="auto" w:fill="auto"/>
          </w:tcPr>
          <w:p w:rsidR="007A5B13" w:rsidRPr="007A5B13" w:rsidRDefault="007A5B13" w:rsidP="00D225C7">
            <w:pPr>
              <w:spacing w:after="0" w:line="240" w:lineRule="auto"/>
              <w:rPr>
                <w:rFonts w:ascii="Times New Roman" w:eastAsia="Calibri" w:hAnsi="Times New Roman" w:cs="Times New Roman"/>
                <w:i/>
                <w:sz w:val="24"/>
                <w:szCs w:val="24"/>
                <w:lang w:eastAsia="sk-SK"/>
              </w:rPr>
            </w:pPr>
            <w:r w:rsidRPr="007A5B13">
              <w:rPr>
                <w:rFonts w:ascii="Times New Roman" w:eastAsia="Calibri" w:hAnsi="Times New Roman" w:cs="Times New Roman"/>
                <w:i/>
                <w:sz w:val="24"/>
                <w:szCs w:val="24"/>
                <w:lang w:eastAsia="sk-SK"/>
              </w:rPr>
              <w:t>Pozitívny vplyv - priemerný rast príjmov/ pokles výdavkov v skupine v eurách a/alebo v % / obdobie:</w:t>
            </w:r>
          </w:p>
        </w:tc>
        <w:tc>
          <w:tcPr>
            <w:tcW w:w="2500" w:type="pct"/>
            <w:tcBorders>
              <w:bottom w:val="single" w:sz="4" w:space="0" w:color="BFBFBF" w:themeColor="background1" w:themeShade="BF"/>
            </w:tcBorders>
            <w:shd w:val="clear" w:color="auto" w:fill="auto"/>
          </w:tcPr>
          <w:p w:rsidR="007A5B13" w:rsidRPr="00F018BF" w:rsidRDefault="007A5B13" w:rsidP="00D225C7">
            <w:pPr>
              <w:spacing w:after="0" w:line="240" w:lineRule="auto"/>
              <w:jc w:val="both"/>
              <w:rPr>
                <w:rFonts w:ascii="Times New Roman" w:eastAsia="Calibri" w:hAnsi="Times New Roman" w:cs="Times New Roman"/>
                <w:b/>
                <w:sz w:val="24"/>
                <w:szCs w:val="24"/>
                <w:lang w:eastAsia="sk-SK"/>
              </w:rPr>
            </w:pPr>
            <w:r w:rsidRPr="00F018BF">
              <w:rPr>
                <w:rFonts w:ascii="Times New Roman" w:eastAsia="Calibri" w:hAnsi="Times New Roman" w:cs="Times New Roman"/>
                <w:b/>
                <w:sz w:val="24"/>
                <w:szCs w:val="24"/>
                <w:lang w:eastAsia="sk-SK"/>
              </w:rPr>
              <w:t>Ide o opatrenia, ktoré v aplikačnej praxi zamestnávatelia môžu, ale nemusia uplatniť. Z toho dôvodu nie je možné vyčísliť priemerný rast príjmov v tejto skupine.</w:t>
            </w:r>
          </w:p>
        </w:tc>
      </w:tr>
      <w:tr w:rsidR="007A5B13" w:rsidRPr="00CD4982" w:rsidTr="00F018BF">
        <w:trPr>
          <w:trHeight w:val="497"/>
          <w:jc w:val="center"/>
        </w:trPr>
        <w:tc>
          <w:tcPr>
            <w:tcW w:w="2500" w:type="pct"/>
            <w:gridSpan w:val="2"/>
            <w:tcBorders>
              <w:top w:val="single" w:sz="4" w:space="0" w:color="BFBFBF" w:themeColor="background1" w:themeShade="BF"/>
              <w:bottom w:val="single" w:sz="4" w:space="0" w:color="BFBFBF" w:themeColor="background1" w:themeShade="BF"/>
            </w:tcBorders>
            <w:shd w:val="clear" w:color="auto" w:fill="auto"/>
          </w:tcPr>
          <w:p w:rsidR="007A5B13" w:rsidRPr="007A5B13" w:rsidRDefault="007A5B13" w:rsidP="00D225C7">
            <w:pPr>
              <w:spacing w:after="0" w:line="240" w:lineRule="auto"/>
              <w:rPr>
                <w:rFonts w:ascii="Calibri" w:eastAsia="Calibri" w:hAnsi="Calibri" w:cs="Times New Roman"/>
                <w:i/>
                <w:sz w:val="24"/>
                <w:szCs w:val="24"/>
                <w:lang w:eastAsia="sk-SK"/>
              </w:rPr>
            </w:pPr>
            <w:r w:rsidRPr="007A5B13">
              <w:rPr>
                <w:rFonts w:ascii="Times New Roman" w:eastAsia="Calibri" w:hAnsi="Times New Roman" w:cs="Times New Roman"/>
                <w:i/>
                <w:sz w:val="24"/>
                <w:szCs w:val="24"/>
                <w:lang w:eastAsia="sk-SK"/>
              </w:rPr>
              <w:t xml:space="preserve">Negatívny vplyv - priemerný pokles príjmov/ rast výdavkov v skupine v eurách a/alebo v % / obdobie: </w:t>
            </w:r>
          </w:p>
        </w:tc>
        <w:tc>
          <w:tcPr>
            <w:tcW w:w="2500" w:type="pct"/>
            <w:tcBorders>
              <w:top w:val="single" w:sz="4" w:space="0" w:color="BFBFBF" w:themeColor="background1" w:themeShade="BF"/>
              <w:bottom w:val="single" w:sz="4" w:space="0" w:color="BFBFBF" w:themeColor="background1" w:themeShade="BF"/>
            </w:tcBorders>
            <w:shd w:val="clear" w:color="auto" w:fill="auto"/>
          </w:tcPr>
          <w:p w:rsidR="007A5B13" w:rsidRPr="007A5B13" w:rsidRDefault="007A5B13" w:rsidP="00D225C7">
            <w:pPr>
              <w:spacing w:after="0" w:line="240" w:lineRule="auto"/>
              <w:jc w:val="both"/>
              <w:rPr>
                <w:rFonts w:ascii="Times New Roman" w:eastAsia="Calibri" w:hAnsi="Times New Roman" w:cs="Times New Roman"/>
                <w:sz w:val="24"/>
                <w:szCs w:val="24"/>
                <w:lang w:eastAsia="sk-SK"/>
              </w:rPr>
            </w:pPr>
          </w:p>
        </w:tc>
      </w:tr>
      <w:tr w:rsidR="007A5B13" w:rsidRPr="00CD4982" w:rsidTr="00F018BF">
        <w:trPr>
          <w:trHeight w:val="363"/>
          <w:jc w:val="center"/>
        </w:trPr>
        <w:tc>
          <w:tcPr>
            <w:tcW w:w="2500" w:type="pct"/>
            <w:gridSpan w:val="2"/>
            <w:tcBorders>
              <w:top w:val="single" w:sz="4" w:space="0" w:color="BFBFBF" w:themeColor="background1" w:themeShade="BF"/>
              <w:bottom w:val="single" w:sz="4" w:space="0" w:color="auto"/>
            </w:tcBorders>
            <w:shd w:val="clear" w:color="auto" w:fill="auto"/>
          </w:tcPr>
          <w:p w:rsidR="007A5B13" w:rsidRPr="007A5B13" w:rsidRDefault="007A5B13" w:rsidP="00D225C7">
            <w:pPr>
              <w:spacing w:after="0" w:line="240" w:lineRule="auto"/>
              <w:rPr>
                <w:rFonts w:ascii="Calibri" w:eastAsia="Calibri" w:hAnsi="Calibri" w:cs="Times New Roman"/>
                <w:i/>
                <w:sz w:val="24"/>
                <w:szCs w:val="24"/>
                <w:lang w:eastAsia="sk-SK"/>
              </w:rPr>
            </w:pPr>
            <w:r w:rsidRPr="007A5B13">
              <w:rPr>
                <w:rFonts w:ascii="Times New Roman" w:eastAsia="Calibri" w:hAnsi="Times New Roman" w:cs="Times New Roman"/>
                <w:i/>
                <w:sz w:val="24"/>
                <w:szCs w:val="24"/>
                <w:lang w:eastAsia="sk-SK"/>
              </w:rPr>
              <w:t>Veľkosť skupiny (počet obyvateľov):</w:t>
            </w:r>
          </w:p>
        </w:tc>
        <w:tc>
          <w:tcPr>
            <w:tcW w:w="2500" w:type="pct"/>
            <w:tcBorders>
              <w:top w:val="single" w:sz="4" w:space="0" w:color="BFBFBF" w:themeColor="background1" w:themeShade="BF"/>
              <w:bottom w:val="single" w:sz="4" w:space="0" w:color="auto"/>
            </w:tcBorders>
            <w:shd w:val="clear" w:color="auto" w:fill="auto"/>
          </w:tcPr>
          <w:p w:rsidR="007A5B13" w:rsidRPr="007A5B13" w:rsidRDefault="007A5B13" w:rsidP="00D225C7">
            <w:pPr>
              <w:spacing w:after="0" w:line="240" w:lineRule="auto"/>
              <w:jc w:val="both"/>
              <w:rPr>
                <w:rFonts w:ascii="Times New Roman" w:eastAsia="Calibri" w:hAnsi="Times New Roman" w:cs="Times New Roman"/>
                <w:sz w:val="24"/>
                <w:szCs w:val="24"/>
                <w:lang w:eastAsia="sk-SK"/>
              </w:rPr>
            </w:pPr>
          </w:p>
        </w:tc>
      </w:tr>
      <w:tr w:rsidR="007A5B13" w:rsidRPr="00CD4982" w:rsidTr="00F018BF">
        <w:trPr>
          <w:trHeight w:val="265"/>
          <w:jc w:val="center"/>
        </w:trPr>
        <w:tc>
          <w:tcPr>
            <w:tcW w:w="5000" w:type="pct"/>
            <w:gridSpan w:val="3"/>
            <w:tcBorders>
              <w:top w:val="single" w:sz="4" w:space="0" w:color="auto"/>
            </w:tcBorders>
            <w:shd w:val="clear" w:color="auto" w:fill="auto"/>
          </w:tcPr>
          <w:p w:rsidR="007A5B13" w:rsidRPr="007A5B13" w:rsidRDefault="007A5B13" w:rsidP="00D225C7">
            <w:pPr>
              <w:spacing w:after="0" w:line="240" w:lineRule="auto"/>
              <w:jc w:val="both"/>
              <w:rPr>
                <w:rFonts w:ascii="Times New Roman" w:eastAsia="Calibri" w:hAnsi="Times New Roman" w:cs="Times New Roman"/>
                <w:i/>
                <w:sz w:val="24"/>
                <w:szCs w:val="24"/>
                <w:lang w:eastAsia="sk-SK"/>
              </w:rPr>
            </w:pPr>
            <w:r w:rsidRPr="007A5B13">
              <w:rPr>
                <w:rFonts w:ascii="Times New Roman" w:eastAsia="Calibri" w:hAnsi="Times New Roman" w:cs="Times New Roman"/>
                <w:b/>
                <w:i/>
                <w:sz w:val="24"/>
                <w:szCs w:val="24"/>
                <w:lang w:eastAsia="sk-SK"/>
              </w:rPr>
              <w:t>Ovplyvnená skupina č. 2:</w:t>
            </w:r>
          </w:p>
        </w:tc>
      </w:tr>
      <w:tr w:rsidR="007A5B13" w:rsidRPr="00CD4982" w:rsidTr="00F018BF">
        <w:trPr>
          <w:trHeight w:val="587"/>
          <w:jc w:val="center"/>
        </w:trPr>
        <w:tc>
          <w:tcPr>
            <w:tcW w:w="2500" w:type="pct"/>
            <w:gridSpan w:val="2"/>
            <w:tcBorders>
              <w:bottom w:val="single" w:sz="4" w:space="0" w:color="BFBFBF" w:themeColor="background1" w:themeShade="BF"/>
            </w:tcBorders>
            <w:shd w:val="clear" w:color="auto" w:fill="auto"/>
          </w:tcPr>
          <w:p w:rsidR="007A5B13" w:rsidRPr="007A5B13" w:rsidRDefault="007A5B13" w:rsidP="00D225C7">
            <w:pPr>
              <w:spacing w:after="0" w:line="240" w:lineRule="auto"/>
              <w:rPr>
                <w:rFonts w:ascii="Times New Roman" w:eastAsia="Calibri" w:hAnsi="Times New Roman" w:cs="Times New Roman"/>
                <w:i/>
                <w:sz w:val="24"/>
                <w:szCs w:val="24"/>
                <w:lang w:eastAsia="sk-SK"/>
              </w:rPr>
            </w:pPr>
            <w:r w:rsidRPr="007A5B13">
              <w:rPr>
                <w:rFonts w:ascii="Times New Roman" w:eastAsia="Calibri" w:hAnsi="Times New Roman" w:cs="Times New Roman"/>
                <w:i/>
                <w:sz w:val="24"/>
                <w:szCs w:val="24"/>
                <w:lang w:eastAsia="sk-SK"/>
              </w:rPr>
              <w:t>Pozitívny vplyv - priemerný rast príjmov/pokles výdavkov v skupine v eurách a/alebo v % / obdobie:</w:t>
            </w:r>
          </w:p>
        </w:tc>
        <w:tc>
          <w:tcPr>
            <w:tcW w:w="2500" w:type="pct"/>
            <w:tcBorders>
              <w:bottom w:val="single" w:sz="4" w:space="0" w:color="BFBFBF" w:themeColor="background1" w:themeShade="BF"/>
            </w:tcBorders>
            <w:shd w:val="clear" w:color="auto" w:fill="auto"/>
          </w:tcPr>
          <w:p w:rsidR="007A5B13" w:rsidRPr="007A5B13" w:rsidRDefault="007A5B13" w:rsidP="00D225C7">
            <w:pPr>
              <w:spacing w:after="0" w:line="240" w:lineRule="auto"/>
              <w:jc w:val="both"/>
              <w:rPr>
                <w:rFonts w:ascii="Times New Roman" w:eastAsia="Calibri" w:hAnsi="Times New Roman" w:cs="Times New Roman"/>
                <w:sz w:val="24"/>
                <w:szCs w:val="24"/>
                <w:lang w:eastAsia="sk-SK"/>
              </w:rPr>
            </w:pPr>
          </w:p>
        </w:tc>
      </w:tr>
      <w:tr w:rsidR="007A5B13" w:rsidRPr="00CD4982" w:rsidTr="00F018BF">
        <w:trPr>
          <w:trHeight w:val="497"/>
          <w:jc w:val="center"/>
        </w:trPr>
        <w:tc>
          <w:tcPr>
            <w:tcW w:w="2500" w:type="pct"/>
            <w:gridSpan w:val="2"/>
            <w:tcBorders>
              <w:top w:val="single" w:sz="4" w:space="0" w:color="BFBFBF" w:themeColor="background1" w:themeShade="BF"/>
              <w:bottom w:val="single" w:sz="4" w:space="0" w:color="BFBFBF" w:themeColor="background1" w:themeShade="BF"/>
            </w:tcBorders>
            <w:shd w:val="clear" w:color="auto" w:fill="auto"/>
          </w:tcPr>
          <w:p w:rsidR="007A5B13" w:rsidRPr="007A5B13" w:rsidRDefault="007A5B13" w:rsidP="00D225C7">
            <w:pPr>
              <w:spacing w:after="0" w:line="240" w:lineRule="auto"/>
              <w:rPr>
                <w:rFonts w:ascii="Calibri" w:eastAsia="Calibri" w:hAnsi="Calibri" w:cs="Times New Roman"/>
                <w:i/>
                <w:sz w:val="24"/>
                <w:szCs w:val="24"/>
                <w:lang w:eastAsia="sk-SK"/>
              </w:rPr>
            </w:pPr>
            <w:r w:rsidRPr="007A5B13">
              <w:rPr>
                <w:rFonts w:ascii="Times New Roman" w:eastAsia="Calibri" w:hAnsi="Times New Roman" w:cs="Times New Roman"/>
                <w:i/>
                <w:sz w:val="24"/>
                <w:szCs w:val="24"/>
                <w:lang w:eastAsia="sk-SK"/>
              </w:rPr>
              <w:t xml:space="preserve">Negatívny vplyv - priemerný pokles príjmov/ rast výdavkov v skupine v eurách a/alebo v % / obdobie: </w:t>
            </w:r>
          </w:p>
        </w:tc>
        <w:tc>
          <w:tcPr>
            <w:tcW w:w="2500" w:type="pct"/>
            <w:tcBorders>
              <w:top w:val="single" w:sz="4" w:space="0" w:color="BFBFBF" w:themeColor="background1" w:themeShade="BF"/>
              <w:bottom w:val="single" w:sz="4" w:space="0" w:color="BFBFBF" w:themeColor="background1" w:themeShade="BF"/>
            </w:tcBorders>
            <w:shd w:val="clear" w:color="auto" w:fill="auto"/>
          </w:tcPr>
          <w:p w:rsidR="007A5B13" w:rsidRPr="007A5B13" w:rsidRDefault="007A5B13" w:rsidP="00D225C7">
            <w:pPr>
              <w:spacing w:after="0" w:line="240" w:lineRule="auto"/>
              <w:jc w:val="both"/>
              <w:rPr>
                <w:rFonts w:ascii="Times New Roman" w:eastAsia="Calibri" w:hAnsi="Times New Roman" w:cs="Times New Roman"/>
                <w:sz w:val="24"/>
                <w:szCs w:val="24"/>
                <w:lang w:eastAsia="sk-SK"/>
              </w:rPr>
            </w:pPr>
          </w:p>
        </w:tc>
      </w:tr>
      <w:tr w:rsidR="007A5B13" w:rsidRPr="00CD4982" w:rsidTr="00F018BF">
        <w:trPr>
          <w:trHeight w:val="363"/>
          <w:jc w:val="center"/>
        </w:trPr>
        <w:tc>
          <w:tcPr>
            <w:tcW w:w="2500" w:type="pct"/>
            <w:gridSpan w:val="2"/>
            <w:tcBorders>
              <w:top w:val="single" w:sz="4" w:space="0" w:color="BFBFBF" w:themeColor="background1" w:themeShade="BF"/>
            </w:tcBorders>
            <w:shd w:val="clear" w:color="auto" w:fill="auto"/>
          </w:tcPr>
          <w:p w:rsidR="007A5B13" w:rsidRPr="007A5B13" w:rsidRDefault="007A5B13" w:rsidP="00D225C7">
            <w:pPr>
              <w:spacing w:after="0" w:line="240" w:lineRule="auto"/>
              <w:rPr>
                <w:rFonts w:ascii="Calibri" w:eastAsia="Calibri" w:hAnsi="Calibri" w:cs="Times New Roman"/>
                <w:i/>
                <w:sz w:val="24"/>
                <w:szCs w:val="24"/>
                <w:lang w:eastAsia="sk-SK"/>
              </w:rPr>
            </w:pPr>
            <w:r w:rsidRPr="007A5B13">
              <w:rPr>
                <w:rFonts w:ascii="Times New Roman" w:eastAsia="Calibri" w:hAnsi="Times New Roman" w:cs="Times New Roman"/>
                <w:i/>
                <w:sz w:val="24"/>
                <w:szCs w:val="24"/>
                <w:lang w:eastAsia="sk-SK"/>
              </w:rPr>
              <w:t>Veľkosť skupiny (počet obyvateľov):</w:t>
            </w:r>
          </w:p>
        </w:tc>
        <w:tc>
          <w:tcPr>
            <w:tcW w:w="2500" w:type="pct"/>
            <w:tcBorders>
              <w:top w:val="single" w:sz="4" w:space="0" w:color="BFBFBF" w:themeColor="background1" w:themeShade="BF"/>
            </w:tcBorders>
            <w:shd w:val="clear" w:color="auto" w:fill="auto"/>
          </w:tcPr>
          <w:p w:rsidR="007A5B13" w:rsidRPr="007A5B13" w:rsidRDefault="007A5B13" w:rsidP="00D225C7">
            <w:pPr>
              <w:spacing w:after="0" w:line="240" w:lineRule="auto"/>
              <w:jc w:val="both"/>
              <w:rPr>
                <w:rFonts w:ascii="Times New Roman" w:eastAsia="Calibri" w:hAnsi="Times New Roman" w:cs="Times New Roman"/>
                <w:sz w:val="24"/>
                <w:szCs w:val="24"/>
                <w:lang w:eastAsia="sk-SK"/>
              </w:rPr>
            </w:pPr>
          </w:p>
        </w:tc>
      </w:tr>
      <w:tr w:rsidR="007A5B13" w:rsidRPr="00CD4982" w:rsidTr="00F018BF">
        <w:trPr>
          <w:trHeight w:val="670"/>
          <w:jc w:val="center"/>
        </w:trPr>
        <w:tc>
          <w:tcPr>
            <w:tcW w:w="2500" w:type="pct"/>
            <w:gridSpan w:val="2"/>
            <w:shd w:val="clear" w:color="auto" w:fill="auto"/>
          </w:tcPr>
          <w:p w:rsidR="007A5B13" w:rsidRPr="007A5B13" w:rsidRDefault="007A5B13" w:rsidP="00D225C7">
            <w:pPr>
              <w:spacing w:after="0" w:line="240" w:lineRule="auto"/>
              <w:rPr>
                <w:rFonts w:ascii="Calibri" w:eastAsia="Calibri" w:hAnsi="Calibri" w:cs="Times New Roman"/>
                <w:i/>
                <w:sz w:val="24"/>
                <w:szCs w:val="24"/>
                <w:lang w:eastAsia="sk-SK"/>
              </w:rPr>
            </w:pPr>
            <w:r w:rsidRPr="007A5B13">
              <w:rPr>
                <w:rFonts w:ascii="Times New Roman" w:eastAsia="Calibri" w:hAnsi="Times New Roman" w:cs="Times New Roman"/>
                <w:i/>
                <w:sz w:val="24"/>
                <w:szCs w:val="24"/>
                <w:lang w:eastAsia="sk-SK"/>
              </w:rPr>
              <w:t>Dôvod chýbajúcej kvantifikácie:</w:t>
            </w:r>
          </w:p>
        </w:tc>
        <w:tc>
          <w:tcPr>
            <w:tcW w:w="2500" w:type="pct"/>
            <w:shd w:val="clear" w:color="auto" w:fill="auto"/>
          </w:tcPr>
          <w:p w:rsidR="007A5B13" w:rsidRPr="007A5B13" w:rsidRDefault="007A5B13" w:rsidP="00D225C7">
            <w:pPr>
              <w:spacing w:after="0" w:line="240" w:lineRule="auto"/>
              <w:jc w:val="both"/>
              <w:rPr>
                <w:rFonts w:ascii="Times New Roman" w:eastAsia="Calibri" w:hAnsi="Times New Roman" w:cs="Times New Roman"/>
                <w:sz w:val="24"/>
                <w:szCs w:val="24"/>
                <w:lang w:eastAsia="sk-SK"/>
              </w:rPr>
            </w:pPr>
          </w:p>
        </w:tc>
      </w:tr>
      <w:tr w:rsidR="007A5B13" w:rsidRPr="00CD4982" w:rsidTr="00F018BF">
        <w:trPr>
          <w:trHeight w:val="670"/>
          <w:jc w:val="center"/>
        </w:trPr>
        <w:tc>
          <w:tcPr>
            <w:tcW w:w="2500" w:type="pct"/>
            <w:gridSpan w:val="2"/>
            <w:shd w:val="clear" w:color="auto" w:fill="auto"/>
          </w:tcPr>
          <w:p w:rsidR="007A5B13" w:rsidRPr="007A5B13" w:rsidRDefault="007A5B13" w:rsidP="00D225C7">
            <w:pPr>
              <w:spacing w:after="0" w:line="240" w:lineRule="auto"/>
              <w:jc w:val="both"/>
              <w:rPr>
                <w:rFonts w:ascii="Times New Roman" w:eastAsia="Calibri" w:hAnsi="Times New Roman" w:cs="Times New Roman"/>
                <w:i/>
                <w:sz w:val="24"/>
                <w:szCs w:val="24"/>
                <w:lang w:eastAsia="sk-SK"/>
              </w:rPr>
            </w:pPr>
            <w:r w:rsidRPr="007A5B13">
              <w:rPr>
                <w:rFonts w:ascii="Times New Roman" w:eastAsia="Calibri" w:hAnsi="Times New Roman" w:cs="Times New Roman"/>
                <w:i/>
                <w:sz w:val="24"/>
                <w:szCs w:val="24"/>
                <w:lang w:eastAsia="sk-SK"/>
              </w:rPr>
              <w:t>V prípade významných vplyvov na príjmy alebo výdavky vyššie špecifikovaných domácností v riziku chudoby, identifikujte a kvantifikujte vplyv na chudobu obyvateľstva (napr. mieru rizika chudoby, podiel rastu/poklesu výdavkov na celkových výdavkoch/príjme):</w:t>
            </w:r>
          </w:p>
        </w:tc>
        <w:tc>
          <w:tcPr>
            <w:tcW w:w="2500" w:type="pct"/>
            <w:shd w:val="clear" w:color="auto" w:fill="auto"/>
          </w:tcPr>
          <w:p w:rsidR="007A5B13" w:rsidRPr="00F018BF" w:rsidRDefault="007A5B13" w:rsidP="00D225C7">
            <w:pPr>
              <w:spacing w:after="0" w:line="240" w:lineRule="auto"/>
              <w:jc w:val="both"/>
              <w:rPr>
                <w:rFonts w:ascii="Times New Roman" w:eastAsia="Calibri" w:hAnsi="Times New Roman" w:cs="Times New Roman"/>
                <w:b/>
                <w:sz w:val="24"/>
                <w:szCs w:val="24"/>
                <w:lang w:eastAsia="sk-SK"/>
              </w:rPr>
            </w:pPr>
            <w:r w:rsidRPr="00F018BF">
              <w:rPr>
                <w:rFonts w:ascii="Times New Roman" w:eastAsia="Calibri" w:hAnsi="Times New Roman" w:cs="Times New Roman"/>
                <w:b/>
                <w:sz w:val="24"/>
                <w:szCs w:val="24"/>
                <w:lang w:eastAsia="sk-SK"/>
              </w:rPr>
              <w:t xml:space="preserve">U fyzických osôb, ktorých schopnosť vykonávať doterajšiu činnosť v dôsledku úrazu klesla o viac ako 40 % a ktorým bolo poskytnuté jednorazové vysporiadanie odškodnenia budúcich poistných nárokov dochádza k rastu ich čistého </w:t>
            </w:r>
            <w:proofErr w:type="spellStart"/>
            <w:r w:rsidRPr="00F018BF">
              <w:rPr>
                <w:rFonts w:ascii="Times New Roman" w:eastAsia="Calibri" w:hAnsi="Times New Roman" w:cs="Times New Roman"/>
                <w:b/>
                <w:sz w:val="24"/>
                <w:szCs w:val="24"/>
                <w:lang w:eastAsia="sk-SK"/>
              </w:rPr>
              <w:t>diponibilného</w:t>
            </w:r>
            <w:proofErr w:type="spellEnd"/>
            <w:r w:rsidRPr="00F018BF">
              <w:rPr>
                <w:rFonts w:ascii="Times New Roman" w:eastAsia="Calibri" w:hAnsi="Times New Roman" w:cs="Times New Roman"/>
                <w:b/>
                <w:sz w:val="24"/>
                <w:szCs w:val="24"/>
                <w:lang w:eastAsia="sk-SK"/>
              </w:rPr>
              <w:t xml:space="preserve"> príjmu vzhľadom na zvýšenie pôvodnej sumy oslobodenej od dane z príjmu vo výške nezdaniteľnej časti základu dane na daňovníka, na jej násobok v závislosti od počtu rokov, na ktoré sa jednorazové vysporiadanie poskytuje, najviac v sume    20 000 eur.</w:t>
            </w:r>
          </w:p>
          <w:p w:rsidR="007A5B13" w:rsidRPr="007A5B13" w:rsidRDefault="007A5B13" w:rsidP="00D225C7">
            <w:pPr>
              <w:spacing w:after="0" w:line="240" w:lineRule="auto"/>
              <w:jc w:val="both"/>
              <w:rPr>
                <w:rFonts w:ascii="Times New Roman" w:eastAsia="Calibri" w:hAnsi="Times New Roman" w:cs="Times New Roman"/>
                <w:color w:val="FF0000"/>
                <w:sz w:val="24"/>
                <w:szCs w:val="24"/>
                <w:lang w:eastAsia="sk-SK"/>
              </w:rPr>
            </w:pPr>
          </w:p>
          <w:p w:rsidR="007A5B13" w:rsidRPr="00F018BF" w:rsidRDefault="007A5B13" w:rsidP="00D225C7">
            <w:pPr>
              <w:spacing w:after="0" w:line="240" w:lineRule="auto"/>
              <w:jc w:val="both"/>
              <w:rPr>
                <w:rFonts w:ascii="Times New Roman" w:eastAsia="Calibri" w:hAnsi="Times New Roman" w:cs="Times New Roman"/>
                <w:b/>
                <w:sz w:val="24"/>
                <w:szCs w:val="24"/>
                <w:lang w:eastAsia="sk-SK"/>
              </w:rPr>
            </w:pPr>
            <w:r w:rsidRPr="00F018BF">
              <w:rPr>
                <w:rFonts w:ascii="Times New Roman" w:eastAsia="Calibri" w:hAnsi="Times New Roman" w:cs="Times New Roman"/>
                <w:b/>
                <w:sz w:val="24"/>
                <w:szCs w:val="24"/>
                <w:lang w:eastAsia="sk-SK"/>
              </w:rPr>
              <w:t>Vzhľadom na to, že ide o opatrenie, ktoré v aplikačnej praxi títo daňovníci môžu, ale nemusia uplatniť a zároveň je nemožné uviesť počet takýchto situácií, nie je možné vyčísliť priemerný rast príjmov v tejto skupine.</w:t>
            </w:r>
          </w:p>
        </w:tc>
      </w:tr>
      <w:tr w:rsidR="00F018BF" w:rsidRPr="00CD4982" w:rsidTr="00F018BF">
        <w:trPr>
          <w:trHeight w:val="670"/>
          <w:jc w:val="center"/>
        </w:trPr>
        <w:tc>
          <w:tcPr>
            <w:tcW w:w="5000" w:type="pct"/>
            <w:gridSpan w:val="3"/>
            <w:shd w:val="clear" w:color="auto" w:fill="auto"/>
          </w:tcPr>
          <w:p w:rsidR="00F018BF" w:rsidRPr="00F018BF" w:rsidRDefault="00F018BF" w:rsidP="00F018BF">
            <w:pPr>
              <w:spacing w:after="0" w:line="240" w:lineRule="auto"/>
              <w:rPr>
                <w:rFonts w:ascii="Times New Roman" w:hAnsi="Times New Roman" w:cs="Times New Roman"/>
                <w:b/>
                <w:sz w:val="24"/>
                <w:szCs w:val="24"/>
                <w:lang w:eastAsia="sk-SK"/>
              </w:rPr>
            </w:pPr>
            <w:r w:rsidRPr="00F018BF">
              <w:rPr>
                <w:rFonts w:ascii="Times New Roman"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F018BF" w:rsidRPr="00CD4982" w:rsidTr="00F018BF">
        <w:trPr>
          <w:trHeight w:val="670"/>
          <w:jc w:val="center"/>
        </w:trPr>
        <w:tc>
          <w:tcPr>
            <w:tcW w:w="5000" w:type="pct"/>
            <w:gridSpan w:val="3"/>
            <w:tcBorders>
              <w:bottom w:val="single" w:sz="4" w:space="0" w:color="auto"/>
            </w:tcBorders>
            <w:shd w:val="clear" w:color="auto" w:fill="auto"/>
          </w:tcPr>
          <w:p w:rsidR="00F018BF" w:rsidRPr="00F018BF" w:rsidRDefault="00F018BF" w:rsidP="00F018BF">
            <w:pPr>
              <w:spacing w:after="0" w:line="240" w:lineRule="auto"/>
              <w:jc w:val="both"/>
              <w:rPr>
                <w:rFonts w:ascii="Times New Roman" w:hAnsi="Times New Roman" w:cs="Times New Roman"/>
                <w:i/>
                <w:sz w:val="24"/>
                <w:szCs w:val="24"/>
                <w:lang w:eastAsia="sk-SK"/>
              </w:rPr>
            </w:pPr>
            <w:r w:rsidRPr="00F018BF">
              <w:rPr>
                <w:rFonts w:ascii="Times New Roman" w:hAnsi="Times New Roman" w:cs="Times New Roman"/>
                <w:i/>
                <w:sz w:val="24"/>
                <w:szCs w:val="24"/>
                <w:lang w:eastAsia="sk-SK"/>
              </w:rPr>
              <w:t xml:space="preserve">Má návrh vplyv na prístup k zdrojom, právam, tovarom a službám? </w:t>
            </w:r>
          </w:p>
          <w:p w:rsidR="00F018BF" w:rsidRPr="00F018BF" w:rsidRDefault="00F018BF" w:rsidP="00F018BF">
            <w:pPr>
              <w:spacing w:after="0" w:line="240" w:lineRule="auto"/>
              <w:jc w:val="both"/>
              <w:rPr>
                <w:rFonts w:ascii="Times New Roman" w:hAnsi="Times New Roman" w:cs="Times New Roman"/>
                <w:i/>
                <w:sz w:val="24"/>
                <w:szCs w:val="24"/>
                <w:lang w:eastAsia="sk-SK"/>
              </w:rPr>
            </w:pPr>
            <w:r w:rsidRPr="00F018BF">
              <w:rPr>
                <w:rFonts w:ascii="Times New Roman" w:hAnsi="Times New Roman" w:cs="Times New Roman"/>
                <w:i/>
                <w:sz w:val="24"/>
                <w:szCs w:val="24"/>
                <w:lang w:eastAsia="sk-SK"/>
              </w:rPr>
              <w:t>Špecifikujete ovplyvnené skupiny obyvateľstva a charakter zmeny v prístupnosti s ohľadom na dostupnosť finančnú, geografickú, kvalitu, organizovanie a pod. Uveďte veľkosť jednotlivých ovplyvnených skupín.</w:t>
            </w:r>
          </w:p>
        </w:tc>
      </w:tr>
      <w:tr w:rsidR="00F018BF" w:rsidRPr="00CD4982" w:rsidTr="00F018BF">
        <w:tblPrEx>
          <w:tblBorders>
            <w:top w:val="none" w:sz="0" w:space="0" w:color="auto"/>
            <w:bottom w:val="none" w:sz="0" w:space="0" w:color="auto"/>
          </w:tblBorders>
        </w:tblPrEx>
        <w:trPr>
          <w:trHeight w:val="557"/>
          <w:jc w:val="center"/>
        </w:trPr>
        <w:tc>
          <w:tcPr>
            <w:tcW w:w="1993" w:type="pct"/>
            <w:tcBorders>
              <w:top w:val="single" w:sz="4" w:space="0" w:color="auto"/>
              <w:bottom w:val="single" w:sz="4" w:space="0" w:color="auto"/>
            </w:tcBorders>
            <w:shd w:val="clear" w:color="auto" w:fill="auto"/>
          </w:tcPr>
          <w:p w:rsidR="00F018BF" w:rsidRPr="00F018BF" w:rsidRDefault="00F018BF" w:rsidP="00D225C7">
            <w:pPr>
              <w:spacing w:after="0" w:line="240" w:lineRule="auto"/>
              <w:jc w:val="both"/>
              <w:rPr>
                <w:rFonts w:ascii="Times New Roman" w:eastAsia="Calibri" w:hAnsi="Times New Roman" w:cs="Times New Roman"/>
                <w:i/>
                <w:sz w:val="24"/>
                <w:szCs w:val="24"/>
                <w:lang w:eastAsia="sk-SK"/>
              </w:rPr>
            </w:pPr>
            <w:r w:rsidRPr="00F018BF">
              <w:rPr>
                <w:rFonts w:ascii="Times New Roman" w:eastAsia="Calibri" w:hAnsi="Times New Roman" w:cs="Times New Roman"/>
                <w:i/>
                <w:sz w:val="24"/>
                <w:szCs w:val="24"/>
                <w:lang w:eastAsia="sk-SK"/>
              </w:rPr>
              <w:t>Rozumie sa najmä na prístup k:</w:t>
            </w:r>
          </w:p>
          <w:p w:rsidR="00F018BF" w:rsidRPr="00F018BF" w:rsidRDefault="00F018BF" w:rsidP="00F018BF">
            <w:pPr>
              <w:numPr>
                <w:ilvl w:val="0"/>
                <w:numId w:val="29"/>
              </w:numPr>
              <w:spacing w:after="0" w:line="240" w:lineRule="auto"/>
              <w:jc w:val="both"/>
              <w:rPr>
                <w:rFonts w:ascii="Times New Roman" w:eastAsia="Calibri" w:hAnsi="Times New Roman" w:cs="Times New Roman"/>
                <w:i/>
                <w:sz w:val="24"/>
                <w:szCs w:val="24"/>
                <w:lang w:eastAsia="sk-SK"/>
              </w:rPr>
            </w:pPr>
            <w:r w:rsidRPr="00F018BF">
              <w:rPr>
                <w:rFonts w:ascii="Times New Roman" w:eastAsia="Calibri" w:hAnsi="Times New Roman" w:cs="Times New Roman"/>
                <w:i/>
                <w:sz w:val="24"/>
                <w:szCs w:val="24"/>
                <w:lang w:eastAsia="sk-SK"/>
              </w:rPr>
              <w:t xml:space="preserve">sociálnej ochrane, sociálno-právnej ochrane, sociálnym službám (vrátane služieb starostlivosti o deti, starších ľudí a ľudí so zdravotným postihnutím), </w:t>
            </w:r>
          </w:p>
          <w:p w:rsidR="00F018BF" w:rsidRPr="00F018BF" w:rsidRDefault="00F018BF" w:rsidP="00F018BF">
            <w:pPr>
              <w:numPr>
                <w:ilvl w:val="0"/>
                <w:numId w:val="29"/>
              </w:numPr>
              <w:spacing w:after="0" w:line="240" w:lineRule="auto"/>
              <w:jc w:val="both"/>
              <w:rPr>
                <w:rFonts w:ascii="Times New Roman" w:eastAsia="Calibri" w:hAnsi="Times New Roman" w:cs="Times New Roman"/>
                <w:i/>
                <w:sz w:val="24"/>
                <w:szCs w:val="24"/>
                <w:lang w:eastAsia="sk-SK"/>
              </w:rPr>
            </w:pPr>
            <w:r w:rsidRPr="00F018BF">
              <w:rPr>
                <w:rFonts w:ascii="Times New Roman" w:eastAsia="Calibri" w:hAnsi="Times New Roman" w:cs="Times New Roman"/>
                <w:i/>
                <w:sz w:val="24"/>
                <w:szCs w:val="24"/>
                <w:lang w:eastAsia="sk-SK"/>
              </w:rPr>
              <w:t>kvalitnej práci, ochrane zdravia, dôstojnosti a bezpečnosti pri práci pre zamestnancov a existujúcim zamestnaneckým právam,</w:t>
            </w:r>
          </w:p>
          <w:p w:rsidR="00F018BF" w:rsidRPr="00F018BF" w:rsidRDefault="00F018BF" w:rsidP="00F018BF">
            <w:pPr>
              <w:numPr>
                <w:ilvl w:val="0"/>
                <w:numId w:val="29"/>
              </w:numPr>
              <w:spacing w:after="0" w:line="240" w:lineRule="auto"/>
              <w:jc w:val="both"/>
              <w:rPr>
                <w:rFonts w:ascii="Times New Roman" w:eastAsia="Calibri" w:hAnsi="Times New Roman" w:cs="Times New Roman"/>
                <w:i/>
                <w:sz w:val="24"/>
                <w:szCs w:val="24"/>
                <w:lang w:eastAsia="sk-SK"/>
              </w:rPr>
            </w:pPr>
            <w:r w:rsidRPr="00F018BF">
              <w:rPr>
                <w:rFonts w:ascii="Times New Roman" w:eastAsia="Calibri" w:hAnsi="Times New Roman" w:cs="Times New Roman"/>
                <w:i/>
                <w:sz w:val="24"/>
                <w:szCs w:val="24"/>
                <w:lang w:eastAsia="sk-SK"/>
              </w:rPr>
              <w:t xml:space="preserve">pomoci pri úhrade výdavkov súvisiacich so zdravotným postihnutím, </w:t>
            </w:r>
          </w:p>
          <w:p w:rsidR="00F018BF" w:rsidRPr="00F018BF" w:rsidRDefault="00F018BF" w:rsidP="00F018BF">
            <w:pPr>
              <w:numPr>
                <w:ilvl w:val="0"/>
                <w:numId w:val="29"/>
              </w:numPr>
              <w:spacing w:after="0" w:line="240" w:lineRule="auto"/>
              <w:jc w:val="both"/>
              <w:rPr>
                <w:rFonts w:ascii="Times New Roman" w:eastAsia="Calibri" w:hAnsi="Times New Roman" w:cs="Times New Roman"/>
                <w:i/>
                <w:sz w:val="24"/>
                <w:szCs w:val="24"/>
                <w:lang w:eastAsia="sk-SK"/>
              </w:rPr>
            </w:pPr>
            <w:r w:rsidRPr="00F018BF">
              <w:rPr>
                <w:rFonts w:ascii="Times New Roman" w:eastAsia="Calibri" w:hAnsi="Times New Roman" w:cs="Times New Roman"/>
                <w:i/>
                <w:sz w:val="24"/>
                <w:szCs w:val="24"/>
                <w:lang w:eastAsia="sk-SK"/>
              </w:rPr>
              <w:t>zamestnaniu, na trh práce (napr. uľahčenie zosúladenia rodinných a pracovných povinností, služby zamestnanosti), k školeniam, odbornému vzdelávaniu a príprave na trh práce,</w:t>
            </w:r>
          </w:p>
          <w:p w:rsidR="00F018BF" w:rsidRPr="00F018BF" w:rsidRDefault="00F018BF" w:rsidP="00F018BF">
            <w:pPr>
              <w:numPr>
                <w:ilvl w:val="0"/>
                <w:numId w:val="29"/>
              </w:numPr>
              <w:spacing w:after="0" w:line="240" w:lineRule="auto"/>
              <w:jc w:val="both"/>
              <w:rPr>
                <w:rFonts w:ascii="Times New Roman" w:eastAsia="Calibri" w:hAnsi="Times New Roman" w:cs="Times New Roman"/>
                <w:i/>
                <w:sz w:val="24"/>
                <w:szCs w:val="24"/>
                <w:lang w:eastAsia="sk-SK"/>
              </w:rPr>
            </w:pPr>
            <w:r w:rsidRPr="00F018BF">
              <w:rPr>
                <w:rFonts w:ascii="Times New Roman" w:eastAsia="Calibri" w:hAnsi="Times New Roman" w:cs="Times New Roman"/>
                <w:i/>
                <w:sz w:val="24"/>
                <w:szCs w:val="24"/>
                <w:lang w:eastAsia="sk-SK"/>
              </w:rPr>
              <w:t xml:space="preserve">zdravotnej starostlivosti vrátane cenovo dostupných pomôcok pre občanov so zdravotným postihnutím, </w:t>
            </w:r>
          </w:p>
          <w:p w:rsidR="00F018BF" w:rsidRPr="00F018BF" w:rsidRDefault="00F018BF" w:rsidP="00F018BF">
            <w:pPr>
              <w:numPr>
                <w:ilvl w:val="0"/>
                <w:numId w:val="29"/>
              </w:numPr>
              <w:spacing w:after="0" w:line="240" w:lineRule="auto"/>
              <w:jc w:val="both"/>
              <w:rPr>
                <w:rFonts w:ascii="Times New Roman" w:eastAsia="Calibri" w:hAnsi="Times New Roman" w:cs="Times New Roman"/>
                <w:i/>
                <w:sz w:val="24"/>
                <w:szCs w:val="24"/>
                <w:lang w:eastAsia="sk-SK"/>
              </w:rPr>
            </w:pPr>
            <w:r w:rsidRPr="00F018BF">
              <w:rPr>
                <w:rFonts w:ascii="Times New Roman" w:eastAsia="Calibri" w:hAnsi="Times New Roman" w:cs="Times New Roman"/>
                <w:i/>
                <w:sz w:val="24"/>
                <w:szCs w:val="24"/>
                <w:lang w:eastAsia="sk-SK"/>
              </w:rPr>
              <w:t>k formálnemu i neformálnemu vzdelávaniu a celo</w:t>
            </w:r>
            <w:r w:rsidRPr="00F018BF">
              <w:rPr>
                <w:rFonts w:ascii="Times New Roman" w:eastAsia="Calibri" w:hAnsi="Times New Roman" w:cs="Times New Roman"/>
                <w:i/>
                <w:sz w:val="24"/>
                <w:szCs w:val="24"/>
                <w:lang w:eastAsia="sk-SK"/>
              </w:rPr>
              <w:softHyphen/>
              <w:t xml:space="preserve">životnému vzdelávaniu, </w:t>
            </w:r>
          </w:p>
          <w:p w:rsidR="00F018BF" w:rsidRPr="00F018BF" w:rsidRDefault="00F018BF" w:rsidP="00F018BF">
            <w:pPr>
              <w:numPr>
                <w:ilvl w:val="0"/>
                <w:numId w:val="29"/>
              </w:numPr>
              <w:spacing w:after="0" w:line="240" w:lineRule="auto"/>
              <w:jc w:val="both"/>
              <w:rPr>
                <w:rFonts w:ascii="Times New Roman" w:eastAsia="Calibri" w:hAnsi="Times New Roman" w:cs="Times New Roman"/>
                <w:i/>
                <w:sz w:val="24"/>
                <w:szCs w:val="24"/>
                <w:lang w:eastAsia="sk-SK"/>
              </w:rPr>
            </w:pPr>
            <w:r w:rsidRPr="00F018BF">
              <w:rPr>
                <w:rFonts w:ascii="Times New Roman" w:eastAsia="Calibri" w:hAnsi="Times New Roman" w:cs="Times New Roman"/>
                <w:i/>
                <w:sz w:val="24"/>
                <w:szCs w:val="24"/>
                <w:lang w:eastAsia="sk-SK"/>
              </w:rPr>
              <w:t>bývaniu a súvisiacim základným komunálnym službám,</w:t>
            </w:r>
          </w:p>
          <w:p w:rsidR="00F018BF" w:rsidRPr="00F018BF" w:rsidRDefault="00F018BF" w:rsidP="00F018BF">
            <w:pPr>
              <w:numPr>
                <w:ilvl w:val="0"/>
                <w:numId w:val="29"/>
              </w:numPr>
              <w:spacing w:after="0" w:line="240" w:lineRule="auto"/>
              <w:jc w:val="both"/>
              <w:rPr>
                <w:rFonts w:ascii="Times New Roman" w:eastAsia="Calibri" w:hAnsi="Times New Roman" w:cs="Times New Roman"/>
                <w:i/>
                <w:sz w:val="24"/>
                <w:szCs w:val="24"/>
                <w:lang w:eastAsia="sk-SK"/>
              </w:rPr>
            </w:pPr>
            <w:r w:rsidRPr="00F018BF">
              <w:rPr>
                <w:rFonts w:ascii="Times New Roman" w:eastAsia="Calibri" w:hAnsi="Times New Roman" w:cs="Times New Roman"/>
                <w:i/>
                <w:sz w:val="24"/>
                <w:szCs w:val="24"/>
                <w:lang w:eastAsia="sk-SK"/>
              </w:rPr>
              <w:t>doprave,</w:t>
            </w:r>
          </w:p>
          <w:p w:rsidR="00F018BF" w:rsidRPr="00F018BF" w:rsidRDefault="00F018BF" w:rsidP="00F018BF">
            <w:pPr>
              <w:numPr>
                <w:ilvl w:val="0"/>
                <w:numId w:val="29"/>
              </w:numPr>
              <w:spacing w:after="0" w:line="240" w:lineRule="auto"/>
              <w:jc w:val="both"/>
              <w:rPr>
                <w:rFonts w:ascii="Times New Roman" w:eastAsia="Calibri" w:hAnsi="Times New Roman" w:cs="Times New Roman"/>
                <w:i/>
                <w:sz w:val="24"/>
                <w:szCs w:val="24"/>
                <w:lang w:eastAsia="sk-SK"/>
              </w:rPr>
            </w:pPr>
            <w:r w:rsidRPr="00F018BF">
              <w:rPr>
                <w:rFonts w:ascii="Times New Roman" w:eastAsia="Calibri" w:hAnsi="Times New Roman" w:cs="Times New Roman"/>
                <w:i/>
                <w:sz w:val="24"/>
                <w:szCs w:val="24"/>
                <w:lang w:eastAsia="sk-SK"/>
              </w:rPr>
              <w:t>ďalším službám najmä službám všeobecného záujmu a tovarom,</w:t>
            </w:r>
          </w:p>
          <w:p w:rsidR="00F018BF" w:rsidRPr="00F018BF" w:rsidRDefault="00F018BF" w:rsidP="00F018BF">
            <w:pPr>
              <w:numPr>
                <w:ilvl w:val="0"/>
                <w:numId w:val="29"/>
              </w:numPr>
              <w:spacing w:after="0" w:line="240" w:lineRule="auto"/>
              <w:jc w:val="both"/>
              <w:rPr>
                <w:rFonts w:ascii="Times New Roman" w:eastAsia="Calibri" w:hAnsi="Times New Roman" w:cs="Times New Roman"/>
                <w:i/>
                <w:sz w:val="24"/>
                <w:szCs w:val="24"/>
                <w:lang w:eastAsia="sk-SK"/>
              </w:rPr>
            </w:pPr>
            <w:r w:rsidRPr="00F018BF">
              <w:rPr>
                <w:rFonts w:ascii="Times New Roman" w:eastAsia="Calibri" w:hAnsi="Times New Roman" w:cs="Times New Roman"/>
                <w:i/>
                <w:sz w:val="24"/>
                <w:szCs w:val="24"/>
                <w:lang w:eastAsia="sk-SK"/>
              </w:rPr>
              <w:t>spravodlivosti, právnej ochrane, právnym službám,</w:t>
            </w:r>
          </w:p>
          <w:p w:rsidR="00F018BF" w:rsidRPr="00F018BF" w:rsidRDefault="00F018BF" w:rsidP="00F018BF">
            <w:pPr>
              <w:numPr>
                <w:ilvl w:val="0"/>
                <w:numId w:val="29"/>
              </w:numPr>
              <w:spacing w:after="0" w:line="240" w:lineRule="auto"/>
              <w:jc w:val="both"/>
              <w:rPr>
                <w:rFonts w:ascii="Times New Roman" w:eastAsia="Calibri" w:hAnsi="Times New Roman" w:cs="Times New Roman"/>
                <w:i/>
                <w:sz w:val="24"/>
                <w:szCs w:val="24"/>
                <w:lang w:eastAsia="sk-SK"/>
              </w:rPr>
            </w:pPr>
            <w:r w:rsidRPr="00F018BF">
              <w:rPr>
                <w:rFonts w:ascii="Times New Roman" w:eastAsia="Calibri" w:hAnsi="Times New Roman" w:cs="Times New Roman"/>
                <w:i/>
                <w:sz w:val="24"/>
                <w:szCs w:val="24"/>
                <w:lang w:eastAsia="sk-SK"/>
              </w:rPr>
              <w:lastRenderedPageBreak/>
              <w:t>informáciám</w:t>
            </w:r>
          </w:p>
          <w:p w:rsidR="00F018BF" w:rsidRPr="00F018BF" w:rsidRDefault="00F018BF" w:rsidP="00F018BF">
            <w:pPr>
              <w:numPr>
                <w:ilvl w:val="0"/>
                <w:numId w:val="29"/>
              </w:numPr>
              <w:spacing w:after="0" w:line="240" w:lineRule="auto"/>
              <w:jc w:val="both"/>
              <w:rPr>
                <w:rFonts w:ascii="Calibri" w:eastAsia="Calibri" w:hAnsi="Calibri" w:cs="Times New Roman"/>
                <w:i/>
                <w:sz w:val="24"/>
                <w:szCs w:val="24"/>
                <w:lang w:eastAsia="sk-SK"/>
              </w:rPr>
            </w:pPr>
            <w:r w:rsidRPr="00F018BF">
              <w:rPr>
                <w:rFonts w:ascii="Times New Roman" w:eastAsia="Calibri" w:hAnsi="Times New Roman" w:cs="Times New Roman"/>
                <w:i/>
                <w:sz w:val="24"/>
                <w:szCs w:val="24"/>
                <w:lang w:eastAsia="sk-SK"/>
              </w:rPr>
              <w:t>k iným právam (napr. politickým).</w:t>
            </w:r>
          </w:p>
        </w:tc>
        <w:tc>
          <w:tcPr>
            <w:tcW w:w="3007" w:type="pct"/>
            <w:gridSpan w:val="2"/>
            <w:tcBorders>
              <w:top w:val="single" w:sz="4" w:space="0" w:color="auto"/>
              <w:bottom w:val="single" w:sz="4" w:space="0" w:color="auto"/>
            </w:tcBorders>
            <w:shd w:val="clear" w:color="auto" w:fill="auto"/>
          </w:tcPr>
          <w:p w:rsidR="00F018BF" w:rsidRPr="00F018BF" w:rsidRDefault="00F018BF" w:rsidP="00D225C7">
            <w:pPr>
              <w:spacing w:after="0" w:line="240" w:lineRule="auto"/>
              <w:rPr>
                <w:rFonts w:ascii="Times New Roman" w:eastAsia="Calibri" w:hAnsi="Times New Roman" w:cs="Times New Roman"/>
                <w:b/>
                <w:sz w:val="24"/>
                <w:szCs w:val="24"/>
                <w:lang w:eastAsia="sk-SK"/>
              </w:rPr>
            </w:pPr>
            <w:r w:rsidRPr="00F018BF">
              <w:rPr>
                <w:rFonts w:ascii="Times New Roman" w:eastAsia="Calibri" w:hAnsi="Times New Roman" w:cs="Times New Roman"/>
                <w:b/>
                <w:sz w:val="24"/>
                <w:szCs w:val="24"/>
                <w:lang w:eastAsia="sk-SK"/>
              </w:rPr>
              <w:lastRenderedPageBreak/>
              <w:t xml:space="preserve">Návrh zákona upravuje a podporuje spôsob zabezpečovania dopravy a ubytovania pre zamestnancov z pohľadu zdaňovania, nakoľko sú tieto nepeňažné plnenia u zamestnancov oslobodené v zákonom ustanovenej výške, pričom suma oslobodenia od dane sa od 1.1.2020 zvyšuje.  </w:t>
            </w:r>
          </w:p>
          <w:p w:rsidR="00F018BF" w:rsidRPr="00F018BF" w:rsidRDefault="00F018BF" w:rsidP="00D225C7">
            <w:pPr>
              <w:spacing w:after="0" w:line="240" w:lineRule="auto"/>
              <w:rPr>
                <w:rFonts w:ascii="Times New Roman" w:eastAsia="Calibri" w:hAnsi="Times New Roman" w:cs="Times New Roman"/>
                <w:b/>
                <w:sz w:val="24"/>
                <w:szCs w:val="24"/>
                <w:lang w:eastAsia="sk-SK"/>
              </w:rPr>
            </w:pPr>
          </w:p>
          <w:p w:rsidR="00F018BF" w:rsidRPr="00F018BF" w:rsidRDefault="00F018BF" w:rsidP="00D225C7">
            <w:pPr>
              <w:spacing w:after="0" w:line="240" w:lineRule="auto"/>
              <w:rPr>
                <w:rFonts w:ascii="Times New Roman" w:eastAsia="Calibri" w:hAnsi="Times New Roman" w:cs="Times New Roman"/>
                <w:b/>
                <w:sz w:val="24"/>
                <w:szCs w:val="24"/>
                <w:lang w:eastAsia="sk-SK"/>
              </w:rPr>
            </w:pPr>
            <w:r w:rsidRPr="00F018BF">
              <w:rPr>
                <w:rFonts w:ascii="Times New Roman" w:eastAsia="Calibri" w:hAnsi="Times New Roman" w:cs="Times New Roman"/>
                <w:b/>
                <w:sz w:val="24"/>
                <w:szCs w:val="24"/>
                <w:lang w:eastAsia="sk-SK"/>
              </w:rPr>
              <w:t xml:space="preserve">Za účelom podpory vzdelávania poskytovaného a zabezpečovaného zamestnávateľom, sa upravuje (rozširuje) skupina ľudí, u ktorých je toto nepeňažné plnenie oslobodené od dane ak sú tieto vzdelávacie aktivity predpokladom pre vykonávanie podnikateľskej činnosti zamestnávateľa. Podmienky a spôsob poskytovania vzdelávania zamestnancom sa na daňové účely riadia Zákonníkom práce. </w:t>
            </w:r>
          </w:p>
          <w:p w:rsidR="00F018BF" w:rsidRPr="00F018BF" w:rsidRDefault="00F018BF" w:rsidP="00D225C7">
            <w:pPr>
              <w:spacing w:after="0" w:line="240" w:lineRule="auto"/>
              <w:rPr>
                <w:rFonts w:ascii="Times New Roman" w:eastAsia="Calibri" w:hAnsi="Times New Roman" w:cs="Times New Roman"/>
                <w:b/>
                <w:sz w:val="24"/>
                <w:szCs w:val="24"/>
                <w:lang w:eastAsia="sk-SK"/>
              </w:rPr>
            </w:pPr>
          </w:p>
          <w:p w:rsidR="00F018BF" w:rsidRPr="00F018BF" w:rsidRDefault="00F018BF" w:rsidP="00D225C7">
            <w:pPr>
              <w:spacing w:after="0" w:line="240" w:lineRule="auto"/>
              <w:rPr>
                <w:rFonts w:ascii="Times New Roman" w:eastAsia="Calibri" w:hAnsi="Times New Roman" w:cs="Times New Roman"/>
                <w:sz w:val="24"/>
                <w:szCs w:val="24"/>
                <w:lang w:eastAsia="sk-SK"/>
              </w:rPr>
            </w:pPr>
            <w:r w:rsidRPr="00F018BF">
              <w:rPr>
                <w:rFonts w:ascii="Times New Roman" w:eastAsia="Calibri" w:hAnsi="Times New Roman" w:cs="Times New Roman"/>
                <w:b/>
                <w:sz w:val="24"/>
                <w:szCs w:val="24"/>
                <w:lang w:eastAsia="sk-SK"/>
              </w:rPr>
              <w:t>Návrhom sa dosiahne finančná podpora pri úhrade výdavkov súvisiacich so zdravotným postihnutím u tejto skupiny ľudí.</w:t>
            </w:r>
          </w:p>
        </w:tc>
      </w:tr>
      <w:tr w:rsidR="00F018BF" w:rsidRPr="00CD4982" w:rsidTr="00F018BF">
        <w:tblPrEx>
          <w:tblBorders>
            <w:top w:val="none" w:sz="0" w:space="0" w:color="auto"/>
            <w:bottom w:val="none" w:sz="0" w:space="0" w:color="auto"/>
          </w:tblBorders>
        </w:tblPrEx>
        <w:trPr>
          <w:trHeight w:val="557"/>
          <w:jc w:val="center"/>
        </w:trPr>
        <w:tc>
          <w:tcPr>
            <w:tcW w:w="5000" w:type="pct"/>
            <w:gridSpan w:val="3"/>
            <w:tcBorders>
              <w:top w:val="single" w:sz="4" w:space="0" w:color="auto"/>
              <w:bottom w:val="single" w:sz="4" w:space="0" w:color="auto"/>
            </w:tcBorders>
            <w:shd w:val="clear" w:color="auto" w:fill="auto"/>
          </w:tcPr>
          <w:p w:rsidR="00F018BF" w:rsidRPr="00F018BF" w:rsidRDefault="00F018BF" w:rsidP="00F018BF">
            <w:pPr>
              <w:spacing w:after="0" w:line="240" w:lineRule="auto"/>
              <w:jc w:val="both"/>
              <w:rPr>
                <w:rFonts w:ascii="Times New Roman" w:hAnsi="Times New Roman" w:cs="Times New Roman"/>
                <w:i/>
                <w:sz w:val="24"/>
                <w:szCs w:val="24"/>
                <w:lang w:eastAsia="sk-SK"/>
              </w:rPr>
            </w:pPr>
            <w:r w:rsidRPr="00F018BF">
              <w:rPr>
                <w:rFonts w:ascii="Times New Roman" w:hAnsi="Times New Roman" w:cs="Times New Roman"/>
                <w:i/>
                <w:sz w:val="24"/>
                <w:szCs w:val="24"/>
                <w:lang w:eastAsia="sk-SK"/>
              </w:rPr>
              <w:t xml:space="preserve">Má návrh významný vplyv na niektorú zo zraniteľných skupín obyvateľstva alebo skupín v riziku chudoby alebo sociálneho vylúčenia? </w:t>
            </w:r>
          </w:p>
          <w:p w:rsidR="00F018BF" w:rsidRPr="00F018BF" w:rsidRDefault="00F018BF" w:rsidP="00F018BF">
            <w:pPr>
              <w:spacing w:after="0" w:line="240" w:lineRule="auto"/>
              <w:rPr>
                <w:rFonts w:ascii="Times New Roman" w:eastAsia="Calibri" w:hAnsi="Times New Roman" w:cs="Times New Roman"/>
                <w:sz w:val="24"/>
                <w:szCs w:val="24"/>
                <w:lang w:eastAsia="sk-SK"/>
              </w:rPr>
            </w:pPr>
            <w:r w:rsidRPr="00F018BF">
              <w:rPr>
                <w:rFonts w:ascii="Times New Roman" w:hAnsi="Times New Roman" w:cs="Times New Roman"/>
                <w:i/>
                <w:sz w:val="24"/>
                <w:szCs w:val="24"/>
                <w:lang w:eastAsia="sk-SK"/>
              </w:rPr>
              <w:t xml:space="preserve">Špecifikujte ovplyvnené skupiny v riziku chudoby a sociálneho vylúčenia a popíšte vplyv na </w:t>
            </w:r>
            <w:proofErr w:type="spellStart"/>
            <w:r w:rsidRPr="00F018BF">
              <w:rPr>
                <w:rFonts w:ascii="Times New Roman" w:hAnsi="Times New Roman" w:cs="Times New Roman"/>
                <w:i/>
                <w:sz w:val="24"/>
                <w:szCs w:val="24"/>
                <w:lang w:eastAsia="sk-SK"/>
              </w:rPr>
              <w:t>ne</w:t>
            </w:r>
            <w:proofErr w:type="spellEnd"/>
            <w:r w:rsidRPr="00F018BF">
              <w:rPr>
                <w:rFonts w:ascii="Times New Roman" w:hAnsi="Times New Roman" w:cs="Times New Roman"/>
                <w:i/>
                <w:sz w:val="24"/>
                <w:szCs w:val="24"/>
                <w:lang w:eastAsia="sk-SK"/>
              </w:rPr>
              <w:t>. Je tento vplyv väčší ako vplyv na iné skupiny či subjekty? Uveďte veľkosť jednotlivých ovplyvnených skupín.</w:t>
            </w:r>
          </w:p>
        </w:tc>
      </w:tr>
      <w:tr w:rsidR="00F018BF" w:rsidRPr="00CD4982" w:rsidTr="00F018BF">
        <w:tblPrEx>
          <w:tblBorders>
            <w:top w:val="none" w:sz="0" w:space="0" w:color="auto"/>
          </w:tblBorders>
        </w:tblPrEx>
        <w:trPr>
          <w:trHeight w:val="677"/>
          <w:jc w:val="center"/>
        </w:trPr>
        <w:tc>
          <w:tcPr>
            <w:tcW w:w="1993" w:type="pct"/>
            <w:shd w:val="clear" w:color="auto" w:fill="auto"/>
          </w:tcPr>
          <w:p w:rsidR="00F018BF" w:rsidRPr="00F018BF" w:rsidRDefault="00F018BF" w:rsidP="00D225C7">
            <w:pPr>
              <w:spacing w:after="0" w:line="240" w:lineRule="auto"/>
              <w:jc w:val="both"/>
              <w:rPr>
                <w:rFonts w:ascii="Times New Roman" w:eastAsia="Calibri" w:hAnsi="Times New Roman" w:cs="Times New Roman"/>
                <w:i/>
                <w:sz w:val="24"/>
                <w:szCs w:val="24"/>
                <w:lang w:eastAsia="sk-SK"/>
              </w:rPr>
            </w:pPr>
            <w:r w:rsidRPr="00F018BF">
              <w:rPr>
                <w:rFonts w:ascii="Times New Roman" w:eastAsia="Calibri" w:hAnsi="Times New Roman" w:cs="Times New Roman"/>
                <w:i/>
                <w:sz w:val="24"/>
                <w:szCs w:val="24"/>
                <w:lang w:eastAsia="sk-SK"/>
              </w:rPr>
              <w:t>Zraniteľné skupiny alebo skupiny v riziku chudoby alebo sociálneho vylúčenia sú napr.:</w:t>
            </w:r>
          </w:p>
          <w:p w:rsidR="00F018BF" w:rsidRPr="00F018BF" w:rsidRDefault="00F018BF" w:rsidP="00F018BF">
            <w:pPr>
              <w:numPr>
                <w:ilvl w:val="0"/>
                <w:numId w:val="30"/>
              </w:numPr>
              <w:spacing w:after="0" w:line="240" w:lineRule="auto"/>
              <w:jc w:val="both"/>
              <w:rPr>
                <w:rFonts w:ascii="Times New Roman" w:eastAsia="Calibri" w:hAnsi="Times New Roman" w:cs="Times New Roman"/>
                <w:i/>
                <w:sz w:val="24"/>
                <w:szCs w:val="24"/>
                <w:lang w:eastAsia="sk-SK"/>
              </w:rPr>
            </w:pPr>
            <w:r w:rsidRPr="00F018BF">
              <w:rPr>
                <w:rFonts w:ascii="Times New Roman" w:eastAsia="Calibri" w:hAnsi="Times New Roman" w:cs="Times New Roman"/>
                <w:i/>
                <w:sz w:val="24"/>
                <w:szCs w:val="24"/>
                <w:lang w:eastAsia="sk-SK"/>
              </w:rPr>
              <w:t>domácnosti s nízkym príjmom (napr. žijúce iba zo sociálnych príjmov, alebo z príjmov pod hranicou rizika chudoby, alebo s príjmom pod životným minimom, alebo patriace medzi 25% domácností s najnižším príjmom),</w:t>
            </w:r>
          </w:p>
          <w:p w:rsidR="00F018BF" w:rsidRPr="00F018BF" w:rsidRDefault="00F018BF" w:rsidP="00F018BF">
            <w:pPr>
              <w:numPr>
                <w:ilvl w:val="0"/>
                <w:numId w:val="30"/>
              </w:numPr>
              <w:spacing w:after="0" w:line="240" w:lineRule="auto"/>
              <w:jc w:val="both"/>
              <w:rPr>
                <w:rFonts w:ascii="Times New Roman" w:eastAsia="Calibri" w:hAnsi="Times New Roman" w:cs="Times New Roman"/>
                <w:i/>
                <w:sz w:val="24"/>
                <w:szCs w:val="24"/>
                <w:lang w:eastAsia="sk-SK"/>
              </w:rPr>
            </w:pPr>
            <w:r w:rsidRPr="00F018BF">
              <w:rPr>
                <w:rFonts w:ascii="Times New Roman" w:eastAsia="Calibri" w:hAnsi="Times New Roman" w:cs="Times New Roman"/>
                <w:i/>
                <w:sz w:val="24"/>
                <w:szCs w:val="24"/>
                <w:lang w:eastAsia="sk-SK"/>
              </w:rPr>
              <w:t>nezamestnaní, najmä dlhodobo nezamestnaní, mladí nezamestnaní a nezamestnaní nad 50 rokov,</w:t>
            </w:r>
          </w:p>
          <w:p w:rsidR="00F018BF" w:rsidRPr="00F018BF" w:rsidRDefault="00F018BF" w:rsidP="00F018BF">
            <w:pPr>
              <w:numPr>
                <w:ilvl w:val="0"/>
                <w:numId w:val="30"/>
              </w:numPr>
              <w:spacing w:after="0" w:line="240" w:lineRule="auto"/>
              <w:jc w:val="both"/>
              <w:rPr>
                <w:rFonts w:ascii="Times New Roman" w:eastAsia="Calibri" w:hAnsi="Times New Roman" w:cs="Times New Roman"/>
                <w:i/>
                <w:sz w:val="24"/>
                <w:szCs w:val="24"/>
                <w:lang w:eastAsia="sk-SK"/>
              </w:rPr>
            </w:pPr>
            <w:r w:rsidRPr="00F018BF">
              <w:rPr>
                <w:rFonts w:ascii="Times New Roman" w:eastAsia="Calibri" w:hAnsi="Times New Roman" w:cs="Times New Roman"/>
                <w:i/>
                <w:sz w:val="24"/>
                <w:szCs w:val="24"/>
                <w:lang w:eastAsia="sk-SK"/>
              </w:rPr>
              <w:t>deti (0 – 17),</w:t>
            </w:r>
          </w:p>
          <w:p w:rsidR="00F018BF" w:rsidRPr="00F018BF" w:rsidRDefault="00F018BF" w:rsidP="00F018BF">
            <w:pPr>
              <w:numPr>
                <w:ilvl w:val="0"/>
                <w:numId w:val="30"/>
              </w:numPr>
              <w:spacing w:after="0" w:line="240" w:lineRule="auto"/>
              <w:jc w:val="both"/>
              <w:rPr>
                <w:rFonts w:ascii="Times New Roman" w:eastAsia="Calibri" w:hAnsi="Times New Roman" w:cs="Times New Roman"/>
                <w:i/>
                <w:sz w:val="24"/>
                <w:szCs w:val="24"/>
                <w:lang w:eastAsia="sk-SK"/>
              </w:rPr>
            </w:pPr>
            <w:r w:rsidRPr="00F018BF">
              <w:rPr>
                <w:rFonts w:ascii="Times New Roman" w:eastAsia="Calibri" w:hAnsi="Times New Roman" w:cs="Times New Roman"/>
                <w:i/>
                <w:sz w:val="24"/>
                <w:szCs w:val="24"/>
                <w:lang w:eastAsia="sk-SK"/>
              </w:rPr>
              <w:t>mladí ľudia (18 – 25 rokov),</w:t>
            </w:r>
          </w:p>
          <w:p w:rsidR="00F018BF" w:rsidRPr="00F018BF" w:rsidRDefault="00F018BF" w:rsidP="00F018BF">
            <w:pPr>
              <w:numPr>
                <w:ilvl w:val="0"/>
                <w:numId w:val="30"/>
              </w:numPr>
              <w:spacing w:after="0" w:line="240" w:lineRule="auto"/>
              <w:jc w:val="both"/>
              <w:rPr>
                <w:rFonts w:ascii="Times New Roman" w:eastAsia="Calibri" w:hAnsi="Times New Roman" w:cs="Times New Roman"/>
                <w:i/>
                <w:sz w:val="24"/>
                <w:szCs w:val="24"/>
                <w:lang w:eastAsia="sk-SK"/>
              </w:rPr>
            </w:pPr>
            <w:r w:rsidRPr="00F018BF">
              <w:rPr>
                <w:rFonts w:ascii="Times New Roman" w:eastAsia="Calibri" w:hAnsi="Times New Roman" w:cs="Times New Roman"/>
                <w:i/>
                <w:sz w:val="24"/>
                <w:szCs w:val="24"/>
                <w:lang w:eastAsia="sk-SK"/>
              </w:rPr>
              <w:t>starší ľudia, napr. ľudia vo veku nad 65 rokov alebo dôchodcovia,</w:t>
            </w:r>
          </w:p>
          <w:p w:rsidR="00F018BF" w:rsidRPr="00F018BF" w:rsidRDefault="00F018BF" w:rsidP="00F018BF">
            <w:pPr>
              <w:numPr>
                <w:ilvl w:val="0"/>
                <w:numId w:val="30"/>
              </w:numPr>
              <w:spacing w:after="0" w:line="240" w:lineRule="auto"/>
              <w:jc w:val="both"/>
              <w:rPr>
                <w:rFonts w:ascii="Times New Roman" w:eastAsia="Calibri" w:hAnsi="Times New Roman" w:cs="Times New Roman"/>
                <w:i/>
                <w:sz w:val="24"/>
                <w:szCs w:val="24"/>
                <w:lang w:eastAsia="sk-SK"/>
              </w:rPr>
            </w:pPr>
            <w:r w:rsidRPr="00F018BF">
              <w:rPr>
                <w:rFonts w:ascii="Times New Roman" w:eastAsia="Calibri" w:hAnsi="Times New Roman" w:cs="Times New Roman"/>
                <w:i/>
                <w:sz w:val="24"/>
                <w:szCs w:val="24"/>
                <w:lang w:eastAsia="sk-SK"/>
              </w:rPr>
              <w:t>ľudia so zdravotným postihnutím,</w:t>
            </w:r>
          </w:p>
          <w:p w:rsidR="00F018BF" w:rsidRPr="00F018BF" w:rsidRDefault="00F018BF" w:rsidP="00F018BF">
            <w:pPr>
              <w:numPr>
                <w:ilvl w:val="0"/>
                <w:numId w:val="30"/>
              </w:numPr>
              <w:spacing w:after="0" w:line="240" w:lineRule="auto"/>
              <w:jc w:val="both"/>
              <w:rPr>
                <w:rFonts w:ascii="Times New Roman" w:eastAsia="Calibri" w:hAnsi="Times New Roman" w:cs="Times New Roman"/>
                <w:i/>
                <w:sz w:val="24"/>
                <w:szCs w:val="24"/>
                <w:lang w:eastAsia="sk-SK"/>
              </w:rPr>
            </w:pPr>
            <w:r w:rsidRPr="00F018BF">
              <w:rPr>
                <w:rFonts w:ascii="Times New Roman" w:eastAsia="Calibri" w:hAnsi="Times New Roman" w:cs="Times New Roman"/>
                <w:i/>
                <w:sz w:val="24"/>
                <w:szCs w:val="24"/>
                <w:lang w:eastAsia="sk-SK"/>
              </w:rPr>
              <w:t xml:space="preserve">marginalizované rómske komunity </w:t>
            </w:r>
          </w:p>
          <w:p w:rsidR="00F018BF" w:rsidRPr="00F018BF" w:rsidRDefault="00F018BF" w:rsidP="00F018BF">
            <w:pPr>
              <w:numPr>
                <w:ilvl w:val="0"/>
                <w:numId w:val="30"/>
              </w:numPr>
              <w:spacing w:after="0" w:line="240" w:lineRule="auto"/>
              <w:jc w:val="both"/>
              <w:rPr>
                <w:rFonts w:ascii="Times New Roman" w:eastAsia="Calibri" w:hAnsi="Times New Roman" w:cs="Times New Roman"/>
                <w:i/>
                <w:sz w:val="24"/>
                <w:szCs w:val="24"/>
                <w:lang w:eastAsia="sk-SK"/>
              </w:rPr>
            </w:pPr>
            <w:r w:rsidRPr="00F018BF">
              <w:rPr>
                <w:rFonts w:ascii="Times New Roman" w:eastAsia="Calibri" w:hAnsi="Times New Roman" w:cs="Times New Roman"/>
                <w:i/>
                <w:sz w:val="24"/>
                <w:szCs w:val="24"/>
                <w:lang w:eastAsia="sk-SK"/>
              </w:rPr>
              <w:t>domácnosti s 3 a viac deťmi,</w:t>
            </w:r>
          </w:p>
          <w:p w:rsidR="00F018BF" w:rsidRPr="00F018BF" w:rsidRDefault="00F018BF" w:rsidP="00F018BF">
            <w:pPr>
              <w:numPr>
                <w:ilvl w:val="0"/>
                <w:numId w:val="30"/>
              </w:numPr>
              <w:spacing w:after="0" w:line="240" w:lineRule="auto"/>
              <w:jc w:val="both"/>
              <w:rPr>
                <w:rFonts w:ascii="Times New Roman" w:eastAsia="Calibri" w:hAnsi="Times New Roman" w:cs="Times New Roman"/>
                <w:i/>
                <w:sz w:val="24"/>
                <w:szCs w:val="24"/>
                <w:lang w:eastAsia="sk-SK"/>
              </w:rPr>
            </w:pPr>
            <w:r w:rsidRPr="00F018BF">
              <w:rPr>
                <w:rFonts w:ascii="Times New Roman" w:eastAsia="Calibri" w:hAnsi="Times New Roman" w:cs="Times New Roman"/>
                <w:i/>
                <w:sz w:val="24"/>
                <w:szCs w:val="24"/>
                <w:lang w:eastAsia="sk-SK"/>
              </w:rPr>
              <w:t>jednorodičovské domácnosti s deťmi (neúplné rodiny, ktoré tvoria najmä osamelé matky s deťmi),</w:t>
            </w:r>
          </w:p>
          <w:p w:rsidR="00F018BF" w:rsidRPr="00F018BF" w:rsidRDefault="00F018BF" w:rsidP="00F018BF">
            <w:pPr>
              <w:numPr>
                <w:ilvl w:val="0"/>
                <w:numId w:val="30"/>
              </w:numPr>
              <w:spacing w:after="0" w:line="240" w:lineRule="auto"/>
              <w:jc w:val="both"/>
              <w:rPr>
                <w:rFonts w:ascii="Times New Roman" w:eastAsia="Calibri" w:hAnsi="Times New Roman" w:cs="Times New Roman"/>
                <w:i/>
                <w:sz w:val="24"/>
                <w:szCs w:val="24"/>
                <w:lang w:eastAsia="sk-SK"/>
              </w:rPr>
            </w:pPr>
            <w:r w:rsidRPr="00F018BF">
              <w:rPr>
                <w:rFonts w:ascii="Times New Roman" w:eastAsia="Calibri" w:hAnsi="Times New Roman" w:cs="Times New Roman"/>
                <w:i/>
                <w:sz w:val="24"/>
                <w:szCs w:val="24"/>
                <w:lang w:eastAsia="sk-SK"/>
              </w:rPr>
              <w:t>príslušníci tretích krajín, azylanti, žiadatelia o azyl,</w:t>
            </w:r>
          </w:p>
          <w:p w:rsidR="00F018BF" w:rsidRPr="00F018BF" w:rsidRDefault="00F018BF" w:rsidP="00F018BF">
            <w:pPr>
              <w:numPr>
                <w:ilvl w:val="0"/>
                <w:numId w:val="30"/>
              </w:numPr>
              <w:spacing w:after="0" w:line="240" w:lineRule="auto"/>
              <w:jc w:val="both"/>
              <w:rPr>
                <w:rFonts w:ascii="Calibri" w:eastAsia="Calibri" w:hAnsi="Calibri" w:cs="Times New Roman"/>
                <w:i/>
                <w:sz w:val="24"/>
                <w:szCs w:val="24"/>
                <w:lang w:eastAsia="sk-SK"/>
              </w:rPr>
            </w:pPr>
            <w:r w:rsidRPr="00F018BF">
              <w:rPr>
                <w:rFonts w:ascii="Times New Roman" w:eastAsia="Calibri" w:hAnsi="Times New Roman" w:cs="Times New Roman"/>
                <w:i/>
                <w:sz w:val="24"/>
                <w:szCs w:val="24"/>
                <w:lang w:eastAsia="sk-SK"/>
              </w:rPr>
              <w:t>iné zraniteľné skupiny, ako sú napr. bezdomovci, ľudia opúšťajúci detské domovy alebo iné inštitucionálne zariadenia</w:t>
            </w:r>
          </w:p>
        </w:tc>
        <w:tc>
          <w:tcPr>
            <w:tcW w:w="3007" w:type="pct"/>
            <w:gridSpan w:val="2"/>
            <w:shd w:val="clear" w:color="auto" w:fill="auto"/>
          </w:tcPr>
          <w:p w:rsidR="00F018BF" w:rsidRPr="00F018BF" w:rsidRDefault="00F018BF" w:rsidP="00D225C7">
            <w:pPr>
              <w:spacing w:after="0" w:line="240" w:lineRule="auto"/>
              <w:rPr>
                <w:rFonts w:ascii="Times New Roman" w:eastAsia="Calibri" w:hAnsi="Times New Roman" w:cs="Times New Roman"/>
                <w:b/>
                <w:sz w:val="24"/>
                <w:szCs w:val="24"/>
                <w:lang w:eastAsia="sk-SK"/>
              </w:rPr>
            </w:pPr>
            <w:r w:rsidRPr="00F018BF">
              <w:rPr>
                <w:rFonts w:ascii="Times New Roman" w:eastAsia="Calibri" w:hAnsi="Times New Roman" w:cs="Times New Roman"/>
                <w:b/>
                <w:sz w:val="24"/>
                <w:szCs w:val="24"/>
                <w:lang w:eastAsia="sk-SK"/>
              </w:rPr>
              <w:t xml:space="preserve">Navrhované opatrenie bude mať vplyv na </w:t>
            </w:r>
          </w:p>
          <w:p w:rsidR="00F018BF" w:rsidRPr="00F018BF" w:rsidRDefault="00F018BF" w:rsidP="00D225C7">
            <w:pPr>
              <w:spacing w:after="0" w:line="240" w:lineRule="auto"/>
              <w:rPr>
                <w:rFonts w:ascii="Times New Roman" w:eastAsia="Calibri" w:hAnsi="Times New Roman" w:cs="Times New Roman"/>
                <w:b/>
                <w:sz w:val="24"/>
                <w:szCs w:val="24"/>
                <w:lang w:eastAsia="sk-SK"/>
              </w:rPr>
            </w:pPr>
          </w:p>
          <w:p w:rsidR="00F018BF" w:rsidRPr="00F018BF" w:rsidRDefault="00F018BF" w:rsidP="00D225C7">
            <w:pPr>
              <w:spacing w:after="0" w:line="240" w:lineRule="auto"/>
              <w:rPr>
                <w:rFonts w:ascii="Times New Roman" w:eastAsia="Calibri" w:hAnsi="Times New Roman" w:cs="Times New Roman"/>
                <w:b/>
                <w:color w:val="FF0000"/>
                <w:sz w:val="24"/>
                <w:szCs w:val="24"/>
                <w:lang w:eastAsia="sk-SK"/>
              </w:rPr>
            </w:pPr>
            <w:r w:rsidRPr="00F018BF">
              <w:rPr>
                <w:rFonts w:ascii="Times New Roman" w:eastAsia="Calibri" w:hAnsi="Times New Roman" w:cs="Times New Roman"/>
                <w:b/>
                <w:sz w:val="24"/>
                <w:szCs w:val="24"/>
                <w:lang w:eastAsia="sk-SK"/>
              </w:rPr>
              <w:t>- ľudí so zdravotným postihnutím, ktorým bolo vyplatené jednorazové vysporiadanie zo strany komerčnej poisťovne - prostredníctvom zvýšenia</w:t>
            </w:r>
            <w:r w:rsidRPr="00F018BF">
              <w:rPr>
                <w:b/>
                <w:sz w:val="24"/>
                <w:szCs w:val="24"/>
              </w:rPr>
              <w:t xml:space="preserve"> </w:t>
            </w:r>
            <w:r w:rsidRPr="00F018BF">
              <w:rPr>
                <w:rFonts w:ascii="Times New Roman" w:eastAsia="Calibri" w:hAnsi="Times New Roman" w:cs="Times New Roman"/>
                <w:b/>
                <w:sz w:val="24"/>
                <w:szCs w:val="24"/>
                <w:lang w:eastAsia="sk-SK"/>
              </w:rPr>
              <w:t>sumy oslobodenej od dane z príjmu vo výške nezdaniteľnej časti základu dane na daňovníka, na jej násobok v závislosti od počtu rokov, na ktoré sa jednorazové vysporiadanie poskytuje, najviac v sume 20 000 eur,</w:t>
            </w:r>
          </w:p>
          <w:p w:rsidR="00F018BF" w:rsidRPr="00F018BF" w:rsidRDefault="00F018BF" w:rsidP="00D225C7">
            <w:pPr>
              <w:spacing w:after="0" w:line="240" w:lineRule="auto"/>
              <w:rPr>
                <w:rFonts w:ascii="Times New Roman" w:eastAsia="Calibri" w:hAnsi="Times New Roman" w:cs="Times New Roman"/>
                <w:b/>
                <w:color w:val="FF0000"/>
                <w:sz w:val="24"/>
                <w:szCs w:val="24"/>
                <w:lang w:eastAsia="sk-SK"/>
              </w:rPr>
            </w:pPr>
          </w:p>
          <w:p w:rsidR="00F018BF" w:rsidRPr="00F018BF" w:rsidRDefault="00F018BF" w:rsidP="00D225C7">
            <w:pPr>
              <w:spacing w:after="0" w:line="240" w:lineRule="auto"/>
              <w:rPr>
                <w:rFonts w:ascii="Times New Roman" w:eastAsia="Calibri" w:hAnsi="Times New Roman" w:cs="Times New Roman"/>
                <w:b/>
                <w:sz w:val="24"/>
                <w:szCs w:val="24"/>
                <w:lang w:eastAsia="sk-SK"/>
              </w:rPr>
            </w:pPr>
            <w:r w:rsidRPr="00F018BF">
              <w:rPr>
                <w:rFonts w:ascii="Times New Roman" w:eastAsia="Calibri" w:hAnsi="Times New Roman" w:cs="Times New Roman"/>
                <w:b/>
                <w:sz w:val="24"/>
                <w:szCs w:val="24"/>
                <w:lang w:eastAsia="sk-SK"/>
              </w:rPr>
              <w:t>- sociálne slabšie skupiny ľudí, ktorí budú mať – bezodplatne -  prístup k potravinám, ktorým exspirovala doba použiteľnosti. Novela zákona umožňuje uznať do daňových výdavkov aj obstarávaciu cenu zásob potravín po dobe použiteľnosti aj daňovníkom nezaloženým alebo nezriadeným na podnikanie, ak jeho predmet činnosti zodpovedá účelu podľa § 50 ods. 5 zákona (napr. poskytovanie sociálnej pomoci). Návrh zákona daňovo motivuje obchodné reťazce k darovaniu takýchto potravín a zároveň nepriamo napomáha predchádzať plytvaniu potravinami, ktoré môžu pomôcť ľuďom v núdzi.</w:t>
            </w:r>
          </w:p>
          <w:p w:rsidR="00F018BF" w:rsidRPr="00F018BF" w:rsidRDefault="00F018BF" w:rsidP="00D225C7">
            <w:pPr>
              <w:spacing w:after="0" w:line="240" w:lineRule="auto"/>
              <w:rPr>
                <w:rFonts w:ascii="Times New Roman" w:eastAsia="Calibri" w:hAnsi="Times New Roman" w:cs="Times New Roman"/>
                <w:sz w:val="24"/>
                <w:szCs w:val="24"/>
                <w:lang w:eastAsia="sk-SK"/>
              </w:rPr>
            </w:pPr>
          </w:p>
        </w:tc>
      </w:tr>
      <w:tr w:rsidR="00F018BF" w:rsidRPr="00CD4982" w:rsidTr="00F018BF">
        <w:tblPrEx>
          <w:tblBorders>
            <w:top w:val="none" w:sz="0" w:space="0" w:color="auto"/>
          </w:tblBorders>
        </w:tblPrEx>
        <w:trPr>
          <w:trHeight w:val="677"/>
          <w:jc w:val="center"/>
        </w:trPr>
        <w:tc>
          <w:tcPr>
            <w:tcW w:w="5000" w:type="pct"/>
            <w:gridSpan w:val="3"/>
            <w:shd w:val="clear" w:color="auto" w:fill="auto"/>
          </w:tcPr>
          <w:p w:rsidR="00F018BF" w:rsidRPr="00A57582" w:rsidRDefault="00F018BF" w:rsidP="00F018BF">
            <w:pPr>
              <w:spacing w:after="0" w:line="240" w:lineRule="auto"/>
              <w:rPr>
                <w:rFonts w:ascii="Times New Roman" w:hAnsi="Times New Roman" w:cs="Times New Roman"/>
                <w:b/>
                <w:sz w:val="24"/>
                <w:szCs w:val="24"/>
                <w:lang w:eastAsia="sk-SK"/>
              </w:rPr>
            </w:pPr>
            <w:r w:rsidRPr="00A57582">
              <w:rPr>
                <w:rFonts w:ascii="Times New Roman" w:hAnsi="Times New Roman" w:cs="Times New Roman"/>
                <w:b/>
                <w:sz w:val="24"/>
                <w:szCs w:val="24"/>
                <w:lang w:eastAsia="sk-SK"/>
              </w:rPr>
              <w:t>4.3 Identifikujte a popíšte vplyv na rovnosť príležitostí.</w:t>
            </w:r>
          </w:p>
          <w:p w:rsidR="00F018BF" w:rsidRPr="00A57582" w:rsidRDefault="00F018BF" w:rsidP="00F018BF">
            <w:pPr>
              <w:spacing w:after="0" w:line="240" w:lineRule="auto"/>
              <w:ind w:left="340"/>
              <w:jc w:val="both"/>
              <w:rPr>
                <w:rFonts w:ascii="Times New Roman" w:hAnsi="Times New Roman" w:cs="Times New Roman"/>
                <w:sz w:val="24"/>
                <w:szCs w:val="24"/>
                <w:lang w:eastAsia="sk-SK"/>
              </w:rPr>
            </w:pPr>
            <w:r w:rsidRPr="00A57582">
              <w:rPr>
                <w:rFonts w:ascii="Times New Roman" w:hAnsi="Times New Roman" w:cs="Times New Roman"/>
                <w:b/>
                <w:sz w:val="24"/>
                <w:szCs w:val="24"/>
                <w:lang w:eastAsia="sk-SK"/>
              </w:rPr>
              <w:t>Identifikujte, popíšte a kvantifikujte vplyv na rodovú rovnosť.</w:t>
            </w:r>
          </w:p>
        </w:tc>
      </w:tr>
      <w:tr w:rsidR="00F018BF" w:rsidRPr="00CD4982" w:rsidTr="00F018BF">
        <w:tblPrEx>
          <w:tblBorders>
            <w:top w:val="none" w:sz="0" w:space="0" w:color="auto"/>
          </w:tblBorders>
        </w:tblPrEx>
        <w:trPr>
          <w:trHeight w:val="677"/>
          <w:jc w:val="center"/>
        </w:trPr>
        <w:tc>
          <w:tcPr>
            <w:tcW w:w="5000" w:type="pct"/>
            <w:gridSpan w:val="3"/>
            <w:shd w:val="clear" w:color="auto" w:fill="auto"/>
          </w:tcPr>
          <w:p w:rsidR="00F018BF" w:rsidRPr="00A57582" w:rsidRDefault="00F018BF" w:rsidP="00F018BF">
            <w:pPr>
              <w:spacing w:after="0" w:line="240" w:lineRule="auto"/>
              <w:jc w:val="both"/>
              <w:rPr>
                <w:rFonts w:ascii="Times New Roman" w:hAnsi="Times New Roman" w:cs="Times New Roman"/>
                <w:i/>
                <w:sz w:val="24"/>
                <w:szCs w:val="24"/>
                <w:lang w:eastAsia="sk-SK"/>
              </w:rPr>
            </w:pPr>
            <w:r w:rsidRPr="00A57582">
              <w:rPr>
                <w:rFonts w:ascii="Times New Roman" w:hAnsi="Times New Roman" w:cs="Times New Roman"/>
                <w:i/>
                <w:sz w:val="24"/>
                <w:szCs w:val="24"/>
                <w:lang w:eastAsia="sk-SK"/>
              </w:rPr>
              <w:t>Dodržuje návrh povinnosť rovnakého zaobchádzania so skupinami alebo jednotlivcami na základe pohlavia, rasy, etnicity, náboženstva alebo viery, zdravotného postihnutia veku a sexuálnej orientácie? Mohol by viesť k nepriamej diskriminácii niektorých skupín obyvateľstva? Podporuje návrh rovnosť príležitostí?</w:t>
            </w:r>
          </w:p>
        </w:tc>
      </w:tr>
      <w:tr w:rsidR="00F018BF" w:rsidRPr="0040544D" w:rsidTr="00F018BF">
        <w:tblPrEx>
          <w:tblBorders>
            <w:top w:val="none" w:sz="0" w:space="0" w:color="auto"/>
          </w:tblBorders>
        </w:tblPrEx>
        <w:trPr>
          <w:trHeight w:val="67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F018BF" w:rsidRPr="00BA0AB9" w:rsidRDefault="00F018BF" w:rsidP="00F018BF">
            <w:pPr>
              <w:spacing w:after="0" w:line="240" w:lineRule="auto"/>
              <w:jc w:val="both"/>
              <w:rPr>
                <w:rFonts w:ascii="Times New Roman" w:hAnsi="Times New Roman" w:cs="Times New Roman"/>
                <w:b/>
                <w:sz w:val="24"/>
                <w:szCs w:val="24"/>
                <w:lang w:eastAsia="sk-SK"/>
              </w:rPr>
            </w:pPr>
            <w:r w:rsidRPr="00BA0AB9">
              <w:rPr>
                <w:rFonts w:ascii="Times New Roman" w:hAnsi="Times New Roman" w:cs="Times New Roman"/>
                <w:b/>
                <w:sz w:val="24"/>
                <w:szCs w:val="24"/>
                <w:lang w:eastAsia="sk-SK"/>
              </w:rPr>
              <w:lastRenderedPageBreak/>
              <w:t>Bez vplyvu.</w:t>
            </w:r>
          </w:p>
          <w:p w:rsidR="00F018BF" w:rsidRPr="00F018BF" w:rsidRDefault="00F018BF" w:rsidP="00F018BF">
            <w:pPr>
              <w:spacing w:after="0" w:line="240" w:lineRule="auto"/>
              <w:jc w:val="both"/>
              <w:rPr>
                <w:rFonts w:ascii="Times New Roman" w:hAnsi="Times New Roman" w:cs="Times New Roman"/>
                <w:i/>
                <w:sz w:val="24"/>
                <w:szCs w:val="24"/>
                <w:lang w:eastAsia="sk-SK"/>
              </w:rPr>
            </w:pPr>
          </w:p>
          <w:p w:rsidR="00F018BF" w:rsidRPr="00F018BF" w:rsidRDefault="00F018BF" w:rsidP="00F018BF">
            <w:pPr>
              <w:spacing w:after="0" w:line="240" w:lineRule="auto"/>
              <w:jc w:val="both"/>
              <w:rPr>
                <w:rFonts w:ascii="Times New Roman" w:hAnsi="Times New Roman" w:cs="Times New Roman"/>
                <w:i/>
                <w:sz w:val="24"/>
                <w:szCs w:val="24"/>
                <w:lang w:eastAsia="sk-SK"/>
              </w:rPr>
            </w:pPr>
          </w:p>
        </w:tc>
      </w:tr>
      <w:tr w:rsidR="00F018BF" w:rsidRPr="0040544D" w:rsidTr="00F018BF">
        <w:tblPrEx>
          <w:tblBorders>
            <w:top w:val="none" w:sz="0" w:space="0" w:color="auto"/>
          </w:tblBorders>
        </w:tblPrEx>
        <w:trPr>
          <w:trHeight w:val="67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F018BF" w:rsidRPr="00F018BF" w:rsidRDefault="00F018BF" w:rsidP="00F018BF">
            <w:pPr>
              <w:spacing w:after="0" w:line="240" w:lineRule="auto"/>
              <w:jc w:val="both"/>
              <w:rPr>
                <w:rFonts w:ascii="Times New Roman" w:hAnsi="Times New Roman" w:cs="Times New Roman"/>
                <w:i/>
                <w:sz w:val="24"/>
                <w:szCs w:val="24"/>
                <w:lang w:eastAsia="sk-SK"/>
              </w:rPr>
            </w:pPr>
            <w:r w:rsidRPr="00A57582">
              <w:rPr>
                <w:rFonts w:ascii="Times New Roman" w:hAnsi="Times New Roman" w:cs="Times New Roman"/>
                <w:i/>
                <w:sz w:val="24"/>
                <w:szCs w:val="24"/>
                <w:lang w:eastAsia="sk-SK"/>
              </w:rPr>
              <w:t>Môže mať návrh odlišný vplyv na ženy a mužov? Podporuje návrh rovnosť medzi ženami a mužmi alebo naopak bude viesť k zväčšovaniu rodových nerovností? Popíšte vplyvy.</w:t>
            </w:r>
          </w:p>
        </w:tc>
      </w:tr>
      <w:tr w:rsidR="00F018BF" w:rsidRPr="00CD4982" w:rsidTr="00F018BF">
        <w:tblPrEx>
          <w:tblBorders>
            <w:top w:val="none" w:sz="0" w:space="0" w:color="auto"/>
            <w:bottom w:val="none" w:sz="0" w:space="0" w:color="auto"/>
          </w:tblBorders>
        </w:tblPrEx>
        <w:trPr>
          <w:trHeight w:val="1235"/>
          <w:jc w:val="center"/>
        </w:trPr>
        <w:tc>
          <w:tcPr>
            <w:tcW w:w="1993" w:type="pct"/>
            <w:tcBorders>
              <w:top w:val="single" w:sz="4" w:space="0" w:color="auto"/>
              <w:bottom w:val="single" w:sz="4" w:space="0" w:color="auto"/>
            </w:tcBorders>
            <w:shd w:val="clear" w:color="auto" w:fill="auto"/>
          </w:tcPr>
          <w:p w:rsidR="00F018BF" w:rsidRPr="00BA0AB9" w:rsidRDefault="00F018BF" w:rsidP="00D225C7">
            <w:pPr>
              <w:spacing w:after="0" w:line="240" w:lineRule="auto"/>
              <w:jc w:val="both"/>
              <w:rPr>
                <w:rFonts w:ascii="Times New Roman" w:eastAsia="Calibri" w:hAnsi="Times New Roman" w:cs="Times New Roman"/>
                <w:i/>
                <w:sz w:val="24"/>
                <w:szCs w:val="24"/>
                <w:lang w:eastAsia="sk-SK"/>
              </w:rPr>
            </w:pPr>
            <w:r w:rsidRPr="00BA0AB9">
              <w:rPr>
                <w:rFonts w:ascii="Times New Roman" w:eastAsia="Calibri" w:hAnsi="Times New Roman" w:cs="Times New Roman"/>
                <w:i/>
                <w:sz w:val="24"/>
                <w:szCs w:val="24"/>
                <w:lang w:eastAsia="sk-SK"/>
              </w:rPr>
              <w:t>Pri identifikovaní rodových vplyvov treba vziať do úvahy existujúce rozdiely medzi mužmi a ženami, ktoré sú 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rsidR="00F018BF" w:rsidRPr="00BA0AB9" w:rsidRDefault="00F018BF" w:rsidP="00F018BF">
            <w:pPr>
              <w:numPr>
                <w:ilvl w:val="0"/>
                <w:numId w:val="30"/>
              </w:numPr>
              <w:spacing w:after="0" w:line="240" w:lineRule="auto"/>
              <w:jc w:val="both"/>
              <w:rPr>
                <w:rFonts w:ascii="Times New Roman" w:eastAsia="Calibri" w:hAnsi="Times New Roman" w:cs="Times New Roman"/>
                <w:i/>
                <w:sz w:val="24"/>
                <w:szCs w:val="24"/>
                <w:lang w:eastAsia="sk-SK"/>
              </w:rPr>
            </w:pPr>
            <w:r w:rsidRPr="00BA0AB9">
              <w:rPr>
                <w:rFonts w:ascii="Times New Roman" w:eastAsia="Calibri" w:hAnsi="Times New Roman" w:cs="Times New Roman"/>
                <w:i/>
                <w:sz w:val="24"/>
                <w:szCs w:val="24"/>
                <w:lang w:eastAsia="sk-SK"/>
              </w:rPr>
              <w:t xml:space="preserve">podpora vyrovnávania ekonomickej nezávislosti, </w:t>
            </w:r>
          </w:p>
          <w:p w:rsidR="00F018BF" w:rsidRPr="00BA0AB9" w:rsidRDefault="00F018BF" w:rsidP="00F018BF">
            <w:pPr>
              <w:numPr>
                <w:ilvl w:val="0"/>
                <w:numId w:val="30"/>
              </w:numPr>
              <w:spacing w:after="0" w:line="240" w:lineRule="auto"/>
              <w:jc w:val="both"/>
              <w:rPr>
                <w:rFonts w:ascii="Times New Roman" w:eastAsia="Calibri" w:hAnsi="Times New Roman" w:cs="Times New Roman"/>
                <w:i/>
                <w:sz w:val="24"/>
                <w:szCs w:val="24"/>
                <w:lang w:eastAsia="sk-SK"/>
              </w:rPr>
            </w:pPr>
            <w:r w:rsidRPr="00BA0AB9">
              <w:rPr>
                <w:rFonts w:ascii="Times New Roman" w:eastAsia="Calibri" w:hAnsi="Times New Roman" w:cs="Times New Roman"/>
                <w:i/>
                <w:sz w:val="24"/>
                <w:szCs w:val="24"/>
                <w:lang w:eastAsia="sk-SK"/>
              </w:rPr>
              <w:t xml:space="preserve">zosúladenie pracovného, súkromného a rodinného života, </w:t>
            </w:r>
          </w:p>
          <w:p w:rsidR="00F018BF" w:rsidRPr="00BA0AB9" w:rsidRDefault="00F018BF" w:rsidP="00F018BF">
            <w:pPr>
              <w:numPr>
                <w:ilvl w:val="0"/>
                <w:numId w:val="30"/>
              </w:numPr>
              <w:spacing w:after="0" w:line="240" w:lineRule="auto"/>
              <w:jc w:val="both"/>
              <w:rPr>
                <w:rFonts w:ascii="Times New Roman" w:eastAsia="Calibri" w:hAnsi="Times New Roman" w:cs="Times New Roman"/>
                <w:i/>
                <w:sz w:val="24"/>
                <w:szCs w:val="24"/>
                <w:lang w:eastAsia="sk-SK"/>
              </w:rPr>
            </w:pPr>
            <w:r w:rsidRPr="00BA0AB9">
              <w:rPr>
                <w:rFonts w:ascii="Times New Roman" w:eastAsia="Calibri" w:hAnsi="Times New Roman" w:cs="Times New Roman"/>
                <w:i/>
                <w:sz w:val="24"/>
                <w:szCs w:val="24"/>
                <w:lang w:eastAsia="sk-SK"/>
              </w:rPr>
              <w:t xml:space="preserve">podpora rovnej participácie na rozhodovaní, </w:t>
            </w:r>
          </w:p>
          <w:p w:rsidR="00F018BF" w:rsidRPr="00BA0AB9" w:rsidRDefault="00F018BF" w:rsidP="00F018BF">
            <w:pPr>
              <w:numPr>
                <w:ilvl w:val="0"/>
                <w:numId w:val="30"/>
              </w:numPr>
              <w:spacing w:after="0" w:line="240" w:lineRule="auto"/>
              <w:jc w:val="both"/>
              <w:rPr>
                <w:rFonts w:ascii="Times New Roman" w:eastAsia="Calibri" w:hAnsi="Times New Roman" w:cs="Times New Roman"/>
                <w:i/>
                <w:sz w:val="24"/>
                <w:szCs w:val="24"/>
                <w:lang w:eastAsia="sk-SK"/>
              </w:rPr>
            </w:pPr>
            <w:r w:rsidRPr="00BA0AB9">
              <w:rPr>
                <w:rFonts w:ascii="Times New Roman" w:eastAsia="Calibri" w:hAnsi="Times New Roman" w:cs="Times New Roman"/>
                <w:i/>
                <w:sz w:val="24"/>
                <w:szCs w:val="24"/>
                <w:lang w:eastAsia="sk-SK"/>
              </w:rPr>
              <w:t xml:space="preserve">boj proti rodovo podmienenému násiliu a obchodovaniu s ľuďmi, </w:t>
            </w:r>
          </w:p>
          <w:p w:rsidR="00F018BF" w:rsidRPr="00BA0AB9" w:rsidRDefault="00F018BF" w:rsidP="00F018BF">
            <w:pPr>
              <w:numPr>
                <w:ilvl w:val="0"/>
                <w:numId w:val="30"/>
              </w:numPr>
              <w:spacing w:after="0" w:line="240" w:lineRule="auto"/>
              <w:jc w:val="both"/>
              <w:rPr>
                <w:rFonts w:ascii="Times New Roman" w:eastAsia="Calibri" w:hAnsi="Times New Roman" w:cs="Times New Roman"/>
                <w:i/>
                <w:sz w:val="24"/>
                <w:szCs w:val="24"/>
                <w:lang w:eastAsia="sk-SK"/>
              </w:rPr>
            </w:pPr>
            <w:r w:rsidRPr="00BA0AB9">
              <w:rPr>
                <w:rFonts w:ascii="Times New Roman" w:eastAsia="Calibri" w:hAnsi="Times New Roman" w:cs="Times New Roman"/>
                <w:i/>
                <w:sz w:val="24"/>
                <w:szCs w:val="24"/>
                <w:lang w:eastAsia="sk-SK"/>
              </w:rPr>
              <w:t>eliminácia rodových stereotypov.</w:t>
            </w:r>
          </w:p>
        </w:tc>
        <w:tc>
          <w:tcPr>
            <w:tcW w:w="3007" w:type="pct"/>
            <w:gridSpan w:val="2"/>
            <w:tcBorders>
              <w:top w:val="single" w:sz="4" w:space="0" w:color="auto"/>
              <w:bottom w:val="single" w:sz="4" w:space="0" w:color="auto"/>
            </w:tcBorders>
            <w:shd w:val="clear" w:color="auto" w:fill="auto"/>
          </w:tcPr>
          <w:p w:rsidR="00F018BF" w:rsidRPr="00BA0AB9" w:rsidRDefault="00F018BF" w:rsidP="00D225C7">
            <w:pPr>
              <w:spacing w:after="0" w:line="240" w:lineRule="auto"/>
              <w:rPr>
                <w:rFonts w:ascii="Times New Roman" w:eastAsia="Calibri" w:hAnsi="Times New Roman" w:cs="Times New Roman"/>
                <w:b/>
                <w:sz w:val="24"/>
                <w:szCs w:val="24"/>
                <w:lang w:eastAsia="sk-SK"/>
              </w:rPr>
            </w:pPr>
            <w:r w:rsidRPr="00BA0AB9">
              <w:rPr>
                <w:rFonts w:ascii="Times New Roman" w:eastAsia="Calibri" w:hAnsi="Times New Roman" w:cs="Times New Roman"/>
                <w:b/>
                <w:sz w:val="24"/>
                <w:szCs w:val="24"/>
                <w:lang w:eastAsia="sk-SK"/>
              </w:rPr>
              <w:t>Bez vplyvu.</w:t>
            </w:r>
          </w:p>
          <w:p w:rsidR="00F018BF" w:rsidRPr="00BA0AB9" w:rsidRDefault="00F018BF" w:rsidP="00D225C7">
            <w:pPr>
              <w:spacing w:after="0" w:line="240" w:lineRule="auto"/>
              <w:rPr>
                <w:rFonts w:ascii="Times New Roman" w:eastAsia="Calibri" w:hAnsi="Times New Roman" w:cs="Times New Roman"/>
                <w:sz w:val="24"/>
                <w:szCs w:val="24"/>
                <w:lang w:eastAsia="sk-SK"/>
              </w:rPr>
            </w:pPr>
          </w:p>
          <w:p w:rsidR="00F018BF" w:rsidRPr="00BA0AB9" w:rsidRDefault="00F018BF" w:rsidP="00D225C7">
            <w:pPr>
              <w:spacing w:after="0" w:line="240" w:lineRule="auto"/>
              <w:rPr>
                <w:rFonts w:ascii="Times New Roman" w:eastAsia="Calibri" w:hAnsi="Times New Roman" w:cs="Times New Roman"/>
                <w:sz w:val="24"/>
                <w:szCs w:val="24"/>
                <w:lang w:eastAsia="sk-SK"/>
              </w:rPr>
            </w:pPr>
          </w:p>
          <w:p w:rsidR="00F018BF" w:rsidRPr="00BA0AB9" w:rsidRDefault="00F018BF" w:rsidP="00D225C7">
            <w:pPr>
              <w:spacing w:after="0" w:line="240" w:lineRule="auto"/>
              <w:rPr>
                <w:rFonts w:ascii="Times New Roman" w:eastAsia="Calibri" w:hAnsi="Times New Roman" w:cs="Times New Roman"/>
                <w:sz w:val="24"/>
                <w:szCs w:val="24"/>
                <w:lang w:eastAsia="sk-SK"/>
              </w:rPr>
            </w:pPr>
          </w:p>
          <w:p w:rsidR="00F018BF" w:rsidRPr="00BA0AB9" w:rsidRDefault="00F018BF" w:rsidP="00D225C7">
            <w:pPr>
              <w:spacing w:after="0" w:line="240" w:lineRule="auto"/>
              <w:rPr>
                <w:rFonts w:ascii="Times New Roman" w:eastAsia="Calibri" w:hAnsi="Times New Roman" w:cs="Times New Roman"/>
                <w:sz w:val="24"/>
                <w:szCs w:val="24"/>
                <w:lang w:eastAsia="sk-SK"/>
              </w:rPr>
            </w:pPr>
          </w:p>
        </w:tc>
      </w:tr>
      <w:tr w:rsidR="00F018BF" w:rsidRPr="00CD4982" w:rsidTr="00BA0AB9">
        <w:tblPrEx>
          <w:tblBorders>
            <w:top w:val="none" w:sz="0" w:space="0" w:color="auto"/>
            <w:bottom w:val="none" w:sz="0" w:space="0" w:color="auto"/>
          </w:tblBorders>
        </w:tblPrEx>
        <w:trPr>
          <w:trHeight w:val="913"/>
          <w:jc w:val="center"/>
        </w:trPr>
        <w:tc>
          <w:tcPr>
            <w:tcW w:w="5000" w:type="pct"/>
            <w:gridSpan w:val="3"/>
            <w:tcBorders>
              <w:top w:val="single" w:sz="4" w:space="0" w:color="auto"/>
              <w:bottom w:val="single" w:sz="4" w:space="0" w:color="auto"/>
            </w:tcBorders>
            <w:shd w:val="clear" w:color="auto" w:fill="auto"/>
          </w:tcPr>
          <w:p w:rsidR="00BA0AB9" w:rsidRPr="00BA0AB9" w:rsidRDefault="00BA0AB9" w:rsidP="00BA0AB9">
            <w:pPr>
              <w:spacing w:after="0" w:line="240" w:lineRule="auto"/>
              <w:rPr>
                <w:rFonts w:ascii="Times New Roman" w:hAnsi="Times New Roman" w:cs="Times New Roman"/>
                <w:b/>
                <w:sz w:val="24"/>
                <w:szCs w:val="24"/>
                <w:lang w:eastAsia="sk-SK"/>
              </w:rPr>
            </w:pPr>
            <w:r w:rsidRPr="00BA0AB9">
              <w:rPr>
                <w:rFonts w:ascii="Times New Roman" w:hAnsi="Times New Roman" w:cs="Times New Roman"/>
                <w:b/>
                <w:sz w:val="24"/>
                <w:szCs w:val="24"/>
                <w:lang w:eastAsia="sk-SK"/>
              </w:rPr>
              <w:t>4.4 Identifikujte, popíšte a kvantifikujte vplyvy na zamestnanosť a na trh práce.</w:t>
            </w:r>
          </w:p>
          <w:p w:rsidR="00F018BF" w:rsidRPr="00BA0AB9" w:rsidRDefault="00BA0AB9" w:rsidP="00BA0AB9">
            <w:pPr>
              <w:spacing w:after="0" w:line="240" w:lineRule="auto"/>
              <w:rPr>
                <w:rFonts w:ascii="Times New Roman" w:eastAsia="Calibri" w:hAnsi="Times New Roman" w:cs="Times New Roman"/>
                <w:sz w:val="24"/>
                <w:szCs w:val="24"/>
                <w:lang w:eastAsia="sk-SK"/>
              </w:rPr>
            </w:pPr>
            <w:r w:rsidRPr="00BA0AB9">
              <w:rPr>
                <w:rFonts w:ascii="Times New Roman" w:hAnsi="Times New Roman" w:cs="Times New Roman"/>
                <w:i/>
                <w:sz w:val="24"/>
                <w:szCs w:val="24"/>
                <w:lang w:eastAsia="sk-SK"/>
              </w:rPr>
              <w:t xml:space="preserve">V prípade kladnej odpovede pripojte </w:t>
            </w:r>
            <w:r w:rsidRPr="00BA0AB9">
              <w:rPr>
                <w:rFonts w:ascii="Times New Roman" w:hAnsi="Times New Roman" w:cs="Times New Roman"/>
                <w:b/>
                <w:i/>
                <w:sz w:val="24"/>
                <w:szCs w:val="24"/>
                <w:lang w:eastAsia="sk-SK"/>
              </w:rPr>
              <w:t>odôvodnenie</w:t>
            </w:r>
            <w:r w:rsidRPr="00BA0AB9">
              <w:rPr>
                <w:rFonts w:ascii="Times New Roman" w:hAnsi="Times New Roman" w:cs="Times New Roman"/>
                <w:i/>
                <w:sz w:val="24"/>
                <w:szCs w:val="24"/>
                <w:lang w:eastAsia="sk-SK"/>
              </w:rPr>
              <w:t xml:space="preserve"> v súlade s Metodickým postupom pre analýzu sociálnych vplyvov.</w:t>
            </w:r>
          </w:p>
        </w:tc>
      </w:tr>
      <w:tr w:rsidR="00BA0AB9" w:rsidRPr="00994C53" w:rsidTr="00BA0AB9">
        <w:tblPrEx>
          <w:tblBorders>
            <w:top w:val="none" w:sz="0" w:space="0" w:color="auto"/>
            <w:bottom w:val="none" w:sz="0" w:space="0" w:color="auto"/>
          </w:tblBorders>
        </w:tblPrEx>
        <w:trPr>
          <w:trHeight w:val="913"/>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BA0AB9" w:rsidRPr="00BA0AB9" w:rsidRDefault="00BA0AB9" w:rsidP="00D225C7">
            <w:pPr>
              <w:spacing w:after="0" w:line="240" w:lineRule="auto"/>
              <w:rPr>
                <w:rFonts w:ascii="Times New Roman" w:hAnsi="Times New Roman" w:cs="Times New Roman"/>
                <w:b/>
                <w:sz w:val="24"/>
                <w:szCs w:val="24"/>
                <w:lang w:eastAsia="sk-SK"/>
              </w:rPr>
            </w:pPr>
            <w:r w:rsidRPr="00BA0AB9">
              <w:rPr>
                <w:rFonts w:ascii="Times New Roman" w:hAnsi="Times New Roman" w:cs="Times New Roman"/>
                <w:b/>
                <w:sz w:val="24"/>
                <w:szCs w:val="24"/>
                <w:lang w:eastAsia="sk-SK"/>
              </w:rPr>
              <w:t>Uľahčuje návrh vznik nových pracovných miest? Ak áno, ako? Ak je to možné, doplňte kvantifikáciu.</w:t>
            </w:r>
          </w:p>
        </w:tc>
      </w:tr>
      <w:tr w:rsidR="00BA0AB9" w:rsidRPr="00994C53" w:rsidTr="00BA0AB9">
        <w:trPr>
          <w:trHeight w:val="567"/>
          <w:jc w:val="center"/>
        </w:trPr>
        <w:tc>
          <w:tcPr>
            <w:tcW w:w="1993" w:type="pct"/>
            <w:tcBorders>
              <w:top w:val="nil"/>
              <w:bottom w:val="single" w:sz="4" w:space="0" w:color="auto"/>
            </w:tcBorders>
            <w:shd w:val="clear" w:color="auto" w:fill="FFFFFF"/>
          </w:tcPr>
          <w:p w:rsidR="00BA0AB9" w:rsidRPr="00BA0AB9" w:rsidRDefault="00BA0AB9" w:rsidP="00D225C7">
            <w:pPr>
              <w:spacing w:after="0" w:line="240" w:lineRule="auto"/>
              <w:rPr>
                <w:rFonts w:ascii="Times New Roman" w:eastAsia="Calibri" w:hAnsi="Times New Roman" w:cs="Times New Roman"/>
                <w:i/>
                <w:sz w:val="24"/>
                <w:szCs w:val="24"/>
              </w:rPr>
            </w:pPr>
            <w:r w:rsidRPr="00BA0AB9">
              <w:rPr>
                <w:rFonts w:ascii="Times New Roman" w:eastAsia="Calibri" w:hAnsi="Times New Roman" w:cs="Times New Roman"/>
                <w:i/>
                <w:sz w:val="24"/>
                <w:szCs w:val="24"/>
              </w:rPr>
              <w:t xml:space="preserve">Identifikujte, v ktorých sektoroch a odvetviach ekonomiky, v ktorých regiónoch, pre aké skupiny zamestnancov, o aké typy zamestnania /pracovných úväzkov pôjde a pod. </w:t>
            </w:r>
          </w:p>
        </w:tc>
        <w:tc>
          <w:tcPr>
            <w:tcW w:w="3006" w:type="pct"/>
            <w:gridSpan w:val="2"/>
            <w:tcBorders>
              <w:top w:val="nil"/>
              <w:bottom w:val="single" w:sz="4" w:space="0" w:color="auto"/>
            </w:tcBorders>
            <w:shd w:val="clear" w:color="auto" w:fill="FFFFFF"/>
          </w:tcPr>
          <w:p w:rsidR="00BA0AB9" w:rsidRPr="00BA0AB9" w:rsidRDefault="00BA0AB9" w:rsidP="00D225C7">
            <w:pPr>
              <w:spacing w:after="0" w:line="240" w:lineRule="auto"/>
              <w:rPr>
                <w:rFonts w:ascii="Times New Roman" w:eastAsia="Calibri" w:hAnsi="Times New Roman" w:cs="Times New Roman"/>
                <w:b/>
                <w:sz w:val="24"/>
                <w:szCs w:val="24"/>
              </w:rPr>
            </w:pPr>
            <w:r w:rsidRPr="00BA0AB9">
              <w:rPr>
                <w:rFonts w:ascii="Times New Roman" w:eastAsia="Calibri" w:hAnsi="Times New Roman" w:cs="Times New Roman"/>
                <w:b/>
                <w:sz w:val="24"/>
                <w:szCs w:val="24"/>
              </w:rPr>
              <w:t>Bez vplyvu.</w:t>
            </w:r>
          </w:p>
        </w:tc>
      </w:tr>
      <w:tr w:rsidR="00BA0AB9" w:rsidRPr="00994C53" w:rsidTr="00BA0AB9">
        <w:trPr>
          <w:trHeight w:val="270"/>
          <w:jc w:val="center"/>
        </w:trPr>
        <w:tc>
          <w:tcPr>
            <w:tcW w:w="4999" w:type="pct"/>
            <w:gridSpan w:val="3"/>
            <w:tcBorders>
              <w:bottom w:val="single" w:sz="4" w:space="0" w:color="auto"/>
            </w:tcBorders>
            <w:shd w:val="clear" w:color="auto" w:fill="F2F2F2"/>
          </w:tcPr>
          <w:p w:rsidR="00BA0AB9" w:rsidRPr="00BA0AB9" w:rsidRDefault="00BA0AB9" w:rsidP="00D225C7">
            <w:pPr>
              <w:spacing w:after="0" w:line="240" w:lineRule="auto"/>
              <w:rPr>
                <w:rFonts w:ascii="Times New Roman" w:eastAsia="Calibri" w:hAnsi="Times New Roman" w:cs="Times New Roman"/>
                <w:i/>
                <w:sz w:val="24"/>
                <w:szCs w:val="24"/>
              </w:rPr>
            </w:pPr>
            <w:r w:rsidRPr="00BA0AB9">
              <w:rPr>
                <w:rFonts w:ascii="Times New Roman" w:eastAsia="Calibri" w:hAnsi="Times New Roman" w:cs="Times New Roman"/>
                <w:i/>
                <w:sz w:val="24"/>
                <w:szCs w:val="24"/>
              </w:rPr>
              <w:t>Vedie návrh k zániku pracovných miest?</w:t>
            </w:r>
            <w:r w:rsidRPr="00BA0AB9">
              <w:rPr>
                <w:rFonts w:ascii="Times New Roman" w:eastAsia="Calibri" w:hAnsi="Times New Roman" w:cs="Times New Roman"/>
                <w:sz w:val="24"/>
                <w:szCs w:val="24"/>
              </w:rPr>
              <w:t xml:space="preserve"> </w:t>
            </w:r>
            <w:r w:rsidRPr="00BA0AB9">
              <w:rPr>
                <w:rFonts w:ascii="Times New Roman" w:eastAsia="Calibri" w:hAnsi="Times New Roman" w:cs="Times New Roman"/>
                <w:i/>
                <w:sz w:val="24"/>
                <w:szCs w:val="24"/>
              </w:rPr>
              <w:t>Ak áno, ako a akých? Ak je to možné, doplňte kvantifikáciu.</w:t>
            </w:r>
          </w:p>
        </w:tc>
      </w:tr>
      <w:tr w:rsidR="00BA0AB9" w:rsidRPr="00994C53" w:rsidTr="00BA0AB9">
        <w:trPr>
          <w:trHeight w:val="454"/>
          <w:jc w:val="center"/>
        </w:trPr>
        <w:tc>
          <w:tcPr>
            <w:tcW w:w="1993" w:type="pct"/>
            <w:tcBorders>
              <w:bottom w:val="single" w:sz="4" w:space="0" w:color="auto"/>
            </w:tcBorders>
            <w:shd w:val="clear" w:color="auto" w:fill="FFFFFF"/>
          </w:tcPr>
          <w:p w:rsidR="00BA0AB9" w:rsidRPr="00BA0AB9" w:rsidRDefault="00BA0AB9" w:rsidP="00D225C7">
            <w:pPr>
              <w:spacing w:after="0" w:line="240" w:lineRule="auto"/>
              <w:rPr>
                <w:rFonts w:ascii="Times New Roman" w:eastAsia="Calibri" w:hAnsi="Times New Roman" w:cs="Times New Roman"/>
                <w:i/>
                <w:sz w:val="24"/>
                <w:szCs w:val="24"/>
              </w:rPr>
            </w:pPr>
            <w:r w:rsidRPr="00BA0AB9">
              <w:rPr>
                <w:rFonts w:ascii="Times New Roman" w:eastAsia="Calibri" w:hAnsi="Times New Roman" w:cs="Times New Roman"/>
                <w:i/>
                <w:sz w:val="24"/>
                <w:szCs w:val="24"/>
              </w:rPr>
              <w:t xml:space="preserve">Identifikujte, v ktorých sektoroch a odvetviach ekonomiky, v ktorých regiónoch, o aké typy zamestnania /pracovných úväzkov pôjde a pod. Identifikujte možné dôsledky, </w:t>
            </w:r>
            <w:r w:rsidRPr="00BA0AB9">
              <w:rPr>
                <w:rFonts w:ascii="Times New Roman" w:eastAsia="Calibri" w:hAnsi="Times New Roman" w:cs="Times New Roman"/>
                <w:i/>
                <w:sz w:val="24"/>
                <w:szCs w:val="24"/>
              </w:rPr>
              <w:lastRenderedPageBreak/>
              <w:t>skupiny zamestnancov, ktoré budú viac ovplyvnené a rozsah vplyvu.</w:t>
            </w:r>
          </w:p>
        </w:tc>
        <w:tc>
          <w:tcPr>
            <w:tcW w:w="3006" w:type="pct"/>
            <w:gridSpan w:val="2"/>
            <w:tcBorders>
              <w:bottom w:val="single" w:sz="4" w:space="0" w:color="auto"/>
            </w:tcBorders>
            <w:shd w:val="clear" w:color="auto" w:fill="FFFFFF"/>
          </w:tcPr>
          <w:p w:rsidR="00BA0AB9" w:rsidRPr="00BA0AB9" w:rsidRDefault="00BA0AB9" w:rsidP="00D225C7">
            <w:pPr>
              <w:spacing w:after="0" w:line="240" w:lineRule="auto"/>
              <w:rPr>
                <w:rFonts w:ascii="Times New Roman" w:eastAsia="Calibri" w:hAnsi="Times New Roman" w:cs="Times New Roman"/>
                <w:b/>
                <w:sz w:val="24"/>
                <w:szCs w:val="24"/>
              </w:rPr>
            </w:pPr>
            <w:r w:rsidRPr="00BA0AB9">
              <w:rPr>
                <w:rFonts w:ascii="Times New Roman" w:eastAsia="Calibri" w:hAnsi="Times New Roman" w:cs="Times New Roman"/>
                <w:b/>
                <w:sz w:val="24"/>
                <w:szCs w:val="24"/>
              </w:rPr>
              <w:lastRenderedPageBreak/>
              <w:t>Bez vplyvu.</w:t>
            </w:r>
          </w:p>
        </w:tc>
      </w:tr>
      <w:tr w:rsidR="00BA0AB9" w:rsidRPr="00994C53" w:rsidTr="00BA0AB9">
        <w:trPr>
          <w:trHeight w:val="248"/>
          <w:jc w:val="center"/>
        </w:trPr>
        <w:tc>
          <w:tcPr>
            <w:tcW w:w="4999" w:type="pct"/>
            <w:gridSpan w:val="3"/>
            <w:tcBorders>
              <w:bottom w:val="single" w:sz="4" w:space="0" w:color="auto"/>
            </w:tcBorders>
            <w:shd w:val="clear" w:color="auto" w:fill="F2F2F2"/>
          </w:tcPr>
          <w:p w:rsidR="00BA0AB9" w:rsidRPr="00BA0AB9" w:rsidRDefault="00BA0AB9" w:rsidP="00D225C7">
            <w:pPr>
              <w:spacing w:after="0" w:line="240" w:lineRule="auto"/>
              <w:rPr>
                <w:rFonts w:ascii="Times New Roman" w:eastAsia="Calibri" w:hAnsi="Times New Roman" w:cs="Times New Roman"/>
                <w:sz w:val="24"/>
                <w:szCs w:val="24"/>
              </w:rPr>
            </w:pPr>
            <w:r w:rsidRPr="00BA0AB9">
              <w:rPr>
                <w:rFonts w:ascii="Times New Roman" w:eastAsia="Calibri" w:hAnsi="Times New Roman" w:cs="Times New Roman"/>
                <w:i/>
                <w:sz w:val="24"/>
                <w:szCs w:val="24"/>
              </w:rPr>
              <w:t>Ovplyvňuje návrh dopyt po práci?</w:t>
            </w:r>
            <w:r w:rsidRPr="00BA0AB9">
              <w:rPr>
                <w:rFonts w:ascii="Times New Roman" w:eastAsia="Calibri" w:hAnsi="Times New Roman" w:cs="Times New Roman"/>
                <w:sz w:val="24"/>
                <w:szCs w:val="24"/>
              </w:rPr>
              <w:t xml:space="preserve"> </w:t>
            </w:r>
            <w:r w:rsidRPr="00BA0AB9">
              <w:rPr>
                <w:rFonts w:ascii="Times New Roman" w:eastAsia="Calibri" w:hAnsi="Times New Roman" w:cs="Times New Roman"/>
                <w:i/>
                <w:sz w:val="24"/>
                <w:szCs w:val="24"/>
              </w:rPr>
              <w:t>Ak áno, ako?</w:t>
            </w:r>
          </w:p>
        </w:tc>
      </w:tr>
      <w:tr w:rsidR="00BA0AB9" w:rsidRPr="00994C53" w:rsidTr="00BA0AB9">
        <w:trPr>
          <w:trHeight w:val="209"/>
          <w:jc w:val="center"/>
        </w:trPr>
        <w:tc>
          <w:tcPr>
            <w:tcW w:w="1993" w:type="pct"/>
            <w:tcBorders>
              <w:bottom w:val="single" w:sz="4" w:space="0" w:color="auto"/>
            </w:tcBorders>
            <w:shd w:val="clear" w:color="auto" w:fill="FFFFFF"/>
          </w:tcPr>
          <w:p w:rsidR="00BA0AB9" w:rsidRPr="00BA0AB9" w:rsidRDefault="00BA0AB9" w:rsidP="00D225C7">
            <w:pPr>
              <w:spacing w:after="0" w:line="240" w:lineRule="auto"/>
              <w:rPr>
                <w:rFonts w:ascii="Times New Roman" w:eastAsia="Calibri" w:hAnsi="Times New Roman" w:cs="Times New Roman"/>
                <w:i/>
                <w:sz w:val="24"/>
                <w:szCs w:val="24"/>
              </w:rPr>
            </w:pPr>
            <w:r w:rsidRPr="00BA0AB9">
              <w:rPr>
                <w:rFonts w:ascii="Times New Roman" w:eastAsia="Calibri" w:hAnsi="Times New Roman" w:cs="Times New Roman"/>
                <w:i/>
                <w:sz w:val="24"/>
                <w:szCs w:val="24"/>
              </w:rPr>
              <w:t>Dopyt po práci závisí na jednej strane na produkcii tovarov a služieb v ekonomike a na druhej strane na cene práce.</w:t>
            </w:r>
          </w:p>
        </w:tc>
        <w:tc>
          <w:tcPr>
            <w:tcW w:w="3006" w:type="pct"/>
            <w:gridSpan w:val="2"/>
            <w:tcBorders>
              <w:bottom w:val="single" w:sz="4" w:space="0" w:color="auto"/>
            </w:tcBorders>
            <w:shd w:val="clear" w:color="auto" w:fill="FFFFFF"/>
          </w:tcPr>
          <w:p w:rsidR="00BA0AB9" w:rsidRPr="00BA0AB9" w:rsidRDefault="00BA0AB9" w:rsidP="00D225C7">
            <w:pPr>
              <w:spacing w:after="0" w:line="240" w:lineRule="auto"/>
              <w:rPr>
                <w:rFonts w:ascii="Times New Roman" w:eastAsia="Calibri" w:hAnsi="Times New Roman" w:cs="Times New Roman"/>
                <w:b/>
                <w:sz w:val="24"/>
                <w:szCs w:val="24"/>
              </w:rPr>
            </w:pPr>
            <w:r w:rsidRPr="00BA0AB9">
              <w:rPr>
                <w:rFonts w:ascii="Times New Roman" w:eastAsia="Calibri" w:hAnsi="Times New Roman" w:cs="Times New Roman"/>
                <w:b/>
                <w:sz w:val="24"/>
                <w:szCs w:val="24"/>
              </w:rPr>
              <w:t>Bez vplyvu.</w:t>
            </w:r>
          </w:p>
        </w:tc>
      </w:tr>
      <w:tr w:rsidR="00BA0AB9" w:rsidRPr="00994C53" w:rsidTr="00BA0AB9">
        <w:trPr>
          <w:trHeight w:val="208"/>
          <w:jc w:val="center"/>
        </w:trPr>
        <w:tc>
          <w:tcPr>
            <w:tcW w:w="4999" w:type="pct"/>
            <w:gridSpan w:val="3"/>
            <w:tcBorders>
              <w:bottom w:val="single" w:sz="4" w:space="0" w:color="auto"/>
            </w:tcBorders>
            <w:shd w:val="clear" w:color="auto" w:fill="F2F2F2"/>
          </w:tcPr>
          <w:p w:rsidR="00BA0AB9" w:rsidRPr="00BA0AB9" w:rsidRDefault="00BA0AB9" w:rsidP="00D225C7">
            <w:pPr>
              <w:spacing w:after="0" w:line="240" w:lineRule="auto"/>
              <w:rPr>
                <w:rFonts w:ascii="Times New Roman" w:eastAsia="Calibri" w:hAnsi="Times New Roman" w:cs="Times New Roman"/>
                <w:sz w:val="24"/>
                <w:szCs w:val="24"/>
              </w:rPr>
            </w:pPr>
            <w:r w:rsidRPr="00BA0AB9">
              <w:rPr>
                <w:rFonts w:ascii="Times New Roman" w:eastAsia="Calibri" w:hAnsi="Times New Roman" w:cs="Times New Roman"/>
                <w:i/>
                <w:sz w:val="24"/>
                <w:szCs w:val="24"/>
              </w:rPr>
              <w:t>Má návrh dosah na fungovanie trhu práce?</w:t>
            </w:r>
            <w:r w:rsidRPr="00BA0AB9">
              <w:rPr>
                <w:rFonts w:ascii="Times New Roman" w:eastAsia="Calibri" w:hAnsi="Times New Roman" w:cs="Times New Roman"/>
                <w:sz w:val="24"/>
                <w:szCs w:val="24"/>
              </w:rPr>
              <w:t xml:space="preserve"> </w:t>
            </w:r>
            <w:r w:rsidRPr="00BA0AB9">
              <w:rPr>
                <w:rFonts w:ascii="Times New Roman" w:eastAsia="Calibri" w:hAnsi="Times New Roman" w:cs="Times New Roman"/>
                <w:i/>
                <w:sz w:val="24"/>
                <w:szCs w:val="24"/>
              </w:rPr>
              <w:t>Ak áno, aký?</w:t>
            </w:r>
          </w:p>
        </w:tc>
      </w:tr>
      <w:tr w:rsidR="00BA0AB9" w:rsidRPr="00994C53" w:rsidTr="00BA0AB9">
        <w:trPr>
          <w:trHeight w:val="794"/>
          <w:jc w:val="center"/>
        </w:trPr>
        <w:tc>
          <w:tcPr>
            <w:tcW w:w="1993" w:type="pct"/>
            <w:tcBorders>
              <w:bottom w:val="single" w:sz="4" w:space="0" w:color="auto"/>
            </w:tcBorders>
            <w:shd w:val="clear" w:color="auto" w:fill="FFFFFF"/>
          </w:tcPr>
          <w:p w:rsidR="00BA0AB9" w:rsidRPr="00BA0AB9" w:rsidRDefault="00BA0AB9" w:rsidP="00D225C7">
            <w:pPr>
              <w:spacing w:after="0" w:line="240" w:lineRule="auto"/>
              <w:rPr>
                <w:rFonts w:ascii="Times New Roman" w:eastAsia="Calibri" w:hAnsi="Times New Roman" w:cs="Times New Roman"/>
                <w:i/>
                <w:sz w:val="24"/>
                <w:szCs w:val="24"/>
              </w:rPr>
            </w:pPr>
            <w:r w:rsidRPr="00BA0AB9">
              <w:rPr>
                <w:rFonts w:ascii="Times New Roman" w:eastAsia="Calibri" w:hAnsi="Times New Roman" w:cs="Times New Roman"/>
                <w:i/>
                <w:sz w:val="24"/>
                <w:szCs w:val="24"/>
              </w:rPr>
              <w:t>Týka sa makroekonomických dosahov ako je napr. participácia na trhu práce, dlhodobá nezamestnanosť, regionálne rozdiely v mierach zamestnanosti.</w:t>
            </w:r>
            <w:r w:rsidRPr="00BA0AB9">
              <w:rPr>
                <w:rFonts w:ascii="Times New Roman" w:eastAsia="Calibri" w:hAnsi="Times New Roman" w:cs="Times New Roman"/>
                <w:sz w:val="24"/>
                <w:szCs w:val="24"/>
              </w:rPr>
              <w:t xml:space="preserve"> </w:t>
            </w:r>
            <w:r w:rsidRPr="00BA0AB9">
              <w:rPr>
                <w:rFonts w:ascii="Times New Roman" w:eastAsia="Calibri" w:hAnsi="Times New Roman" w:cs="Times New Roman"/>
                <w:i/>
                <w:sz w:val="24"/>
                <w:szCs w:val="24"/>
              </w:rPr>
              <w:t>Ponuka práce môže byť ovplyvnená rôznymi premennými napr. úrovňou miezd, inštitucionálnym nastavením (napr.  zosúladenie pracovného a súkromného života alebo uľahčovanie rôznych foriem mobility).</w:t>
            </w:r>
          </w:p>
        </w:tc>
        <w:tc>
          <w:tcPr>
            <w:tcW w:w="3006" w:type="pct"/>
            <w:gridSpan w:val="2"/>
            <w:tcBorders>
              <w:bottom w:val="single" w:sz="4" w:space="0" w:color="auto"/>
            </w:tcBorders>
            <w:shd w:val="clear" w:color="auto" w:fill="FFFFFF"/>
          </w:tcPr>
          <w:p w:rsidR="00BA0AB9" w:rsidRPr="00BA0AB9" w:rsidRDefault="00BA0AB9" w:rsidP="00D225C7">
            <w:pPr>
              <w:spacing w:after="0" w:line="240" w:lineRule="auto"/>
              <w:rPr>
                <w:rFonts w:ascii="Times New Roman" w:eastAsia="Calibri" w:hAnsi="Times New Roman" w:cs="Times New Roman"/>
                <w:b/>
                <w:sz w:val="24"/>
                <w:szCs w:val="24"/>
              </w:rPr>
            </w:pPr>
            <w:r w:rsidRPr="00BA0AB9">
              <w:rPr>
                <w:rFonts w:ascii="Times New Roman" w:eastAsia="Calibri" w:hAnsi="Times New Roman" w:cs="Times New Roman"/>
                <w:b/>
                <w:sz w:val="24"/>
                <w:szCs w:val="24"/>
              </w:rPr>
              <w:t>Bez vplyvu.</w:t>
            </w:r>
          </w:p>
        </w:tc>
      </w:tr>
      <w:tr w:rsidR="00BA0AB9" w:rsidRPr="00994C53" w:rsidTr="00BA0AB9">
        <w:trPr>
          <w:trHeight w:val="324"/>
          <w:jc w:val="center"/>
        </w:trPr>
        <w:tc>
          <w:tcPr>
            <w:tcW w:w="4999" w:type="pct"/>
            <w:gridSpan w:val="3"/>
            <w:tcBorders>
              <w:bottom w:val="single" w:sz="4" w:space="0" w:color="auto"/>
            </w:tcBorders>
            <w:shd w:val="clear" w:color="auto" w:fill="F2F2F2"/>
          </w:tcPr>
          <w:p w:rsidR="00BA0AB9" w:rsidRPr="00BA0AB9" w:rsidRDefault="00BA0AB9" w:rsidP="00D225C7">
            <w:pPr>
              <w:spacing w:after="0" w:line="240" w:lineRule="auto"/>
              <w:rPr>
                <w:rFonts w:ascii="Times New Roman" w:eastAsia="Calibri" w:hAnsi="Times New Roman" w:cs="Times New Roman"/>
                <w:sz w:val="24"/>
                <w:szCs w:val="24"/>
              </w:rPr>
            </w:pPr>
            <w:r w:rsidRPr="00BA0AB9">
              <w:rPr>
                <w:rFonts w:ascii="Times New Roman" w:eastAsia="Calibri" w:hAnsi="Times New Roman" w:cs="Times New Roman"/>
                <w:i/>
                <w:sz w:val="24"/>
                <w:szCs w:val="24"/>
              </w:rPr>
              <w:t>Má návrh špecifické negatívne dôsledky pre isté skupiny profesií, skupín zamestnancov či živnostníkov?</w:t>
            </w:r>
            <w:r w:rsidRPr="00BA0AB9">
              <w:rPr>
                <w:rFonts w:ascii="Times New Roman" w:eastAsia="Calibri" w:hAnsi="Times New Roman" w:cs="Times New Roman"/>
                <w:sz w:val="24"/>
                <w:szCs w:val="24"/>
              </w:rPr>
              <w:t xml:space="preserve"> </w:t>
            </w:r>
            <w:r w:rsidRPr="00BA0AB9">
              <w:rPr>
                <w:rFonts w:ascii="Times New Roman" w:eastAsia="Calibri" w:hAnsi="Times New Roman" w:cs="Times New Roman"/>
                <w:i/>
                <w:sz w:val="24"/>
                <w:szCs w:val="24"/>
              </w:rPr>
              <w:t>Ak áno, aké a pre ktoré skupiny?</w:t>
            </w:r>
          </w:p>
        </w:tc>
      </w:tr>
      <w:tr w:rsidR="00BA0AB9" w:rsidRPr="00994C53" w:rsidTr="00BA0AB9">
        <w:trPr>
          <w:trHeight w:val="216"/>
          <w:jc w:val="center"/>
        </w:trPr>
        <w:tc>
          <w:tcPr>
            <w:tcW w:w="1993" w:type="pct"/>
            <w:tcBorders>
              <w:bottom w:val="single" w:sz="4" w:space="0" w:color="auto"/>
            </w:tcBorders>
            <w:shd w:val="clear" w:color="auto" w:fill="FFFFFF"/>
          </w:tcPr>
          <w:p w:rsidR="00BA0AB9" w:rsidRPr="00BA0AB9" w:rsidRDefault="00BA0AB9" w:rsidP="00D225C7">
            <w:pPr>
              <w:spacing w:after="0" w:line="240" w:lineRule="auto"/>
              <w:rPr>
                <w:rFonts w:ascii="Times New Roman" w:eastAsia="Calibri" w:hAnsi="Times New Roman" w:cs="Times New Roman"/>
                <w:i/>
                <w:sz w:val="24"/>
                <w:szCs w:val="24"/>
              </w:rPr>
            </w:pPr>
            <w:r w:rsidRPr="00BA0AB9">
              <w:rPr>
                <w:rFonts w:ascii="Times New Roman" w:eastAsia="Calibri" w:hAnsi="Times New Roman" w:cs="Times New Roman"/>
                <w:i/>
                <w:sz w:val="24"/>
                <w:szCs w:val="24"/>
              </w:rPr>
              <w:t>Návrh môže ohrozovať napr. pracovníkov istých profesií favorizovaním špecifických aktivít či technológií.</w:t>
            </w:r>
          </w:p>
        </w:tc>
        <w:tc>
          <w:tcPr>
            <w:tcW w:w="3006" w:type="pct"/>
            <w:gridSpan w:val="2"/>
            <w:tcBorders>
              <w:bottom w:val="single" w:sz="4" w:space="0" w:color="auto"/>
            </w:tcBorders>
            <w:shd w:val="clear" w:color="auto" w:fill="FFFFFF"/>
          </w:tcPr>
          <w:p w:rsidR="00BA0AB9" w:rsidRPr="00BA0AB9" w:rsidRDefault="00BA0AB9" w:rsidP="00D225C7">
            <w:pPr>
              <w:spacing w:after="0" w:line="240" w:lineRule="auto"/>
              <w:rPr>
                <w:rFonts w:ascii="Times New Roman" w:eastAsia="Calibri" w:hAnsi="Times New Roman" w:cs="Times New Roman"/>
                <w:b/>
                <w:sz w:val="24"/>
                <w:szCs w:val="24"/>
              </w:rPr>
            </w:pPr>
            <w:r w:rsidRPr="00BA0AB9">
              <w:rPr>
                <w:rFonts w:ascii="Times New Roman" w:eastAsia="Calibri" w:hAnsi="Times New Roman" w:cs="Times New Roman"/>
                <w:b/>
                <w:sz w:val="24"/>
                <w:szCs w:val="24"/>
              </w:rPr>
              <w:t>Bez vplyvu.</w:t>
            </w:r>
          </w:p>
        </w:tc>
      </w:tr>
      <w:tr w:rsidR="00BA0AB9" w:rsidRPr="00994C53" w:rsidTr="00BA0AB9">
        <w:trPr>
          <w:trHeight w:val="219"/>
          <w:jc w:val="center"/>
        </w:trPr>
        <w:tc>
          <w:tcPr>
            <w:tcW w:w="4999" w:type="pct"/>
            <w:gridSpan w:val="3"/>
            <w:tcBorders>
              <w:bottom w:val="single" w:sz="4" w:space="0" w:color="auto"/>
            </w:tcBorders>
            <w:shd w:val="clear" w:color="auto" w:fill="F2F2F2"/>
          </w:tcPr>
          <w:p w:rsidR="00BA0AB9" w:rsidRPr="00BA0AB9" w:rsidRDefault="00BA0AB9" w:rsidP="00D225C7">
            <w:pPr>
              <w:spacing w:after="0" w:line="240" w:lineRule="auto"/>
              <w:rPr>
                <w:rFonts w:ascii="Times New Roman" w:eastAsia="Calibri" w:hAnsi="Times New Roman" w:cs="Times New Roman"/>
                <w:sz w:val="24"/>
                <w:szCs w:val="24"/>
              </w:rPr>
            </w:pPr>
            <w:r w:rsidRPr="00BA0AB9">
              <w:rPr>
                <w:rFonts w:ascii="Times New Roman" w:eastAsia="Calibri" w:hAnsi="Times New Roman" w:cs="Times New Roman"/>
                <w:i/>
                <w:sz w:val="24"/>
                <w:szCs w:val="24"/>
              </w:rPr>
              <w:t>Ovplyvňuje návrh špecifické vekové skupiny zamestnancov? Ak áno, aké? Akým spôsobom?</w:t>
            </w:r>
          </w:p>
        </w:tc>
      </w:tr>
      <w:tr w:rsidR="00BA0AB9" w:rsidRPr="00994C53" w:rsidTr="00BA0AB9">
        <w:trPr>
          <w:trHeight w:val="497"/>
          <w:jc w:val="center"/>
        </w:trPr>
        <w:tc>
          <w:tcPr>
            <w:tcW w:w="1993" w:type="pct"/>
            <w:tcBorders>
              <w:bottom w:val="single" w:sz="4" w:space="0" w:color="auto"/>
            </w:tcBorders>
            <w:shd w:val="clear" w:color="auto" w:fill="FFFFFF"/>
          </w:tcPr>
          <w:p w:rsidR="00BA0AB9" w:rsidRPr="00BA0AB9" w:rsidRDefault="00BA0AB9" w:rsidP="00D225C7">
            <w:pPr>
              <w:spacing w:after="0" w:line="240" w:lineRule="auto"/>
              <w:rPr>
                <w:rFonts w:ascii="Times New Roman" w:eastAsia="Calibri" w:hAnsi="Times New Roman" w:cs="Times New Roman"/>
                <w:i/>
                <w:sz w:val="24"/>
                <w:szCs w:val="24"/>
              </w:rPr>
            </w:pPr>
            <w:r w:rsidRPr="00BA0AB9">
              <w:rPr>
                <w:rFonts w:ascii="Times New Roman" w:eastAsia="Calibri" w:hAnsi="Times New Roman" w:cs="Times New Roman"/>
                <w:i/>
                <w:sz w:val="24"/>
                <w:szCs w:val="24"/>
              </w:rPr>
              <w:t>Identifikujte, či návrh môže ovplyvniť rozhodnutia zamestnancov alebo zamestnávateľov a môže byť zdrojom neskoršieho vstupu na trh práce alebo predčasného odchodu z trhu práce jednotlivcov.“</w:t>
            </w:r>
          </w:p>
        </w:tc>
        <w:tc>
          <w:tcPr>
            <w:tcW w:w="3006" w:type="pct"/>
            <w:gridSpan w:val="2"/>
            <w:tcBorders>
              <w:bottom w:val="single" w:sz="4" w:space="0" w:color="auto"/>
            </w:tcBorders>
            <w:shd w:val="clear" w:color="auto" w:fill="FFFFFF"/>
          </w:tcPr>
          <w:p w:rsidR="00BA0AB9" w:rsidRPr="00BA0AB9" w:rsidRDefault="00BA0AB9" w:rsidP="00D225C7">
            <w:pPr>
              <w:spacing w:after="0" w:line="240" w:lineRule="auto"/>
              <w:rPr>
                <w:rFonts w:ascii="Times New Roman" w:eastAsia="Calibri" w:hAnsi="Times New Roman" w:cs="Times New Roman"/>
                <w:b/>
                <w:sz w:val="24"/>
                <w:szCs w:val="24"/>
              </w:rPr>
            </w:pPr>
            <w:r w:rsidRPr="00BA0AB9">
              <w:rPr>
                <w:rFonts w:ascii="Times New Roman" w:eastAsia="Calibri" w:hAnsi="Times New Roman" w:cs="Times New Roman"/>
                <w:b/>
                <w:sz w:val="24"/>
                <w:szCs w:val="24"/>
              </w:rPr>
              <w:t>Bez vplyvu.</w:t>
            </w:r>
          </w:p>
        </w:tc>
      </w:tr>
    </w:tbl>
    <w:p w:rsidR="007A5B13" w:rsidRDefault="007A5B13"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A0AB9" w:rsidRPr="00BA0AB9" w:rsidTr="00D225C7">
        <w:trPr>
          <w:trHeight w:val="566"/>
        </w:trPr>
        <w:tc>
          <w:tcPr>
            <w:tcW w:w="9212" w:type="dxa"/>
            <w:shd w:val="clear" w:color="auto" w:fill="D9D9D9"/>
            <w:vAlign w:val="center"/>
            <w:hideMark/>
          </w:tcPr>
          <w:p w:rsidR="00BA0AB9" w:rsidRPr="00BA0AB9" w:rsidRDefault="00BA0AB9" w:rsidP="00D225C7">
            <w:pPr>
              <w:jc w:val="center"/>
              <w:rPr>
                <w:rFonts w:ascii="Times New Roman" w:hAnsi="Times New Roman" w:cs="Times New Roman"/>
                <w:sz w:val="24"/>
                <w:szCs w:val="24"/>
              </w:rPr>
            </w:pPr>
            <w:r w:rsidRPr="00BA0AB9">
              <w:rPr>
                <w:rFonts w:ascii="Times New Roman" w:hAnsi="Times New Roman" w:cs="Times New Roman"/>
                <w:b/>
                <w:sz w:val="24"/>
                <w:szCs w:val="24"/>
              </w:rPr>
              <w:t>Analýza vplyvov na životné prostredie</w:t>
            </w:r>
          </w:p>
        </w:tc>
      </w:tr>
      <w:tr w:rsidR="00BA0AB9" w:rsidRPr="00BA0AB9" w:rsidTr="00D225C7">
        <w:trPr>
          <w:trHeight w:val="688"/>
        </w:trPr>
        <w:tc>
          <w:tcPr>
            <w:tcW w:w="9212" w:type="dxa"/>
            <w:shd w:val="clear" w:color="auto" w:fill="D9D9D9"/>
            <w:vAlign w:val="center"/>
            <w:hideMark/>
          </w:tcPr>
          <w:p w:rsidR="00BA0AB9" w:rsidRPr="00BA0AB9" w:rsidRDefault="00BA0AB9" w:rsidP="00D225C7">
            <w:pPr>
              <w:rPr>
                <w:rFonts w:ascii="Times New Roman" w:hAnsi="Times New Roman" w:cs="Times New Roman"/>
                <w:i/>
                <w:sz w:val="24"/>
                <w:szCs w:val="24"/>
              </w:rPr>
            </w:pPr>
            <w:r w:rsidRPr="00BA0AB9">
              <w:rPr>
                <w:rFonts w:ascii="Times New Roman" w:hAnsi="Times New Roman" w:cs="Times New Roman"/>
                <w:b/>
                <w:sz w:val="24"/>
                <w:szCs w:val="24"/>
              </w:rPr>
              <w:t>5.1 Ktoré zložky životného prostredia (najmä ovzdušie, voda, horniny, pôda, organizmy) budú predkladaným materiálom ovplyvnené a aký bude ich vplyv ?</w:t>
            </w:r>
          </w:p>
        </w:tc>
      </w:tr>
      <w:tr w:rsidR="00BA0AB9" w:rsidRPr="00BA0AB9" w:rsidTr="00D225C7">
        <w:trPr>
          <w:trHeight w:val="995"/>
        </w:trPr>
        <w:tc>
          <w:tcPr>
            <w:tcW w:w="9212" w:type="dxa"/>
          </w:tcPr>
          <w:p w:rsidR="00BA0AB9" w:rsidRPr="00BA0AB9" w:rsidRDefault="00BA0AB9" w:rsidP="00D225C7">
            <w:pPr>
              <w:jc w:val="both"/>
              <w:rPr>
                <w:rFonts w:ascii="Times New Roman" w:hAnsi="Times New Roman" w:cs="Times New Roman"/>
                <w:sz w:val="24"/>
                <w:szCs w:val="24"/>
              </w:rPr>
            </w:pPr>
            <w:r w:rsidRPr="00BA0AB9">
              <w:rPr>
                <w:rFonts w:ascii="Times New Roman" w:hAnsi="Times New Roman" w:cs="Times New Roman"/>
                <w:sz w:val="24"/>
                <w:szCs w:val="24"/>
              </w:rPr>
              <w:t xml:space="preserve">Zavedenie zvýhodneného spôsobu odpisovania pre elektromobily má za cieľ podporiť rozvoj trhu alternatívnych palív v odvetví dopravy. </w:t>
            </w:r>
            <w:proofErr w:type="spellStart"/>
            <w:r w:rsidRPr="00BA0AB9">
              <w:rPr>
                <w:rFonts w:ascii="Times New Roman" w:hAnsi="Times New Roman" w:cs="Times New Roman"/>
                <w:sz w:val="24"/>
                <w:szCs w:val="24"/>
              </w:rPr>
              <w:t>Elektromobilita</w:t>
            </w:r>
            <w:proofErr w:type="spellEnd"/>
            <w:r w:rsidRPr="00BA0AB9">
              <w:rPr>
                <w:rFonts w:ascii="Times New Roman" w:hAnsi="Times New Roman" w:cs="Times New Roman"/>
                <w:sz w:val="24"/>
                <w:szCs w:val="24"/>
              </w:rPr>
              <w:t xml:space="preserve"> má pozitívny vplyv na kvalitu životného prostredia, vďaka úspore emisií zdraviu škodlivých látok, pevných častíc a skleníkových plynov ako aj k zníženiu hladín hluku z dopravy. </w:t>
            </w:r>
          </w:p>
          <w:p w:rsidR="00BA0AB9" w:rsidRPr="00BA0AB9" w:rsidRDefault="00BA0AB9" w:rsidP="00D225C7">
            <w:pPr>
              <w:jc w:val="both"/>
              <w:rPr>
                <w:rFonts w:ascii="Times New Roman" w:hAnsi="Times New Roman" w:cs="Times New Roman"/>
                <w:sz w:val="24"/>
                <w:szCs w:val="24"/>
              </w:rPr>
            </w:pPr>
            <w:r w:rsidRPr="00BA0AB9">
              <w:rPr>
                <w:rFonts w:ascii="Times New Roman" w:hAnsi="Times New Roman" w:cs="Times New Roman"/>
                <w:sz w:val="24"/>
                <w:szCs w:val="24"/>
              </w:rPr>
              <w:t xml:space="preserve">Pozitívne vplyvy na životné prostredie z titulu zavedenia novej odpisovej skupiny pre elektromobily odhadujeme na približne 890 tis. eur v roku 2019 až 2,7 mil. eur v roku 2022. Uvedený vplyv je výsledkom zníženia emisií CO2, </w:t>
            </w:r>
            <w:proofErr w:type="spellStart"/>
            <w:r w:rsidRPr="00BA0AB9">
              <w:rPr>
                <w:rFonts w:ascii="Times New Roman" w:hAnsi="Times New Roman" w:cs="Times New Roman"/>
                <w:sz w:val="24"/>
                <w:szCs w:val="24"/>
              </w:rPr>
              <w:t>NOx</w:t>
            </w:r>
            <w:proofErr w:type="spellEnd"/>
            <w:r w:rsidRPr="00BA0AB9">
              <w:rPr>
                <w:rFonts w:ascii="Times New Roman" w:hAnsi="Times New Roman" w:cs="Times New Roman"/>
                <w:sz w:val="24"/>
                <w:szCs w:val="24"/>
              </w:rPr>
              <w:t xml:space="preserve"> a PM2,5 u elektromobilov a </w:t>
            </w:r>
            <w:proofErr w:type="spellStart"/>
            <w:r w:rsidRPr="00BA0AB9">
              <w:rPr>
                <w:rFonts w:ascii="Times New Roman" w:hAnsi="Times New Roman" w:cs="Times New Roman"/>
                <w:sz w:val="24"/>
                <w:szCs w:val="24"/>
              </w:rPr>
              <w:t>plug</w:t>
            </w:r>
            <w:proofErr w:type="spellEnd"/>
            <w:r w:rsidRPr="00BA0AB9">
              <w:rPr>
                <w:rFonts w:ascii="Times New Roman" w:hAnsi="Times New Roman" w:cs="Times New Roman"/>
                <w:sz w:val="24"/>
                <w:szCs w:val="24"/>
              </w:rPr>
              <w:t xml:space="preserve">-in hybridov v porovnaní s benzínovými a dieselovými motormi. Odhad pozitívneho vplyvu predpokladá nahradenie automobilov s benzínovým a naftovým pohonom </w:t>
            </w:r>
            <w:proofErr w:type="spellStart"/>
            <w:r w:rsidRPr="00BA0AB9">
              <w:rPr>
                <w:rFonts w:ascii="Times New Roman" w:hAnsi="Times New Roman" w:cs="Times New Roman"/>
                <w:sz w:val="24"/>
                <w:szCs w:val="24"/>
              </w:rPr>
              <w:t>elektromobilmy</w:t>
            </w:r>
            <w:proofErr w:type="spellEnd"/>
            <w:r w:rsidRPr="00BA0AB9">
              <w:rPr>
                <w:rFonts w:ascii="Times New Roman" w:hAnsi="Times New Roman" w:cs="Times New Roman"/>
                <w:sz w:val="24"/>
                <w:szCs w:val="24"/>
              </w:rPr>
              <w:t xml:space="preserve"> a </w:t>
            </w:r>
            <w:proofErr w:type="spellStart"/>
            <w:r w:rsidRPr="00BA0AB9">
              <w:rPr>
                <w:rFonts w:ascii="Times New Roman" w:hAnsi="Times New Roman" w:cs="Times New Roman"/>
                <w:sz w:val="24"/>
                <w:szCs w:val="24"/>
              </w:rPr>
              <w:t>plug</w:t>
            </w:r>
            <w:proofErr w:type="spellEnd"/>
            <w:r w:rsidRPr="00BA0AB9">
              <w:rPr>
                <w:rFonts w:ascii="Times New Roman" w:hAnsi="Times New Roman" w:cs="Times New Roman"/>
                <w:sz w:val="24"/>
                <w:szCs w:val="24"/>
              </w:rPr>
              <w:t xml:space="preserve">-in hybridmi v súlade s projekciou Ministerstva Hospodárstva upravenou podľa skutočného vývoja za roky 2016 a 2018. </w:t>
            </w:r>
          </w:p>
        </w:tc>
      </w:tr>
      <w:tr w:rsidR="00BA0AB9" w:rsidRPr="00BA0AB9" w:rsidTr="00D225C7">
        <w:trPr>
          <w:trHeight w:val="404"/>
        </w:trPr>
        <w:tc>
          <w:tcPr>
            <w:tcW w:w="9212" w:type="dxa"/>
            <w:shd w:val="clear" w:color="auto" w:fill="D9D9D9"/>
            <w:vAlign w:val="center"/>
            <w:hideMark/>
          </w:tcPr>
          <w:p w:rsidR="00BA0AB9" w:rsidRPr="00BA0AB9" w:rsidRDefault="00BA0AB9" w:rsidP="00D225C7">
            <w:pPr>
              <w:rPr>
                <w:rFonts w:ascii="Times New Roman" w:hAnsi="Times New Roman" w:cs="Times New Roman"/>
                <w:b/>
                <w:sz w:val="24"/>
                <w:szCs w:val="24"/>
              </w:rPr>
            </w:pPr>
            <w:r w:rsidRPr="00BA0AB9">
              <w:rPr>
                <w:rFonts w:ascii="Times New Roman" w:hAnsi="Times New Roman" w:cs="Times New Roman"/>
                <w:b/>
                <w:sz w:val="24"/>
                <w:szCs w:val="24"/>
              </w:rPr>
              <w:t xml:space="preserve">5.2 Bude mať predkladaný materiál vplyv na chránené územia a ak áno, aký? </w:t>
            </w:r>
          </w:p>
        </w:tc>
      </w:tr>
      <w:tr w:rsidR="00BA0AB9" w:rsidRPr="00BA0AB9" w:rsidTr="00D225C7">
        <w:trPr>
          <w:trHeight w:val="987"/>
        </w:trPr>
        <w:tc>
          <w:tcPr>
            <w:tcW w:w="9212" w:type="dxa"/>
          </w:tcPr>
          <w:p w:rsidR="00BA0AB9" w:rsidRPr="00BA0AB9" w:rsidRDefault="00BA0AB9" w:rsidP="00D225C7">
            <w:pPr>
              <w:jc w:val="both"/>
              <w:rPr>
                <w:rFonts w:ascii="Times New Roman" w:hAnsi="Times New Roman" w:cs="Times New Roman"/>
                <w:i/>
                <w:sz w:val="24"/>
                <w:szCs w:val="24"/>
              </w:rPr>
            </w:pPr>
            <w:r w:rsidRPr="00BA0AB9">
              <w:rPr>
                <w:rFonts w:ascii="Times New Roman" w:hAnsi="Times New Roman" w:cs="Times New Roman"/>
                <w:i/>
                <w:sz w:val="24"/>
                <w:szCs w:val="24"/>
              </w:rPr>
              <w:t>Nie</w:t>
            </w:r>
          </w:p>
        </w:tc>
      </w:tr>
      <w:tr w:rsidR="00BA0AB9" w:rsidRPr="00BA0AB9" w:rsidTr="00D225C7">
        <w:trPr>
          <w:trHeight w:val="698"/>
        </w:trPr>
        <w:tc>
          <w:tcPr>
            <w:tcW w:w="9212" w:type="dxa"/>
            <w:shd w:val="clear" w:color="auto" w:fill="D9D9D9"/>
            <w:vAlign w:val="center"/>
          </w:tcPr>
          <w:p w:rsidR="00BA0AB9" w:rsidRPr="00BA0AB9" w:rsidRDefault="00BA0AB9" w:rsidP="00D225C7">
            <w:pPr>
              <w:rPr>
                <w:rFonts w:ascii="Times New Roman" w:hAnsi="Times New Roman" w:cs="Times New Roman"/>
                <w:b/>
                <w:sz w:val="24"/>
                <w:szCs w:val="24"/>
              </w:rPr>
            </w:pPr>
            <w:r w:rsidRPr="00BA0AB9">
              <w:rPr>
                <w:rFonts w:ascii="Times New Roman" w:hAnsi="Times New Roman" w:cs="Times New Roman"/>
                <w:b/>
                <w:sz w:val="24"/>
                <w:szCs w:val="24"/>
              </w:rPr>
              <w:t>5.3 Bude mať predkladaný materiál vplyvy na životné prostredie presahujúce štátne hranice? (ktoré zložky a ako budú najviac ovplyvnené)?</w:t>
            </w:r>
          </w:p>
        </w:tc>
      </w:tr>
      <w:tr w:rsidR="00BA0AB9" w:rsidRPr="00BA0AB9" w:rsidTr="00D225C7">
        <w:trPr>
          <w:trHeight w:val="969"/>
        </w:trPr>
        <w:tc>
          <w:tcPr>
            <w:tcW w:w="9212" w:type="dxa"/>
          </w:tcPr>
          <w:p w:rsidR="00BA0AB9" w:rsidRPr="00BA0AB9" w:rsidRDefault="00BA0AB9" w:rsidP="00D225C7">
            <w:pPr>
              <w:jc w:val="both"/>
              <w:rPr>
                <w:rFonts w:ascii="Times New Roman" w:hAnsi="Times New Roman" w:cs="Times New Roman"/>
                <w:b/>
                <w:sz w:val="24"/>
                <w:szCs w:val="24"/>
              </w:rPr>
            </w:pPr>
            <w:r w:rsidRPr="00BA0AB9">
              <w:rPr>
                <w:rFonts w:ascii="Times New Roman" w:hAnsi="Times New Roman" w:cs="Times New Roman"/>
                <w:i/>
                <w:sz w:val="24"/>
                <w:szCs w:val="24"/>
              </w:rPr>
              <w:t>Nie</w:t>
            </w:r>
          </w:p>
        </w:tc>
      </w:tr>
      <w:tr w:rsidR="00BA0AB9" w:rsidRPr="00BA0AB9" w:rsidTr="00D225C7">
        <w:trPr>
          <w:trHeight w:val="713"/>
        </w:trPr>
        <w:tc>
          <w:tcPr>
            <w:tcW w:w="9212" w:type="dxa"/>
            <w:shd w:val="clear" w:color="auto" w:fill="D9D9D9"/>
            <w:vAlign w:val="center"/>
          </w:tcPr>
          <w:p w:rsidR="00BA0AB9" w:rsidRPr="00BA0AB9" w:rsidRDefault="00BA0AB9" w:rsidP="00D225C7">
            <w:pPr>
              <w:rPr>
                <w:rFonts w:ascii="Times New Roman" w:hAnsi="Times New Roman" w:cs="Times New Roman"/>
                <w:b/>
                <w:sz w:val="24"/>
                <w:szCs w:val="24"/>
              </w:rPr>
            </w:pPr>
            <w:r w:rsidRPr="00BA0AB9">
              <w:rPr>
                <w:rFonts w:ascii="Times New Roman" w:hAnsi="Times New Roman" w:cs="Times New Roman"/>
                <w:b/>
                <w:sz w:val="24"/>
                <w:szCs w:val="24"/>
              </w:rPr>
              <w:t>5.4 Aké opatrenia budú prijaté na zmiernenie negatívneho vplyvu na životné prostredie?</w:t>
            </w:r>
          </w:p>
        </w:tc>
      </w:tr>
      <w:tr w:rsidR="00BA0AB9" w:rsidRPr="00BA0AB9" w:rsidTr="00D225C7">
        <w:trPr>
          <w:trHeight w:val="979"/>
        </w:trPr>
        <w:tc>
          <w:tcPr>
            <w:tcW w:w="9212" w:type="dxa"/>
            <w:shd w:val="clear" w:color="auto" w:fill="FFFFFF"/>
          </w:tcPr>
          <w:p w:rsidR="00BA0AB9" w:rsidRPr="00BA0AB9" w:rsidRDefault="00BA0AB9" w:rsidP="00D225C7">
            <w:pPr>
              <w:jc w:val="both"/>
              <w:rPr>
                <w:rFonts w:ascii="Times New Roman" w:hAnsi="Times New Roman" w:cs="Times New Roman"/>
                <w:sz w:val="24"/>
                <w:szCs w:val="24"/>
              </w:rPr>
            </w:pPr>
            <w:r w:rsidRPr="00BA0AB9">
              <w:rPr>
                <w:rFonts w:ascii="Times New Roman" w:hAnsi="Times New Roman" w:cs="Times New Roman"/>
                <w:sz w:val="24"/>
                <w:szCs w:val="24"/>
              </w:rPr>
              <w:t>Zavedenie zvýhodneného spôsobu odpisovania nepredpokladajú negatívne vplyvy na životné prostredie.</w:t>
            </w:r>
          </w:p>
        </w:tc>
      </w:tr>
    </w:tbl>
    <w:p w:rsidR="00EA543A" w:rsidRDefault="00EA543A"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Pr="00BA0AB9" w:rsidRDefault="00BA0AB9" w:rsidP="00BA0AB9">
      <w:pPr>
        <w:jc w:val="center"/>
        <w:rPr>
          <w:rFonts w:ascii="Times New Roman" w:hAnsi="Times New Roman" w:cs="Times New Roman"/>
          <w:b/>
          <w:bCs/>
          <w:sz w:val="24"/>
          <w:szCs w:val="24"/>
        </w:rPr>
      </w:pPr>
      <w:r w:rsidRPr="00BA0AB9">
        <w:rPr>
          <w:rFonts w:ascii="Times New Roman" w:hAnsi="Times New Roman" w:cs="Times New Roman"/>
          <w:b/>
          <w:bCs/>
          <w:sz w:val="24"/>
          <w:szCs w:val="24"/>
        </w:rPr>
        <w:lastRenderedPageBreak/>
        <w:t>DOLOŽKA ZLUČITEĽNOSTI</w:t>
      </w:r>
    </w:p>
    <w:p w:rsidR="00BA0AB9" w:rsidRPr="00BA0AB9" w:rsidRDefault="00BA0AB9" w:rsidP="00BA0AB9">
      <w:pPr>
        <w:pBdr>
          <w:bottom w:val="single" w:sz="6" w:space="1" w:color="auto"/>
        </w:pBdr>
        <w:jc w:val="center"/>
        <w:rPr>
          <w:rFonts w:ascii="Times New Roman" w:hAnsi="Times New Roman" w:cs="Times New Roman"/>
          <w:b/>
          <w:bCs/>
          <w:sz w:val="24"/>
          <w:szCs w:val="24"/>
        </w:rPr>
      </w:pPr>
      <w:r w:rsidRPr="00BA0AB9">
        <w:rPr>
          <w:rFonts w:ascii="Times New Roman" w:hAnsi="Times New Roman" w:cs="Times New Roman"/>
          <w:b/>
          <w:bCs/>
          <w:sz w:val="24"/>
          <w:szCs w:val="24"/>
        </w:rPr>
        <w:t>návrhu zákona, ktorým sa mení a dopĺňa zákon č. 595/2003 Z. z. o dani z príjmov v znení neskorších predpisov s právom Európskej únie</w:t>
      </w:r>
    </w:p>
    <w:p w:rsidR="00BA0AB9" w:rsidRPr="00BA0AB9" w:rsidRDefault="00BA0AB9" w:rsidP="00BA0AB9">
      <w:pPr>
        <w:rPr>
          <w:rFonts w:ascii="Times New Roman" w:hAnsi="Times New Roman" w:cs="Times New Roman"/>
          <w:b/>
          <w:bCs/>
          <w:sz w:val="24"/>
          <w:szCs w:val="24"/>
        </w:rPr>
      </w:pPr>
    </w:p>
    <w:p w:rsidR="00BA0AB9" w:rsidRPr="00BA0AB9" w:rsidRDefault="00BA0AB9" w:rsidP="00BA0AB9">
      <w:pPr>
        <w:numPr>
          <w:ilvl w:val="0"/>
          <w:numId w:val="31"/>
        </w:numPr>
        <w:spacing w:after="120" w:line="240" w:lineRule="auto"/>
        <w:jc w:val="both"/>
        <w:rPr>
          <w:rFonts w:ascii="Times New Roman" w:hAnsi="Times New Roman" w:cs="Times New Roman"/>
          <w:sz w:val="24"/>
          <w:szCs w:val="24"/>
        </w:rPr>
      </w:pPr>
      <w:r w:rsidRPr="00BA0AB9">
        <w:rPr>
          <w:rFonts w:ascii="Times New Roman" w:hAnsi="Times New Roman" w:cs="Times New Roman"/>
          <w:b/>
          <w:bCs/>
          <w:sz w:val="24"/>
          <w:szCs w:val="24"/>
        </w:rPr>
        <w:t>Navrhovateľ zákona:</w:t>
      </w:r>
    </w:p>
    <w:p w:rsidR="00BA0AB9" w:rsidRPr="00BA0AB9" w:rsidRDefault="00BA0AB9" w:rsidP="00BA0AB9">
      <w:pPr>
        <w:ind w:firstLine="425"/>
        <w:jc w:val="both"/>
        <w:rPr>
          <w:rFonts w:ascii="Times New Roman" w:hAnsi="Times New Roman" w:cs="Times New Roman"/>
          <w:sz w:val="24"/>
          <w:szCs w:val="24"/>
        </w:rPr>
      </w:pPr>
      <w:r w:rsidRPr="00BA0AB9">
        <w:rPr>
          <w:rFonts w:ascii="Times New Roman" w:hAnsi="Times New Roman" w:cs="Times New Roman"/>
          <w:sz w:val="24"/>
          <w:szCs w:val="24"/>
        </w:rPr>
        <w:t xml:space="preserve">Vláda Slovenskej republiky. </w:t>
      </w:r>
    </w:p>
    <w:p w:rsidR="00BA0AB9" w:rsidRPr="00BA0AB9" w:rsidRDefault="00BA0AB9" w:rsidP="00BA0AB9">
      <w:pPr>
        <w:numPr>
          <w:ilvl w:val="0"/>
          <w:numId w:val="31"/>
        </w:numPr>
        <w:spacing w:after="120" w:line="240" w:lineRule="auto"/>
        <w:jc w:val="both"/>
        <w:rPr>
          <w:rFonts w:ascii="Times New Roman" w:hAnsi="Times New Roman" w:cs="Times New Roman"/>
          <w:b/>
          <w:bCs/>
          <w:sz w:val="24"/>
          <w:szCs w:val="24"/>
        </w:rPr>
      </w:pPr>
      <w:r w:rsidRPr="00BA0AB9">
        <w:rPr>
          <w:rFonts w:ascii="Times New Roman" w:hAnsi="Times New Roman" w:cs="Times New Roman"/>
          <w:b/>
          <w:bCs/>
          <w:sz w:val="24"/>
          <w:szCs w:val="24"/>
        </w:rPr>
        <w:t>Názov návrhu zákona:</w:t>
      </w:r>
    </w:p>
    <w:p w:rsidR="00BA0AB9" w:rsidRPr="00BA0AB9" w:rsidRDefault="00BA0AB9" w:rsidP="00BA0AB9">
      <w:pPr>
        <w:ind w:left="425"/>
        <w:jc w:val="both"/>
        <w:rPr>
          <w:rFonts w:ascii="Times New Roman" w:hAnsi="Times New Roman" w:cs="Times New Roman"/>
          <w:bCs/>
          <w:sz w:val="24"/>
          <w:szCs w:val="24"/>
        </w:rPr>
      </w:pPr>
      <w:r w:rsidRPr="00BA0AB9">
        <w:rPr>
          <w:rFonts w:ascii="Times New Roman" w:hAnsi="Times New Roman" w:cs="Times New Roman"/>
          <w:sz w:val="24"/>
          <w:szCs w:val="24"/>
        </w:rPr>
        <w:t xml:space="preserve">Návrh zákona, ktorým sa mení a dopĺňa zákon č. 595/2003 Z. z. o dani z príjmov v znení neskorších predpisov. </w:t>
      </w:r>
    </w:p>
    <w:p w:rsidR="00BA0AB9" w:rsidRPr="00BA0AB9" w:rsidRDefault="00BA0AB9" w:rsidP="00BA0AB9">
      <w:pPr>
        <w:numPr>
          <w:ilvl w:val="0"/>
          <w:numId w:val="31"/>
        </w:numPr>
        <w:spacing w:after="120" w:line="240" w:lineRule="auto"/>
        <w:jc w:val="both"/>
        <w:rPr>
          <w:rFonts w:ascii="Times New Roman" w:hAnsi="Times New Roman" w:cs="Times New Roman"/>
          <w:b/>
          <w:bCs/>
          <w:sz w:val="24"/>
          <w:szCs w:val="24"/>
        </w:rPr>
      </w:pPr>
      <w:r w:rsidRPr="00BA0AB9">
        <w:rPr>
          <w:rFonts w:ascii="Times New Roman" w:hAnsi="Times New Roman" w:cs="Times New Roman"/>
          <w:b/>
          <w:bCs/>
          <w:sz w:val="24"/>
          <w:szCs w:val="24"/>
        </w:rPr>
        <w:t xml:space="preserve">Predmet návrhu zákona </w:t>
      </w:r>
      <w:r w:rsidRPr="00BA0AB9">
        <w:rPr>
          <w:rFonts w:ascii="Times New Roman" w:hAnsi="Times New Roman" w:cs="Times New Roman"/>
          <w:b/>
          <w:sz w:val="24"/>
          <w:szCs w:val="24"/>
          <w:lang w:eastAsia="cs-CZ"/>
        </w:rPr>
        <w:t>je upravený v práve Európskej únie:</w:t>
      </w:r>
    </w:p>
    <w:p w:rsidR="00BA0AB9" w:rsidRPr="00BA0AB9" w:rsidRDefault="00BA0AB9" w:rsidP="00BA0AB9">
      <w:pPr>
        <w:numPr>
          <w:ilvl w:val="1"/>
          <w:numId w:val="31"/>
        </w:numPr>
        <w:spacing w:after="120" w:line="240" w:lineRule="auto"/>
        <w:rPr>
          <w:rFonts w:ascii="Times New Roman" w:hAnsi="Times New Roman" w:cs="Times New Roman"/>
          <w:sz w:val="24"/>
          <w:szCs w:val="24"/>
          <w:lang w:eastAsia="cs-CZ"/>
        </w:rPr>
      </w:pPr>
      <w:r w:rsidRPr="00BA0AB9">
        <w:rPr>
          <w:rFonts w:ascii="Times New Roman" w:hAnsi="Times New Roman" w:cs="Times New Roman"/>
          <w:b/>
          <w:bCs/>
          <w:iCs/>
          <w:sz w:val="24"/>
          <w:szCs w:val="24"/>
          <w:lang w:eastAsia="cs-CZ"/>
        </w:rPr>
        <w:t>Primárne právo:</w:t>
      </w:r>
    </w:p>
    <w:p w:rsidR="00BA0AB9" w:rsidRPr="00BA0AB9" w:rsidRDefault="00BA0AB9" w:rsidP="00BA0AB9">
      <w:pPr>
        <w:pStyle w:val="Odsekzoznamu"/>
        <w:numPr>
          <w:ilvl w:val="0"/>
          <w:numId w:val="36"/>
        </w:numPr>
        <w:spacing w:after="120" w:line="276" w:lineRule="auto"/>
        <w:jc w:val="both"/>
        <w:rPr>
          <w:rFonts w:ascii="Times New Roman" w:hAnsi="Times New Roman" w:cs="Times New Roman"/>
          <w:sz w:val="24"/>
          <w:szCs w:val="24"/>
          <w:lang w:eastAsia="cs-CZ"/>
        </w:rPr>
      </w:pPr>
      <w:r w:rsidRPr="00BA0AB9">
        <w:rPr>
          <w:rFonts w:ascii="Times New Roman" w:hAnsi="Times New Roman" w:cs="Times New Roman"/>
          <w:sz w:val="24"/>
          <w:szCs w:val="24"/>
          <w:lang w:eastAsia="cs-CZ"/>
        </w:rPr>
        <w:t>čl. 110 až 112 a čl. 115 Zmluvy o fungovaní Európskej únie.</w:t>
      </w:r>
    </w:p>
    <w:p w:rsidR="00BA0AB9" w:rsidRPr="00BA0AB9" w:rsidRDefault="00BA0AB9" w:rsidP="00BA0AB9">
      <w:pPr>
        <w:numPr>
          <w:ilvl w:val="1"/>
          <w:numId w:val="31"/>
        </w:numPr>
        <w:spacing w:after="120" w:line="240" w:lineRule="auto"/>
        <w:rPr>
          <w:rFonts w:ascii="Times New Roman" w:hAnsi="Times New Roman" w:cs="Times New Roman"/>
          <w:sz w:val="24"/>
          <w:szCs w:val="24"/>
          <w:lang w:eastAsia="cs-CZ"/>
        </w:rPr>
      </w:pPr>
      <w:r w:rsidRPr="00BA0AB9">
        <w:rPr>
          <w:rFonts w:ascii="Times New Roman" w:hAnsi="Times New Roman" w:cs="Times New Roman"/>
          <w:b/>
          <w:bCs/>
          <w:iCs/>
          <w:sz w:val="24"/>
          <w:szCs w:val="24"/>
        </w:rPr>
        <w:t>Sekundárne právo:</w:t>
      </w:r>
    </w:p>
    <w:p w:rsidR="00BA0AB9" w:rsidRPr="00BA0AB9" w:rsidRDefault="00BA0AB9" w:rsidP="00BA0AB9">
      <w:pPr>
        <w:pStyle w:val="Odsekzoznamu"/>
        <w:numPr>
          <w:ilvl w:val="0"/>
          <w:numId w:val="32"/>
        </w:numPr>
        <w:autoSpaceDE w:val="0"/>
        <w:autoSpaceDN w:val="0"/>
        <w:adjustRightInd w:val="0"/>
        <w:spacing w:before="120" w:after="240" w:line="240" w:lineRule="auto"/>
        <w:ind w:left="901" w:hanging="391"/>
        <w:jc w:val="both"/>
        <w:rPr>
          <w:rFonts w:ascii="Times New Roman" w:hAnsi="Times New Roman" w:cs="Times New Roman"/>
          <w:bCs/>
          <w:iCs/>
          <w:sz w:val="24"/>
          <w:szCs w:val="24"/>
          <w:u w:val="single"/>
        </w:rPr>
      </w:pPr>
      <w:r w:rsidRPr="00BA0AB9">
        <w:rPr>
          <w:rFonts w:ascii="Times New Roman" w:hAnsi="Times New Roman" w:cs="Times New Roman"/>
          <w:bCs/>
          <w:iCs/>
          <w:sz w:val="24"/>
          <w:szCs w:val="24"/>
        </w:rPr>
        <w:t>smernica Rady (EÚ)</w:t>
      </w:r>
      <w:r w:rsidRPr="00BA0AB9">
        <w:rPr>
          <w:rFonts w:ascii="Times New Roman" w:hAnsi="Times New Roman" w:cs="Times New Roman"/>
          <w:bCs/>
          <w:iCs/>
          <w:sz w:val="24"/>
          <w:szCs w:val="24"/>
          <w:u w:val="single"/>
        </w:rPr>
        <w:t xml:space="preserve"> 2017/952</w:t>
      </w:r>
      <w:r w:rsidRPr="00BA0AB9">
        <w:rPr>
          <w:rFonts w:ascii="Times New Roman" w:hAnsi="Times New Roman" w:cs="Times New Roman"/>
          <w:bCs/>
          <w:iCs/>
          <w:sz w:val="24"/>
          <w:szCs w:val="24"/>
        </w:rPr>
        <w:t xml:space="preserve"> z 29. mája 2017, ktorou sa mení smernica (EÚ) 2016/1164, pokiaľ ide o hybridné nesúlady s tretími krajinami (Ú. v. EÚ L 144, 7.6.2017), gestor: MF SR,</w:t>
      </w:r>
    </w:p>
    <w:p w:rsidR="00BA0AB9" w:rsidRPr="00BA0AB9" w:rsidRDefault="00BA0AB9" w:rsidP="00BA0AB9">
      <w:pPr>
        <w:numPr>
          <w:ilvl w:val="0"/>
          <w:numId w:val="32"/>
        </w:numPr>
        <w:autoSpaceDE w:val="0"/>
        <w:autoSpaceDN w:val="0"/>
        <w:adjustRightInd w:val="0"/>
        <w:spacing w:before="120" w:after="0" w:line="240" w:lineRule="auto"/>
        <w:ind w:left="901" w:hanging="391"/>
        <w:jc w:val="both"/>
        <w:rPr>
          <w:rFonts w:ascii="Times New Roman" w:hAnsi="Times New Roman" w:cs="Times New Roman"/>
          <w:bCs/>
          <w:sz w:val="24"/>
          <w:szCs w:val="24"/>
        </w:rPr>
      </w:pPr>
      <w:r w:rsidRPr="00BA0AB9">
        <w:rPr>
          <w:rFonts w:ascii="Times New Roman" w:hAnsi="Times New Roman" w:cs="Times New Roman"/>
          <w:bCs/>
          <w:sz w:val="24"/>
          <w:szCs w:val="24"/>
          <w:bdr w:val="none" w:sz="0" w:space="0" w:color="auto" w:frame="1"/>
          <w:shd w:val="clear" w:color="auto" w:fill="FFFFFF"/>
        </w:rPr>
        <w:t xml:space="preserve">smernica Rady (EÚ) </w:t>
      </w:r>
      <w:r w:rsidRPr="00BA0AB9">
        <w:rPr>
          <w:rFonts w:ascii="Times New Roman" w:hAnsi="Times New Roman" w:cs="Times New Roman"/>
          <w:bCs/>
          <w:sz w:val="24"/>
          <w:szCs w:val="24"/>
          <w:u w:val="single"/>
          <w:bdr w:val="none" w:sz="0" w:space="0" w:color="auto" w:frame="1"/>
          <w:shd w:val="clear" w:color="auto" w:fill="FFFFFF"/>
        </w:rPr>
        <w:t>2016/1164</w:t>
      </w:r>
      <w:r w:rsidRPr="00BA0AB9">
        <w:rPr>
          <w:rFonts w:ascii="Times New Roman" w:hAnsi="Times New Roman" w:cs="Times New Roman"/>
          <w:bCs/>
          <w:sz w:val="24"/>
          <w:szCs w:val="24"/>
          <w:bdr w:val="none" w:sz="0" w:space="0" w:color="auto" w:frame="1"/>
          <w:shd w:val="clear" w:color="auto" w:fill="FFFFFF"/>
        </w:rPr>
        <w:t xml:space="preserve"> z 12. júla 2016, ktorou sa stanovujú pravidlá proti praktikám vyhýbania sa daňovým povinnostiam, ktoré majú priamy vplyv na fungovanie vnútorného trhu (</w:t>
      </w:r>
      <w:r w:rsidRPr="00BA0AB9">
        <w:rPr>
          <w:rFonts w:ascii="Times New Roman" w:hAnsi="Times New Roman" w:cs="Times New Roman"/>
          <w:iCs/>
          <w:sz w:val="24"/>
          <w:szCs w:val="24"/>
        </w:rPr>
        <w:t xml:space="preserve">Ú. v. EÚ L 193, 19.7.2016), </w:t>
      </w:r>
      <w:r w:rsidRPr="00BA0AB9">
        <w:rPr>
          <w:rFonts w:ascii="Times New Roman" w:hAnsi="Times New Roman" w:cs="Times New Roman"/>
          <w:sz w:val="24"/>
          <w:szCs w:val="24"/>
        </w:rPr>
        <w:t>v platnom znení</w:t>
      </w:r>
      <w:r w:rsidRPr="00BA0AB9">
        <w:rPr>
          <w:rFonts w:ascii="Times New Roman" w:hAnsi="Times New Roman" w:cs="Times New Roman"/>
          <w:bCs/>
          <w:iCs/>
          <w:sz w:val="24"/>
          <w:szCs w:val="24"/>
        </w:rPr>
        <w:t>, gestor: MF SR,</w:t>
      </w:r>
    </w:p>
    <w:p w:rsidR="00BA0AB9" w:rsidRPr="00BA0AB9" w:rsidRDefault="00BA0AB9" w:rsidP="00BA0AB9">
      <w:pPr>
        <w:numPr>
          <w:ilvl w:val="0"/>
          <w:numId w:val="32"/>
        </w:numPr>
        <w:autoSpaceDE w:val="0"/>
        <w:autoSpaceDN w:val="0"/>
        <w:adjustRightInd w:val="0"/>
        <w:spacing w:before="120" w:after="120" w:line="240" w:lineRule="auto"/>
        <w:ind w:left="901" w:hanging="391"/>
        <w:jc w:val="both"/>
        <w:rPr>
          <w:rFonts w:ascii="Times New Roman" w:hAnsi="Times New Roman" w:cs="Times New Roman"/>
          <w:bCs/>
          <w:sz w:val="24"/>
          <w:szCs w:val="24"/>
        </w:rPr>
      </w:pPr>
      <w:r w:rsidRPr="00BA0AB9">
        <w:rPr>
          <w:rFonts w:ascii="Times New Roman" w:hAnsi="Times New Roman" w:cs="Times New Roman"/>
          <w:bCs/>
          <w:iCs/>
          <w:sz w:val="24"/>
          <w:szCs w:val="24"/>
        </w:rPr>
        <w:t xml:space="preserve">smernica </w:t>
      </w:r>
      <w:r w:rsidRPr="00BA0AB9">
        <w:rPr>
          <w:rFonts w:ascii="Times New Roman" w:hAnsi="Times New Roman" w:cs="Times New Roman"/>
          <w:bCs/>
          <w:sz w:val="24"/>
          <w:szCs w:val="24"/>
        </w:rPr>
        <w:t xml:space="preserve">Rady </w:t>
      </w:r>
      <w:r w:rsidRPr="00BA0AB9">
        <w:rPr>
          <w:rFonts w:ascii="Times New Roman" w:hAnsi="Times New Roman" w:cs="Times New Roman"/>
          <w:bCs/>
          <w:sz w:val="24"/>
          <w:szCs w:val="24"/>
          <w:u w:val="single"/>
        </w:rPr>
        <w:t>2011/96/EÚ</w:t>
      </w:r>
      <w:r w:rsidRPr="00BA0AB9">
        <w:rPr>
          <w:rFonts w:ascii="Times New Roman" w:hAnsi="Times New Roman" w:cs="Times New Roman"/>
          <w:bCs/>
          <w:sz w:val="24"/>
          <w:szCs w:val="24"/>
        </w:rPr>
        <w:t xml:space="preserve"> z 30. novembra 2011 o spoločnom systéme zdaňovania uplatňovanom v prípade materských spoločností a dcérskych spoločností v rozličných členských štátoch (prepracované znenie) (</w:t>
      </w:r>
      <w:r w:rsidRPr="00BA0AB9">
        <w:rPr>
          <w:rStyle w:val="Zvraznenie"/>
          <w:rFonts w:ascii="Times New Roman" w:hAnsi="Times New Roman"/>
          <w:sz w:val="24"/>
          <w:szCs w:val="24"/>
        </w:rPr>
        <w:t>Ú. v. EÚ L 345, 29.12.2011)</w:t>
      </w:r>
      <w:r w:rsidRPr="00BA0AB9">
        <w:rPr>
          <w:rFonts w:ascii="Times New Roman" w:hAnsi="Times New Roman" w:cs="Times New Roman"/>
          <w:sz w:val="24"/>
          <w:szCs w:val="24"/>
        </w:rPr>
        <w:t xml:space="preserve"> v platnom znení, </w:t>
      </w:r>
      <w:r w:rsidRPr="00BA0AB9">
        <w:rPr>
          <w:rFonts w:ascii="Times New Roman" w:hAnsi="Times New Roman" w:cs="Times New Roman"/>
          <w:bCs/>
          <w:iCs/>
          <w:sz w:val="24"/>
          <w:szCs w:val="24"/>
        </w:rPr>
        <w:t>gestor: MF SR,</w:t>
      </w:r>
    </w:p>
    <w:p w:rsidR="00BA0AB9" w:rsidRPr="00BA0AB9" w:rsidRDefault="00BA0AB9" w:rsidP="00BA0AB9">
      <w:pPr>
        <w:numPr>
          <w:ilvl w:val="0"/>
          <w:numId w:val="32"/>
        </w:numPr>
        <w:autoSpaceDE w:val="0"/>
        <w:autoSpaceDN w:val="0"/>
        <w:adjustRightInd w:val="0"/>
        <w:spacing w:before="120" w:after="0" w:line="240" w:lineRule="auto"/>
        <w:ind w:left="901" w:hanging="391"/>
        <w:jc w:val="both"/>
        <w:rPr>
          <w:rFonts w:ascii="Times New Roman" w:hAnsi="Times New Roman" w:cs="Times New Roman"/>
          <w:bCs/>
          <w:sz w:val="24"/>
          <w:szCs w:val="24"/>
        </w:rPr>
      </w:pPr>
      <w:r w:rsidRPr="00BA0AB9">
        <w:rPr>
          <w:rFonts w:ascii="Times New Roman" w:hAnsi="Times New Roman" w:cs="Times New Roman"/>
          <w:sz w:val="24"/>
          <w:szCs w:val="24"/>
        </w:rPr>
        <w:t xml:space="preserve">smernica Rady </w:t>
      </w:r>
      <w:r w:rsidRPr="00BA0AB9">
        <w:rPr>
          <w:rFonts w:ascii="Times New Roman" w:hAnsi="Times New Roman" w:cs="Times New Roman"/>
          <w:sz w:val="24"/>
          <w:szCs w:val="24"/>
          <w:u w:val="single"/>
        </w:rPr>
        <w:t>2009/133/ES</w:t>
      </w:r>
      <w:r w:rsidRPr="00BA0AB9">
        <w:rPr>
          <w:rFonts w:ascii="Times New Roman" w:hAnsi="Times New Roman" w:cs="Times New Roman"/>
          <w:sz w:val="24"/>
          <w:szCs w:val="24"/>
        </w:rPr>
        <w:t xml:space="preserve"> z 19. októbra 2009 o spoločnom systéme zdaňovania, uplatniteľnom pri zlučovaní, rozdeľovaní, čiastočnom rozdeľovaní, prevode aktív a výmene akcií spoločností rôznych členských štátov a pri premiestnení sídla SE alebo SCE medzi členskými štátmi (kodifikované znenie) (Ú. v. EÚ L 310, 25.11. 2009) v platnom znení, </w:t>
      </w:r>
      <w:r w:rsidRPr="00BA0AB9">
        <w:rPr>
          <w:rFonts w:ascii="Times New Roman" w:hAnsi="Times New Roman" w:cs="Times New Roman"/>
          <w:bCs/>
          <w:iCs/>
          <w:sz w:val="24"/>
          <w:szCs w:val="24"/>
        </w:rPr>
        <w:t>gestor: MF SR,</w:t>
      </w:r>
    </w:p>
    <w:p w:rsidR="00BA0AB9" w:rsidRPr="00BA0AB9" w:rsidRDefault="00BA0AB9" w:rsidP="00BA0AB9">
      <w:pPr>
        <w:numPr>
          <w:ilvl w:val="0"/>
          <w:numId w:val="33"/>
        </w:numPr>
        <w:adjustRightInd w:val="0"/>
        <w:spacing w:after="120" w:line="240" w:lineRule="auto"/>
        <w:jc w:val="both"/>
        <w:rPr>
          <w:rFonts w:ascii="Times New Roman" w:hAnsi="Times New Roman" w:cs="Times New Roman"/>
          <w:sz w:val="24"/>
          <w:szCs w:val="24"/>
        </w:rPr>
      </w:pPr>
      <w:r w:rsidRPr="00BA0AB9">
        <w:rPr>
          <w:rFonts w:ascii="Times New Roman" w:hAnsi="Times New Roman" w:cs="Times New Roman"/>
          <w:bCs/>
          <w:sz w:val="24"/>
          <w:szCs w:val="24"/>
        </w:rPr>
        <w:t xml:space="preserve">smernica Rady </w:t>
      </w:r>
      <w:r w:rsidRPr="00BA0AB9">
        <w:rPr>
          <w:rFonts w:ascii="Times New Roman" w:hAnsi="Times New Roman" w:cs="Times New Roman"/>
          <w:bCs/>
          <w:sz w:val="24"/>
          <w:szCs w:val="24"/>
          <w:u w:val="single"/>
        </w:rPr>
        <w:t>2003/49/ES</w:t>
      </w:r>
      <w:r w:rsidRPr="00BA0AB9">
        <w:rPr>
          <w:rFonts w:ascii="Times New Roman" w:hAnsi="Times New Roman" w:cs="Times New Roman"/>
          <w:bCs/>
          <w:sz w:val="24"/>
          <w:szCs w:val="24"/>
        </w:rPr>
        <w:t xml:space="preserve"> z 3. júna 2003 o spoločnom systéme zdaňovania uplatňovanom na výplaty úrokov a licenčných poplatkov medzi združenými spoločnosťami rôznych členských štátov  </w:t>
      </w:r>
      <w:r w:rsidRPr="00BA0AB9">
        <w:rPr>
          <w:rFonts w:ascii="Times New Roman" w:hAnsi="Times New Roman" w:cs="Times New Roman"/>
          <w:snapToGrid w:val="0"/>
          <w:color w:val="000000"/>
          <w:sz w:val="24"/>
          <w:szCs w:val="24"/>
        </w:rPr>
        <w:t>(</w:t>
      </w:r>
      <w:r w:rsidRPr="00BA0AB9">
        <w:rPr>
          <w:rFonts w:ascii="Times New Roman" w:hAnsi="Times New Roman" w:cs="Times New Roman"/>
          <w:sz w:val="24"/>
          <w:szCs w:val="24"/>
        </w:rPr>
        <w:t xml:space="preserve">Mimoriadne vydanie </w:t>
      </w:r>
      <w:r w:rsidRPr="00BA0AB9">
        <w:rPr>
          <w:rFonts w:ascii="Times New Roman" w:hAnsi="Times New Roman" w:cs="Times New Roman"/>
          <w:snapToGrid w:val="0"/>
          <w:color w:val="000000"/>
          <w:sz w:val="24"/>
          <w:szCs w:val="24"/>
        </w:rPr>
        <w:t>Ú. v.</w:t>
      </w:r>
      <w:r w:rsidRPr="00BA0AB9">
        <w:rPr>
          <w:rFonts w:ascii="Times New Roman" w:hAnsi="Times New Roman" w:cs="Times New Roman"/>
          <w:i/>
          <w:iCs/>
          <w:snapToGrid w:val="0"/>
          <w:color w:val="000000"/>
          <w:sz w:val="24"/>
          <w:szCs w:val="24"/>
        </w:rPr>
        <w:t xml:space="preserve"> </w:t>
      </w:r>
      <w:r w:rsidRPr="00BA0AB9">
        <w:rPr>
          <w:rFonts w:ascii="Times New Roman" w:hAnsi="Times New Roman" w:cs="Times New Roman"/>
          <w:sz w:val="24"/>
          <w:szCs w:val="24"/>
        </w:rPr>
        <w:t xml:space="preserve">EÚ, kap. 9/ zv. 1, </w:t>
      </w:r>
      <w:r w:rsidRPr="00BA0AB9">
        <w:rPr>
          <w:rFonts w:ascii="Times New Roman" w:hAnsi="Times New Roman" w:cs="Times New Roman"/>
          <w:iCs/>
          <w:sz w:val="24"/>
          <w:szCs w:val="24"/>
        </w:rPr>
        <w:t>Ú. v. EÚ L 157, 26.6.2003</w:t>
      </w:r>
      <w:r w:rsidRPr="00BA0AB9">
        <w:rPr>
          <w:rFonts w:ascii="Times New Roman" w:hAnsi="Times New Roman" w:cs="Times New Roman"/>
          <w:sz w:val="24"/>
          <w:szCs w:val="24"/>
        </w:rPr>
        <w:t>) v platnom znení,</w:t>
      </w:r>
      <w:r w:rsidRPr="00BA0AB9">
        <w:rPr>
          <w:rFonts w:ascii="Times New Roman" w:hAnsi="Times New Roman" w:cs="Times New Roman"/>
          <w:bCs/>
          <w:iCs/>
          <w:sz w:val="24"/>
          <w:szCs w:val="24"/>
        </w:rPr>
        <w:t xml:space="preserve"> gestor: MF SR</w:t>
      </w:r>
      <w:r w:rsidRPr="00BA0AB9">
        <w:rPr>
          <w:rFonts w:ascii="Times New Roman" w:hAnsi="Times New Roman" w:cs="Times New Roman"/>
          <w:sz w:val="24"/>
          <w:szCs w:val="24"/>
        </w:rPr>
        <w:t>.</w:t>
      </w:r>
    </w:p>
    <w:p w:rsidR="00BA0AB9" w:rsidRPr="00BA0AB9" w:rsidRDefault="00BA0AB9" w:rsidP="00BA0AB9">
      <w:pPr>
        <w:numPr>
          <w:ilvl w:val="1"/>
          <w:numId w:val="31"/>
        </w:numPr>
        <w:spacing w:after="120" w:line="240" w:lineRule="auto"/>
        <w:rPr>
          <w:rFonts w:ascii="Times New Roman" w:hAnsi="Times New Roman" w:cs="Times New Roman"/>
          <w:sz w:val="24"/>
          <w:szCs w:val="24"/>
          <w:lang w:eastAsia="cs-CZ"/>
        </w:rPr>
      </w:pPr>
      <w:r w:rsidRPr="00BA0AB9">
        <w:rPr>
          <w:rFonts w:ascii="Times New Roman" w:hAnsi="Times New Roman" w:cs="Times New Roman"/>
          <w:sz w:val="24"/>
          <w:szCs w:val="24"/>
          <w:lang w:eastAsia="cs-CZ"/>
        </w:rPr>
        <w:t>je obsiahnutá v judikatúre Súdneho dvora Európskej únie:</w:t>
      </w:r>
    </w:p>
    <w:p w:rsidR="00BA0AB9" w:rsidRPr="00BA0AB9" w:rsidRDefault="00BA0AB9" w:rsidP="00BA0AB9">
      <w:pPr>
        <w:numPr>
          <w:ilvl w:val="0"/>
          <w:numId w:val="34"/>
        </w:numPr>
        <w:spacing w:after="120" w:line="240" w:lineRule="auto"/>
        <w:jc w:val="both"/>
        <w:rPr>
          <w:rFonts w:ascii="Times New Roman" w:hAnsi="Times New Roman" w:cs="Times New Roman"/>
          <w:sz w:val="24"/>
          <w:szCs w:val="24"/>
          <w:lang w:eastAsia="cs-CZ"/>
        </w:rPr>
      </w:pPr>
      <w:r w:rsidRPr="00BA0AB9">
        <w:rPr>
          <w:rFonts w:ascii="Times New Roman" w:hAnsi="Times New Roman" w:cs="Times New Roman"/>
          <w:sz w:val="24"/>
          <w:szCs w:val="24"/>
        </w:rPr>
        <w:t>rozhodnutie Súdneho dvora v s</w:t>
      </w:r>
      <w:r w:rsidRPr="00BA0AB9">
        <w:rPr>
          <w:rFonts w:ascii="Times New Roman" w:hAnsi="Times New Roman" w:cs="Times New Roman"/>
          <w:bCs/>
          <w:sz w:val="24"/>
          <w:szCs w:val="24"/>
        </w:rPr>
        <w:t>pojených veciach C - 53/13 a C - 80/13</w:t>
      </w:r>
      <w:r w:rsidRPr="00BA0AB9">
        <w:rPr>
          <w:rFonts w:ascii="Times New Roman" w:hAnsi="Times New Roman" w:cs="Times New Roman"/>
          <w:sz w:val="24"/>
          <w:szCs w:val="24"/>
        </w:rPr>
        <w:t xml:space="preserve">, </w:t>
      </w:r>
      <w:proofErr w:type="spellStart"/>
      <w:r w:rsidRPr="00BA0AB9">
        <w:rPr>
          <w:rFonts w:ascii="Times New Roman" w:hAnsi="Times New Roman" w:cs="Times New Roman"/>
          <w:bCs/>
          <w:sz w:val="24"/>
          <w:szCs w:val="24"/>
        </w:rPr>
        <w:t>Strojírny</w:t>
      </w:r>
      <w:proofErr w:type="spellEnd"/>
      <w:r w:rsidRPr="00BA0AB9">
        <w:rPr>
          <w:rFonts w:ascii="Times New Roman" w:hAnsi="Times New Roman" w:cs="Times New Roman"/>
          <w:bCs/>
          <w:sz w:val="24"/>
          <w:szCs w:val="24"/>
        </w:rPr>
        <w:t xml:space="preserve"> </w:t>
      </w:r>
      <w:proofErr w:type="spellStart"/>
      <w:r w:rsidRPr="00BA0AB9">
        <w:rPr>
          <w:rFonts w:ascii="Times New Roman" w:hAnsi="Times New Roman" w:cs="Times New Roman"/>
          <w:bCs/>
          <w:sz w:val="24"/>
          <w:szCs w:val="24"/>
        </w:rPr>
        <w:t>Prostějov</w:t>
      </w:r>
      <w:proofErr w:type="spellEnd"/>
      <w:r w:rsidRPr="00BA0AB9">
        <w:rPr>
          <w:rFonts w:ascii="Times New Roman" w:hAnsi="Times New Roman" w:cs="Times New Roman"/>
          <w:bCs/>
          <w:sz w:val="24"/>
          <w:szCs w:val="24"/>
        </w:rPr>
        <w:t xml:space="preserve"> </w:t>
      </w:r>
      <w:proofErr w:type="spellStart"/>
      <w:r w:rsidRPr="00BA0AB9">
        <w:rPr>
          <w:rFonts w:ascii="Times New Roman" w:hAnsi="Times New Roman" w:cs="Times New Roman"/>
          <w:bCs/>
          <w:sz w:val="24"/>
          <w:szCs w:val="24"/>
        </w:rPr>
        <w:t>a.s</w:t>
      </w:r>
      <w:proofErr w:type="spellEnd"/>
      <w:r w:rsidRPr="00BA0AB9">
        <w:rPr>
          <w:rFonts w:ascii="Times New Roman" w:hAnsi="Times New Roman" w:cs="Times New Roman"/>
          <w:bCs/>
          <w:sz w:val="24"/>
          <w:szCs w:val="24"/>
        </w:rPr>
        <w:t xml:space="preserve">., ACO </w:t>
      </w:r>
      <w:proofErr w:type="spellStart"/>
      <w:r w:rsidRPr="00BA0AB9">
        <w:rPr>
          <w:rFonts w:ascii="Times New Roman" w:hAnsi="Times New Roman" w:cs="Times New Roman"/>
          <w:bCs/>
          <w:sz w:val="24"/>
          <w:szCs w:val="24"/>
        </w:rPr>
        <w:t>Industries</w:t>
      </w:r>
      <w:proofErr w:type="spellEnd"/>
      <w:r w:rsidRPr="00BA0AB9">
        <w:rPr>
          <w:rFonts w:ascii="Times New Roman" w:hAnsi="Times New Roman" w:cs="Times New Roman"/>
          <w:bCs/>
          <w:sz w:val="24"/>
          <w:szCs w:val="24"/>
        </w:rPr>
        <w:t xml:space="preserve"> Tábor proti </w:t>
      </w:r>
      <w:proofErr w:type="spellStart"/>
      <w:r w:rsidRPr="00BA0AB9">
        <w:rPr>
          <w:rFonts w:ascii="Times New Roman" w:hAnsi="Times New Roman" w:cs="Times New Roman"/>
          <w:bCs/>
          <w:sz w:val="24"/>
          <w:szCs w:val="24"/>
        </w:rPr>
        <w:t>Odvolacímu</w:t>
      </w:r>
      <w:proofErr w:type="spellEnd"/>
      <w:r w:rsidRPr="00BA0AB9">
        <w:rPr>
          <w:rFonts w:ascii="Times New Roman" w:hAnsi="Times New Roman" w:cs="Times New Roman"/>
          <w:bCs/>
          <w:sz w:val="24"/>
          <w:szCs w:val="24"/>
        </w:rPr>
        <w:t xml:space="preserve"> </w:t>
      </w:r>
      <w:proofErr w:type="spellStart"/>
      <w:r w:rsidRPr="00BA0AB9">
        <w:rPr>
          <w:rFonts w:ascii="Times New Roman" w:hAnsi="Times New Roman" w:cs="Times New Roman"/>
          <w:bCs/>
          <w:sz w:val="24"/>
          <w:szCs w:val="24"/>
        </w:rPr>
        <w:t>finančnímu</w:t>
      </w:r>
      <w:proofErr w:type="spellEnd"/>
      <w:r w:rsidRPr="00BA0AB9">
        <w:rPr>
          <w:rFonts w:ascii="Times New Roman" w:hAnsi="Times New Roman" w:cs="Times New Roman"/>
          <w:bCs/>
          <w:sz w:val="24"/>
          <w:szCs w:val="24"/>
        </w:rPr>
        <w:t xml:space="preserve"> </w:t>
      </w:r>
      <w:proofErr w:type="spellStart"/>
      <w:r w:rsidRPr="00BA0AB9">
        <w:rPr>
          <w:rFonts w:ascii="Times New Roman" w:hAnsi="Times New Roman" w:cs="Times New Roman"/>
          <w:bCs/>
          <w:sz w:val="24"/>
          <w:szCs w:val="24"/>
        </w:rPr>
        <w:t>ředitelství</w:t>
      </w:r>
      <w:proofErr w:type="spellEnd"/>
      <w:r w:rsidRPr="00BA0AB9">
        <w:rPr>
          <w:rFonts w:ascii="Times New Roman" w:hAnsi="Times New Roman" w:cs="Times New Roman"/>
          <w:bCs/>
          <w:sz w:val="24"/>
          <w:szCs w:val="24"/>
        </w:rPr>
        <w:t>, [2014].</w:t>
      </w:r>
    </w:p>
    <w:p w:rsidR="00BA0AB9" w:rsidRPr="00BA0AB9" w:rsidRDefault="00BA0AB9" w:rsidP="00BA0AB9">
      <w:pPr>
        <w:spacing w:after="120"/>
        <w:ind w:left="870"/>
        <w:jc w:val="both"/>
        <w:rPr>
          <w:rFonts w:ascii="Times New Roman" w:hAnsi="Times New Roman" w:cs="Times New Roman"/>
          <w:bCs/>
          <w:sz w:val="24"/>
          <w:szCs w:val="24"/>
        </w:rPr>
      </w:pPr>
      <w:r w:rsidRPr="00BA0AB9">
        <w:rPr>
          <w:rFonts w:ascii="Times New Roman" w:hAnsi="Times New Roman" w:cs="Times New Roman"/>
          <w:bCs/>
          <w:sz w:val="24"/>
          <w:szCs w:val="24"/>
        </w:rPr>
        <w:t>Výrok rozhodnutia:</w:t>
      </w:r>
    </w:p>
    <w:p w:rsidR="00BA0AB9" w:rsidRPr="00BA0AB9" w:rsidRDefault="00BA0AB9" w:rsidP="00BA0AB9">
      <w:pPr>
        <w:spacing w:after="120"/>
        <w:ind w:left="870"/>
        <w:jc w:val="both"/>
        <w:rPr>
          <w:rFonts w:ascii="Times New Roman" w:hAnsi="Times New Roman" w:cs="Times New Roman"/>
          <w:bCs/>
          <w:sz w:val="24"/>
          <w:szCs w:val="24"/>
        </w:rPr>
      </w:pPr>
      <w:r w:rsidRPr="00BA0AB9">
        <w:rPr>
          <w:rFonts w:ascii="Times New Roman" w:hAnsi="Times New Roman" w:cs="Times New Roman"/>
          <w:bCs/>
          <w:sz w:val="24"/>
          <w:szCs w:val="24"/>
        </w:rPr>
        <w:t xml:space="preserve">Článok 56 ZFEÚ bráni právnej úprave, o akú ide vo veci samej, podľa ktorej spoločnosti usadené v prvom členskom štáte, ktoré využívajú pracovníkov zamestnaných a pridelených agentúrami dočasného zamestnávania usadenými </w:t>
      </w:r>
      <w:r w:rsidRPr="00BA0AB9">
        <w:rPr>
          <w:rFonts w:ascii="Times New Roman" w:hAnsi="Times New Roman" w:cs="Times New Roman"/>
          <w:bCs/>
          <w:sz w:val="24"/>
          <w:szCs w:val="24"/>
        </w:rPr>
        <w:lastRenderedPageBreak/>
        <w:t>v druhom členskom štáte, ale podnikajú v prvom členskom štáte prostredníctvom pobočky, sú povinné vykonať zrážku preddavku na daň z príjmov splatnú uvedenými pracovníkmi a uhradiť ju prvému uvedenému členskému štátu, hoci tú istú povinnosť nemajú spoločnosti usadené v prvom členskom štáte, ktoré využívajú služby agentúr dočasného zamestnávania, ktoré sú usadené v tom istom členskom štáte.</w:t>
      </w:r>
    </w:p>
    <w:p w:rsidR="00BA0AB9" w:rsidRPr="00BA0AB9" w:rsidRDefault="00BA0AB9" w:rsidP="00BA0AB9">
      <w:pPr>
        <w:numPr>
          <w:ilvl w:val="0"/>
          <w:numId w:val="34"/>
        </w:numPr>
        <w:spacing w:after="120" w:line="240" w:lineRule="auto"/>
        <w:jc w:val="both"/>
        <w:rPr>
          <w:rFonts w:ascii="Times New Roman" w:hAnsi="Times New Roman" w:cs="Times New Roman"/>
          <w:sz w:val="24"/>
          <w:szCs w:val="24"/>
          <w:lang w:eastAsia="cs-CZ"/>
        </w:rPr>
      </w:pPr>
      <w:r w:rsidRPr="00BA0AB9">
        <w:rPr>
          <w:rFonts w:ascii="Times New Roman" w:hAnsi="Times New Roman" w:cs="Times New Roman"/>
          <w:sz w:val="24"/>
          <w:szCs w:val="24"/>
        </w:rPr>
        <w:t xml:space="preserve">rozhodnutie Súdneho dvora vo veci </w:t>
      </w:r>
      <w:r w:rsidRPr="00BA0AB9">
        <w:rPr>
          <w:rFonts w:ascii="Times New Roman" w:hAnsi="Times New Roman" w:cs="Times New Roman"/>
          <w:bCs/>
          <w:sz w:val="24"/>
          <w:szCs w:val="24"/>
        </w:rPr>
        <w:t>C - 650/16, A/S </w:t>
      </w:r>
      <w:proofErr w:type="spellStart"/>
      <w:r w:rsidRPr="00BA0AB9">
        <w:rPr>
          <w:rFonts w:ascii="Times New Roman" w:hAnsi="Times New Roman" w:cs="Times New Roman"/>
          <w:bCs/>
          <w:sz w:val="24"/>
          <w:szCs w:val="24"/>
        </w:rPr>
        <w:t>Bevola</w:t>
      </w:r>
      <w:proofErr w:type="spellEnd"/>
      <w:r w:rsidRPr="00BA0AB9">
        <w:rPr>
          <w:rFonts w:ascii="Times New Roman" w:hAnsi="Times New Roman" w:cs="Times New Roman"/>
          <w:bCs/>
          <w:sz w:val="24"/>
          <w:szCs w:val="24"/>
        </w:rPr>
        <w:t xml:space="preserve">, </w:t>
      </w:r>
      <w:proofErr w:type="spellStart"/>
      <w:r w:rsidRPr="00BA0AB9">
        <w:rPr>
          <w:rFonts w:ascii="Times New Roman" w:hAnsi="Times New Roman" w:cs="Times New Roman"/>
          <w:bCs/>
          <w:sz w:val="24"/>
          <w:szCs w:val="24"/>
        </w:rPr>
        <w:t>Jens</w:t>
      </w:r>
      <w:proofErr w:type="spellEnd"/>
      <w:r w:rsidRPr="00BA0AB9">
        <w:rPr>
          <w:rFonts w:ascii="Times New Roman" w:hAnsi="Times New Roman" w:cs="Times New Roman"/>
          <w:bCs/>
          <w:sz w:val="24"/>
          <w:szCs w:val="24"/>
        </w:rPr>
        <w:t xml:space="preserve"> W. </w:t>
      </w:r>
      <w:proofErr w:type="spellStart"/>
      <w:r w:rsidRPr="00BA0AB9">
        <w:rPr>
          <w:rFonts w:ascii="Times New Roman" w:hAnsi="Times New Roman" w:cs="Times New Roman"/>
          <w:bCs/>
          <w:sz w:val="24"/>
          <w:szCs w:val="24"/>
        </w:rPr>
        <w:t>Trock</w:t>
      </w:r>
      <w:proofErr w:type="spellEnd"/>
      <w:r w:rsidRPr="00BA0AB9">
        <w:rPr>
          <w:rFonts w:ascii="Times New Roman" w:hAnsi="Times New Roman" w:cs="Times New Roman"/>
          <w:bCs/>
          <w:sz w:val="24"/>
          <w:szCs w:val="24"/>
        </w:rPr>
        <w:t xml:space="preserve"> </w:t>
      </w:r>
      <w:proofErr w:type="spellStart"/>
      <w:r w:rsidRPr="00BA0AB9">
        <w:rPr>
          <w:rFonts w:ascii="Times New Roman" w:hAnsi="Times New Roman" w:cs="Times New Roman"/>
          <w:bCs/>
          <w:sz w:val="24"/>
          <w:szCs w:val="24"/>
        </w:rPr>
        <w:t>ApS</w:t>
      </w:r>
      <w:proofErr w:type="spellEnd"/>
      <w:r w:rsidRPr="00BA0AB9">
        <w:rPr>
          <w:rFonts w:ascii="Times New Roman" w:hAnsi="Times New Roman" w:cs="Times New Roman"/>
          <w:bCs/>
          <w:sz w:val="24"/>
          <w:szCs w:val="24"/>
        </w:rPr>
        <w:t xml:space="preserve"> proti </w:t>
      </w:r>
      <w:proofErr w:type="spellStart"/>
      <w:r w:rsidRPr="00BA0AB9">
        <w:rPr>
          <w:rFonts w:ascii="Times New Roman" w:hAnsi="Times New Roman" w:cs="Times New Roman"/>
          <w:bCs/>
          <w:sz w:val="24"/>
          <w:szCs w:val="24"/>
        </w:rPr>
        <w:t>Skatteministeriet</w:t>
      </w:r>
      <w:proofErr w:type="spellEnd"/>
      <w:r w:rsidRPr="00BA0AB9">
        <w:rPr>
          <w:rFonts w:ascii="Times New Roman" w:hAnsi="Times New Roman" w:cs="Times New Roman"/>
          <w:bCs/>
          <w:sz w:val="24"/>
          <w:szCs w:val="24"/>
        </w:rPr>
        <w:t>, [2018].</w:t>
      </w:r>
    </w:p>
    <w:p w:rsidR="00BA0AB9" w:rsidRPr="00BA0AB9" w:rsidRDefault="00BA0AB9" w:rsidP="00BA0AB9">
      <w:pPr>
        <w:pStyle w:val="Odsekzoznamu"/>
        <w:spacing w:after="120"/>
        <w:ind w:left="870"/>
        <w:jc w:val="both"/>
        <w:rPr>
          <w:rFonts w:ascii="Times New Roman" w:hAnsi="Times New Roman" w:cs="Times New Roman"/>
          <w:bCs/>
          <w:sz w:val="24"/>
          <w:szCs w:val="24"/>
        </w:rPr>
      </w:pPr>
      <w:r w:rsidRPr="00BA0AB9">
        <w:rPr>
          <w:rFonts w:ascii="Times New Roman" w:hAnsi="Times New Roman" w:cs="Times New Roman"/>
          <w:bCs/>
          <w:sz w:val="24"/>
          <w:szCs w:val="24"/>
        </w:rPr>
        <w:t>Výrok rozhodnutia:</w:t>
      </w:r>
    </w:p>
    <w:p w:rsidR="00BA0AB9" w:rsidRPr="00BA0AB9" w:rsidRDefault="00BA0AB9" w:rsidP="00BA0AB9">
      <w:pPr>
        <w:spacing w:after="120"/>
        <w:ind w:left="870"/>
        <w:jc w:val="both"/>
        <w:rPr>
          <w:rFonts w:ascii="Times New Roman" w:hAnsi="Times New Roman" w:cs="Times New Roman"/>
          <w:bCs/>
          <w:sz w:val="24"/>
          <w:szCs w:val="24"/>
        </w:rPr>
      </w:pPr>
      <w:r w:rsidRPr="00BA0AB9">
        <w:rPr>
          <w:rFonts w:ascii="Times New Roman" w:hAnsi="Times New Roman" w:cs="Times New Roman"/>
          <w:bCs/>
          <w:sz w:val="24"/>
          <w:szCs w:val="24"/>
        </w:rPr>
        <w:t>Článok 49 ZFEÚ sa má vykladať v tom zmysle, že bráni právnej úprave členského štátu, ktorá vylučuje možnosť spoločnosti rezidenta, ktorá si nezvolila režim medzinárodného spoločného zdaňovania, ako je ten vo veci samej, odpočítať straty, ktoré vznikli jej stálej prevádzkarni nachádzajúcej sa v inom členskom štáte, od svojho zdaniteľného príjmu, napriek tomu, že jednak táto spoločnosť vyčerpala všetky možnosti odpočítania týchto strát, ktoré jej poskytuje právo členského štátu, v ktorom sa daná prevádzkareň nachádza, a jednak prestala dostávať od tejto prevádzkarne akýkoľvek príjem, takže už neexistuje žiadna možnosť, aby dané straty mohli byť zohľadnené v členskom štáte sídla prevádzkarne, čo prináleží overiť vnútroštátnemu súdu.</w:t>
      </w:r>
    </w:p>
    <w:p w:rsidR="00BA0AB9" w:rsidRPr="00BA0AB9" w:rsidRDefault="00BA0AB9" w:rsidP="00BA0AB9">
      <w:pPr>
        <w:numPr>
          <w:ilvl w:val="0"/>
          <w:numId w:val="34"/>
        </w:numPr>
        <w:spacing w:after="120" w:line="240" w:lineRule="auto"/>
        <w:jc w:val="both"/>
        <w:rPr>
          <w:rFonts w:ascii="Times New Roman" w:hAnsi="Times New Roman" w:cs="Times New Roman"/>
          <w:sz w:val="24"/>
          <w:szCs w:val="24"/>
          <w:lang w:eastAsia="cs-CZ"/>
        </w:rPr>
      </w:pPr>
      <w:r w:rsidRPr="00BA0AB9">
        <w:rPr>
          <w:rFonts w:ascii="Times New Roman" w:hAnsi="Times New Roman" w:cs="Times New Roman"/>
          <w:sz w:val="24"/>
          <w:szCs w:val="24"/>
        </w:rPr>
        <w:t>rozhodnutie Súdneho dvora v s</w:t>
      </w:r>
      <w:r w:rsidRPr="00BA0AB9">
        <w:rPr>
          <w:rFonts w:ascii="Times New Roman" w:hAnsi="Times New Roman" w:cs="Times New Roman"/>
          <w:bCs/>
          <w:sz w:val="24"/>
          <w:szCs w:val="24"/>
        </w:rPr>
        <w:t xml:space="preserve">pojených veciach </w:t>
      </w:r>
      <w:r w:rsidRPr="00BA0AB9">
        <w:rPr>
          <w:rFonts w:ascii="Times New Roman" w:hAnsi="Times New Roman" w:cs="Times New Roman"/>
          <w:sz w:val="24"/>
          <w:szCs w:val="24"/>
        </w:rPr>
        <w:t xml:space="preserve">C </w:t>
      </w:r>
      <w:r w:rsidRPr="00BA0AB9">
        <w:rPr>
          <w:rFonts w:ascii="Times New Roman" w:hAnsi="Times New Roman" w:cs="Times New Roman"/>
          <w:sz w:val="24"/>
          <w:szCs w:val="24"/>
        </w:rPr>
        <w:noBreakHyphen/>
        <w:t xml:space="preserve"> 398/16 a C </w:t>
      </w:r>
      <w:r w:rsidRPr="00BA0AB9">
        <w:rPr>
          <w:rFonts w:ascii="Times New Roman" w:hAnsi="Times New Roman" w:cs="Times New Roman"/>
          <w:sz w:val="24"/>
          <w:szCs w:val="24"/>
        </w:rPr>
        <w:noBreakHyphen/>
        <w:t xml:space="preserve"> 399/16, </w:t>
      </w:r>
      <w:r w:rsidRPr="00BA0AB9">
        <w:rPr>
          <w:rFonts w:ascii="Times New Roman" w:hAnsi="Times New Roman" w:cs="Times New Roman"/>
          <w:bCs/>
          <w:sz w:val="24"/>
          <w:szCs w:val="24"/>
        </w:rPr>
        <w:t xml:space="preserve">X BV, X NV proti </w:t>
      </w:r>
      <w:proofErr w:type="spellStart"/>
      <w:r w:rsidRPr="00BA0AB9">
        <w:rPr>
          <w:rFonts w:ascii="Times New Roman" w:hAnsi="Times New Roman" w:cs="Times New Roman"/>
          <w:bCs/>
          <w:sz w:val="24"/>
          <w:szCs w:val="24"/>
        </w:rPr>
        <w:t>Staatssecretaris</w:t>
      </w:r>
      <w:proofErr w:type="spellEnd"/>
      <w:r w:rsidRPr="00BA0AB9">
        <w:rPr>
          <w:rFonts w:ascii="Times New Roman" w:hAnsi="Times New Roman" w:cs="Times New Roman"/>
          <w:bCs/>
          <w:sz w:val="24"/>
          <w:szCs w:val="24"/>
        </w:rPr>
        <w:t xml:space="preserve"> van </w:t>
      </w:r>
      <w:proofErr w:type="spellStart"/>
      <w:r w:rsidRPr="00BA0AB9">
        <w:rPr>
          <w:rFonts w:ascii="Times New Roman" w:hAnsi="Times New Roman" w:cs="Times New Roman"/>
          <w:bCs/>
          <w:sz w:val="24"/>
          <w:szCs w:val="24"/>
        </w:rPr>
        <w:t>Financiën</w:t>
      </w:r>
      <w:proofErr w:type="spellEnd"/>
      <w:r w:rsidRPr="00BA0AB9">
        <w:rPr>
          <w:rFonts w:ascii="Times New Roman" w:hAnsi="Times New Roman" w:cs="Times New Roman"/>
          <w:bCs/>
          <w:sz w:val="24"/>
          <w:szCs w:val="24"/>
        </w:rPr>
        <w:t>, [2018].</w:t>
      </w:r>
    </w:p>
    <w:p w:rsidR="00BA0AB9" w:rsidRPr="00BA0AB9" w:rsidRDefault="00BA0AB9" w:rsidP="00BA0AB9">
      <w:pPr>
        <w:pStyle w:val="Odsekzoznamu"/>
        <w:spacing w:after="120"/>
        <w:ind w:left="870"/>
        <w:jc w:val="both"/>
        <w:rPr>
          <w:rFonts w:ascii="Times New Roman" w:hAnsi="Times New Roman" w:cs="Times New Roman"/>
          <w:bCs/>
          <w:sz w:val="24"/>
          <w:szCs w:val="24"/>
        </w:rPr>
      </w:pPr>
      <w:r w:rsidRPr="00BA0AB9">
        <w:rPr>
          <w:rFonts w:ascii="Times New Roman" w:hAnsi="Times New Roman" w:cs="Times New Roman"/>
          <w:bCs/>
          <w:sz w:val="24"/>
          <w:szCs w:val="24"/>
        </w:rPr>
        <w:t>Výrok rozhodnutia:</w:t>
      </w:r>
    </w:p>
    <w:p w:rsidR="00BA0AB9" w:rsidRPr="00BA0AB9" w:rsidRDefault="00BA0AB9" w:rsidP="00BA0AB9">
      <w:pPr>
        <w:pStyle w:val="c08dispositif"/>
        <w:ind w:left="851" w:firstLine="0"/>
        <w:rPr>
          <w:b w:val="0"/>
        </w:rPr>
      </w:pPr>
      <w:r w:rsidRPr="00BA0AB9">
        <w:rPr>
          <w:b w:val="0"/>
        </w:rPr>
        <w:t>1.Články 49 a 54 ZFEÚ sa majú vykladať v tom zmysle, že bránia takej vnútroštátnej právnej úprave, o akú ide vo veci samej, podľa ktorej materská spoločnosť usadená v členskom štáte nemôže odpočítať úroky z úveru poskytnutého spriaznenou spoločnosťou s cieľom financovania kapitálového vkladu do dcérskej spoločnosti usadenej v inom členskom štáte, hoci, keby bola dcérska spoločnosť usadená v tom istom členskom štáte, materská spoločnosť by mohla mať nárok na toto odpočítanie tak, že by s ňou vytvorila integrovanú daňovú jednotku.</w:t>
      </w:r>
    </w:p>
    <w:p w:rsidR="00BA0AB9" w:rsidRPr="00BA0AB9" w:rsidRDefault="00BA0AB9" w:rsidP="00BA0AB9">
      <w:pPr>
        <w:pStyle w:val="c08dispositif"/>
        <w:ind w:left="851" w:firstLine="0"/>
        <w:rPr>
          <w:b w:val="0"/>
        </w:rPr>
      </w:pPr>
      <w:r w:rsidRPr="00BA0AB9">
        <w:rPr>
          <w:b w:val="0"/>
        </w:rPr>
        <w:t>2.Články 49 a 54 ZFEÚ sa majú vykladať v tom zmysle, že nebránia takej vnútroštátnej právnej úprave, o akú ide vo veci samej, podľa ktorej materská spoločnosť usadená v členskom štáte nie je oprávnená odpočítať od svojho celkového zisku stratu vyplývajúcu zo zmeny výmenného kurzu, v súvislosti s hodnotou jej podielov v dcérskej spoločnosti usadenej v inom členskom štáte, keď podľa tejto istej právnej úpravy nepodlieha dani symetricky zisk vyplývajúci z týchto zmien.</w:t>
      </w:r>
    </w:p>
    <w:p w:rsidR="00BA0AB9" w:rsidRPr="00BA0AB9" w:rsidRDefault="00BA0AB9" w:rsidP="00BA0AB9">
      <w:pPr>
        <w:numPr>
          <w:ilvl w:val="0"/>
          <w:numId w:val="31"/>
        </w:numPr>
        <w:spacing w:after="120" w:line="240" w:lineRule="auto"/>
        <w:jc w:val="both"/>
        <w:rPr>
          <w:rFonts w:ascii="Times New Roman" w:hAnsi="Times New Roman" w:cs="Times New Roman"/>
          <w:b/>
          <w:bCs/>
          <w:sz w:val="24"/>
          <w:szCs w:val="24"/>
        </w:rPr>
      </w:pPr>
      <w:r w:rsidRPr="00BA0AB9">
        <w:rPr>
          <w:rFonts w:ascii="Times New Roman" w:hAnsi="Times New Roman" w:cs="Times New Roman"/>
          <w:b/>
          <w:bCs/>
          <w:sz w:val="24"/>
          <w:szCs w:val="24"/>
        </w:rPr>
        <w:t>Záväzky Slovenskej republiky vo vzťahu k Európskej únii:</w:t>
      </w:r>
    </w:p>
    <w:p w:rsidR="00BA0AB9" w:rsidRPr="00BA0AB9" w:rsidRDefault="00BA0AB9" w:rsidP="00BA0AB9">
      <w:pPr>
        <w:numPr>
          <w:ilvl w:val="0"/>
          <w:numId w:val="35"/>
        </w:numPr>
        <w:tabs>
          <w:tab w:val="clear" w:pos="720"/>
          <w:tab w:val="left" w:pos="425"/>
        </w:tabs>
        <w:spacing w:after="120" w:line="240" w:lineRule="auto"/>
        <w:ind w:left="425" w:hanging="425"/>
        <w:jc w:val="both"/>
        <w:rPr>
          <w:rFonts w:ascii="Times New Roman" w:hAnsi="Times New Roman" w:cs="Times New Roman"/>
          <w:sz w:val="24"/>
          <w:szCs w:val="24"/>
          <w:lang w:eastAsia="cs-CZ"/>
        </w:rPr>
      </w:pPr>
      <w:r w:rsidRPr="00BA0AB9">
        <w:rPr>
          <w:rFonts w:ascii="Times New Roman" w:hAnsi="Times New Roman" w:cs="Times New Roman"/>
          <w:sz w:val="24"/>
          <w:szCs w:val="24"/>
          <w:lang w:eastAsia="cs-CZ"/>
        </w:rPr>
        <w:t xml:space="preserve">Lehota na prebratie smernice (EÚ) 2017/952 bola stanovená do 31.12.2019 okrem čl. 2 ods. 3, u ktorého je lehota na prebratie stanovená do 31.12.2021. </w:t>
      </w:r>
    </w:p>
    <w:p w:rsidR="00BA0AB9" w:rsidRPr="00BA0AB9" w:rsidRDefault="00BA0AB9" w:rsidP="00BA0AB9">
      <w:pPr>
        <w:numPr>
          <w:ilvl w:val="0"/>
          <w:numId w:val="35"/>
        </w:numPr>
        <w:tabs>
          <w:tab w:val="clear" w:pos="720"/>
          <w:tab w:val="left" w:pos="425"/>
        </w:tabs>
        <w:spacing w:after="120" w:line="240" w:lineRule="auto"/>
        <w:ind w:left="425" w:hanging="425"/>
        <w:jc w:val="both"/>
        <w:rPr>
          <w:rFonts w:ascii="Times New Roman" w:hAnsi="Times New Roman" w:cs="Times New Roman"/>
          <w:sz w:val="24"/>
          <w:szCs w:val="24"/>
          <w:lang w:eastAsia="cs-CZ"/>
        </w:rPr>
      </w:pPr>
      <w:r w:rsidRPr="00BA0AB9">
        <w:rPr>
          <w:rFonts w:ascii="Times New Roman" w:hAnsi="Times New Roman" w:cs="Times New Roman"/>
          <w:sz w:val="24"/>
          <w:szCs w:val="24"/>
          <w:lang w:eastAsia="cs-CZ"/>
        </w:rPr>
        <w:t xml:space="preserve">Proti SR nebolo </w:t>
      </w:r>
      <w:r w:rsidRPr="00BA0AB9">
        <w:rPr>
          <w:rFonts w:ascii="Times New Roman" w:hAnsi="Times New Roman" w:cs="Times New Roman"/>
          <w:sz w:val="24"/>
          <w:szCs w:val="24"/>
        </w:rPr>
        <w:t xml:space="preserve">začaté konanie v rámci „EÚ Pilot“, ani nebol začatý postup EK ako aj nebolo </w:t>
      </w:r>
      <w:r w:rsidRPr="00BA0AB9">
        <w:rPr>
          <w:rFonts w:ascii="Times New Roman" w:hAnsi="Times New Roman" w:cs="Times New Roman"/>
          <w:sz w:val="24"/>
          <w:szCs w:val="24"/>
          <w:lang w:eastAsia="cs-CZ"/>
        </w:rPr>
        <w:t>začaté konanie o porušení Zmluvy o fungovaní Európskej únie podľa čl. 258 až 260.</w:t>
      </w:r>
    </w:p>
    <w:p w:rsidR="00BA0AB9" w:rsidRPr="00BA0AB9" w:rsidRDefault="00BA0AB9" w:rsidP="00BA0AB9">
      <w:pPr>
        <w:numPr>
          <w:ilvl w:val="0"/>
          <w:numId w:val="35"/>
        </w:numPr>
        <w:tabs>
          <w:tab w:val="clear" w:pos="720"/>
          <w:tab w:val="left" w:pos="425"/>
        </w:tabs>
        <w:spacing w:after="120" w:line="240" w:lineRule="auto"/>
        <w:ind w:left="425" w:hanging="425"/>
        <w:jc w:val="both"/>
        <w:rPr>
          <w:rFonts w:ascii="Times New Roman" w:hAnsi="Times New Roman" w:cs="Times New Roman"/>
          <w:sz w:val="24"/>
          <w:szCs w:val="24"/>
          <w:lang w:eastAsia="cs-CZ"/>
        </w:rPr>
      </w:pPr>
      <w:r w:rsidRPr="00BA0AB9">
        <w:rPr>
          <w:rFonts w:ascii="Times New Roman" w:hAnsi="Times New Roman" w:cs="Times New Roman"/>
          <w:sz w:val="24"/>
          <w:szCs w:val="24"/>
          <w:lang w:eastAsia="cs-CZ"/>
        </w:rPr>
        <w:t xml:space="preserve">Smernica </w:t>
      </w:r>
      <w:r w:rsidRPr="00BA0AB9">
        <w:rPr>
          <w:rFonts w:ascii="Times New Roman" w:hAnsi="Times New Roman" w:cs="Times New Roman"/>
          <w:sz w:val="24"/>
          <w:szCs w:val="24"/>
        </w:rPr>
        <w:t>2009/133/ES</w:t>
      </w:r>
      <w:r w:rsidRPr="00BA0AB9">
        <w:rPr>
          <w:rFonts w:ascii="Times New Roman" w:hAnsi="Times New Roman" w:cs="Times New Roman"/>
          <w:sz w:val="24"/>
          <w:szCs w:val="24"/>
          <w:lang w:eastAsia="cs-CZ"/>
        </w:rPr>
        <w:t xml:space="preserve"> bola prebratá do zákona č. </w:t>
      </w:r>
      <w:r w:rsidRPr="00BA0AB9">
        <w:rPr>
          <w:rFonts w:ascii="Times New Roman" w:hAnsi="Times New Roman" w:cs="Times New Roman"/>
          <w:sz w:val="24"/>
          <w:szCs w:val="24"/>
        </w:rPr>
        <w:t>595/2003 Z. z. o dani z príjmov v znení neskorších predpisov.</w:t>
      </w:r>
    </w:p>
    <w:p w:rsidR="00BA0AB9" w:rsidRPr="00BA0AB9" w:rsidRDefault="00BA0AB9" w:rsidP="00BA0AB9">
      <w:pPr>
        <w:tabs>
          <w:tab w:val="left" w:pos="425"/>
        </w:tabs>
        <w:spacing w:after="120"/>
        <w:ind w:left="425"/>
        <w:jc w:val="both"/>
        <w:rPr>
          <w:rFonts w:ascii="Times New Roman" w:hAnsi="Times New Roman" w:cs="Times New Roman"/>
          <w:sz w:val="24"/>
          <w:szCs w:val="24"/>
          <w:lang w:eastAsia="cs-CZ"/>
        </w:rPr>
      </w:pPr>
      <w:r w:rsidRPr="00BA0AB9">
        <w:rPr>
          <w:rFonts w:ascii="Times New Roman" w:hAnsi="Times New Roman" w:cs="Times New Roman"/>
          <w:sz w:val="24"/>
          <w:szCs w:val="24"/>
          <w:lang w:eastAsia="cs-CZ"/>
        </w:rPr>
        <w:lastRenderedPageBreak/>
        <w:t>Smernica Rady 2003/49/ES bola prebratá do zákona č. 595/2003 Z. z. o dani z príjmov v znení neskorších predpisov.</w:t>
      </w:r>
    </w:p>
    <w:p w:rsidR="00BA0AB9" w:rsidRPr="00BA0AB9" w:rsidRDefault="00BA0AB9" w:rsidP="00BA0AB9">
      <w:pPr>
        <w:tabs>
          <w:tab w:val="left" w:pos="425"/>
        </w:tabs>
        <w:ind w:left="426"/>
        <w:jc w:val="both"/>
        <w:rPr>
          <w:rFonts w:ascii="Times New Roman" w:hAnsi="Times New Roman" w:cs="Times New Roman"/>
          <w:sz w:val="24"/>
          <w:szCs w:val="24"/>
          <w:lang w:eastAsia="cs-CZ"/>
        </w:rPr>
      </w:pPr>
      <w:r w:rsidRPr="00BA0AB9">
        <w:rPr>
          <w:rFonts w:ascii="Times New Roman" w:hAnsi="Times New Roman" w:cs="Times New Roman"/>
          <w:sz w:val="24"/>
          <w:szCs w:val="24"/>
          <w:lang w:eastAsia="cs-CZ"/>
        </w:rPr>
        <w:t>Smernica Rady 2011/96/EÚ bola prebratá do zákona č. 595/2003 Z. z. o dani z príjmov  v znení neskorších predpisov.</w:t>
      </w:r>
    </w:p>
    <w:p w:rsidR="00BA0AB9" w:rsidRPr="00BA0AB9" w:rsidRDefault="00BA0AB9" w:rsidP="00BA0AB9">
      <w:pPr>
        <w:numPr>
          <w:ilvl w:val="0"/>
          <w:numId w:val="31"/>
        </w:numPr>
        <w:spacing w:after="120" w:line="240" w:lineRule="auto"/>
        <w:jc w:val="both"/>
        <w:rPr>
          <w:rFonts w:ascii="Times New Roman" w:hAnsi="Times New Roman" w:cs="Times New Roman"/>
          <w:b/>
          <w:bCs/>
          <w:sz w:val="24"/>
          <w:szCs w:val="24"/>
        </w:rPr>
      </w:pPr>
      <w:r w:rsidRPr="00BA0AB9">
        <w:rPr>
          <w:rFonts w:ascii="Times New Roman" w:hAnsi="Times New Roman" w:cs="Times New Roman"/>
          <w:b/>
          <w:bCs/>
          <w:sz w:val="24"/>
          <w:szCs w:val="24"/>
        </w:rPr>
        <w:t>Návrh zákona je zlučiteľný s právom Európskej únie:</w:t>
      </w:r>
    </w:p>
    <w:p w:rsidR="00BA0AB9" w:rsidRPr="00BA0AB9" w:rsidRDefault="00BA0AB9" w:rsidP="00BA0AB9">
      <w:pPr>
        <w:spacing w:after="120"/>
        <w:ind w:left="425"/>
        <w:jc w:val="both"/>
        <w:rPr>
          <w:rFonts w:ascii="Times New Roman" w:hAnsi="Times New Roman" w:cs="Times New Roman"/>
          <w:sz w:val="24"/>
          <w:szCs w:val="24"/>
        </w:rPr>
      </w:pPr>
      <w:r w:rsidRPr="00BA0AB9">
        <w:rPr>
          <w:rFonts w:ascii="Times New Roman" w:hAnsi="Times New Roman" w:cs="Times New Roman"/>
          <w:sz w:val="24"/>
          <w:szCs w:val="24"/>
        </w:rPr>
        <w:t>Úplne.</w:t>
      </w:r>
    </w:p>
    <w:p w:rsidR="00BA0AB9" w:rsidRDefault="00BA0AB9" w:rsidP="00EA543A">
      <w:pPr>
        <w:spacing w:after="0" w:line="240" w:lineRule="auto"/>
        <w:jc w:val="both"/>
        <w:rPr>
          <w:rFonts w:ascii="Times New Roman" w:hAnsi="Times New Roman" w:cs="Times New Roman"/>
          <w:b/>
          <w:sz w:val="24"/>
          <w:szCs w:val="24"/>
        </w:rPr>
      </w:pPr>
    </w:p>
    <w:p w:rsidR="00EA543A" w:rsidRDefault="00EA543A"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Default="00BA0AB9" w:rsidP="00EA543A">
      <w:pPr>
        <w:spacing w:after="0" w:line="240" w:lineRule="auto"/>
        <w:jc w:val="both"/>
        <w:rPr>
          <w:rFonts w:ascii="Times New Roman" w:hAnsi="Times New Roman" w:cs="Times New Roman"/>
          <w:b/>
          <w:sz w:val="24"/>
          <w:szCs w:val="24"/>
        </w:rPr>
      </w:pPr>
    </w:p>
    <w:p w:rsidR="00BA0AB9" w:rsidRPr="00EA543A" w:rsidRDefault="00BA0AB9" w:rsidP="00EA543A">
      <w:pPr>
        <w:spacing w:after="0" w:line="240" w:lineRule="auto"/>
        <w:jc w:val="both"/>
        <w:rPr>
          <w:rFonts w:ascii="Times New Roman" w:hAnsi="Times New Roman" w:cs="Times New Roman"/>
          <w:b/>
          <w:sz w:val="24"/>
          <w:szCs w:val="24"/>
        </w:rPr>
      </w:pPr>
    </w:p>
    <w:p w:rsidR="00EA543A" w:rsidRPr="00EA543A" w:rsidRDefault="00EA543A" w:rsidP="00EA543A">
      <w:pPr>
        <w:spacing w:after="0" w:line="240" w:lineRule="auto"/>
        <w:jc w:val="both"/>
        <w:rPr>
          <w:rFonts w:ascii="Times New Roman" w:hAnsi="Times New Roman" w:cs="Times New Roman"/>
          <w:b/>
          <w:sz w:val="24"/>
          <w:szCs w:val="24"/>
        </w:rPr>
      </w:pPr>
    </w:p>
    <w:p w:rsidR="00C1049C" w:rsidRPr="00EA543A" w:rsidRDefault="0071616E" w:rsidP="00EA543A">
      <w:pPr>
        <w:spacing w:after="0" w:line="240" w:lineRule="auto"/>
        <w:jc w:val="both"/>
        <w:rPr>
          <w:rFonts w:ascii="Times New Roman" w:hAnsi="Times New Roman" w:cs="Times New Roman"/>
          <w:b/>
          <w:sz w:val="24"/>
          <w:szCs w:val="24"/>
        </w:rPr>
      </w:pPr>
      <w:r w:rsidRPr="00EA543A">
        <w:rPr>
          <w:rFonts w:ascii="Times New Roman" w:hAnsi="Times New Roman" w:cs="Times New Roman"/>
          <w:b/>
          <w:sz w:val="24"/>
          <w:szCs w:val="24"/>
        </w:rPr>
        <w:t>B. Osobitná časť</w:t>
      </w:r>
    </w:p>
    <w:p w:rsidR="00580AE9" w:rsidRPr="00EA543A" w:rsidRDefault="00580AE9" w:rsidP="00EA543A">
      <w:pPr>
        <w:spacing w:after="0" w:line="240" w:lineRule="auto"/>
        <w:ind w:left="66"/>
        <w:jc w:val="both"/>
        <w:rPr>
          <w:rFonts w:ascii="Times New Roman" w:hAnsi="Times New Roman" w:cs="Times New Roman"/>
          <w:b/>
          <w:sz w:val="24"/>
          <w:szCs w:val="24"/>
        </w:rPr>
      </w:pPr>
    </w:p>
    <w:p w:rsidR="00E7599B" w:rsidRPr="00EA543A" w:rsidRDefault="00E7599B" w:rsidP="00EA543A">
      <w:pPr>
        <w:spacing w:after="0" w:line="240" w:lineRule="auto"/>
        <w:jc w:val="both"/>
        <w:rPr>
          <w:rFonts w:ascii="Times New Roman" w:hAnsi="Times New Roman" w:cs="Times New Roman"/>
          <w:b/>
          <w:sz w:val="24"/>
          <w:szCs w:val="24"/>
        </w:rPr>
      </w:pPr>
      <w:r w:rsidRPr="00EA543A">
        <w:rPr>
          <w:rFonts w:ascii="Times New Roman" w:hAnsi="Times New Roman" w:cs="Times New Roman"/>
          <w:b/>
          <w:sz w:val="24"/>
          <w:szCs w:val="24"/>
        </w:rPr>
        <w:t>K bodu 1 - § 2 písm. w)</w:t>
      </w:r>
    </w:p>
    <w:p w:rsidR="00E7599B" w:rsidRPr="00EA543A" w:rsidRDefault="00E7599B" w:rsidP="00EA543A">
      <w:pPr>
        <w:pStyle w:val="Odsekzoznamu"/>
        <w:spacing w:after="0" w:line="240" w:lineRule="auto"/>
        <w:ind w:left="0"/>
        <w:jc w:val="both"/>
        <w:rPr>
          <w:rFonts w:ascii="Times New Roman" w:hAnsi="Times New Roman" w:cs="Times New Roman"/>
          <w:sz w:val="24"/>
          <w:szCs w:val="24"/>
        </w:rPr>
      </w:pPr>
      <w:r w:rsidRPr="00EA543A">
        <w:rPr>
          <w:rFonts w:ascii="Times New Roman" w:hAnsi="Times New Roman" w:cs="Times New Roman"/>
          <w:sz w:val="24"/>
          <w:szCs w:val="24"/>
        </w:rPr>
        <w:t>V nadväznosti na analýzu zjednodušenia výpočtu základu dane pre malé a stredné podniky sa za účelom podpory rozvoja malých daňovníkov zavádza pojem „</w:t>
      </w:r>
      <w:proofErr w:type="spellStart"/>
      <w:r w:rsidRPr="00EA543A">
        <w:rPr>
          <w:rFonts w:ascii="Times New Roman" w:hAnsi="Times New Roman" w:cs="Times New Roman"/>
          <w:sz w:val="24"/>
          <w:szCs w:val="24"/>
        </w:rPr>
        <w:t>mikrodaňovník</w:t>
      </w:r>
      <w:proofErr w:type="spellEnd"/>
      <w:r w:rsidRPr="00EA543A">
        <w:rPr>
          <w:rFonts w:ascii="Times New Roman" w:hAnsi="Times New Roman" w:cs="Times New Roman"/>
          <w:sz w:val="24"/>
          <w:szCs w:val="24"/>
        </w:rPr>
        <w:t xml:space="preserve">“. </w:t>
      </w:r>
      <w:proofErr w:type="spellStart"/>
      <w:r w:rsidRPr="00EA543A">
        <w:rPr>
          <w:rFonts w:ascii="Times New Roman" w:hAnsi="Times New Roman" w:cs="Times New Roman"/>
          <w:sz w:val="24"/>
          <w:szCs w:val="24"/>
        </w:rPr>
        <w:t>Mikrodaňovníkom</w:t>
      </w:r>
      <w:proofErr w:type="spellEnd"/>
      <w:r w:rsidRPr="00EA543A">
        <w:rPr>
          <w:rFonts w:ascii="Times New Roman" w:hAnsi="Times New Roman" w:cs="Times New Roman"/>
          <w:sz w:val="24"/>
          <w:szCs w:val="24"/>
        </w:rPr>
        <w:t xml:space="preserve"> je daňovník – fyzická osoba, ktorá dosahuje príjmy z podnikania a z inej samostatnej zárobkovej činnosti a za zdaňovacie obdobie výška týchto</w:t>
      </w:r>
      <w:r w:rsidR="007B79E4" w:rsidRPr="00EA543A">
        <w:rPr>
          <w:rFonts w:ascii="Times New Roman" w:hAnsi="Times New Roman" w:cs="Times New Roman"/>
          <w:sz w:val="24"/>
          <w:szCs w:val="24"/>
        </w:rPr>
        <w:t xml:space="preserve"> </w:t>
      </w:r>
      <w:r w:rsidRPr="00EA543A">
        <w:rPr>
          <w:rFonts w:ascii="Times New Roman" w:hAnsi="Times New Roman" w:cs="Times New Roman"/>
          <w:sz w:val="24"/>
          <w:szCs w:val="24"/>
        </w:rPr>
        <w:t xml:space="preserve">príjmov </w:t>
      </w:r>
      <w:r w:rsidR="007B79E4" w:rsidRPr="00EA543A">
        <w:rPr>
          <w:rFonts w:ascii="Times New Roman" w:hAnsi="Times New Roman" w:cs="Times New Roman"/>
          <w:sz w:val="24"/>
          <w:szCs w:val="24"/>
        </w:rPr>
        <w:t xml:space="preserve">(ak účtuje v sústave jednoduchého účtovníctva alebo vedie evidenciu podľa § 6 ods. 11) alebo  </w:t>
      </w:r>
      <w:r w:rsidRPr="00EA543A">
        <w:rPr>
          <w:rFonts w:ascii="Times New Roman" w:hAnsi="Times New Roman" w:cs="Times New Roman"/>
          <w:sz w:val="24"/>
          <w:szCs w:val="24"/>
        </w:rPr>
        <w:t>výnosov</w:t>
      </w:r>
      <w:r w:rsidR="007B79E4" w:rsidRPr="00EA543A">
        <w:rPr>
          <w:rFonts w:ascii="Times New Roman" w:hAnsi="Times New Roman" w:cs="Times New Roman"/>
          <w:sz w:val="24"/>
          <w:szCs w:val="24"/>
        </w:rPr>
        <w:t xml:space="preserve"> (ak daňovník účtuje v sústave podvojného účtovníctve)</w:t>
      </w:r>
      <w:r w:rsidRPr="00EA543A">
        <w:rPr>
          <w:rFonts w:ascii="Times New Roman" w:hAnsi="Times New Roman" w:cs="Times New Roman"/>
          <w:sz w:val="24"/>
          <w:szCs w:val="24"/>
        </w:rPr>
        <w:t xml:space="preserve">  je maximálne vo výške sumy stanovenej na účely registrácie na daň z pridanej hodnoty, t.j. v súčasnosti 49 790 eur. Rovnako sa za </w:t>
      </w:r>
      <w:proofErr w:type="spellStart"/>
      <w:r w:rsidRPr="00EA543A">
        <w:rPr>
          <w:rFonts w:ascii="Times New Roman" w:hAnsi="Times New Roman" w:cs="Times New Roman"/>
          <w:sz w:val="24"/>
          <w:szCs w:val="24"/>
        </w:rPr>
        <w:t>mikrodaňovníka</w:t>
      </w:r>
      <w:proofErr w:type="spellEnd"/>
      <w:r w:rsidRPr="00EA543A">
        <w:rPr>
          <w:rFonts w:ascii="Times New Roman" w:hAnsi="Times New Roman" w:cs="Times New Roman"/>
          <w:sz w:val="24"/>
          <w:szCs w:val="24"/>
        </w:rPr>
        <w:t xml:space="preserve"> považuje aj daňovník právnická osoba, ktorej všetky výnosy dosiahnuté za príslušné zdaňovacie obdobie sú maximálne vo výške 49 790 eur vrátane. Za </w:t>
      </w:r>
      <w:proofErr w:type="spellStart"/>
      <w:r w:rsidRPr="00EA543A">
        <w:rPr>
          <w:rFonts w:ascii="Times New Roman" w:hAnsi="Times New Roman" w:cs="Times New Roman"/>
          <w:sz w:val="24"/>
          <w:szCs w:val="24"/>
        </w:rPr>
        <w:t>mikrodaňovníka</w:t>
      </w:r>
      <w:proofErr w:type="spellEnd"/>
      <w:r w:rsidRPr="00EA543A">
        <w:rPr>
          <w:rFonts w:ascii="Times New Roman" w:hAnsi="Times New Roman" w:cs="Times New Roman"/>
          <w:sz w:val="24"/>
          <w:szCs w:val="24"/>
        </w:rPr>
        <w:t xml:space="preserve"> nie je možné považovať daňovníka – fyzickú alebo právnickú osobu, ktorá síce spĺňa podmienku dosiahnutia príjmov (výnosov) do 49 790 eur, ale je závislou osobou podľa § 2 písm. n) zákona. </w:t>
      </w:r>
    </w:p>
    <w:p w:rsidR="00E7599B" w:rsidRPr="00EA543A" w:rsidRDefault="00E7599B" w:rsidP="00BA62B0">
      <w:pPr>
        <w:pStyle w:val="Odsekzoznamu"/>
        <w:spacing w:after="0" w:line="240" w:lineRule="auto"/>
        <w:ind w:left="0"/>
        <w:jc w:val="both"/>
        <w:rPr>
          <w:rFonts w:ascii="Times New Roman" w:hAnsi="Times New Roman" w:cs="Times New Roman"/>
          <w:sz w:val="24"/>
          <w:szCs w:val="24"/>
        </w:rPr>
      </w:pPr>
    </w:p>
    <w:p w:rsidR="00580AE9" w:rsidRPr="00EA543A" w:rsidRDefault="00172760" w:rsidP="00BA62B0">
      <w:pPr>
        <w:spacing w:after="0" w:line="240" w:lineRule="auto"/>
        <w:rPr>
          <w:rFonts w:ascii="Times New Roman" w:hAnsi="Times New Roman" w:cs="Times New Roman"/>
          <w:b/>
          <w:sz w:val="24"/>
          <w:szCs w:val="24"/>
        </w:rPr>
      </w:pPr>
      <w:r w:rsidRPr="00EA543A">
        <w:rPr>
          <w:rFonts w:ascii="Times New Roman" w:hAnsi="Times New Roman" w:cs="Times New Roman"/>
          <w:b/>
          <w:sz w:val="24"/>
          <w:szCs w:val="24"/>
        </w:rPr>
        <w:t xml:space="preserve">K bodu 2 - § </w:t>
      </w:r>
      <w:r w:rsidR="00B2271E" w:rsidRPr="00EA543A">
        <w:rPr>
          <w:rFonts w:ascii="Times New Roman" w:hAnsi="Times New Roman" w:cs="Times New Roman"/>
          <w:b/>
          <w:sz w:val="24"/>
          <w:szCs w:val="24"/>
        </w:rPr>
        <w:t>2 písm. x)</w:t>
      </w:r>
    </w:p>
    <w:p w:rsidR="00580AE9" w:rsidRPr="00EA543A" w:rsidRDefault="00580AE9"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 xml:space="preserve">Ustanovenie písmena x) sa upravuje vzhľadom na potrebu zapracovania EÚ zoznamu štátov a jurisdikcií, ktoré nespolupracujú v daňovej oblasti (tzv. čierny zoznam EÚ). Nadväzne na zapracovanie tohto zoznamu sa mení názov nezmluvného štátu na nespolupracujúci štát. Zároveň sa v ustanovení upravuje, že Ministerstvo financií SR uverejní zoznam na webovom sídle, do ktorého zahrnie príslušné štáty a jurisdikcie, ktoré spĺňajú kritériá uvedené v ustanovení. </w:t>
      </w:r>
    </w:p>
    <w:p w:rsidR="00B2271E" w:rsidRPr="00EA543A" w:rsidRDefault="00B2271E" w:rsidP="00BA62B0">
      <w:pPr>
        <w:spacing w:after="0" w:line="240" w:lineRule="auto"/>
        <w:jc w:val="both"/>
        <w:rPr>
          <w:rFonts w:ascii="Times New Roman" w:hAnsi="Times New Roman" w:cs="Times New Roman"/>
          <w:sz w:val="24"/>
          <w:szCs w:val="24"/>
          <w:lang w:eastAsia="sk-SK"/>
        </w:rPr>
      </w:pPr>
    </w:p>
    <w:p w:rsidR="00405D59" w:rsidRPr="00EA543A" w:rsidRDefault="00405D59" w:rsidP="00BA62B0">
      <w:pPr>
        <w:tabs>
          <w:tab w:val="left" w:pos="142"/>
        </w:tabs>
        <w:spacing w:after="0" w:line="240" w:lineRule="auto"/>
        <w:jc w:val="both"/>
        <w:rPr>
          <w:rFonts w:ascii="Times New Roman" w:hAnsi="Times New Roman" w:cs="Times New Roman"/>
          <w:b/>
          <w:sz w:val="24"/>
          <w:szCs w:val="24"/>
        </w:rPr>
      </w:pPr>
      <w:r w:rsidRPr="00EA543A">
        <w:rPr>
          <w:rFonts w:ascii="Times New Roman" w:hAnsi="Times New Roman" w:cs="Times New Roman"/>
          <w:b/>
          <w:sz w:val="24"/>
          <w:szCs w:val="24"/>
        </w:rPr>
        <w:t xml:space="preserve">K bodu 3 -§ 2 písm. </w:t>
      </w:r>
      <w:proofErr w:type="spellStart"/>
      <w:r w:rsidRPr="00EA543A">
        <w:rPr>
          <w:rFonts w:ascii="Times New Roman" w:hAnsi="Times New Roman" w:cs="Times New Roman"/>
          <w:b/>
          <w:sz w:val="24"/>
          <w:szCs w:val="24"/>
        </w:rPr>
        <w:t>ac</w:t>
      </w:r>
      <w:proofErr w:type="spellEnd"/>
      <w:r w:rsidRPr="00EA543A">
        <w:rPr>
          <w:rFonts w:ascii="Times New Roman" w:hAnsi="Times New Roman" w:cs="Times New Roman"/>
          <w:b/>
          <w:sz w:val="24"/>
          <w:szCs w:val="24"/>
        </w:rPr>
        <w:t>) tretí bod</w:t>
      </w:r>
    </w:p>
    <w:p w:rsidR="00405D59" w:rsidRPr="00EA543A" w:rsidRDefault="00405D59" w:rsidP="00BA62B0">
      <w:pPr>
        <w:tabs>
          <w:tab w:val="left" w:pos="142"/>
        </w:tabs>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 xml:space="preserve">Do § 2 písmena </w:t>
      </w:r>
      <w:proofErr w:type="spellStart"/>
      <w:r w:rsidRPr="00EA543A">
        <w:rPr>
          <w:rFonts w:ascii="Times New Roman" w:hAnsi="Times New Roman" w:cs="Times New Roman"/>
          <w:sz w:val="24"/>
          <w:szCs w:val="24"/>
        </w:rPr>
        <w:t>ac</w:t>
      </w:r>
      <w:proofErr w:type="spellEnd"/>
      <w:r w:rsidRPr="00EA543A">
        <w:rPr>
          <w:rFonts w:ascii="Times New Roman" w:hAnsi="Times New Roman" w:cs="Times New Roman"/>
          <w:sz w:val="24"/>
          <w:szCs w:val="24"/>
        </w:rPr>
        <w:t>) sa dopĺňa, že za vklad sa považuje aj akcionárom splatený príplatok do rezervného fondu,  ktorý je povinná spoločnosť vytvoriť pri založení spoločnosti podľa § 217  Obchodného zákonníka, ako aj ďalšie príplatky splatené priamo daňovníkom do rezervného fondu, ktoré mu vyplývajú zo spoločenskej zmluvy alebo Obchodného zákonníka. Ak je emisný kurz akcie vyšší ako jej menovitá hodnota, suma prevyšujúca menovitú hodnotu akcie je emisné ážio. Rovnako po splatení daňovníkom sa emisné ážio považuje za vklad splatený daňovníkom. Obdobne to platí aj u spoločníka s.r.o., ktorý vkladá vklad do rezervného fondu podľa § 67 Obchodného zákonníka, resp. člena družstva, ktorý vkladá vklad do nedeliteľného fondu družstva podľa § 235 Obchodného zákonníka. Za vklad sa nepovažuje zvýšenie rezervného fondu resp. nedeliteľného fondu družstva z nerozdelených ziskov, ktoré nie sú daňovým výdavkom podľa § 21 ods. 2 písm. d) zákona o dani z príjmov.</w:t>
      </w:r>
    </w:p>
    <w:p w:rsidR="00405D59" w:rsidRPr="00EA543A" w:rsidRDefault="00405D59" w:rsidP="00BA62B0">
      <w:pPr>
        <w:spacing w:after="0" w:line="240" w:lineRule="auto"/>
        <w:ind w:left="66"/>
        <w:jc w:val="both"/>
        <w:rPr>
          <w:rFonts w:ascii="Times New Roman" w:eastAsia="Times New Roman" w:hAnsi="Times New Roman" w:cs="Times New Roman"/>
          <w:sz w:val="24"/>
          <w:szCs w:val="24"/>
          <w:lang w:eastAsia="sk-SK"/>
        </w:rPr>
      </w:pPr>
    </w:p>
    <w:p w:rsidR="007A6509" w:rsidRPr="00EA543A" w:rsidRDefault="007A6509" w:rsidP="00BA62B0">
      <w:pPr>
        <w:spacing w:after="0" w:line="240" w:lineRule="auto"/>
        <w:jc w:val="both"/>
        <w:rPr>
          <w:rFonts w:ascii="Times New Roman" w:hAnsi="Times New Roman" w:cs="Times New Roman"/>
          <w:b/>
          <w:bCs/>
          <w:sz w:val="24"/>
          <w:szCs w:val="24"/>
          <w:lang w:eastAsia="sk-SK"/>
        </w:rPr>
      </w:pPr>
      <w:r w:rsidRPr="00EA543A">
        <w:rPr>
          <w:rFonts w:ascii="Times New Roman" w:hAnsi="Times New Roman" w:cs="Times New Roman"/>
          <w:b/>
          <w:bCs/>
          <w:sz w:val="24"/>
          <w:szCs w:val="24"/>
          <w:lang w:eastAsia="sk-SK"/>
        </w:rPr>
        <w:t xml:space="preserve">K bodom </w:t>
      </w:r>
      <w:r w:rsidR="00E7599B" w:rsidRPr="00EA543A">
        <w:rPr>
          <w:rFonts w:ascii="Times New Roman" w:hAnsi="Times New Roman" w:cs="Times New Roman"/>
          <w:b/>
          <w:bCs/>
          <w:sz w:val="24"/>
          <w:szCs w:val="24"/>
          <w:lang w:eastAsia="sk-SK"/>
        </w:rPr>
        <w:t>4 a 3</w:t>
      </w:r>
      <w:r w:rsidR="005D6F7D" w:rsidRPr="00EA543A">
        <w:rPr>
          <w:rFonts w:ascii="Times New Roman" w:hAnsi="Times New Roman" w:cs="Times New Roman"/>
          <w:b/>
          <w:bCs/>
          <w:sz w:val="24"/>
          <w:szCs w:val="24"/>
          <w:lang w:eastAsia="sk-SK"/>
        </w:rPr>
        <w:t>1</w:t>
      </w:r>
      <w:r w:rsidRPr="00EA543A">
        <w:rPr>
          <w:rFonts w:ascii="Times New Roman" w:hAnsi="Times New Roman" w:cs="Times New Roman"/>
          <w:b/>
          <w:bCs/>
          <w:sz w:val="24"/>
          <w:szCs w:val="24"/>
          <w:lang w:eastAsia="sk-SK"/>
        </w:rPr>
        <w:t xml:space="preserve"> - § 3 ods. 1 písm. e) a § 16 ods. 1 písm. e) 9. bod</w:t>
      </w:r>
    </w:p>
    <w:p w:rsidR="007A6509" w:rsidRPr="00EA543A" w:rsidRDefault="007A6509" w:rsidP="00BA62B0">
      <w:pPr>
        <w:spacing w:after="0" w:line="240" w:lineRule="auto"/>
        <w:jc w:val="both"/>
        <w:rPr>
          <w:rFonts w:ascii="Times New Roman" w:hAnsi="Times New Roman" w:cs="Times New Roman"/>
          <w:sz w:val="24"/>
          <w:szCs w:val="24"/>
          <w:lang w:eastAsia="sk-SK"/>
        </w:rPr>
      </w:pPr>
      <w:r w:rsidRPr="00EA543A">
        <w:rPr>
          <w:rFonts w:ascii="Times New Roman" w:hAnsi="Times New Roman" w:cs="Times New Roman"/>
          <w:sz w:val="24"/>
          <w:szCs w:val="24"/>
          <w:lang w:eastAsia="sk-SK"/>
        </w:rPr>
        <w:t xml:space="preserve">Ustanovenie § 3 ods. 1 písm. e) vymedzuje, čo sa považuje za podiel na zisku (dividendu). Podľa § 217a Obchodného zákonníka môže spoločnosť vytvoriť kapitálový fond z príspevkov akcionárov resp. spoločníkov, pričom príspevky sa za kapitálový fond považujú okamihom splatenia. Ak sa spoločnosť rozhodne použiť nerozdelený zisk po zdanení na tvorbu kapitálového fondu z príspevkov, aby bola splnená podmienka splatenia akcionárom resp. spoločníkom, považuje sa takéto použitie nerozdeleného zisku po zdanení za vyplatený podiel na zisku (dividendu). Až potom je možné tieto prostriedky považovať za príspevok splatený akcionárom resp. spoločníkom podľa § 217a Obchodného zákonníka. Zároveň sa dopĺňa, že za podiel na zisku (dividendu) sa považuje aj rozdelenie prostriedkov z rezervného fondu medzi spoločníkov (akcionárov), v časti, v akej bol tvorený z nerozdeleného zisku po zdanení. V nadväznosti na tieto zmeny v § 3 ods. 1 písm. e) sa spresňuje aj rozsah podielov na zisku </w:t>
      </w:r>
      <w:r w:rsidRPr="00EA543A">
        <w:rPr>
          <w:rFonts w:ascii="Times New Roman" w:hAnsi="Times New Roman" w:cs="Times New Roman"/>
          <w:sz w:val="24"/>
          <w:szCs w:val="24"/>
          <w:lang w:eastAsia="sk-SK"/>
        </w:rPr>
        <w:lastRenderedPageBreak/>
        <w:t>(dividend) považovaných za príjem zo zdroja na území Slovenskej republiky nerezidenta v § 16 ods. 1 písm. e) 9. bode.</w:t>
      </w:r>
    </w:p>
    <w:p w:rsidR="00B96F7D" w:rsidRPr="00EA543A" w:rsidRDefault="00B96F7D" w:rsidP="00BA62B0">
      <w:pPr>
        <w:spacing w:after="0" w:line="240" w:lineRule="auto"/>
        <w:jc w:val="both"/>
        <w:rPr>
          <w:rFonts w:ascii="Times New Roman" w:hAnsi="Times New Roman" w:cs="Times New Roman"/>
          <w:sz w:val="24"/>
          <w:szCs w:val="24"/>
        </w:rPr>
      </w:pPr>
    </w:p>
    <w:p w:rsidR="002B5634" w:rsidRPr="00EA543A" w:rsidRDefault="002B5634" w:rsidP="00BA62B0">
      <w:pPr>
        <w:spacing w:after="0" w:line="240" w:lineRule="auto"/>
        <w:jc w:val="both"/>
        <w:rPr>
          <w:rFonts w:ascii="Times New Roman" w:hAnsi="Times New Roman" w:cs="Times New Roman"/>
          <w:b/>
          <w:bCs/>
          <w:sz w:val="24"/>
          <w:szCs w:val="24"/>
        </w:rPr>
      </w:pPr>
      <w:r w:rsidRPr="00EA543A">
        <w:rPr>
          <w:rFonts w:ascii="Times New Roman" w:hAnsi="Times New Roman" w:cs="Times New Roman"/>
          <w:b/>
          <w:bCs/>
          <w:sz w:val="24"/>
          <w:szCs w:val="24"/>
        </w:rPr>
        <w:t xml:space="preserve">K bodom </w:t>
      </w:r>
      <w:r w:rsidR="007D1101" w:rsidRPr="00EA543A">
        <w:rPr>
          <w:rFonts w:ascii="Times New Roman" w:hAnsi="Times New Roman" w:cs="Times New Roman"/>
          <w:b/>
          <w:bCs/>
          <w:sz w:val="24"/>
          <w:szCs w:val="24"/>
        </w:rPr>
        <w:t>5</w:t>
      </w:r>
      <w:r w:rsidRPr="00EA543A">
        <w:rPr>
          <w:rFonts w:ascii="Times New Roman" w:hAnsi="Times New Roman" w:cs="Times New Roman"/>
          <w:b/>
          <w:bCs/>
          <w:sz w:val="24"/>
          <w:szCs w:val="24"/>
        </w:rPr>
        <w:t xml:space="preserve">, </w:t>
      </w:r>
      <w:r w:rsidR="00E7599B" w:rsidRPr="00EA543A">
        <w:rPr>
          <w:rFonts w:ascii="Times New Roman" w:hAnsi="Times New Roman" w:cs="Times New Roman"/>
          <w:b/>
          <w:bCs/>
          <w:sz w:val="24"/>
          <w:szCs w:val="24"/>
        </w:rPr>
        <w:t>8</w:t>
      </w:r>
      <w:r w:rsidR="005D6F7D" w:rsidRPr="00EA543A">
        <w:rPr>
          <w:rFonts w:ascii="Times New Roman" w:hAnsi="Times New Roman" w:cs="Times New Roman"/>
          <w:b/>
          <w:bCs/>
          <w:sz w:val="24"/>
          <w:szCs w:val="24"/>
        </w:rPr>
        <w:t>8</w:t>
      </w:r>
      <w:r w:rsidRPr="00EA543A">
        <w:rPr>
          <w:rFonts w:ascii="Times New Roman" w:hAnsi="Times New Roman" w:cs="Times New Roman"/>
          <w:b/>
          <w:bCs/>
          <w:sz w:val="24"/>
          <w:szCs w:val="24"/>
        </w:rPr>
        <w:t xml:space="preserve"> a </w:t>
      </w:r>
      <w:r w:rsidR="003C265B" w:rsidRPr="00EA543A">
        <w:rPr>
          <w:rFonts w:ascii="Times New Roman" w:hAnsi="Times New Roman" w:cs="Times New Roman"/>
          <w:b/>
          <w:bCs/>
          <w:sz w:val="24"/>
          <w:szCs w:val="24"/>
        </w:rPr>
        <w:t>1</w:t>
      </w:r>
      <w:r w:rsidR="00B96F7D" w:rsidRPr="00EA543A">
        <w:rPr>
          <w:rFonts w:ascii="Times New Roman" w:hAnsi="Times New Roman" w:cs="Times New Roman"/>
          <w:b/>
          <w:bCs/>
          <w:sz w:val="24"/>
          <w:szCs w:val="24"/>
        </w:rPr>
        <w:t>3</w:t>
      </w:r>
      <w:r w:rsidR="00C71E1F" w:rsidRPr="00EA543A">
        <w:rPr>
          <w:rFonts w:ascii="Times New Roman" w:hAnsi="Times New Roman" w:cs="Times New Roman"/>
          <w:b/>
          <w:bCs/>
          <w:sz w:val="24"/>
          <w:szCs w:val="24"/>
        </w:rPr>
        <w:t>9</w:t>
      </w:r>
      <w:r w:rsidRPr="00EA543A">
        <w:rPr>
          <w:rFonts w:ascii="Times New Roman" w:hAnsi="Times New Roman" w:cs="Times New Roman"/>
          <w:b/>
          <w:bCs/>
          <w:sz w:val="24"/>
          <w:szCs w:val="24"/>
        </w:rPr>
        <w:t xml:space="preserve"> - § 5 ods. 3 písm. d), § 35 ods. 3 písm. a) a Príloha č. 6</w:t>
      </w:r>
    </w:p>
    <w:p w:rsidR="00FE49C0" w:rsidRPr="00EA543A" w:rsidRDefault="00FE49C0"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 xml:space="preserve">Na základe poznatkov z aplikačnej praxe sa navrhuje vypustenie Prílohy č. 6. Postup navyšovania nepeňažného plnenia sa ponecháva na zamestnávateľovi. Z dôvodu nadbytočnosti sa zo zákona </w:t>
      </w:r>
      <w:r w:rsidR="00BC1A64" w:rsidRPr="00EA543A">
        <w:rPr>
          <w:rFonts w:ascii="Times New Roman" w:hAnsi="Times New Roman" w:cs="Times New Roman"/>
          <w:sz w:val="24"/>
          <w:szCs w:val="24"/>
        </w:rPr>
        <w:t xml:space="preserve">vypúšťa </w:t>
      </w:r>
      <w:r w:rsidRPr="00EA543A">
        <w:rPr>
          <w:rFonts w:ascii="Times New Roman" w:hAnsi="Times New Roman" w:cs="Times New Roman"/>
          <w:sz w:val="24"/>
          <w:szCs w:val="24"/>
        </w:rPr>
        <w:t xml:space="preserve">nemožnosť </w:t>
      </w:r>
      <w:proofErr w:type="spellStart"/>
      <w:r w:rsidRPr="00EA543A">
        <w:rPr>
          <w:rFonts w:ascii="Times New Roman" w:hAnsi="Times New Roman" w:cs="Times New Roman"/>
          <w:sz w:val="24"/>
          <w:szCs w:val="24"/>
        </w:rPr>
        <w:t>brutácie</w:t>
      </w:r>
      <w:proofErr w:type="spellEnd"/>
      <w:r w:rsidRPr="00EA543A">
        <w:rPr>
          <w:rFonts w:ascii="Times New Roman" w:hAnsi="Times New Roman" w:cs="Times New Roman"/>
          <w:sz w:val="24"/>
          <w:szCs w:val="24"/>
        </w:rPr>
        <w:t xml:space="preserve"> zdaniteľných príjmov podľa § 5 ods. 1 písm. j)</w:t>
      </w:r>
      <w:r w:rsidR="00BC1A64" w:rsidRPr="00EA543A">
        <w:rPr>
          <w:rFonts w:ascii="Times New Roman" w:hAnsi="Times New Roman" w:cs="Times New Roman"/>
          <w:sz w:val="24"/>
          <w:szCs w:val="24"/>
        </w:rPr>
        <w:t xml:space="preserve"> a to z dôvodu, že ide o príjmy napr. členov volebných komisií, ktoré sú oslobodené od dane a aj od odvodov</w:t>
      </w:r>
      <w:r w:rsidRPr="00EA543A">
        <w:rPr>
          <w:rFonts w:ascii="Times New Roman" w:hAnsi="Times New Roman" w:cs="Times New Roman"/>
          <w:sz w:val="24"/>
          <w:szCs w:val="24"/>
        </w:rPr>
        <w:t xml:space="preserve"> a</w:t>
      </w:r>
      <w:r w:rsidR="00BC1A64" w:rsidRPr="00EA543A">
        <w:rPr>
          <w:rFonts w:ascii="Times New Roman" w:hAnsi="Times New Roman" w:cs="Times New Roman"/>
          <w:sz w:val="24"/>
          <w:szCs w:val="24"/>
        </w:rPr>
        <w:t xml:space="preserve"> vypúšťajú sa aj príjmy podľa § 5 ods. 1 písm. </w:t>
      </w:r>
      <w:r w:rsidRPr="00EA543A">
        <w:rPr>
          <w:rFonts w:ascii="Times New Roman" w:hAnsi="Times New Roman" w:cs="Times New Roman"/>
          <w:sz w:val="24"/>
          <w:szCs w:val="24"/>
        </w:rPr>
        <w:t>k)</w:t>
      </w:r>
      <w:r w:rsidR="00BC1A64" w:rsidRPr="00EA543A">
        <w:rPr>
          <w:rFonts w:ascii="Times New Roman" w:hAnsi="Times New Roman" w:cs="Times New Roman"/>
          <w:sz w:val="24"/>
          <w:szCs w:val="24"/>
        </w:rPr>
        <w:t>, ktorými sú príjmy dôchodcov od bývalého zamestnávateľa</w:t>
      </w:r>
      <w:r w:rsidRPr="00EA543A">
        <w:rPr>
          <w:rFonts w:ascii="Times New Roman" w:hAnsi="Times New Roman" w:cs="Times New Roman"/>
          <w:sz w:val="24"/>
          <w:szCs w:val="24"/>
        </w:rPr>
        <w:t>.</w:t>
      </w:r>
    </w:p>
    <w:p w:rsidR="00FE49C0" w:rsidRPr="00EA543A" w:rsidRDefault="00FE49C0" w:rsidP="00BA62B0">
      <w:pPr>
        <w:pStyle w:val="Odsekzoznamu"/>
        <w:spacing w:after="0" w:line="240" w:lineRule="auto"/>
        <w:ind w:left="0"/>
        <w:jc w:val="both"/>
        <w:rPr>
          <w:rFonts w:ascii="Times New Roman" w:hAnsi="Times New Roman" w:cs="Times New Roman"/>
          <w:sz w:val="24"/>
          <w:szCs w:val="24"/>
        </w:rPr>
      </w:pPr>
    </w:p>
    <w:p w:rsidR="00FE49C0" w:rsidRPr="00EA543A" w:rsidRDefault="00FE49C0" w:rsidP="00BA62B0">
      <w:pPr>
        <w:spacing w:after="0" w:line="240" w:lineRule="auto"/>
        <w:jc w:val="both"/>
        <w:rPr>
          <w:rFonts w:ascii="Times New Roman" w:hAnsi="Times New Roman" w:cs="Times New Roman"/>
          <w:b/>
          <w:sz w:val="24"/>
          <w:szCs w:val="24"/>
        </w:rPr>
      </w:pPr>
      <w:r w:rsidRPr="00EA543A">
        <w:rPr>
          <w:rFonts w:ascii="Times New Roman" w:hAnsi="Times New Roman" w:cs="Times New Roman"/>
          <w:b/>
          <w:sz w:val="24"/>
          <w:szCs w:val="24"/>
        </w:rPr>
        <w:t xml:space="preserve">K bodu </w:t>
      </w:r>
      <w:r w:rsidR="007D1101" w:rsidRPr="00EA543A">
        <w:rPr>
          <w:rFonts w:ascii="Times New Roman" w:hAnsi="Times New Roman" w:cs="Times New Roman"/>
          <w:b/>
          <w:sz w:val="24"/>
          <w:szCs w:val="24"/>
        </w:rPr>
        <w:t>6</w:t>
      </w:r>
      <w:r w:rsidR="00E774EC" w:rsidRPr="00EA543A">
        <w:rPr>
          <w:rFonts w:ascii="Times New Roman" w:hAnsi="Times New Roman" w:cs="Times New Roman"/>
          <w:b/>
          <w:sz w:val="24"/>
          <w:szCs w:val="24"/>
        </w:rPr>
        <w:t xml:space="preserve"> a 4</w:t>
      </w:r>
      <w:r w:rsidR="005D6F7D" w:rsidRPr="00EA543A">
        <w:rPr>
          <w:rFonts w:ascii="Times New Roman" w:hAnsi="Times New Roman" w:cs="Times New Roman"/>
          <w:b/>
          <w:sz w:val="24"/>
          <w:szCs w:val="24"/>
        </w:rPr>
        <w:t>8</w:t>
      </w:r>
      <w:r w:rsidRPr="00EA543A">
        <w:rPr>
          <w:rFonts w:ascii="Times New Roman" w:hAnsi="Times New Roman" w:cs="Times New Roman"/>
          <w:b/>
          <w:sz w:val="24"/>
          <w:szCs w:val="24"/>
        </w:rPr>
        <w:t xml:space="preserve"> - § 5 ods. 7 písm. a)</w:t>
      </w:r>
      <w:r w:rsidR="00E774EC" w:rsidRPr="00EA543A">
        <w:rPr>
          <w:rFonts w:ascii="Times New Roman" w:hAnsi="Times New Roman" w:cs="Times New Roman"/>
          <w:b/>
          <w:sz w:val="24"/>
          <w:szCs w:val="24"/>
        </w:rPr>
        <w:t xml:space="preserve"> a § 19 ods. 2 písm. c) tretí bod</w:t>
      </w:r>
    </w:p>
    <w:p w:rsidR="00B96916" w:rsidRPr="00EA543A" w:rsidRDefault="00B96916"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 xml:space="preserve">Z dôvodu zvýšenia potreby dosiahnutia vyššej a lepšej kvalifikácie zamestnancov potrebnej pre činnosť zamestnávateľa sa navrhuje spresnenie a rozšírenie oslobodenia „benefitov“ poskytnutých zamestnávateľom a to formou ním zabezpečeného vzdelávania, ktoré je zadefinované napríklad v ustanoveniach Zákonníka práce, zákona o štátnej službe profesionálnych vojakov, a aj v zákone o štátnej službe, pričom ide tak o prehlbovanie kvalifikácie, rekvalifikáciu ako aj zvyšovania kvalifikácie. </w:t>
      </w:r>
    </w:p>
    <w:p w:rsidR="00B96916" w:rsidRPr="00EA543A" w:rsidRDefault="00B96916"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 xml:space="preserve">Od dane z príjmov je však oslobodený výlučne nepeňažný príjem zamestnanca od zamestnávateľa vo forme zabezpečenia a poskytovania vzdelávania vtedy, ak sú tieto vzdelávacie aktivity predpokladom pre vykonávanie podnikateľskej činnosti zamestnávateľa. </w:t>
      </w:r>
      <w:r w:rsidR="00C872DF" w:rsidRPr="00EA543A">
        <w:rPr>
          <w:rFonts w:ascii="Times New Roman" w:hAnsi="Times New Roman" w:cs="Times New Roman"/>
          <w:sz w:val="24"/>
          <w:szCs w:val="24"/>
        </w:rPr>
        <w:t xml:space="preserve">Ak ide o aktivity v rámci celoživotného vzdelávania hradené zamestnávateľom, ktoré nesúvisia s podnikateľskou činnosťou zamestnávateľa, nebude sa jednať o príjem oslobodený od dane zo závislej činnosti na strane zamestnanca a na strane zamestnávateľa nepôjde o daňovo uznaný výdavok. </w:t>
      </w:r>
      <w:r w:rsidRPr="00EA543A">
        <w:rPr>
          <w:rFonts w:ascii="Times New Roman" w:hAnsi="Times New Roman" w:cs="Times New Roman"/>
          <w:sz w:val="24"/>
          <w:szCs w:val="24"/>
        </w:rPr>
        <w:t>V nadväznosti na ustanovenia ZP a iné osobitné predpisy bude oslobodené od dane z príjmov vzdelávanie zabezpečované zamestnávateľom, ktorým sa rozumie aj zvyšovanie kvalifikácie zamestnanca formou absolvovania (dodatočného) komplexného študijného programu na niektorej zo stredných príp. vysokých škôl, pričom u zamestnanca dochádza k zvýšeniu dosiahnutého stupňa vzdelania (napr.  získanie maturity, absolvovanie vysokoškolského štúdia a pod.). Ide o tie prípady vzdelávania zamestnancov, ktorých potrebu a nevyhnutnosť vie zamestnávateľ odôvodniť. Z toho dôvodu a aj na podporu prezieravosti a strategického zmýšľania zamestnávateľa sa ustanovuje, že pokiaľ ide o zvyšovanie stupňa vzdelania na vysokoškolské vzdelanie 1. alebo 2. stupňa, musí byť splnená podmienka trvania pracovnoprávneho  alebo štátnozamestnaneckého vzťahu zamestnanca u zamestnávateľa k začiatku príslušného akademického roka nepretržite aspoň 24 mesiacov. Napr. študent práv s ukončeným prvým stupňom právnickej fakulty je zamestnaný v komerčnej kancelárii, pričom zamestnávateľ, aby ho mohol vyslať aj na samostatné zastupovanie v právnych konaniach musí mať dokončený druhý stupeň vysokoškolského štúdia. Potrebu zvýšenia kvalifikácie tohto svojho zamestnanca by zamestnávateľ preukázal aj zvýšeným počtom klientov, ktoré je potrebné zastupovať v právnych konaniach, pričom nemá potrebu zamestnať iného zamestnanca s ukončeným vysokoškolským vzdelaním, ale má záujem podporiť a vyučiť si už svojho zamestnanca. V tejto súvislosti sa upravuje aj ustanovenie § 19 ods. 2 písm. c) tretí bod zákona.</w:t>
      </w:r>
    </w:p>
    <w:p w:rsidR="00743AFA" w:rsidRPr="00EA543A" w:rsidRDefault="00743AFA" w:rsidP="00BA62B0">
      <w:pPr>
        <w:spacing w:after="0" w:line="240" w:lineRule="auto"/>
        <w:jc w:val="both"/>
        <w:rPr>
          <w:rFonts w:ascii="Times New Roman" w:hAnsi="Times New Roman" w:cs="Times New Roman"/>
          <w:sz w:val="24"/>
          <w:szCs w:val="24"/>
        </w:rPr>
      </w:pPr>
    </w:p>
    <w:p w:rsidR="00743AFA" w:rsidRPr="00EA543A" w:rsidRDefault="00743AFA" w:rsidP="00BA62B0">
      <w:pPr>
        <w:spacing w:after="0" w:line="240" w:lineRule="auto"/>
        <w:jc w:val="both"/>
        <w:rPr>
          <w:rFonts w:ascii="Times New Roman" w:hAnsi="Times New Roman" w:cs="Times New Roman"/>
          <w:b/>
          <w:sz w:val="24"/>
          <w:szCs w:val="24"/>
        </w:rPr>
      </w:pPr>
      <w:r w:rsidRPr="00EA543A">
        <w:rPr>
          <w:rFonts w:ascii="Times New Roman" w:hAnsi="Times New Roman" w:cs="Times New Roman"/>
          <w:b/>
          <w:sz w:val="24"/>
          <w:szCs w:val="24"/>
        </w:rPr>
        <w:t xml:space="preserve">K bodu </w:t>
      </w:r>
      <w:r w:rsidR="007D1101" w:rsidRPr="00EA543A">
        <w:rPr>
          <w:rFonts w:ascii="Times New Roman" w:hAnsi="Times New Roman" w:cs="Times New Roman"/>
          <w:b/>
          <w:sz w:val="24"/>
          <w:szCs w:val="24"/>
        </w:rPr>
        <w:t>7</w:t>
      </w:r>
      <w:r w:rsidRPr="00EA543A">
        <w:rPr>
          <w:rFonts w:ascii="Times New Roman" w:hAnsi="Times New Roman" w:cs="Times New Roman"/>
          <w:b/>
          <w:sz w:val="24"/>
          <w:szCs w:val="24"/>
        </w:rPr>
        <w:t xml:space="preserve"> - § 5 ods. 7 písm. e)</w:t>
      </w:r>
    </w:p>
    <w:p w:rsidR="00743AFA" w:rsidRPr="00EA543A" w:rsidRDefault="00743AFA"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 xml:space="preserve">Ide </w:t>
      </w:r>
      <w:r w:rsidR="00C96F8F" w:rsidRPr="00EA543A">
        <w:rPr>
          <w:rFonts w:ascii="Times New Roman" w:hAnsi="Times New Roman" w:cs="Times New Roman"/>
          <w:sz w:val="24"/>
          <w:szCs w:val="24"/>
        </w:rPr>
        <w:t>o legislatívno-technickú úpravu.</w:t>
      </w:r>
    </w:p>
    <w:p w:rsidR="00C96F8F" w:rsidRPr="00EA543A" w:rsidRDefault="00C96F8F" w:rsidP="00BA62B0">
      <w:pPr>
        <w:spacing w:after="0" w:line="240" w:lineRule="auto"/>
        <w:jc w:val="both"/>
        <w:rPr>
          <w:rFonts w:ascii="Times New Roman" w:hAnsi="Times New Roman" w:cs="Times New Roman"/>
          <w:sz w:val="24"/>
          <w:szCs w:val="24"/>
        </w:rPr>
      </w:pPr>
    </w:p>
    <w:p w:rsidR="00FE49C0" w:rsidRPr="00EA543A" w:rsidRDefault="00FE49C0" w:rsidP="00BA62B0">
      <w:pPr>
        <w:spacing w:after="0" w:line="240" w:lineRule="auto"/>
        <w:jc w:val="both"/>
        <w:rPr>
          <w:rFonts w:ascii="Times New Roman" w:hAnsi="Times New Roman" w:cs="Times New Roman"/>
          <w:b/>
          <w:sz w:val="24"/>
          <w:szCs w:val="24"/>
        </w:rPr>
      </w:pPr>
      <w:r w:rsidRPr="00EA543A">
        <w:rPr>
          <w:rFonts w:ascii="Times New Roman" w:hAnsi="Times New Roman" w:cs="Times New Roman"/>
          <w:b/>
          <w:sz w:val="24"/>
          <w:szCs w:val="24"/>
        </w:rPr>
        <w:t xml:space="preserve">K bodu </w:t>
      </w:r>
      <w:r w:rsidR="007D1101" w:rsidRPr="00EA543A">
        <w:rPr>
          <w:rFonts w:ascii="Times New Roman" w:hAnsi="Times New Roman" w:cs="Times New Roman"/>
          <w:b/>
          <w:sz w:val="24"/>
          <w:szCs w:val="24"/>
        </w:rPr>
        <w:t>8</w:t>
      </w:r>
      <w:r w:rsidRPr="00EA543A">
        <w:rPr>
          <w:rFonts w:ascii="Times New Roman" w:hAnsi="Times New Roman" w:cs="Times New Roman"/>
          <w:b/>
          <w:sz w:val="24"/>
          <w:szCs w:val="24"/>
        </w:rPr>
        <w:t xml:space="preserve"> - § 5 ods. 7 písm. h)</w:t>
      </w:r>
    </w:p>
    <w:p w:rsidR="00B96916" w:rsidRPr="00EA543A" w:rsidRDefault="00B96916"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 xml:space="preserve">Vzhľadom na </w:t>
      </w:r>
      <w:proofErr w:type="spellStart"/>
      <w:r w:rsidRPr="00EA543A">
        <w:rPr>
          <w:rFonts w:ascii="Times New Roman" w:hAnsi="Times New Roman" w:cs="Times New Roman"/>
          <w:sz w:val="24"/>
          <w:szCs w:val="24"/>
        </w:rPr>
        <w:t>obsolentnosť</w:t>
      </w:r>
      <w:proofErr w:type="spellEnd"/>
      <w:r w:rsidRPr="00EA543A">
        <w:rPr>
          <w:rFonts w:ascii="Times New Roman" w:hAnsi="Times New Roman" w:cs="Times New Roman"/>
          <w:sz w:val="24"/>
          <w:szCs w:val="24"/>
        </w:rPr>
        <w:t xml:space="preserve"> právnej úpravy pôvodne uvádzanej v § 5 ods. 7 písm. h) zákona, navrhujeme znenie nahradiť novým oslobodeným druhom príjmu, ktorým sú príspevky zo </w:t>
      </w:r>
      <w:r w:rsidRPr="00EA543A">
        <w:rPr>
          <w:rFonts w:ascii="Times New Roman" w:hAnsi="Times New Roman" w:cs="Times New Roman"/>
          <w:sz w:val="24"/>
          <w:szCs w:val="24"/>
        </w:rPr>
        <w:lastRenderedPageBreak/>
        <w:t>sociálneho fondu na lekársku preventívnu prehliadku, poskytovanú nad rámec zákona č. 355/2007 Z. z. o ochrane, podpore a rozvoji verejného zdravia a o zmene a doplnení niektorých zákonov. Ide o pozitívne vnímané opatrenie, ktorým zamestnávateľ podporí účasť zamestnancov na lekárskych preventívnych prehliadkach a efektívnym a účinným spôsobom bude u zamestnancov podporovať ochranu ich zdravia a prevenciu pred rôznymi civilizačnými ochoreniami (môže ísť napr. o preventívne vyšetrenie zamestnancov určitého veku alebo zamestnania na srdcovo-cievne alebo iné ochorenia ohrozujúce túto skupinu zamestnancov, onkologické prehliadky, mamografické a sonografické vyšetrenia napr. u žien, vyšetrenie zraku zamestnancov pracujúcich s počítačmi a pod.) Zo sociálneho fondu nie je možné uhrádzať prípadné náklady na preventívne lekárske prehliadky skupín zamestnancov, ktoré je zamestnávateľ povinný vykonávať podľa osobitných predpisov na zaistenie bezpečnosti a ochrany zdravia pri práci.</w:t>
      </w:r>
    </w:p>
    <w:p w:rsidR="00717394" w:rsidRPr="00EA543A" w:rsidRDefault="00717394" w:rsidP="00BA62B0">
      <w:pPr>
        <w:spacing w:after="0" w:line="240" w:lineRule="auto"/>
        <w:jc w:val="both"/>
        <w:rPr>
          <w:rFonts w:ascii="Times New Roman" w:hAnsi="Times New Roman" w:cs="Times New Roman"/>
          <w:sz w:val="24"/>
          <w:szCs w:val="24"/>
        </w:rPr>
      </w:pPr>
    </w:p>
    <w:p w:rsidR="00BB7DCA" w:rsidRPr="00EA543A" w:rsidRDefault="00BB7DCA" w:rsidP="00BA62B0">
      <w:pPr>
        <w:spacing w:after="0" w:line="240" w:lineRule="auto"/>
        <w:jc w:val="both"/>
        <w:rPr>
          <w:rFonts w:ascii="Times New Roman" w:hAnsi="Times New Roman" w:cs="Times New Roman"/>
          <w:b/>
          <w:bCs/>
          <w:sz w:val="24"/>
          <w:szCs w:val="24"/>
        </w:rPr>
      </w:pPr>
      <w:r w:rsidRPr="00EA543A">
        <w:rPr>
          <w:rFonts w:ascii="Times New Roman" w:hAnsi="Times New Roman" w:cs="Times New Roman"/>
          <w:b/>
          <w:bCs/>
          <w:sz w:val="24"/>
          <w:szCs w:val="24"/>
        </w:rPr>
        <w:t xml:space="preserve">K bodom </w:t>
      </w:r>
      <w:r w:rsidR="007D1101" w:rsidRPr="00EA543A">
        <w:rPr>
          <w:rFonts w:ascii="Times New Roman" w:hAnsi="Times New Roman" w:cs="Times New Roman"/>
          <w:b/>
          <w:bCs/>
          <w:sz w:val="24"/>
          <w:szCs w:val="24"/>
        </w:rPr>
        <w:t>9</w:t>
      </w:r>
      <w:r w:rsidRPr="00EA543A">
        <w:rPr>
          <w:rFonts w:ascii="Times New Roman" w:hAnsi="Times New Roman" w:cs="Times New Roman"/>
          <w:b/>
          <w:bCs/>
          <w:sz w:val="24"/>
          <w:szCs w:val="24"/>
        </w:rPr>
        <w:t xml:space="preserve"> a </w:t>
      </w:r>
      <w:r w:rsidR="00E7599B" w:rsidRPr="00EA543A">
        <w:rPr>
          <w:rFonts w:ascii="Times New Roman" w:hAnsi="Times New Roman" w:cs="Times New Roman"/>
          <w:b/>
          <w:bCs/>
          <w:sz w:val="24"/>
          <w:szCs w:val="24"/>
        </w:rPr>
        <w:t>13</w:t>
      </w:r>
      <w:r w:rsidR="007F2B8C" w:rsidRPr="00EA543A">
        <w:rPr>
          <w:rFonts w:ascii="Times New Roman" w:hAnsi="Times New Roman" w:cs="Times New Roman"/>
          <w:b/>
          <w:bCs/>
          <w:sz w:val="24"/>
          <w:szCs w:val="24"/>
        </w:rPr>
        <w:t>6</w:t>
      </w:r>
      <w:r w:rsidR="00E7599B" w:rsidRPr="00EA543A">
        <w:rPr>
          <w:rFonts w:ascii="Times New Roman" w:hAnsi="Times New Roman" w:cs="Times New Roman"/>
          <w:b/>
          <w:bCs/>
          <w:sz w:val="24"/>
          <w:szCs w:val="24"/>
        </w:rPr>
        <w:t xml:space="preserve"> - § 5 ods. 7 písm. m)</w:t>
      </w:r>
      <w:r w:rsidRPr="00EA543A">
        <w:rPr>
          <w:rFonts w:ascii="Times New Roman" w:hAnsi="Times New Roman" w:cs="Times New Roman"/>
          <w:b/>
          <w:bCs/>
          <w:sz w:val="24"/>
          <w:szCs w:val="24"/>
        </w:rPr>
        <w:t xml:space="preserve"> a § 52zz</w:t>
      </w:r>
      <w:r w:rsidR="00E7599B" w:rsidRPr="00EA543A">
        <w:rPr>
          <w:rFonts w:ascii="Times New Roman" w:hAnsi="Times New Roman" w:cs="Times New Roman"/>
          <w:b/>
          <w:bCs/>
          <w:sz w:val="24"/>
          <w:szCs w:val="24"/>
        </w:rPr>
        <w:t>a</w:t>
      </w:r>
      <w:r w:rsidRPr="00EA543A">
        <w:rPr>
          <w:rFonts w:ascii="Times New Roman" w:hAnsi="Times New Roman" w:cs="Times New Roman"/>
          <w:b/>
          <w:bCs/>
          <w:sz w:val="24"/>
          <w:szCs w:val="24"/>
        </w:rPr>
        <w:t xml:space="preserve"> ods. </w:t>
      </w:r>
      <w:r w:rsidR="003C265B" w:rsidRPr="00EA543A">
        <w:rPr>
          <w:rFonts w:ascii="Times New Roman" w:hAnsi="Times New Roman" w:cs="Times New Roman"/>
          <w:b/>
          <w:bCs/>
          <w:sz w:val="24"/>
          <w:szCs w:val="24"/>
        </w:rPr>
        <w:t>2</w:t>
      </w:r>
    </w:p>
    <w:p w:rsidR="00FE49C0" w:rsidRPr="00EA543A" w:rsidRDefault="00B96916" w:rsidP="00BA62B0">
      <w:pPr>
        <w:spacing w:after="0" w:line="240" w:lineRule="auto"/>
        <w:jc w:val="both"/>
        <w:rPr>
          <w:rFonts w:ascii="Times New Roman" w:hAnsi="Times New Roman" w:cs="Times New Roman"/>
          <w:strike/>
          <w:sz w:val="24"/>
          <w:szCs w:val="24"/>
        </w:rPr>
      </w:pPr>
      <w:r w:rsidRPr="00EA543A">
        <w:rPr>
          <w:rFonts w:ascii="Times New Roman" w:hAnsi="Times New Roman" w:cs="Times New Roman"/>
          <w:sz w:val="24"/>
          <w:szCs w:val="24"/>
        </w:rPr>
        <w:t>Navrhovanou zmenou sa mení prepočet nepeňažného plnenia poskytnutého zamestnancovi od zamestnávateľa z titulu zabezpečenia dopravy na miesto výkonu práce a späť.</w:t>
      </w:r>
      <w:r w:rsidR="00FE49C0" w:rsidRPr="00EA543A">
        <w:rPr>
          <w:rFonts w:ascii="Times New Roman" w:hAnsi="Times New Roman" w:cs="Times New Roman"/>
          <w:sz w:val="24"/>
          <w:szCs w:val="24"/>
        </w:rPr>
        <w:t xml:space="preserve"> Z návrhu vyplýva, že od dane môže byť oslobodené plnenie v úhrnnej sume najviac 60 eur mesačne, pričom ak toto plnenie zamestnanca presiahne túto sumu, do </w:t>
      </w:r>
      <w:r w:rsidR="00717394" w:rsidRPr="00EA543A">
        <w:rPr>
          <w:rFonts w:ascii="Times New Roman" w:hAnsi="Times New Roman" w:cs="Times New Roman"/>
          <w:sz w:val="24"/>
          <w:szCs w:val="24"/>
        </w:rPr>
        <w:t>základu dane (čiastkového základu dane)</w:t>
      </w:r>
      <w:r w:rsidR="00FE49C0" w:rsidRPr="00EA543A">
        <w:rPr>
          <w:rFonts w:ascii="Times New Roman" w:hAnsi="Times New Roman" w:cs="Times New Roman"/>
          <w:sz w:val="24"/>
          <w:szCs w:val="24"/>
        </w:rPr>
        <w:t xml:space="preserve"> sa zahrnie plnenie nad 60 eur vypočítané z preukázateľne vynaložených prostriedkov zamestnávateľa, prepočítaných na jedno miesto v motorovom vozidle, ktoré sa zníži o prípadný príspevok zamestnanca. Uvedený návrh reflektuje na situácie ktoré vzišli z praxe a to v prípadoch, kedy motorové vozidlá pri doprave neboli plne obsadené, pričom zamestnanci bez svojho pričinenia znášali náklady aj za takéto neobsadené miesta. </w:t>
      </w:r>
    </w:p>
    <w:p w:rsidR="00BB7DCA" w:rsidRPr="00EA543A" w:rsidRDefault="00BB7DCA"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 xml:space="preserve">Podľa prechodného ustanovenia sa úpravy navrhnuté v § 5 ods. 7 písm. m) </w:t>
      </w:r>
      <w:r w:rsidRPr="00EA543A">
        <w:rPr>
          <w:rFonts w:ascii="Times New Roman" w:hAnsi="Times New Roman" w:cs="Times New Roman"/>
          <w:sz w:val="24"/>
          <w:szCs w:val="24"/>
          <w:lang w:eastAsia="sk-SK"/>
        </w:rPr>
        <w:t>použije prvýkrát pri poskytnutí dopravy na miesto výkonu práce a späť po 31. decembri 20</w:t>
      </w:r>
      <w:r w:rsidR="00C96F8F" w:rsidRPr="00EA543A">
        <w:rPr>
          <w:rFonts w:ascii="Times New Roman" w:hAnsi="Times New Roman" w:cs="Times New Roman"/>
          <w:sz w:val="24"/>
          <w:szCs w:val="24"/>
          <w:lang w:eastAsia="sk-SK"/>
        </w:rPr>
        <w:t>20</w:t>
      </w:r>
      <w:r w:rsidRPr="00EA543A">
        <w:rPr>
          <w:rFonts w:ascii="Times New Roman" w:hAnsi="Times New Roman" w:cs="Times New Roman"/>
          <w:sz w:val="24"/>
          <w:szCs w:val="24"/>
          <w:lang w:eastAsia="sk-SK"/>
        </w:rPr>
        <w:t>.</w:t>
      </w:r>
    </w:p>
    <w:p w:rsidR="00BB7DCA" w:rsidRPr="00EA543A" w:rsidRDefault="00BB7DCA" w:rsidP="00BA62B0">
      <w:pPr>
        <w:spacing w:after="0" w:line="240" w:lineRule="auto"/>
        <w:jc w:val="both"/>
        <w:rPr>
          <w:rFonts w:ascii="Times New Roman" w:hAnsi="Times New Roman" w:cs="Times New Roman"/>
          <w:b/>
          <w:sz w:val="24"/>
          <w:szCs w:val="24"/>
        </w:rPr>
      </w:pPr>
    </w:p>
    <w:p w:rsidR="002B5634" w:rsidRPr="00EA543A" w:rsidRDefault="002B5634" w:rsidP="00BA62B0">
      <w:pPr>
        <w:spacing w:after="0" w:line="240" w:lineRule="auto"/>
        <w:jc w:val="both"/>
        <w:rPr>
          <w:rFonts w:ascii="Times New Roman" w:hAnsi="Times New Roman" w:cs="Times New Roman"/>
          <w:b/>
          <w:bCs/>
          <w:sz w:val="24"/>
          <w:szCs w:val="24"/>
        </w:rPr>
      </w:pPr>
      <w:r w:rsidRPr="00EA543A">
        <w:rPr>
          <w:rFonts w:ascii="Times New Roman" w:hAnsi="Times New Roman" w:cs="Times New Roman"/>
          <w:b/>
          <w:bCs/>
          <w:sz w:val="24"/>
          <w:szCs w:val="24"/>
        </w:rPr>
        <w:t>K bod</w:t>
      </w:r>
      <w:r w:rsidR="00DA3CAB" w:rsidRPr="00EA543A">
        <w:rPr>
          <w:rFonts w:ascii="Times New Roman" w:hAnsi="Times New Roman" w:cs="Times New Roman"/>
          <w:b/>
          <w:bCs/>
          <w:sz w:val="24"/>
          <w:szCs w:val="24"/>
        </w:rPr>
        <w:t>om</w:t>
      </w:r>
      <w:r w:rsidRPr="00EA543A">
        <w:rPr>
          <w:rFonts w:ascii="Times New Roman" w:hAnsi="Times New Roman" w:cs="Times New Roman"/>
          <w:b/>
          <w:bCs/>
          <w:sz w:val="24"/>
          <w:szCs w:val="24"/>
        </w:rPr>
        <w:t xml:space="preserve"> 1</w:t>
      </w:r>
      <w:r w:rsidR="007D1101" w:rsidRPr="00EA543A">
        <w:rPr>
          <w:rFonts w:ascii="Times New Roman" w:hAnsi="Times New Roman" w:cs="Times New Roman"/>
          <w:b/>
          <w:bCs/>
          <w:sz w:val="24"/>
          <w:szCs w:val="24"/>
        </w:rPr>
        <w:t>0</w:t>
      </w:r>
      <w:r w:rsidRPr="00EA543A">
        <w:rPr>
          <w:rFonts w:ascii="Times New Roman" w:hAnsi="Times New Roman" w:cs="Times New Roman"/>
          <w:b/>
          <w:bCs/>
          <w:sz w:val="24"/>
          <w:szCs w:val="24"/>
        </w:rPr>
        <w:t xml:space="preserve"> a</w:t>
      </w:r>
      <w:r w:rsidR="002309CB" w:rsidRPr="00EA543A">
        <w:rPr>
          <w:rFonts w:ascii="Times New Roman" w:hAnsi="Times New Roman" w:cs="Times New Roman"/>
          <w:b/>
          <w:bCs/>
          <w:sz w:val="24"/>
          <w:szCs w:val="24"/>
        </w:rPr>
        <w:t> </w:t>
      </w:r>
      <w:r w:rsidR="00E7599B" w:rsidRPr="00EA543A">
        <w:rPr>
          <w:rFonts w:ascii="Times New Roman" w:hAnsi="Times New Roman" w:cs="Times New Roman"/>
          <w:b/>
          <w:bCs/>
          <w:sz w:val="24"/>
          <w:szCs w:val="24"/>
        </w:rPr>
        <w:t>13</w:t>
      </w:r>
      <w:r w:rsidR="005B2651" w:rsidRPr="00EA543A">
        <w:rPr>
          <w:rFonts w:ascii="Times New Roman" w:hAnsi="Times New Roman" w:cs="Times New Roman"/>
          <w:b/>
          <w:bCs/>
          <w:sz w:val="24"/>
          <w:szCs w:val="24"/>
        </w:rPr>
        <w:t>4</w:t>
      </w:r>
      <w:r w:rsidRPr="00EA543A">
        <w:rPr>
          <w:rFonts w:ascii="Times New Roman" w:hAnsi="Times New Roman" w:cs="Times New Roman"/>
          <w:b/>
          <w:bCs/>
          <w:sz w:val="24"/>
          <w:szCs w:val="24"/>
        </w:rPr>
        <w:t xml:space="preserve"> - § 5 ods. 7 písm. p) a § 52zz ods. </w:t>
      </w:r>
      <w:r w:rsidR="004F068C" w:rsidRPr="00EA543A">
        <w:rPr>
          <w:rFonts w:ascii="Times New Roman" w:hAnsi="Times New Roman" w:cs="Times New Roman"/>
          <w:b/>
          <w:bCs/>
          <w:sz w:val="24"/>
          <w:szCs w:val="24"/>
        </w:rPr>
        <w:t>1</w:t>
      </w:r>
    </w:p>
    <w:p w:rsidR="002B5634" w:rsidRPr="00EA543A" w:rsidRDefault="002B5634"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Navrhovanou úpravou sa zvyšuje suma oslobodenia nepeňažného plnenia poskytnutého zamestnávateľom zamestnancovi na ubytovanie. Podľa prechodného ustanovenia sa oslobodenie tohto typu nepeňažného príjmu zamestnancov v sume najviac 100 eur použije prvýkrát pri poskytnutí ubytovania po 31. decembri 20</w:t>
      </w:r>
      <w:r w:rsidR="00C96F8F" w:rsidRPr="00EA543A">
        <w:rPr>
          <w:rFonts w:ascii="Times New Roman" w:hAnsi="Times New Roman" w:cs="Times New Roman"/>
          <w:sz w:val="24"/>
          <w:szCs w:val="24"/>
        </w:rPr>
        <w:t>19</w:t>
      </w:r>
      <w:r w:rsidRPr="00EA543A">
        <w:rPr>
          <w:rFonts w:ascii="Times New Roman" w:hAnsi="Times New Roman" w:cs="Times New Roman"/>
          <w:sz w:val="24"/>
          <w:szCs w:val="24"/>
        </w:rPr>
        <w:t>.</w:t>
      </w:r>
    </w:p>
    <w:p w:rsidR="00FE49C0" w:rsidRPr="00EA543A" w:rsidRDefault="00FE49C0" w:rsidP="00BA62B0">
      <w:pPr>
        <w:spacing w:after="0" w:line="240" w:lineRule="auto"/>
        <w:jc w:val="both"/>
        <w:rPr>
          <w:rFonts w:ascii="Times New Roman" w:hAnsi="Times New Roman" w:cs="Times New Roman"/>
          <w:sz w:val="24"/>
          <w:szCs w:val="24"/>
        </w:rPr>
      </w:pPr>
    </w:p>
    <w:p w:rsidR="00B1315E" w:rsidRPr="00EA543A" w:rsidRDefault="00B1315E" w:rsidP="00BA62B0">
      <w:pPr>
        <w:spacing w:after="0" w:line="240" w:lineRule="auto"/>
        <w:jc w:val="both"/>
        <w:rPr>
          <w:rFonts w:ascii="Times New Roman" w:hAnsi="Times New Roman" w:cs="Times New Roman"/>
          <w:b/>
          <w:sz w:val="24"/>
          <w:szCs w:val="24"/>
        </w:rPr>
      </w:pPr>
      <w:r w:rsidRPr="00EA543A">
        <w:rPr>
          <w:rFonts w:ascii="Times New Roman" w:hAnsi="Times New Roman" w:cs="Times New Roman"/>
          <w:b/>
          <w:sz w:val="24"/>
          <w:szCs w:val="24"/>
        </w:rPr>
        <w:t xml:space="preserve">K bodu </w:t>
      </w:r>
      <w:r w:rsidR="00E86E7E" w:rsidRPr="00EA543A">
        <w:rPr>
          <w:rFonts w:ascii="Times New Roman" w:hAnsi="Times New Roman" w:cs="Times New Roman"/>
          <w:b/>
          <w:sz w:val="24"/>
          <w:szCs w:val="24"/>
        </w:rPr>
        <w:t>1</w:t>
      </w:r>
      <w:r w:rsidR="007D1101" w:rsidRPr="00EA543A">
        <w:rPr>
          <w:rFonts w:ascii="Times New Roman" w:hAnsi="Times New Roman" w:cs="Times New Roman"/>
          <w:b/>
          <w:sz w:val="24"/>
          <w:szCs w:val="24"/>
        </w:rPr>
        <w:t>1</w:t>
      </w:r>
      <w:r w:rsidRPr="00EA543A">
        <w:rPr>
          <w:rFonts w:ascii="Times New Roman" w:hAnsi="Times New Roman" w:cs="Times New Roman"/>
          <w:b/>
          <w:sz w:val="24"/>
          <w:szCs w:val="24"/>
        </w:rPr>
        <w:t xml:space="preserve"> - § 5 ods. 7 písm. r)</w:t>
      </w:r>
      <w:r w:rsidR="00E86E7E" w:rsidRPr="00EA543A">
        <w:rPr>
          <w:rFonts w:ascii="Times New Roman" w:hAnsi="Times New Roman" w:cs="Times New Roman"/>
          <w:b/>
          <w:sz w:val="24"/>
          <w:szCs w:val="24"/>
        </w:rPr>
        <w:t xml:space="preserve"> </w:t>
      </w:r>
    </w:p>
    <w:p w:rsidR="001B409B" w:rsidRPr="00EA543A" w:rsidRDefault="001B409B"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 xml:space="preserve">Navrhuje sa u zamestnávateľa oslobodiť od dane nepeňažné plnenie poskytnuté zamestnancovi, ak na strane zamestnávateľa nie je uznaným daňovým výdavkom (napr. parkovné na pozemku zamestnávateľa, </w:t>
      </w:r>
      <w:proofErr w:type="spellStart"/>
      <w:r w:rsidRPr="00EA543A">
        <w:rPr>
          <w:rFonts w:ascii="Times New Roman" w:hAnsi="Times New Roman" w:cs="Times New Roman"/>
          <w:sz w:val="24"/>
          <w:szCs w:val="24"/>
        </w:rPr>
        <w:t>teambuildingové</w:t>
      </w:r>
      <w:proofErr w:type="spellEnd"/>
      <w:r w:rsidRPr="00EA543A">
        <w:rPr>
          <w:rFonts w:ascii="Times New Roman" w:hAnsi="Times New Roman" w:cs="Times New Roman"/>
          <w:sz w:val="24"/>
          <w:szCs w:val="24"/>
        </w:rPr>
        <w:t xml:space="preserve"> akcie, firemné večierky). Navrhované oslobodenie od dane vo výške najviac 500 eur v úhrne od všetkých zamestnávateľov za zdaňovacie obdobie sa nepoužije na príjmy, ktoré sú od dane oslobodené podľa iných ustanovení [napr. podľa § 5 ods. 3 písm. c), § 5 ods. 7 písm. k)].   Oslobodenie od dane sa uplatní aj u zamestnanca zamestnávateľa, ktorý nie je založený alebo zriadený na podnikanie.</w:t>
      </w:r>
    </w:p>
    <w:p w:rsidR="00B1315E" w:rsidRPr="00EA543A" w:rsidRDefault="00B1315E" w:rsidP="00BA62B0">
      <w:pPr>
        <w:spacing w:after="0" w:line="240" w:lineRule="auto"/>
        <w:jc w:val="both"/>
        <w:rPr>
          <w:rFonts w:ascii="Times New Roman" w:hAnsi="Times New Roman" w:cs="Times New Roman"/>
          <w:sz w:val="24"/>
          <w:szCs w:val="24"/>
        </w:rPr>
      </w:pPr>
    </w:p>
    <w:p w:rsidR="005015EF" w:rsidRPr="00EA543A" w:rsidRDefault="005015EF" w:rsidP="00BA62B0">
      <w:pPr>
        <w:spacing w:after="0" w:line="240" w:lineRule="auto"/>
        <w:jc w:val="both"/>
        <w:rPr>
          <w:rFonts w:ascii="Times New Roman" w:hAnsi="Times New Roman" w:cs="Times New Roman"/>
          <w:b/>
          <w:sz w:val="24"/>
          <w:szCs w:val="24"/>
        </w:rPr>
      </w:pPr>
      <w:r w:rsidRPr="00EA543A">
        <w:rPr>
          <w:rFonts w:ascii="Times New Roman" w:hAnsi="Times New Roman" w:cs="Times New Roman"/>
          <w:b/>
          <w:sz w:val="24"/>
          <w:szCs w:val="24"/>
        </w:rPr>
        <w:t xml:space="preserve">K bodu </w:t>
      </w:r>
      <w:r w:rsidR="00E86E7E" w:rsidRPr="00EA543A">
        <w:rPr>
          <w:rFonts w:ascii="Times New Roman" w:hAnsi="Times New Roman" w:cs="Times New Roman"/>
          <w:b/>
          <w:sz w:val="24"/>
          <w:szCs w:val="24"/>
        </w:rPr>
        <w:t>1</w:t>
      </w:r>
      <w:r w:rsidR="007D1101" w:rsidRPr="00EA543A">
        <w:rPr>
          <w:rFonts w:ascii="Times New Roman" w:hAnsi="Times New Roman" w:cs="Times New Roman"/>
          <w:b/>
          <w:sz w:val="24"/>
          <w:szCs w:val="24"/>
        </w:rPr>
        <w:t>2</w:t>
      </w:r>
      <w:r w:rsidRPr="00EA543A">
        <w:rPr>
          <w:rFonts w:ascii="Times New Roman" w:hAnsi="Times New Roman" w:cs="Times New Roman"/>
          <w:b/>
          <w:sz w:val="24"/>
          <w:szCs w:val="24"/>
        </w:rPr>
        <w:t xml:space="preserve"> – poznámka pod čiarou k odkazu 37af  </w:t>
      </w:r>
    </w:p>
    <w:p w:rsidR="005015EF" w:rsidRPr="00EA543A" w:rsidRDefault="005015EF" w:rsidP="00BA62B0">
      <w:pPr>
        <w:pStyle w:val="Odsekzoznamu"/>
        <w:spacing w:after="0" w:line="240" w:lineRule="auto"/>
        <w:ind w:left="0"/>
        <w:jc w:val="both"/>
        <w:rPr>
          <w:rFonts w:ascii="Times New Roman" w:hAnsi="Times New Roman" w:cs="Times New Roman"/>
          <w:sz w:val="24"/>
          <w:szCs w:val="24"/>
        </w:rPr>
      </w:pPr>
      <w:r w:rsidRPr="00EA543A">
        <w:rPr>
          <w:rFonts w:ascii="Times New Roman" w:hAnsi="Times New Roman" w:cs="Times New Roman"/>
          <w:sz w:val="24"/>
          <w:szCs w:val="24"/>
        </w:rPr>
        <w:t xml:space="preserve">Ide o legislatívno-technickú úpravu. </w:t>
      </w:r>
    </w:p>
    <w:p w:rsidR="005015EF" w:rsidRPr="00EA543A" w:rsidRDefault="005015EF" w:rsidP="00BA62B0">
      <w:pPr>
        <w:pStyle w:val="Odsekzoznamu"/>
        <w:spacing w:after="0" w:line="240" w:lineRule="auto"/>
        <w:contextualSpacing w:val="0"/>
        <w:jc w:val="both"/>
        <w:rPr>
          <w:rFonts w:ascii="Times New Roman" w:hAnsi="Times New Roman" w:cs="Times New Roman"/>
          <w:sz w:val="24"/>
          <w:szCs w:val="24"/>
        </w:rPr>
      </w:pPr>
    </w:p>
    <w:p w:rsidR="005015EF" w:rsidRPr="00EA543A" w:rsidRDefault="005015EF" w:rsidP="00BA62B0">
      <w:pPr>
        <w:spacing w:after="0" w:line="240" w:lineRule="auto"/>
        <w:jc w:val="both"/>
        <w:rPr>
          <w:rFonts w:ascii="Times New Roman" w:hAnsi="Times New Roman" w:cs="Times New Roman"/>
          <w:b/>
          <w:sz w:val="24"/>
          <w:szCs w:val="24"/>
        </w:rPr>
      </w:pPr>
      <w:r w:rsidRPr="00EA543A">
        <w:rPr>
          <w:rFonts w:ascii="Times New Roman" w:hAnsi="Times New Roman" w:cs="Times New Roman"/>
          <w:b/>
          <w:sz w:val="24"/>
          <w:szCs w:val="24"/>
        </w:rPr>
        <w:t>K</w:t>
      </w:r>
      <w:r w:rsidR="00D06207" w:rsidRPr="00EA543A">
        <w:rPr>
          <w:rFonts w:ascii="Times New Roman" w:hAnsi="Times New Roman" w:cs="Times New Roman"/>
          <w:b/>
          <w:sz w:val="24"/>
          <w:szCs w:val="24"/>
        </w:rPr>
        <w:t> </w:t>
      </w:r>
      <w:r w:rsidRPr="00EA543A">
        <w:rPr>
          <w:rFonts w:ascii="Times New Roman" w:hAnsi="Times New Roman" w:cs="Times New Roman"/>
          <w:b/>
          <w:sz w:val="24"/>
          <w:szCs w:val="24"/>
        </w:rPr>
        <w:t>bodu</w:t>
      </w:r>
      <w:r w:rsidR="00D06207" w:rsidRPr="00EA543A">
        <w:rPr>
          <w:rFonts w:ascii="Times New Roman" w:hAnsi="Times New Roman" w:cs="Times New Roman"/>
          <w:b/>
          <w:sz w:val="24"/>
          <w:szCs w:val="24"/>
        </w:rPr>
        <w:t xml:space="preserve"> 1</w:t>
      </w:r>
      <w:r w:rsidR="007D1101" w:rsidRPr="00EA543A">
        <w:rPr>
          <w:rFonts w:ascii="Times New Roman" w:hAnsi="Times New Roman" w:cs="Times New Roman"/>
          <w:b/>
          <w:sz w:val="24"/>
          <w:szCs w:val="24"/>
        </w:rPr>
        <w:t>3</w:t>
      </w:r>
      <w:r w:rsidRPr="00EA543A">
        <w:rPr>
          <w:rFonts w:ascii="Times New Roman" w:hAnsi="Times New Roman" w:cs="Times New Roman"/>
          <w:b/>
          <w:sz w:val="24"/>
          <w:szCs w:val="24"/>
        </w:rPr>
        <w:t xml:space="preserve"> – § 8 ods. 14 a § 9 ods. 1 písm. l) </w:t>
      </w:r>
    </w:p>
    <w:p w:rsidR="005015EF" w:rsidRPr="00EA543A" w:rsidRDefault="005015EF" w:rsidP="00BA62B0">
      <w:pPr>
        <w:pStyle w:val="Odsekzoznamu"/>
        <w:spacing w:after="0" w:line="240" w:lineRule="auto"/>
        <w:ind w:left="0"/>
        <w:jc w:val="both"/>
        <w:rPr>
          <w:rFonts w:ascii="Times New Roman" w:hAnsi="Times New Roman" w:cs="Times New Roman"/>
          <w:sz w:val="24"/>
          <w:szCs w:val="24"/>
        </w:rPr>
      </w:pPr>
      <w:r w:rsidRPr="00EA543A">
        <w:rPr>
          <w:rFonts w:ascii="Times New Roman" w:hAnsi="Times New Roman" w:cs="Times New Roman"/>
          <w:sz w:val="24"/>
          <w:szCs w:val="24"/>
        </w:rPr>
        <w:t xml:space="preserve">Ide o legislatívno-technickú úpravu. </w:t>
      </w:r>
    </w:p>
    <w:p w:rsidR="00540DE4" w:rsidRPr="00EA543A" w:rsidRDefault="00540DE4" w:rsidP="00BA62B0">
      <w:pPr>
        <w:pStyle w:val="Odsekzoznamu"/>
        <w:spacing w:after="0" w:line="240" w:lineRule="auto"/>
        <w:ind w:left="0"/>
        <w:jc w:val="both"/>
        <w:rPr>
          <w:rFonts w:ascii="Times New Roman" w:hAnsi="Times New Roman" w:cs="Times New Roman"/>
          <w:sz w:val="24"/>
          <w:szCs w:val="24"/>
        </w:rPr>
      </w:pPr>
    </w:p>
    <w:p w:rsidR="00540DE4" w:rsidRPr="00EA543A" w:rsidRDefault="00540DE4" w:rsidP="00BA62B0">
      <w:pPr>
        <w:pStyle w:val="Odsekzoznamu"/>
        <w:spacing w:after="0" w:line="240" w:lineRule="auto"/>
        <w:ind w:left="0"/>
        <w:jc w:val="both"/>
        <w:rPr>
          <w:rFonts w:ascii="Times New Roman" w:hAnsi="Times New Roman" w:cs="Times New Roman"/>
          <w:b/>
          <w:sz w:val="24"/>
          <w:szCs w:val="24"/>
        </w:rPr>
      </w:pPr>
      <w:r w:rsidRPr="00EA543A">
        <w:rPr>
          <w:rFonts w:ascii="Times New Roman" w:hAnsi="Times New Roman" w:cs="Times New Roman"/>
          <w:b/>
          <w:sz w:val="24"/>
          <w:szCs w:val="24"/>
        </w:rPr>
        <w:t>K bodu 1</w:t>
      </w:r>
      <w:r w:rsidR="007D1101" w:rsidRPr="00EA543A">
        <w:rPr>
          <w:rFonts w:ascii="Times New Roman" w:hAnsi="Times New Roman" w:cs="Times New Roman"/>
          <w:b/>
          <w:sz w:val="24"/>
          <w:szCs w:val="24"/>
        </w:rPr>
        <w:t>4</w:t>
      </w:r>
      <w:r w:rsidRPr="00EA543A">
        <w:rPr>
          <w:rFonts w:ascii="Times New Roman" w:hAnsi="Times New Roman" w:cs="Times New Roman"/>
          <w:b/>
          <w:sz w:val="24"/>
          <w:szCs w:val="24"/>
        </w:rPr>
        <w:t xml:space="preserve"> - §</w:t>
      </w:r>
      <w:r w:rsidR="00E774EC" w:rsidRPr="00EA543A">
        <w:rPr>
          <w:rFonts w:ascii="Times New Roman" w:hAnsi="Times New Roman" w:cs="Times New Roman"/>
          <w:b/>
          <w:sz w:val="24"/>
          <w:szCs w:val="24"/>
        </w:rPr>
        <w:t xml:space="preserve"> </w:t>
      </w:r>
      <w:r w:rsidRPr="00EA543A">
        <w:rPr>
          <w:rFonts w:ascii="Times New Roman" w:hAnsi="Times New Roman" w:cs="Times New Roman"/>
          <w:b/>
          <w:sz w:val="24"/>
          <w:szCs w:val="24"/>
        </w:rPr>
        <w:t>8 ods. 17</w:t>
      </w:r>
    </w:p>
    <w:p w:rsidR="00E774EC" w:rsidRPr="00EA543A" w:rsidRDefault="00E774EC" w:rsidP="00BA62B0">
      <w:pPr>
        <w:pStyle w:val="Odsekzoznamu"/>
        <w:spacing w:after="0" w:line="240" w:lineRule="auto"/>
        <w:ind w:left="0"/>
        <w:jc w:val="both"/>
        <w:rPr>
          <w:rFonts w:ascii="Times New Roman" w:hAnsi="Times New Roman" w:cs="Times New Roman"/>
          <w:sz w:val="24"/>
          <w:szCs w:val="24"/>
        </w:rPr>
      </w:pPr>
      <w:r w:rsidRPr="00EA543A">
        <w:rPr>
          <w:rFonts w:ascii="Times New Roman" w:hAnsi="Times New Roman" w:cs="Times New Roman"/>
          <w:sz w:val="24"/>
          <w:szCs w:val="24"/>
        </w:rPr>
        <w:t xml:space="preserve">Ide o legislatívno-technickú úpravu. </w:t>
      </w:r>
    </w:p>
    <w:p w:rsidR="00E774EC" w:rsidRPr="00EA543A" w:rsidRDefault="00E774EC" w:rsidP="00BA62B0">
      <w:pPr>
        <w:pStyle w:val="Odsekzoznamu"/>
        <w:spacing w:after="0" w:line="240" w:lineRule="auto"/>
        <w:ind w:left="0"/>
        <w:jc w:val="both"/>
        <w:rPr>
          <w:rFonts w:ascii="Times New Roman" w:hAnsi="Times New Roman" w:cs="Times New Roman"/>
          <w:b/>
          <w:sz w:val="24"/>
          <w:szCs w:val="24"/>
        </w:rPr>
      </w:pPr>
    </w:p>
    <w:p w:rsidR="00B1315E" w:rsidRPr="00EA543A" w:rsidRDefault="00540DE4" w:rsidP="00BA62B0">
      <w:pPr>
        <w:pStyle w:val="Odsekzoznamu"/>
        <w:spacing w:after="0" w:line="240" w:lineRule="auto"/>
        <w:ind w:left="0"/>
        <w:jc w:val="both"/>
        <w:rPr>
          <w:rFonts w:ascii="Times New Roman" w:hAnsi="Times New Roman" w:cs="Times New Roman"/>
          <w:b/>
          <w:sz w:val="24"/>
          <w:szCs w:val="24"/>
        </w:rPr>
      </w:pPr>
      <w:r w:rsidRPr="00EA543A">
        <w:rPr>
          <w:rFonts w:ascii="Times New Roman" w:hAnsi="Times New Roman" w:cs="Times New Roman"/>
          <w:b/>
          <w:sz w:val="24"/>
          <w:szCs w:val="24"/>
        </w:rPr>
        <w:lastRenderedPageBreak/>
        <w:t>K bodu 1</w:t>
      </w:r>
      <w:r w:rsidR="007D1101" w:rsidRPr="00EA543A">
        <w:rPr>
          <w:rFonts w:ascii="Times New Roman" w:hAnsi="Times New Roman" w:cs="Times New Roman"/>
          <w:b/>
          <w:sz w:val="24"/>
          <w:szCs w:val="24"/>
        </w:rPr>
        <w:t>5</w:t>
      </w:r>
      <w:r w:rsidRPr="00EA543A">
        <w:rPr>
          <w:rFonts w:ascii="Times New Roman" w:hAnsi="Times New Roman" w:cs="Times New Roman"/>
          <w:b/>
          <w:sz w:val="24"/>
          <w:szCs w:val="24"/>
        </w:rPr>
        <w:t xml:space="preserve"> - § 9 ods. 1 písm. k)</w:t>
      </w:r>
    </w:p>
    <w:p w:rsidR="00540DE4" w:rsidRPr="00EA543A" w:rsidRDefault="00540DE4" w:rsidP="00BA62B0">
      <w:pPr>
        <w:pStyle w:val="Odsekzoznamu"/>
        <w:spacing w:after="0" w:line="240" w:lineRule="auto"/>
        <w:ind w:left="0"/>
        <w:jc w:val="both"/>
        <w:rPr>
          <w:rFonts w:ascii="Times New Roman" w:hAnsi="Times New Roman" w:cs="Times New Roman"/>
          <w:sz w:val="24"/>
          <w:szCs w:val="24"/>
        </w:rPr>
      </w:pPr>
      <w:r w:rsidRPr="00EA543A">
        <w:rPr>
          <w:rFonts w:ascii="Times New Roman" w:hAnsi="Times New Roman" w:cs="Times New Roman"/>
          <w:sz w:val="24"/>
          <w:szCs w:val="24"/>
        </w:rPr>
        <w:t xml:space="preserve">Navrhovanou úpravou sa spresňujú podmienky pre oslobodenie príjmu z predaja cenných papierov prijatých na regulovaný trh tak, aby bolo obchodovanie na regulovanom trhu podporené vo väčšej miere. Rovnako sa navrhovaná úprava zavádza aj z dôvodu zamedzenia daňovým špekuláciám systémom vkladania cenných papierov pred predajom na regulovaný trh, aby sa mohli následne predať s oslobodením </w:t>
      </w:r>
      <w:r w:rsidR="008A5BAB" w:rsidRPr="00EA543A">
        <w:rPr>
          <w:rFonts w:ascii="Times New Roman" w:hAnsi="Times New Roman" w:cs="Times New Roman"/>
          <w:sz w:val="24"/>
          <w:szCs w:val="24"/>
        </w:rPr>
        <w:t xml:space="preserve">od </w:t>
      </w:r>
      <w:r w:rsidRPr="00EA543A">
        <w:rPr>
          <w:rFonts w:ascii="Times New Roman" w:hAnsi="Times New Roman" w:cs="Times New Roman"/>
          <w:sz w:val="24"/>
          <w:szCs w:val="24"/>
        </w:rPr>
        <w:t>dane, nakoľko ročná doba od nadobudnutia uplynula.</w:t>
      </w:r>
    </w:p>
    <w:p w:rsidR="00540DE4" w:rsidRPr="00EA543A" w:rsidRDefault="00540DE4" w:rsidP="00BA62B0">
      <w:pPr>
        <w:pStyle w:val="Odsekzoznamu"/>
        <w:spacing w:after="0" w:line="240" w:lineRule="auto"/>
        <w:ind w:left="0"/>
        <w:jc w:val="both"/>
        <w:rPr>
          <w:rFonts w:ascii="Times New Roman" w:hAnsi="Times New Roman" w:cs="Times New Roman"/>
          <w:b/>
          <w:sz w:val="24"/>
          <w:szCs w:val="24"/>
        </w:rPr>
      </w:pPr>
    </w:p>
    <w:p w:rsidR="00B1315E" w:rsidRPr="00EA543A" w:rsidRDefault="00B1315E" w:rsidP="00BA62B0">
      <w:pPr>
        <w:spacing w:after="0" w:line="240" w:lineRule="auto"/>
        <w:jc w:val="both"/>
        <w:rPr>
          <w:rFonts w:ascii="Times New Roman" w:hAnsi="Times New Roman" w:cs="Times New Roman"/>
          <w:b/>
          <w:sz w:val="24"/>
          <w:szCs w:val="24"/>
        </w:rPr>
      </w:pPr>
      <w:r w:rsidRPr="00EA543A">
        <w:rPr>
          <w:rFonts w:ascii="Times New Roman" w:hAnsi="Times New Roman" w:cs="Times New Roman"/>
          <w:b/>
          <w:sz w:val="24"/>
          <w:szCs w:val="24"/>
        </w:rPr>
        <w:t xml:space="preserve">K bodu </w:t>
      </w:r>
      <w:r w:rsidR="00540DE4" w:rsidRPr="00EA543A">
        <w:rPr>
          <w:rFonts w:ascii="Times New Roman" w:hAnsi="Times New Roman" w:cs="Times New Roman"/>
          <w:b/>
          <w:sz w:val="24"/>
          <w:szCs w:val="24"/>
        </w:rPr>
        <w:t xml:space="preserve"> 1</w:t>
      </w:r>
      <w:r w:rsidR="007D1101" w:rsidRPr="00EA543A">
        <w:rPr>
          <w:rFonts w:ascii="Times New Roman" w:hAnsi="Times New Roman" w:cs="Times New Roman"/>
          <w:b/>
          <w:sz w:val="24"/>
          <w:szCs w:val="24"/>
        </w:rPr>
        <w:t>6</w:t>
      </w:r>
      <w:r w:rsidR="00540DE4" w:rsidRPr="00EA543A">
        <w:rPr>
          <w:rFonts w:ascii="Times New Roman" w:hAnsi="Times New Roman" w:cs="Times New Roman"/>
          <w:b/>
          <w:sz w:val="24"/>
          <w:szCs w:val="24"/>
        </w:rPr>
        <w:t xml:space="preserve"> </w:t>
      </w:r>
      <w:r w:rsidRPr="00EA543A">
        <w:rPr>
          <w:rFonts w:ascii="Times New Roman" w:hAnsi="Times New Roman" w:cs="Times New Roman"/>
          <w:b/>
          <w:sz w:val="24"/>
          <w:szCs w:val="24"/>
        </w:rPr>
        <w:t>- § 9 ods. 2 písm. i)</w:t>
      </w:r>
    </w:p>
    <w:p w:rsidR="00B1315E" w:rsidRPr="00EA543A" w:rsidRDefault="00B1315E"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Navrhuje sa, aby plnenia z poistenia majetku a plnenia z poistenia zodpovednosti za škodu poskytnuté daňovníkovi ako náhrada škody resp. náhrada za stratu na zárobku po skončení pracovnej neschopnosti od poisťovne boli u tohto daňovníka, ktorého schopnosť vykonávať doterajšiu činnosť v dôsledku úrazu klesla o viac ako 40 %, od dane z príjmov oslobodené v závislosti od obdobia, na ktoré sa toto poistné plnenie vypláca. Na základe získaných informácií a praktických zistení či už zo strany poškodených daňovníkov ako aj zo strany Slovenskej asociácie poisťovní vyplýva, že jednorazové vysporiadanie odškodnenia budúcich poistných nárokov, poškodení daňovníci uprednostňujú pred pravidelným vyplácaním mesačnej úrazovej renty. Dohoda o jednorazovom odškodnení sa javí ako výhodná nie len pre poisťovne, pre ktoré je administratívne jednoduchšia, ale najmä pre poškodených daňovníkov. V prípade jednorazového odškodnenia má poškodený daňovník k dispozícii významnú sumu prostriedkov, ktoré spravidla použije na finančne náročné investície do nevyhnutných predovšetkým stavebných úprav, spojených s bezbariérovým prístupom v rámci svojho obydlia. Títo zdravotne hendikepovaní ľudia častokrát nemajú inú možnosť, ako inak by mohli získať peniaze na tento účel. Skôr sa uskromnia a vzdajú časti pravidelných mesačných príjmov (úrazovej renty), aby mohli žiť dôstojne a bez obťažovania okolia. Z toho dôvodu navrhujeme, aby sa zvýšila hranica oslobodenia uvedeného druhu príjmu u tejto skupiny daňovníkov z pôvodnej maximálnej sumy vo výške nezdaniteľnej časti základu dane na daňovníka platnej v danom zdaňovacom období na sumu jej násobku podľa počtu rokov, na</w:t>
      </w:r>
      <w:r w:rsidR="00947E97" w:rsidRPr="00EA543A">
        <w:rPr>
          <w:rFonts w:ascii="Times New Roman" w:hAnsi="Times New Roman" w:cs="Times New Roman"/>
          <w:sz w:val="24"/>
          <w:szCs w:val="24"/>
        </w:rPr>
        <w:t xml:space="preserve"> </w:t>
      </w:r>
      <w:r w:rsidRPr="00EA543A">
        <w:rPr>
          <w:rFonts w:ascii="Times New Roman" w:hAnsi="Times New Roman" w:cs="Times New Roman"/>
          <w:sz w:val="24"/>
          <w:szCs w:val="24"/>
        </w:rPr>
        <w:t xml:space="preserve">ktoré sa poistné plnenie ako náhrada za stratu na zárobku daňovníkovi vypláca, maximálne do výšky 20 000 eur za zdaňovacie obdobie. Oslobodenie od dane si daňovník môže uplatniť výlučne v roku </w:t>
      </w:r>
      <w:r w:rsidR="00947E97" w:rsidRPr="00EA543A">
        <w:rPr>
          <w:rFonts w:ascii="Times New Roman" w:hAnsi="Times New Roman" w:cs="Times New Roman"/>
          <w:sz w:val="24"/>
          <w:szCs w:val="24"/>
        </w:rPr>
        <w:t>vyplatenia</w:t>
      </w:r>
      <w:r w:rsidRPr="00EA543A">
        <w:rPr>
          <w:rFonts w:ascii="Times New Roman" w:hAnsi="Times New Roman" w:cs="Times New Roman"/>
          <w:sz w:val="24"/>
          <w:szCs w:val="24"/>
        </w:rPr>
        <w:t xml:space="preserve"> plnenia komerčnou poisťovňou. Rok, v ktorom bolo plnenie daňovníkovi vyplatené sa započítava do počtu rokov na tento účel.</w:t>
      </w:r>
    </w:p>
    <w:p w:rsidR="006459F1" w:rsidRPr="00EA543A" w:rsidRDefault="006459F1" w:rsidP="00BA62B0">
      <w:pPr>
        <w:pStyle w:val="Odsekzoznamu"/>
        <w:spacing w:after="0" w:line="240" w:lineRule="auto"/>
        <w:ind w:left="0"/>
        <w:jc w:val="both"/>
        <w:rPr>
          <w:rFonts w:ascii="Times New Roman" w:hAnsi="Times New Roman" w:cs="Times New Roman"/>
          <w:sz w:val="24"/>
          <w:szCs w:val="24"/>
        </w:rPr>
      </w:pPr>
    </w:p>
    <w:p w:rsidR="006459F1" w:rsidRPr="00EA543A" w:rsidRDefault="006459F1" w:rsidP="00BA62B0">
      <w:pPr>
        <w:pStyle w:val="Odsekzoznamu"/>
        <w:spacing w:after="0" w:line="240" w:lineRule="auto"/>
        <w:ind w:left="0"/>
        <w:jc w:val="both"/>
        <w:rPr>
          <w:rFonts w:ascii="Times New Roman" w:hAnsi="Times New Roman" w:cs="Times New Roman"/>
          <w:b/>
          <w:sz w:val="24"/>
          <w:szCs w:val="24"/>
        </w:rPr>
      </w:pPr>
      <w:r w:rsidRPr="00EA543A">
        <w:rPr>
          <w:rFonts w:ascii="Times New Roman" w:hAnsi="Times New Roman" w:cs="Times New Roman"/>
          <w:b/>
          <w:sz w:val="24"/>
          <w:szCs w:val="24"/>
        </w:rPr>
        <w:t xml:space="preserve">K bodom </w:t>
      </w:r>
      <w:r w:rsidR="00540DE4" w:rsidRPr="00EA543A">
        <w:rPr>
          <w:rFonts w:ascii="Times New Roman" w:hAnsi="Times New Roman" w:cs="Times New Roman"/>
          <w:b/>
          <w:sz w:val="24"/>
          <w:szCs w:val="24"/>
        </w:rPr>
        <w:t>1</w:t>
      </w:r>
      <w:r w:rsidR="007D1101" w:rsidRPr="00EA543A">
        <w:rPr>
          <w:rFonts w:ascii="Times New Roman" w:hAnsi="Times New Roman" w:cs="Times New Roman"/>
          <w:b/>
          <w:sz w:val="24"/>
          <w:szCs w:val="24"/>
        </w:rPr>
        <w:t>7</w:t>
      </w:r>
      <w:r w:rsidR="00540DE4" w:rsidRPr="00EA543A">
        <w:rPr>
          <w:rFonts w:ascii="Times New Roman" w:hAnsi="Times New Roman" w:cs="Times New Roman"/>
          <w:b/>
          <w:sz w:val="24"/>
          <w:szCs w:val="24"/>
        </w:rPr>
        <w:t xml:space="preserve"> až </w:t>
      </w:r>
      <w:r w:rsidR="001A308A" w:rsidRPr="00EA543A">
        <w:rPr>
          <w:rFonts w:ascii="Times New Roman" w:hAnsi="Times New Roman" w:cs="Times New Roman"/>
          <w:b/>
          <w:sz w:val="24"/>
          <w:szCs w:val="24"/>
        </w:rPr>
        <w:t>2</w:t>
      </w:r>
      <w:r w:rsidR="009118B1" w:rsidRPr="00EA543A">
        <w:rPr>
          <w:rFonts w:ascii="Times New Roman" w:hAnsi="Times New Roman" w:cs="Times New Roman"/>
          <w:b/>
          <w:sz w:val="24"/>
          <w:szCs w:val="24"/>
        </w:rPr>
        <w:t>1</w:t>
      </w:r>
      <w:r w:rsidR="00F36BA1" w:rsidRPr="00EA543A">
        <w:rPr>
          <w:rFonts w:ascii="Times New Roman" w:hAnsi="Times New Roman" w:cs="Times New Roman"/>
          <w:b/>
          <w:sz w:val="24"/>
          <w:szCs w:val="24"/>
        </w:rPr>
        <w:t>, 79, 80, 87, 9</w:t>
      </w:r>
      <w:r w:rsidR="00226F05" w:rsidRPr="00EA543A">
        <w:rPr>
          <w:rFonts w:ascii="Times New Roman" w:hAnsi="Times New Roman" w:cs="Times New Roman"/>
          <w:b/>
          <w:sz w:val="24"/>
          <w:szCs w:val="24"/>
        </w:rPr>
        <w:t>5</w:t>
      </w:r>
      <w:r w:rsidR="00F36BA1" w:rsidRPr="00EA543A">
        <w:rPr>
          <w:rFonts w:ascii="Times New Roman" w:hAnsi="Times New Roman" w:cs="Times New Roman"/>
          <w:b/>
          <w:sz w:val="24"/>
          <w:szCs w:val="24"/>
        </w:rPr>
        <w:t>, 9</w:t>
      </w:r>
      <w:r w:rsidR="00226F05" w:rsidRPr="00EA543A">
        <w:rPr>
          <w:rFonts w:ascii="Times New Roman" w:hAnsi="Times New Roman" w:cs="Times New Roman"/>
          <w:b/>
          <w:sz w:val="24"/>
          <w:szCs w:val="24"/>
        </w:rPr>
        <w:t>6</w:t>
      </w:r>
      <w:r w:rsidR="001A308A" w:rsidRPr="00EA543A">
        <w:rPr>
          <w:rFonts w:ascii="Times New Roman" w:hAnsi="Times New Roman" w:cs="Times New Roman"/>
          <w:b/>
          <w:sz w:val="24"/>
          <w:szCs w:val="24"/>
        </w:rPr>
        <w:t xml:space="preserve"> </w:t>
      </w:r>
      <w:r w:rsidR="007C1C4D" w:rsidRPr="00EA543A">
        <w:rPr>
          <w:rFonts w:ascii="Times New Roman" w:hAnsi="Times New Roman" w:cs="Times New Roman"/>
          <w:b/>
          <w:sz w:val="24"/>
          <w:szCs w:val="24"/>
        </w:rPr>
        <w:t>a 1</w:t>
      </w:r>
      <w:r w:rsidR="009118B1" w:rsidRPr="00EA543A">
        <w:rPr>
          <w:rFonts w:ascii="Times New Roman" w:hAnsi="Times New Roman" w:cs="Times New Roman"/>
          <w:b/>
          <w:sz w:val="24"/>
          <w:szCs w:val="24"/>
        </w:rPr>
        <w:t>3</w:t>
      </w:r>
      <w:r w:rsidR="005B2651" w:rsidRPr="00EA543A">
        <w:rPr>
          <w:rFonts w:ascii="Times New Roman" w:hAnsi="Times New Roman" w:cs="Times New Roman"/>
          <w:b/>
          <w:sz w:val="24"/>
          <w:szCs w:val="24"/>
        </w:rPr>
        <w:t>4</w:t>
      </w:r>
      <w:r w:rsidR="007C1C4D" w:rsidRPr="00EA543A">
        <w:rPr>
          <w:rFonts w:ascii="Times New Roman" w:hAnsi="Times New Roman" w:cs="Times New Roman"/>
          <w:b/>
          <w:sz w:val="24"/>
          <w:szCs w:val="24"/>
        </w:rPr>
        <w:t xml:space="preserve"> </w:t>
      </w:r>
      <w:r w:rsidRPr="00EA543A">
        <w:rPr>
          <w:rFonts w:ascii="Times New Roman" w:hAnsi="Times New Roman" w:cs="Times New Roman"/>
          <w:b/>
          <w:sz w:val="24"/>
          <w:szCs w:val="24"/>
        </w:rPr>
        <w:t>- § 11 ods. 1, ods. 7 a odseky 9 až 12</w:t>
      </w:r>
      <w:r w:rsidR="00F36BA1" w:rsidRPr="00EA543A">
        <w:rPr>
          <w:rFonts w:ascii="Times New Roman" w:hAnsi="Times New Roman" w:cs="Times New Roman"/>
          <w:b/>
          <w:sz w:val="24"/>
          <w:szCs w:val="24"/>
        </w:rPr>
        <w:t>, § 32 ods. 2 písm. d), § 32 ods. 3 písm. b), § 32 ods. 6 písm. d), § 35 ods. 1 písm. b), § 38 ods. 4,</w:t>
      </w:r>
      <w:r w:rsidR="00BD7B51" w:rsidRPr="00EA543A">
        <w:rPr>
          <w:rFonts w:ascii="Times New Roman" w:hAnsi="Times New Roman" w:cs="Times New Roman"/>
          <w:b/>
          <w:sz w:val="24"/>
          <w:szCs w:val="24"/>
        </w:rPr>
        <w:t xml:space="preserve"> </w:t>
      </w:r>
      <w:r w:rsidR="00F36BA1" w:rsidRPr="00EA543A">
        <w:rPr>
          <w:rFonts w:ascii="Times New Roman" w:hAnsi="Times New Roman" w:cs="Times New Roman"/>
          <w:b/>
          <w:sz w:val="24"/>
          <w:szCs w:val="24"/>
        </w:rPr>
        <w:t xml:space="preserve">§ 37 ods. 1 písm. c) a d) </w:t>
      </w:r>
      <w:r w:rsidR="00BD7B51" w:rsidRPr="00EA543A">
        <w:rPr>
          <w:rFonts w:ascii="Times New Roman" w:hAnsi="Times New Roman" w:cs="Times New Roman"/>
          <w:b/>
          <w:sz w:val="24"/>
          <w:szCs w:val="24"/>
        </w:rPr>
        <w:t xml:space="preserve">a § 52zz ods. </w:t>
      </w:r>
      <w:r w:rsidR="00226F05" w:rsidRPr="00EA543A">
        <w:rPr>
          <w:rFonts w:ascii="Times New Roman" w:hAnsi="Times New Roman" w:cs="Times New Roman"/>
          <w:b/>
          <w:sz w:val="24"/>
          <w:szCs w:val="24"/>
        </w:rPr>
        <w:t>2</w:t>
      </w:r>
    </w:p>
    <w:p w:rsidR="00BD7B51" w:rsidRPr="00EA543A" w:rsidRDefault="006459F1" w:rsidP="00BA62B0">
      <w:pPr>
        <w:pStyle w:val="Odsekzoznamu"/>
        <w:spacing w:after="0" w:line="240" w:lineRule="auto"/>
        <w:ind w:left="0"/>
        <w:jc w:val="both"/>
        <w:rPr>
          <w:rFonts w:ascii="Times New Roman" w:hAnsi="Times New Roman" w:cs="Times New Roman"/>
          <w:sz w:val="24"/>
          <w:szCs w:val="24"/>
        </w:rPr>
      </w:pPr>
      <w:r w:rsidRPr="00EA543A">
        <w:rPr>
          <w:rFonts w:ascii="Times New Roman" w:hAnsi="Times New Roman" w:cs="Times New Roman"/>
          <w:sz w:val="24"/>
          <w:szCs w:val="24"/>
        </w:rPr>
        <w:t>Navrhovanými úpravami sa vypúšťajú odseky týkajúce sa dobrovoľných príspevkov do tzv. II. piliera dôchodkového sporenia</w:t>
      </w:r>
      <w:r w:rsidR="00BD7B51" w:rsidRPr="00EA543A">
        <w:rPr>
          <w:rFonts w:ascii="Times New Roman" w:hAnsi="Times New Roman" w:cs="Times New Roman"/>
          <w:sz w:val="24"/>
          <w:szCs w:val="24"/>
        </w:rPr>
        <w:t>, pričom však v prípade, ak došlo k porušeniu podmienok podľa § 11 ods. 9 predpisu platného do 31.12.2019, musí byť dodržaný postup určený v tomto ustanovení</w:t>
      </w:r>
      <w:r w:rsidR="00947E97" w:rsidRPr="00EA543A">
        <w:rPr>
          <w:rFonts w:ascii="Times New Roman" w:hAnsi="Times New Roman" w:cs="Times New Roman"/>
          <w:sz w:val="24"/>
          <w:szCs w:val="24"/>
        </w:rPr>
        <w:t xml:space="preserve"> (§ 52zz ods. 3)</w:t>
      </w:r>
      <w:r w:rsidR="00BD7B51" w:rsidRPr="00EA543A">
        <w:rPr>
          <w:rFonts w:ascii="Times New Roman" w:hAnsi="Times New Roman" w:cs="Times New Roman"/>
          <w:sz w:val="24"/>
          <w:szCs w:val="24"/>
        </w:rPr>
        <w:t>.</w:t>
      </w:r>
    </w:p>
    <w:p w:rsidR="006459F1" w:rsidRPr="00EA543A" w:rsidRDefault="00BD7B51" w:rsidP="00BA62B0">
      <w:pPr>
        <w:pStyle w:val="Odsekzoznamu"/>
        <w:spacing w:after="0" w:line="240" w:lineRule="auto"/>
        <w:ind w:left="0"/>
        <w:jc w:val="both"/>
        <w:rPr>
          <w:rFonts w:ascii="Times New Roman" w:hAnsi="Times New Roman" w:cs="Times New Roman"/>
          <w:sz w:val="24"/>
          <w:szCs w:val="24"/>
        </w:rPr>
      </w:pPr>
      <w:r w:rsidRPr="00EA543A">
        <w:rPr>
          <w:rFonts w:ascii="Times New Roman" w:hAnsi="Times New Roman" w:cs="Times New Roman"/>
          <w:sz w:val="24"/>
          <w:szCs w:val="24"/>
        </w:rPr>
        <w:t>S</w:t>
      </w:r>
      <w:r w:rsidR="006459F1" w:rsidRPr="00EA543A">
        <w:rPr>
          <w:rFonts w:ascii="Times New Roman" w:hAnsi="Times New Roman" w:cs="Times New Roman"/>
          <w:sz w:val="24"/>
          <w:szCs w:val="24"/>
        </w:rPr>
        <w:t xml:space="preserve">presňuje sa </w:t>
      </w:r>
      <w:r w:rsidRPr="00EA543A">
        <w:rPr>
          <w:rFonts w:ascii="Times New Roman" w:hAnsi="Times New Roman" w:cs="Times New Roman"/>
          <w:sz w:val="24"/>
          <w:szCs w:val="24"/>
        </w:rPr>
        <w:t xml:space="preserve">aj </w:t>
      </w:r>
      <w:r w:rsidR="006459F1" w:rsidRPr="00EA543A">
        <w:rPr>
          <w:rFonts w:ascii="Times New Roman" w:hAnsi="Times New Roman" w:cs="Times New Roman"/>
          <w:sz w:val="24"/>
          <w:szCs w:val="24"/>
        </w:rPr>
        <w:t>spôsob odpočítania nez</w:t>
      </w:r>
      <w:r w:rsidRPr="00EA543A">
        <w:rPr>
          <w:rFonts w:ascii="Times New Roman" w:hAnsi="Times New Roman" w:cs="Times New Roman"/>
          <w:sz w:val="24"/>
          <w:szCs w:val="24"/>
        </w:rPr>
        <w:t>daniteľnej časti na kúpeľníctvo, kde v prípade, ak manželia idú do kúpeľov, kde im je poskytnutá kúpeľná starostlivosť, uplatní si nezdaniteľnú časť základu dane vo výške maxi</w:t>
      </w:r>
      <w:r w:rsidR="007C1C4D" w:rsidRPr="00EA543A">
        <w:rPr>
          <w:rFonts w:ascii="Times New Roman" w:hAnsi="Times New Roman" w:cs="Times New Roman"/>
          <w:sz w:val="24"/>
          <w:szCs w:val="24"/>
        </w:rPr>
        <w:t>málne 50 eur každý sám n</w:t>
      </w:r>
      <w:r w:rsidRPr="00EA543A">
        <w:rPr>
          <w:rFonts w:ascii="Times New Roman" w:hAnsi="Times New Roman" w:cs="Times New Roman"/>
          <w:sz w:val="24"/>
          <w:szCs w:val="24"/>
        </w:rPr>
        <w:t>a seba. Až v prípade, ak by napr. manželka nedosahovala príjmy podľa § 5 alebo § 6 ods. 1 a 2, t.j. nemala si od čoho túto nezdaniteľnú časť uplatniť, môže si ju odpočítať manžel za ňu.</w:t>
      </w:r>
    </w:p>
    <w:p w:rsidR="005F380C" w:rsidRPr="00EA543A" w:rsidRDefault="005F380C" w:rsidP="00BA62B0">
      <w:pPr>
        <w:pStyle w:val="Odsekzoznamu"/>
        <w:spacing w:after="0" w:line="240" w:lineRule="auto"/>
        <w:ind w:left="0"/>
        <w:jc w:val="both"/>
        <w:rPr>
          <w:rFonts w:ascii="Times New Roman" w:hAnsi="Times New Roman" w:cs="Times New Roman"/>
          <w:sz w:val="24"/>
          <w:szCs w:val="24"/>
        </w:rPr>
      </w:pPr>
    </w:p>
    <w:p w:rsidR="005F380C" w:rsidRPr="00EA543A" w:rsidRDefault="005F380C" w:rsidP="00BA62B0">
      <w:pPr>
        <w:pStyle w:val="Odsekzoznamu"/>
        <w:spacing w:after="0" w:line="240" w:lineRule="auto"/>
        <w:ind w:left="0"/>
        <w:jc w:val="both"/>
        <w:rPr>
          <w:rFonts w:ascii="Times New Roman" w:hAnsi="Times New Roman" w:cs="Times New Roman"/>
          <w:b/>
          <w:sz w:val="24"/>
          <w:szCs w:val="24"/>
        </w:rPr>
      </w:pPr>
      <w:r w:rsidRPr="00EA543A">
        <w:rPr>
          <w:rFonts w:ascii="Times New Roman" w:hAnsi="Times New Roman" w:cs="Times New Roman"/>
          <w:b/>
          <w:sz w:val="24"/>
          <w:szCs w:val="24"/>
        </w:rPr>
        <w:t>K bod</w:t>
      </w:r>
      <w:r w:rsidR="002309CB" w:rsidRPr="00EA543A">
        <w:rPr>
          <w:rFonts w:ascii="Times New Roman" w:hAnsi="Times New Roman" w:cs="Times New Roman"/>
          <w:b/>
          <w:sz w:val="24"/>
          <w:szCs w:val="24"/>
        </w:rPr>
        <w:t>om</w:t>
      </w:r>
      <w:r w:rsidRPr="00EA543A">
        <w:rPr>
          <w:rFonts w:ascii="Times New Roman" w:hAnsi="Times New Roman" w:cs="Times New Roman"/>
          <w:b/>
          <w:sz w:val="24"/>
          <w:szCs w:val="24"/>
        </w:rPr>
        <w:t xml:space="preserve"> </w:t>
      </w:r>
      <w:r w:rsidR="003C265B" w:rsidRPr="00EA543A">
        <w:rPr>
          <w:rFonts w:ascii="Times New Roman" w:hAnsi="Times New Roman" w:cs="Times New Roman"/>
          <w:b/>
          <w:sz w:val="24"/>
          <w:szCs w:val="24"/>
        </w:rPr>
        <w:t>22</w:t>
      </w:r>
      <w:r w:rsidR="007329DA" w:rsidRPr="00EA543A">
        <w:rPr>
          <w:rFonts w:ascii="Times New Roman" w:hAnsi="Times New Roman" w:cs="Times New Roman"/>
          <w:b/>
          <w:sz w:val="24"/>
          <w:szCs w:val="24"/>
        </w:rPr>
        <w:t>, 12</w:t>
      </w:r>
      <w:r w:rsidR="005B2651" w:rsidRPr="00EA543A">
        <w:rPr>
          <w:rFonts w:ascii="Times New Roman" w:hAnsi="Times New Roman" w:cs="Times New Roman"/>
          <w:b/>
          <w:sz w:val="24"/>
          <w:szCs w:val="24"/>
        </w:rPr>
        <w:t>1</w:t>
      </w:r>
      <w:r w:rsidR="002309CB" w:rsidRPr="00EA543A">
        <w:rPr>
          <w:rFonts w:ascii="Times New Roman" w:hAnsi="Times New Roman" w:cs="Times New Roman"/>
          <w:b/>
          <w:sz w:val="24"/>
          <w:szCs w:val="24"/>
        </w:rPr>
        <w:t xml:space="preserve"> a 1</w:t>
      </w:r>
      <w:r w:rsidR="007329DA" w:rsidRPr="00EA543A">
        <w:rPr>
          <w:rFonts w:ascii="Times New Roman" w:hAnsi="Times New Roman" w:cs="Times New Roman"/>
          <w:b/>
          <w:sz w:val="24"/>
          <w:szCs w:val="24"/>
        </w:rPr>
        <w:t>3</w:t>
      </w:r>
      <w:r w:rsidR="005B2651" w:rsidRPr="00EA543A">
        <w:rPr>
          <w:rFonts w:ascii="Times New Roman" w:hAnsi="Times New Roman" w:cs="Times New Roman"/>
          <w:b/>
          <w:sz w:val="24"/>
          <w:szCs w:val="24"/>
        </w:rPr>
        <w:t>4</w:t>
      </w:r>
      <w:r w:rsidRPr="00EA543A">
        <w:rPr>
          <w:rFonts w:ascii="Times New Roman" w:hAnsi="Times New Roman" w:cs="Times New Roman"/>
          <w:b/>
          <w:sz w:val="24"/>
          <w:szCs w:val="24"/>
        </w:rPr>
        <w:t xml:space="preserve"> - §13 ods. 3</w:t>
      </w:r>
      <w:r w:rsidR="007329DA" w:rsidRPr="00EA543A">
        <w:rPr>
          <w:rFonts w:ascii="Times New Roman" w:hAnsi="Times New Roman" w:cs="Times New Roman"/>
          <w:b/>
          <w:sz w:val="24"/>
          <w:szCs w:val="24"/>
        </w:rPr>
        <w:t>,</w:t>
      </w:r>
      <w:r w:rsidRPr="00EA543A">
        <w:rPr>
          <w:rFonts w:ascii="Times New Roman" w:hAnsi="Times New Roman" w:cs="Times New Roman"/>
          <w:b/>
          <w:sz w:val="24"/>
          <w:szCs w:val="24"/>
        </w:rPr>
        <w:t xml:space="preserve"> § 43 ods. 2</w:t>
      </w:r>
      <w:r w:rsidR="003C265B" w:rsidRPr="00EA543A">
        <w:rPr>
          <w:rFonts w:ascii="Times New Roman" w:hAnsi="Times New Roman" w:cs="Times New Roman"/>
          <w:b/>
          <w:sz w:val="24"/>
          <w:szCs w:val="24"/>
        </w:rPr>
        <w:t>1</w:t>
      </w:r>
      <w:r w:rsidR="007329DA" w:rsidRPr="00EA543A">
        <w:rPr>
          <w:rFonts w:ascii="Times New Roman" w:hAnsi="Times New Roman" w:cs="Times New Roman"/>
          <w:b/>
          <w:sz w:val="24"/>
          <w:szCs w:val="24"/>
        </w:rPr>
        <w:t xml:space="preserve"> a § 55zz ods. 3</w:t>
      </w:r>
    </w:p>
    <w:p w:rsidR="005F380C" w:rsidRPr="00EA543A" w:rsidRDefault="005F380C"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Pri výplate príjmov uvedených v § 13 ods. 2 písm. f) a </w:t>
      </w:r>
      <w:r w:rsidR="00D826B1" w:rsidRPr="00EA543A">
        <w:rPr>
          <w:rFonts w:ascii="Times New Roman" w:hAnsi="Times New Roman" w:cs="Times New Roman"/>
          <w:sz w:val="24"/>
          <w:szCs w:val="24"/>
        </w:rPr>
        <w:t>h</w:t>
      </w:r>
      <w:r w:rsidRPr="00EA543A">
        <w:rPr>
          <w:rFonts w:ascii="Times New Roman" w:hAnsi="Times New Roman" w:cs="Times New Roman"/>
          <w:sz w:val="24"/>
          <w:szCs w:val="24"/>
        </w:rPr>
        <w:t xml:space="preserve">) sa v § 13 ods. 3 a v § 43 ods. </w:t>
      </w:r>
      <w:r w:rsidR="00D826B1" w:rsidRPr="00EA543A">
        <w:rPr>
          <w:rFonts w:ascii="Times New Roman" w:hAnsi="Times New Roman" w:cs="Times New Roman"/>
          <w:sz w:val="24"/>
          <w:szCs w:val="24"/>
        </w:rPr>
        <w:t>21</w:t>
      </w:r>
      <w:r w:rsidRPr="00EA543A">
        <w:rPr>
          <w:rFonts w:ascii="Times New Roman" w:hAnsi="Times New Roman" w:cs="Times New Roman"/>
          <w:sz w:val="24"/>
          <w:szCs w:val="24"/>
        </w:rPr>
        <w:t xml:space="preserve"> zavádza aj </w:t>
      </w:r>
      <w:proofErr w:type="spellStart"/>
      <w:r w:rsidRPr="00EA543A">
        <w:rPr>
          <w:rFonts w:ascii="Times New Roman" w:hAnsi="Times New Roman" w:cs="Times New Roman"/>
          <w:sz w:val="24"/>
          <w:szCs w:val="24"/>
        </w:rPr>
        <w:t>prospektívne</w:t>
      </w:r>
      <w:proofErr w:type="spellEnd"/>
      <w:r w:rsidRPr="00EA543A">
        <w:rPr>
          <w:rFonts w:ascii="Times New Roman" w:hAnsi="Times New Roman" w:cs="Times New Roman"/>
          <w:sz w:val="24"/>
          <w:szCs w:val="24"/>
        </w:rPr>
        <w:t xml:space="preserve"> splnenie časového obdobia pre držbu podielu na základnom imaní. V prípade, že minimálna časová lehota pre nepretržitú držbu podielu na základnom imaní bude </w:t>
      </w:r>
      <w:r w:rsidRPr="00EA543A">
        <w:rPr>
          <w:rFonts w:ascii="Times New Roman" w:hAnsi="Times New Roman" w:cs="Times New Roman"/>
          <w:sz w:val="24"/>
          <w:szCs w:val="24"/>
        </w:rPr>
        <w:lastRenderedPageBreak/>
        <w:t xml:space="preserve">splnená po dni, v ktorom platiteľ dane vyplatil príjem daňovníkovi, daňovník môže požiadať správcu dane o vrátenie tejto zrazenej dane. </w:t>
      </w:r>
    </w:p>
    <w:p w:rsidR="005F380C" w:rsidRPr="00EA543A" w:rsidRDefault="005F380C" w:rsidP="00BA62B0">
      <w:pPr>
        <w:pStyle w:val="Odsekzoznamu"/>
        <w:spacing w:after="0" w:line="240" w:lineRule="auto"/>
        <w:ind w:left="0"/>
        <w:jc w:val="both"/>
        <w:rPr>
          <w:rFonts w:ascii="Times New Roman" w:hAnsi="Times New Roman" w:cs="Times New Roman"/>
          <w:sz w:val="24"/>
          <w:szCs w:val="24"/>
        </w:rPr>
      </w:pPr>
    </w:p>
    <w:p w:rsidR="00DE73E5" w:rsidRPr="00EA543A" w:rsidRDefault="00E87295" w:rsidP="00BA62B0">
      <w:pPr>
        <w:spacing w:after="0" w:line="240" w:lineRule="auto"/>
        <w:ind w:left="66"/>
        <w:jc w:val="both"/>
        <w:rPr>
          <w:rFonts w:ascii="Times New Roman" w:eastAsia="Times New Roman" w:hAnsi="Times New Roman" w:cs="Times New Roman"/>
          <w:b/>
          <w:sz w:val="24"/>
          <w:szCs w:val="24"/>
          <w:lang w:eastAsia="sk-SK"/>
        </w:rPr>
      </w:pPr>
      <w:r w:rsidRPr="00EA543A">
        <w:rPr>
          <w:rFonts w:ascii="Times New Roman" w:eastAsia="Times New Roman" w:hAnsi="Times New Roman" w:cs="Times New Roman"/>
          <w:b/>
          <w:sz w:val="24"/>
          <w:szCs w:val="24"/>
          <w:lang w:eastAsia="sk-SK"/>
        </w:rPr>
        <w:t>K bodom 2</w:t>
      </w:r>
      <w:r w:rsidR="007D1101" w:rsidRPr="00EA543A">
        <w:rPr>
          <w:rFonts w:ascii="Times New Roman" w:eastAsia="Times New Roman" w:hAnsi="Times New Roman" w:cs="Times New Roman"/>
          <w:b/>
          <w:sz w:val="24"/>
          <w:szCs w:val="24"/>
          <w:lang w:eastAsia="sk-SK"/>
        </w:rPr>
        <w:t>3</w:t>
      </w:r>
      <w:r w:rsidRPr="00EA543A">
        <w:rPr>
          <w:rFonts w:ascii="Times New Roman" w:eastAsia="Times New Roman" w:hAnsi="Times New Roman" w:cs="Times New Roman"/>
          <w:b/>
          <w:sz w:val="24"/>
          <w:szCs w:val="24"/>
          <w:lang w:eastAsia="sk-SK"/>
        </w:rPr>
        <w:t xml:space="preserve"> až 2</w:t>
      </w:r>
      <w:r w:rsidR="007D1101" w:rsidRPr="00EA543A">
        <w:rPr>
          <w:rFonts w:ascii="Times New Roman" w:eastAsia="Times New Roman" w:hAnsi="Times New Roman" w:cs="Times New Roman"/>
          <w:b/>
          <w:sz w:val="24"/>
          <w:szCs w:val="24"/>
          <w:lang w:eastAsia="sk-SK"/>
        </w:rPr>
        <w:t>6</w:t>
      </w:r>
      <w:r w:rsidRPr="00EA543A">
        <w:rPr>
          <w:rFonts w:ascii="Times New Roman" w:eastAsia="Times New Roman" w:hAnsi="Times New Roman" w:cs="Times New Roman"/>
          <w:b/>
          <w:sz w:val="24"/>
          <w:szCs w:val="24"/>
          <w:lang w:eastAsia="sk-SK"/>
        </w:rPr>
        <w:t xml:space="preserve"> - </w:t>
      </w:r>
      <w:r w:rsidR="00DE73E5" w:rsidRPr="00EA543A">
        <w:rPr>
          <w:rFonts w:ascii="Times New Roman" w:eastAsia="Times New Roman" w:hAnsi="Times New Roman" w:cs="Times New Roman"/>
          <w:b/>
          <w:sz w:val="24"/>
          <w:szCs w:val="24"/>
          <w:lang w:eastAsia="sk-SK"/>
        </w:rPr>
        <w:t>§ 13c ods. 1, § 13c ods. 2 písm. a) a b)</w:t>
      </w:r>
      <w:r w:rsidRPr="00EA543A">
        <w:rPr>
          <w:rFonts w:ascii="Times New Roman" w:eastAsia="Times New Roman" w:hAnsi="Times New Roman" w:cs="Times New Roman"/>
          <w:b/>
          <w:sz w:val="24"/>
          <w:szCs w:val="24"/>
          <w:lang w:eastAsia="sk-SK"/>
        </w:rPr>
        <w:t xml:space="preserve"> a</w:t>
      </w:r>
      <w:r w:rsidR="00DE73E5" w:rsidRPr="00EA543A">
        <w:rPr>
          <w:rFonts w:ascii="Times New Roman" w:eastAsia="Times New Roman" w:hAnsi="Times New Roman" w:cs="Times New Roman"/>
          <w:b/>
          <w:sz w:val="24"/>
          <w:szCs w:val="24"/>
          <w:lang w:eastAsia="sk-SK"/>
        </w:rPr>
        <w:t xml:space="preserve"> § 13c ods. 3</w:t>
      </w:r>
    </w:p>
    <w:p w:rsidR="00405D59" w:rsidRPr="00EA543A" w:rsidRDefault="00405D59" w:rsidP="00BA62B0">
      <w:pPr>
        <w:spacing w:after="0" w:line="240" w:lineRule="auto"/>
        <w:ind w:left="66"/>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sz w:val="24"/>
          <w:szCs w:val="24"/>
          <w:lang w:eastAsia="sk-SK"/>
        </w:rPr>
        <w:t xml:space="preserve">Podľa § 155 Obchodného zákonníka môže akciová spoločnosť vydávať okrem kmeňových akcií aj iné akcie. Oslobodenie podľa § 13c zákona o dani z príjmov je možné uplatniť na príjem (výnos) z predaja tých akcií, u ktorých budú splnené podmienky pre oslobodenie uvedené v § 13c ods. 2 resp. 3 zákona o dani z príjmov. Podľa § 220i ods. 3 Obchodného zákonníka môže jednoduchá spoločnosť na akcie vydávať iba kmeňové akcie a akcie s osobitnými právami. Do odseku 1 sa preto dopĺňa, že od dane sa oslobodzuje aj príjem z predaja kmeňových akcií alebo akcií s osobitnými právami akcionára jednoduchej spoločnosti na akcie. Toto oslobodenie je však možné uplatniť rovnako iba v prípade, ak budú splnené podmienky uvedené v odseku 2. Zároveň sa spresňujú aj odseky 2 a 3. </w:t>
      </w:r>
    </w:p>
    <w:p w:rsidR="00DE73E5" w:rsidRPr="00EA543A" w:rsidRDefault="00DE73E5" w:rsidP="00BA62B0">
      <w:pPr>
        <w:spacing w:after="0" w:line="240" w:lineRule="auto"/>
        <w:ind w:left="66"/>
        <w:jc w:val="both"/>
        <w:rPr>
          <w:rFonts w:ascii="Times New Roman" w:eastAsia="Times New Roman" w:hAnsi="Times New Roman" w:cs="Times New Roman"/>
          <w:b/>
          <w:sz w:val="24"/>
          <w:szCs w:val="24"/>
          <w:lang w:eastAsia="sk-SK"/>
        </w:rPr>
      </w:pPr>
    </w:p>
    <w:p w:rsidR="00DE73E5" w:rsidRPr="00EA543A" w:rsidRDefault="00E87295" w:rsidP="00BA62B0">
      <w:pPr>
        <w:spacing w:after="0" w:line="240" w:lineRule="auto"/>
        <w:ind w:left="66"/>
        <w:jc w:val="both"/>
        <w:rPr>
          <w:rFonts w:ascii="Times New Roman" w:eastAsia="Times New Roman" w:hAnsi="Times New Roman" w:cs="Times New Roman"/>
          <w:b/>
          <w:sz w:val="24"/>
          <w:szCs w:val="24"/>
          <w:lang w:eastAsia="sk-SK"/>
        </w:rPr>
      </w:pPr>
      <w:r w:rsidRPr="00EA543A">
        <w:rPr>
          <w:rFonts w:ascii="Times New Roman" w:eastAsia="Times New Roman" w:hAnsi="Times New Roman" w:cs="Times New Roman"/>
          <w:b/>
          <w:sz w:val="24"/>
          <w:szCs w:val="24"/>
          <w:lang w:eastAsia="sk-SK"/>
        </w:rPr>
        <w:t>K bodom 2</w:t>
      </w:r>
      <w:r w:rsidR="007D1101" w:rsidRPr="00EA543A">
        <w:rPr>
          <w:rFonts w:ascii="Times New Roman" w:eastAsia="Times New Roman" w:hAnsi="Times New Roman" w:cs="Times New Roman"/>
          <w:b/>
          <w:sz w:val="24"/>
          <w:szCs w:val="24"/>
          <w:lang w:eastAsia="sk-SK"/>
        </w:rPr>
        <w:t>6</w:t>
      </w:r>
      <w:r w:rsidRPr="00EA543A">
        <w:rPr>
          <w:rFonts w:ascii="Times New Roman" w:eastAsia="Times New Roman" w:hAnsi="Times New Roman" w:cs="Times New Roman"/>
          <w:b/>
          <w:sz w:val="24"/>
          <w:szCs w:val="24"/>
          <w:lang w:eastAsia="sk-SK"/>
        </w:rPr>
        <w:t xml:space="preserve"> a 2</w:t>
      </w:r>
      <w:r w:rsidR="007D1101" w:rsidRPr="00EA543A">
        <w:rPr>
          <w:rFonts w:ascii="Times New Roman" w:eastAsia="Times New Roman" w:hAnsi="Times New Roman" w:cs="Times New Roman"/>
          <w:b/>
          <w:sz w:val="24"/>
          <w:szCs w:val="24"/>
          <w:lang w:eastAsia="sk-SK"/>
        </w:rPr>
        <w:t>7</w:t>
      </w:r>
      <w:r w:rsidRPr="00EA543A">
        <w:rPr>
          <w:rFonts w:ascii="Times New Roman" w:eastAsia="Times New Roman" w:hAnsi="Times New Roman" w:cs="Times New Roman"/>
          <w:b/>
          <w:sz w:val="24"/>
          <w:szCs w:val="24"/>
          <w:lang w:eastAsia="sk-SK"/>
        </w:rPr>
        <w:t xml:space="preserve"> - </w:t>
      </w:r>
      <w:r w:rsidR="00DE73E5" w:rsidRPr="00EA543A">
        <w:rPr>
          <w:rFonts w:ascii="Times New Roman" w:eastAsia="Times New Roman" w:hAnsi="Times New Roman" w:cs="Times New Roman"/>
          <w:b/>
          <w:sz w:val="24"/>
          <w:szCs w:val="24"/>
          <w:lang w:eastAsia="sk-SK"/>
        </w:rPr>
        <w:t>§ 13c ods. 3 písm. c), § 13c ods. 4</w:t>
      </w:r>
    </w:p>
    <w:p w:rsidR="00DE73E5" w:rsidRPr="00EA543A" w:rsidRDefault="00DE73E5" w:rsidP="00BA62B0">
      <w:pPr>
        <w:spacing w:after="0" w:line="240" w:lineRule="auto"/>
        <w:ind w:left="66"/>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sz w:val="24"/>
          <w:szCs w:val="24"/>
          <w:lang w:eastAsia="sk-SK"/>
        </w:rPr>
        <w:t xml:space="preserve">V § 13c ods. 3 sa spresňuje, že oslobodenie sa nevzťahuje na príjem (výnos) z predaja vlastných akcií podľa  </w:t>
      </w:r>
      <w:r w:rsidR="00947E97" w:rsidRPr="00EA543A">
        <w:rPr>
          <w:rFonts w:ascii="Times New Roman" w:eastAsia="Times New Roman" w:hAnsi="Times New Roman" w:cs="Times New Roman"/>
          <w:sz w:val="24"/>
          <w:szCs w:val="24"/>
          <w:lang w:eastAsia="sk-SK"/>
        </w:rPr>
        <w:t>§</w:t>
      </w:r>
      <w:r w:rsidRPr="00EA543A">
        <w:rPr>
          <w:rFonts w:ascii="Times New Roman" w:eastAsia="Times New Roman" w:hAnsi="Times New Roman" w:cs="Times New Roman"/>
          <w:sz w:val="24"/>
          <w:szCs w:val="24"/>
          <w:lang w:eastAsia="sk-SK"/>
        </w:rPr>
        <w:t xml:space="preserve"> 161a a § 161b Obchodného zákonníka. V ods. 4 písmene a) sa spresňuje, že za deň splatenia peňažného vkladu sa rozumie až deň úplného splatenia peňažného vkladu po zápise do Obchodného registra.</w:t>
      </w:r>
    </w:p>
    <w:p w:rsidR="005015EF" w:rsidRPr="00EA543A" w:rsidRDefault="005015EF" w:rsidP="00BA62B0">
      <w:pPr>
        <w:spacing w:after="0" w:line="240" w:lineRule="auto"/>
        <w:ind w:left="66"/>
        <w:jc w:val="both"/>
        <w:rPr>
          <w:rFonts w:ascii="Times New Roman" w:eastAsia="Times New Roman" w:hAnsi="Times New Roman" w:cs="Times New Roman"/>
          <w:sz w:val="24"/>
          <w:szCs w:val="24"/>
          <w:lang w:eastAsia="sk-SK"/>
        </w:rPr>
      </w:pPr>
    </w:p>
    <w:p w:rsidR="005C049C" w:rsidRPr="00EA543A" w:rsidRDefault="005015EF" w:rsidP="00BA62B0">
      <w:pPr>
        <w:spacing w:after="0" w:line="240" w:lineRule="auto"/>
        <w:ind w:left="66"/>
        <w:jc w:val="both"/>
        <w:rPr>
          <w:rFonts w:ascii="Times New Roman" w:hAnsi="Times New Roman" w:cs="Times New Roman"/>
          <w:b/>
          <w:sz w:val="24"/>
          <w:szCs w:val="24"/>
        </w:rPr>
      </w:pPr>
      <w:r w:rsidRPr="00EA543A">
        <w:rPr>
          <w:rFonts w:ascii="Times New Roman" w:hAnsi="Times New Roman" w:cs="Times New Roman"/>
          <w:b/>
          <w:sz w:val="24"/>
          <w:szCs w:val="24"/>
        </w:rPr>
        <w:t>K</w:t>
      </w:r>
      <w:r w:rsidR="005C049C" w:rsidRPr="00EA543A">
        <w:rPr>
          <w:rFonts w:ascii="Times New Roman" w:hAnsi="Times New Roman" w:cs="Times New Roman"/>
          <w:b/>
          <w:sz w:val="24"/>
          <w:szCs w:val="24"/>
        </w:rPr>
        <w:t> </w:t>
      </w:r>
      <w:r w:rsidRPr="00EA543A">
        <w:rPr>
          <w:rFonts w:ascii="Times New Roman" w:hAnsi="Times New Roman" w:cs="Times New Roman"/>
          <w:b/>
          <w:sz w:val="24"/>
          <w:szCs w:val="24"/>
        </w:rPr>
        <w:t>bodom</w:t>
      </w:r>
      <w:r w:rsidR="005C049C" w:rsidRPr="00EA543A">
        <w:rPr>
          <w:rFonts w:ascii="Times New Roman" w:hAnsi="Times New Roman" w:cs="Times New Roman"/>
          <w:b/>
          <w:sz w:val="24"/>
          <w:szCs w:val="24"/>
        </w:rPr>
        <w:t xml:space="preserve"> 2</w:t>
      </w:r>
      <w:r w:rsidR="007D1101" w:rsidRPr="00EA543A">
        <w:rPr>
          <w:rFonts w:ascii="Times New Roman" w:hAnsi="Times New Roman" w:cs="Times New Roman"/>
          <w:b/>
          <w:sz w:val="24"/>
          <w:szCs w:val="24"/>
        </w:rPr>
        <w:t>8</w:t>
      </w:r>
      <w:r w:rsidR="005C049C" w:rsidRPr="00EA543A">
        <w:rPr>
          <w:rFonts w:ascii="Times New Roman" w:hAnsi="Times New Roman" w:cs="Times New Roman"/>
          <w:b/>
          <w:sz w:val="24"/>
          <w:szCs w:val="24"/>
        </w:rPr>
        <w:t xml:space="preserve">, </w:t>
      </w:r>
      <w:r w:rsidR="002309CB" w:rsidRPr="00EA543A">
        <w:rPr>
          <w:rFonts w:ascii="Times New Roman" w:hAnsi="Times New Roman" w:cs="Times New Roman"/>
          <w:b/>
          <w:sz w:val="24"/>
          <w:szCs w:val="24"/>
        </w:rPr>
        <w:t>70, 82,</w:t>
      </w:r>
      <w:r w:rsidR="005C049C" w:rsidRPr="00EA543A">
        <w:rPr>
          <w:rFonts w:ascii="Times New Roman" w:hAnsi="Times New Roman" w:cs="Times New Roman"/>
          <w:b/>
          <w:sz w:val="24"/>
          <w:szCs w:val="24"/>
        </w:rPr>
        <w:t xml:space="preserve"> </w:t>
      </w:r>
      <w:r w:rsidR="00226F05" w:rsidRPr="00EA543A">
        <w:rPr>
          <w:rFonts w:ascii="Times New Roman" w:hAnsi="Times New Roman" w:cs="Times New Roman"/>
          <w:b/>
          <w:sz w:val="24"/>
          <w:szCs w:val="24"/>
        </w:rPr>
        <w:t>12</w:t>
      </w:r>
      <w:r w:rsidR="005B2651" w:rsidRPr="00EA543A">
        <w:rPr>
          <w:rFonts w:ascii="Times New Roman" w:hAnsi="Times New Roman" w:cs="Times New Roman"/>
          <w:b/>
          <w:sz w:val="24"/>
          <w:szCs w:val="24"/>
        </w:rPr>
        <w:t>3</w:t>
      </w:r>
      <w:r w:rsidR="005C049C" w:rsidRPr="00EA543A">
        <w:rPr>
          <w:rFonts w:ascii="Times New Roman" w:hAnsi="Times New Roman" w:cs="Times New Roman"/>
          <w:b/>
          <w:sz w:val="24"/>
          <w:szCs w:val="24"/>
        </w:rPr>
        <w:t xml:space="preserve"> a 1</w:t>
      </w:r>
      <w:r w:rsidR="005B2651" w:rsidRPr="00EA543A">
        <w:rPr>
          <w:rFonts w:ascii="Times New Roman" w:hAnsi="Times New Roman" w:cs="Times New Roman"/>
          <w:b/>
          <w:sz w:val="24"/>
          <w:szCs w:val="24"/>
        </w:rPr>
        <w:t>28</w:t>
      </w:r>
      <w:r w:rsidR="005C049C" w:rsidRPr="00EA543A">
        <w:rPr>
          <w:rFonts w:ascii="Times New Roman" w:hAnsi="Times New Roman" w:cs="Times New Roman"/>
          <w:b/>
          <w:sz w:val="24"/>
          <w:szCs w:val="24"/>
        </w:rPr>
        <w:t xml:space="preserve"> - § 15a, § 26 ods. 10, § 27 ods. 3, § 28 ods. 5,  § 32a ods. 3 a</w:t>
      </w:r>
      <w:r w:rsidR="002309CB" w:rsidRPr="00EA543A">
        <w:rPr>
          <w:rFonts w:ascii="Times New Roman" w:hAnsi="Times New Roman" w:cs="Times New Roman"/>
          <w:b/>
          <w:sz w:val="24"/>
          <w:szCs w:val="24"/>
        </w:rPr>
        <w:t> </w:t>
      </w:r>
      <w:r w:rsidR="005C049C" w:rsidRPr="00EA543A">
        <w:rPr>
          <w:rFonts w:ascii="Times New Roman" w:hAnsi="Times New Roman" w:cs="Times New Roman"/>
          <w:b/>
          <w:sz w:val="24"/>
          <w:szCs w:val="24"/>
        </w:rPr>
        <w:t>4</w:t>
      </w:r>
      <w:r w:rsidR="002309CB" w:rsidRPr="00EA543A">
        <w:rPr>
          <w:rFonts w:ascii="Times New Roman" w:hAnsi="Times New Roman" w:cs="Times New Roman"/>
          <w:b/>
          <w:sz w:val="24"/>
          <w:szCs w:val="24"/>
        </w:rPr>
        <w:t>, § 45 ods. 1</w:t>
      </w:r>
      <w:r w:rsidR="005C049C" w:rsidRPr="00EA543A">
        <w:rPr>
          <w:rFonts w:ascii="Times New Roman" w:hAnsi="Times New Roman" w:cs="Times New Roman"/>
          <w:b/>
          <w:sz w:val="24"/>
          <w:szCs w:val="24"/>
        </w:rPr>
        <w:t xml:space="preserve"> a § 50 ods. 2</w:t>
      </w:r>
    </w:p>
    <w:p w:rsidR="005015EF" w:rsidRPr="00EA543A" w:rsidRDefault="005015EF" w:rsidP="00BA62B0">
      <w:pPr>
        <w:spacing w:after="0" w:line="240" w:lineRule="auto"/>
        <w:ind w:left="66"/>
        <w:jc w:val="both"/>
        <w:rPr>
          <w:rFonts w:ascii="Times New Roman" w:hAnsi="Times New Roman" w:cs="Times New Roman"/>
          <w:sz w:val="24"/>
          <w:szCs w:val="24"/>
        </w:rPr>
      </w:pPr>
      <w:r w:rsidRPr="00EA543A">
        <w:rPr>
          <w:rFonts w:ascii="Times New Roman" w:hAnsi="Times New Roman" w:cs="Times New Roman"/>
          <w:sz w:val="24"/>
          <w:szCs w:val="24"/>
        </w:rPr>
        <w:t xml:space="preserve">Ide o legislatívno-technickú úpravu v nadväznosti na zmenu spôsobu zaokrúhľovania v § 47. </w:t>
      </w:r>
    </w:p>
    <w:p w:rsidR="005015EF" w:rsidRPr="00EA543A" w:rsidRDefault="005015EF" w:rsidP="00BA62B0">
      <w:pPr>
        <w:spacing w:after="0" w:line="240" w:lineRule="auto"/>
        <w:ind w:left="66"/>
        <w:jc w:val="both"/>
        <w:rPr>
          <w:rFonts w:ascii="Times New Roman" w:eastAsia="Times New Roman" w:hAnsi="Times New Roman" w:cs="Times New Roman"/>
          <w:sz w:val="24"/>
          <w:szCs w:val="24"/>
          <w:lang w:eastAsia="sk-SK"/>
        </w:rPr>
      </w:pPr>
    </w:p>
    <w:p w:rsidR="00405D59" w:rsidRPr="00EA543A" w:rsidRDefault="00405D59" w:rsidP="00BA62B0">
      <w:pPr>
        <w:spacing w:after="0" w:line="240" w:lineRule="auto"/>
        <w:jc w:val="both"/>
        <w:rPr>
          <w:rFonts w:ascii="Times New Roman" w:eastAsia="Times New Roman" w:hAnsi="Times New Roman" w:cs="Times New Roman"/>
          <w:b/>
          <w:sz w:val="24"/>
          <w:szCs w:val="24"/>
          <w:lang w:eastAsia="sk-SK"/>
        </w:rPr>
      </w:pPr>
      <w:r w:rsidRPr="00EA543A">
        <w:rPr>
          <w:rFonts w:ascii="Times New Roman" w:eastAsia="Times New Roman" w:hAnsi="Times New Roman" w:cs="Times New Roman"/>
          <w:b/>
          <w:sz w:val="24"/>
          <w:szCs w:val="24"/>
          <w:lang w:eastAsia="sk-SK"/>
        </w:rPr>
        <w:t xml:space="preserve">K bodu </w:t>
      </w:r>
      <w:r w:rsidR="002309CB" w:rsidRPr="00EA543A">
        <w:rPr>
          <w:rFonts w:ascii="Times New Roman" w:eastAsia="Times New Roman" w:hAnsi="Times New Roman" w:cs="Times New Roman"/>
          <w:b/>
          <w:sz w:val="24"/>
          <w:szCs w:val="24"/>
          <w:lang w:eastAsia="sk-SK"/>
        </w:rPr>
        <w:t>29</w:t>
      </w:r>
      <w:r w:rsidRPr="00EA543A">
        <w:rPr>
          <w:rFonts w:ascii="Times New Roman" w:eastAsia="Times New Roman" w:hAnsi="Times New Roman" w:cs="Times New Roman"/>
          <w:b/>
          <w:sz w:val="24"/>
          <w:szCs w:val="24"/>
          <w:lang w:eastAsia="sk-SK"/>
        </w:rPr>
        <w:t xml:space="preserve"> - § 16 ods. 1 písm. a)</w:t>
      </w:r>
    </w:p>
    <w:p w:rsidR="00405D59" w:rsidRPr="00EA543A" w:rsidRDefault="00405D59" w:rsidP="00BA62B0">
      <w:pPr>
        <w:spacing w:after="0" w:line="240" w:lineRule="auto"/>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sz w:val="24"/>
          <w:szCs w:val="24"/>
          <w:lang w:eastAsia="sk-SK"/>
        </w:rPr>
        <w:t xml:space="preserve">V nadväznosti na zavedenie </w:t>
      </w:r>
      <w:proofErr w:type="spellStart"/>
      <w:r w:rsidRPr="00EA543A">
        <w:rPr>
          <w:rFonts w:ascii="Times New Roman" w:eastAsia="Times New Roman" w:hAnsi="Times New Roman" w:cs="Times New Roman"/>
          <w:sz w:val="24"/>
          <w:szCs w:val="24"/>
          <w:lang w:eastAsia="sk-SK"/>
        </w:rPr>
        <w:t>exit</w:t>
      </w:r>
      <w:proofErr w:type="spellEnd"/>
      <w:r w:rsidRPr="00EA543A">
        <w:rPr>
          <w:rFonts w:ascii="Times New Roman" w:eastAsia="Times New Roman" w:hAnsi="Times New Roman" w:cs="Times New Roman"/>
          <w:sz w:val="24"/>
          <w:szCs w:val="24"/>
          <w:lang w:eastAsia="sk-SK"/>
        </w:rPr>
        <w:t xml:space="preserve"> </w:t>
      </w:r>
      <w:proofErr w:type="spellStart"/>
      <w:r w:rsidRPr="00EA543A">
        <w:rPr>
          <w:rFonts w:ascii="Times New Roman" w:eastAsia="Times New Roman" w:hAnsi="Times New Roman" w:cs="Times New Roman"/>
          <w:sz w:val="24"/>
          <w:szCs w:val="24"/>
          <w:lang w:eastAsia="sk-SK"/>
        </w:rPr>
        <w:t>tax</w:t>
      </w:r>
      <w:proofErr w:type="spellEnd"/>
      <w:r w:rsidRPr="00EA543A">
        <w:rPr>
          <w:rFonts w:ascii="Times New Roman" w:eastAsia="Times New Roman" w:hAnsi="Times New Roman" w:cs="Times New Roman"/>
          <w:sz w:val="24"/>
          <w:szCs w:val="24"/>
          <w:lang w:eastAsia="sk-SK"/>
        </w:rPr>
        <w:t xml:space="preserve"> v § 17f zákona o dani z príjmov sa za účelom zamedzenia nejednoznačnému výkladu dopĺňa tento nerealizovaný príjem medzi príjmy plynúce zo zdroja na území Slovenskej republiky. Ide o príjmy z presunu majetku stálej prevádzkarne do zahraničia ako aj príjmy z presunu podnikateľskej činnosti stálej prevádzkarne do zahraničia.</w:t>
      </w:r>
    </w:p>
    <w:p w:rsidR="00405D59" w:rsidRPr="00EA543A" w:rsidRDefault="00405D59" w:rsidP="00BA62B0">
      <w:pPr>
        <w:spacing w:after="0" w:line="240" w:lineRule="auto"/>
        <w:ind w:left="66"/>
        <w:jc w:val="both"/>
        <w:rPr>
          <w:rFonts w:ascii="Times New Roman" w:hAnsi="Times New Roman" w:cs="Times New Roman"/>
          <w:b/>
          <w:sz w:val="24"/>
          <w:szCs w:val="24"/>
        </w:rPr>
      </w:pPr>
    </w:p>
    <w:p w:rsidR="005015EF" w:rsidRPr="00EA543A" w:rsidRDefault="005015EF" w:rsidP="00BA62B0">
      <w:pPr>
        <w:spacing w:after="0" w:line="240" w:lineRule="auto"/>
        <w:ind w:left="66"/>
        <w:jc w:val="both"/>
        <w:rPr>
          <w:rFonts w:ascii="Times New Roman" w:hAnsi="Times New Roman" w:cs="Times New Roman"/>
          <w:b/>
          <w:sz w:val="24"/>
          <w:szCs w:val="24"/>
        </w:rPr>
      </w:pPr>
      <w:r w:rsidRPr="00EA543A">
        <w:rPr>
          <w:rFonts w:ascii="Times New Roman" w:hAnsi="Times New Roman" w:cs="Times New Roman"/>
          <w:b/>
          <w:sz w:val="24"/>
          <w:szCs w:val="24"/>
        </w:rPr>
        <w:t xml:space="preserve">K bodu </w:t>
      </w:r>
      <w:r w:rsidR="002309CB" w:rsidRPr="00EA543A">
        <w:rPr>
          <w:rFonts w:ascii="Times New Roman" w:hAnsi="Times New Roman" w:cs="Times New Roman"/>
          <w:b/>
          <w:sz w:val="24"/>
          <w:szCs w:val="24"/>
        </w:rPr>
        <w:t>30</w:t>
      </w:r>
      <w:r w:rsidRPr="00EA543A">
        <w:rPr>
          <w:rFonts w:ascii="Times New Roman" w:hAnsi="Times New Roman" w:cs="Times New Roman"/>
          <w:b/>
          <w:sz w:val="24"/>
          <w:szCs w:val="24"/>
        </w:rPr>
        <w:t xml:space="preserve"> – poznámka pod čiarou k odkazu 76  </w:t>
      </w:r>
    </w:p>
    <w:p w:rsidR="005015EF" w:rsidRPr="00EA543A" w:rsidRDefault="005015EF"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Ide o legislatívno-technickú úpravu</w:t>
      </w:r>
      <w:r w:rsidR="005C049C" w:rsidRPr="00EA543A">
        <w:rPr>
          <w:rFonts w:ascii="Times New Roman" w:hAnsi="Times New Roman" w:cs="Times New Roman"/>
          <w:sz w:val="24"/>
          <w:szCs w:val="24"/>
        </w:rPr>
        <w:t>.</w:t>
      </w:r>
    </w:p>
    <w:p w:rsidR="005C049C" w:rsidRPr="00EA543A" w:rsidRDefault="005C049C" w:rsidP="00BA62B0">
      <w:pPr>
        <w:spacing w:after="0" w:line="240" w:lineRule="auto"/>
        <w:ind w:left="66"/>
        <w:jc w:val="both"/>
        <w:rPr>
          <w:rFonts w:ascii="Times New Roman" w:eastAsia="Times New Roman" w:hAnsi="Times New Roman" w:cs="Times New Roman"/>
          <w:b/>
          <w:sz w:val="24"/>
          <w:szCs w:val="24"/>
          <w:lang w:eastAsia="sk-SK"/>
        </w:rPr>
      </w:pPr>
    </w:p>
    <w:p w:rsidR="00DE73E5" w:rsidRPr="00EA543A" w:rsidRDefault="005C049C" w:rsidP="00BA62B0">
      <w:pPr>
        <w:spacing w:after="0" w:line="240" w:lineRule="auto"/>
        <w:ind w:left="66"/>
        <w:rPr>
          <w:rFonts w:ascii="Times New Roman" w:eastAsia="Times New Roman" w:hAnsi="Times New Roman" w:cs="Times New Roman"/>
          <w:b/>
          <w:sz w:val="24"/>
          <w:szCs w:val="24"/>
          <w:lang w:eastAsia="sk-SK"/>
        </w:rPr>
      </w:pPr>
      <w:r w:rsidRPr="00EA543A">
        <w:rPr>
          <w:rFonts w:ascii="Times New Roman" w:eastAsia="Times New Roman" w:hAnsi="Times New Roman" w:cs="Times New Roman"/>
          <w:b/>
          <w:sz w:val="24"/>
          <w:szCs w:val="24"/>
          <w:lang w:eastAsia="sk-SK"/>
        </w:rPr>
        <w:t>K bodu 3</w:t>
      </w:r>
      <w:r w:rsidR="002309CB" w:rsidRPr="00EA543A">
        <w:rPr>
          <w:rFonts w:ascii="Times New Roman" w:eastAsia="Times New Roman" w:hAnsi="Times New Roman" w:cs="Times New Roman"/>
          <w:b/>
          <w:sz w:val="24"/>
          <w:szCs w:val="24"/>
          <w:lang w:eastAsia="sk-SK"/>
        </w:rPr>
        <w:t>1</w:t>
      </w:r>
      <w:r w:rsidRPr="00EA543A">
        <w:rPr>
          <w:rFonts w:ascii="Times New Roman" w:eastAsia="Times New Roman" w:hAnsi="Times New Roman" w:cs="Times New Roman"/>
          <w:b/>
          <w:sz w:val="24"/>
          <w:szCs w:val="24"/>
          <w:lang w:eastAsia="sk-SK"/>
        </w:rPr>
        <w:t xml:space="preserve"> - </w:t>
      </w:r>
      <w:r w:rsidR="00DE73E5" w:rsidRPr="00EA543A">
        <w:rPr>
          <w:rFonts w:ascii="Times New Roman" w:eastAsia="Times New Roman" w:hAnsi="Times New Roman" w:cs="Times New Roman"/>
          <w:b/>
          <w:sz w:val="24"/>
          <w:szCs w:val="24"/>
          <w:lang w:eastAsia="sk-SK"/>
        </w:rPr>
        <w:t>§ 16 ods. 1 písm. e) 9. bod</w:t>
      </w:r>
    </w:p>
    <w:p w:rsidR="00DE73E5" w:rsidRPr="00EA543A" w:rsidRDefault="00DE73E5" w:rsidP="00BA62B0">
      <w:pPr>
        <w:spacing w:after="0" w:line="240" w:lineRule="auto"/>
        <w:ind w:left="66"/>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sz w:val="24"/>
          <w:szCs w:val="24"/>
          <w:lang w:eastAsia="sk-SK"/>
        </w:rPr>
        <w:t>Spresnenie podielu na zisku (dividendy) považovanej za príjem zo zdroja na území Slovenskej republiky v nadväznosti na § 3 ods. 1 písm. e) zákona o dani z príjmov.</w:t>
      </w:r>
    </w:p>
    <w:p w:rsidR="00580AE9" w:rsidRPr="00EA543A" w:rsidRDefault="00580AE9" w:rsidP="00BA62B0">
      <w:pPr>
        <w:spacing w:after="0" w:line="240" w:lineRule="auto"/>
        <w:ind w:left="66"/>
        <w:jc w:val="both"/>
        <w:rPr>
          <w:rFonts w:ascii="Times New Roman" w:eastAsia="Times New Roman" w:hAnsi="Times New Roman" w:cs="Times New Roman"/>
          <w:sz w:val="24"/>
          <w:szCs w:val="24"/>
          <w:lang w:eastAsia="sk-SK"/>
        </w:rPr>
      </w:pPr>
    </w:p>
    <w:p w:rsidR="00580AE9" w:rsidRPr="00EA543A" w:rsidRDefault="005C049C" w:rsidP="00BA62B0">
      <w:pPr>
        <w:spacing w:after="0" w:line="240" w:lineRule="auto"/>
        <w:ind w:left="66"/>
        <w:jc w:val="both"/>
        <w:rPr>
          <w:rFonts w:ascii="Times New Roman" w:eastAsia="Times New Roman" w:hAnsi="Times New Roman" w:cs="Times New Roman"/>
          <w:b/>
          <w:sz w:val="24"/>
          <w:szCs w:val="24"/>
          <w:lang w:eastAsia="sk-SK"/>
        </w:rPr>
      </w:pPr>
      <w:r w:rsidRPr="00EA543A">
        <w:rPr>
          <w:rFonts w:ascii="Times New Roman" w:eastAsia="Times New Roman" w:hAnsi="Times New Roman" w:cs="Times New Roman"/>
          <w:b/>
          <w:sz w:val="24"/>
          <w:szCs w:val="24"/>
          <w:lang w:eastAsia="sk-SK"/>
        </w:rPr>
        <w:t>K bodu 3</w:t>
      </w:r>
      <w:r w:rsidR="002309CB" w:rsidRPr="00EA543A">
        <w:rPr>
          <w:rFonts w:ascii="Times New Roman" w:eastAsia="Times New Roman" w:hAnsi="Times New Roman" w:cs="Times New Roman"/>
          <w:b/>
          <w:sz w:val="24"/>
          <w:szCs w:val="24"/>
          <w:lang w:eastAsia="sk-SK"/>
        </w:rPr>
        <w:t>2</w:t>
      </w:r>
      <w:r w:rsidRPr="00EA543A">
        <w:rPr>
          <w:rFonts w:ascii="Times New Roman" w:eastAsia="Times New Roman" w:hAnsi="Times New Roman" w:cs="Times New Roman"/>
          <w:b/>
          <w:sz w:val="24"/>
          <w:szCs w:val="24"/>
          <w:lang w:eastAsia="sk-SK"/>
        </w:rPr>
        <w:t xml:space="preserve"> - </w:t>
      </w:r>
      <w:r w:rsidR="00580AE9" w:rsidRPr="00EA543A">
        <w:rPr>
          <w:rFonts w:ascii="Times New Roman" w:eastAsia="Times New Roman" w:hAnsi="Times New Roman" w:cs="Times New Roman"/>
          <w:b/>
          <w:sz w:val="24"/>
          <w:szCs w:val="24"/>
          <w:lang w:eastAsia="sk-SK"/>
        </w:rPr>
        <w:t>§ 16 ods. 1 písm. e) 10. bod</w:t>
      </w:r>
    </w:p>
    <w:p w:rsidR="007329DA" w:rsidRPr="00EA543A" w:rsidRDefault="007329DA" w:rsidP="00BA62B0">
      <w:pPr>
        <w:tabs>
          <w:tab w:val="left" w:pos="142"/>
        </w:tabs>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Príjmom daňovníka s obmedzenou daňovou povinnosťou zo zdrojov na území SR sú odplaty za poskytnutie služieb vymedzených v § 16 ods. 1 písm. e) 10. bod zákona vo výške</w:t>
      </w:r>
      <w:r w:rsidRPr="00EA543A">
        <w:rPr>
          <w:rFonts w:ascii="Times New Roman" w:eastAsia="Times New Roman" w:hAnsi="Times New Roman" w:cs="Times New Roman"/>
          <w:sz w:val="24"/>
          <w:szCs w:val="24"/>
          <w:lang w:eastAsia="sk-SK"/>
        </w:rPr>
        <w:t xml:space="preserve">, v akej je táto odplata súčasne uplatnená ako daňový výdavok. V záujme zníženia bariér v oblasti exportu, vyplývajúcich z aplikačnej praxe, sa zavádza </w:t>
      </w:r>
      <w:r w:rsidRPr="00EA543A">
        <w:rPr>
          <w:rFonts w:ascii="Times New Roman" w:hAnsi="Times New Roman" w:cs="Times New Roman"/>
          <w:sz w:val="24"/>
          <w:szCs w:val="24"/>
        </w:rPr>
        <w:t>úprava, ktorá sa uplatní na situácie predaja tovaru v zahraničí, s ktorým sú spojené náklady preukázateľne vynaložené na poskytnutie marketingových a sprostredkovateľských služieb v tomto štáte. V takýchto situáciách nebudú odplaty za poskytnutie marketingových služieb a služieb sprostredkovateľskej činnosti považované za príjmy zo zdrojov na území SR.</w:t>
      </w:r>
    </w:p>
    <w:p w:rsidR="00580AE9" w:rsidRPr="00EA543A" w:rsidRDefault="00580AE9" w:rsidP="00BA62B0">
      <w:pPr>
        <w:spacing w:after="0" w:line="240" w:lineRule="auto"/>
        <w:ind w:left="66"/>
        <w:jc w:val="both"/>
        <w:rPr>
          <w:rFonts w:ascii="Times New Roman" w:eastAsia="Times New Roman" w:hAnsi="Times New Roman" w:cs="Times New Roman"/>
          <w:sz w:val="24"/>
          <w:szCs w:val="24"/>
          <w:lang w:eastAsia="sk-SK"/>
        </w:rPr>
      </w:pPr>
    </w:p>
    <w:p w:rsidR="006310C9" w:rsidRPr="00EA543A" w:rsidRDefault="006310C9" w:rsidP="00BA62B0">
      <w:pPr>
        <w:spacing w:after="0" w:line="240" w:lineRule="auto"/>
        <w:ind w:left="66"/>
        <w:jc w:val="both"/>
        <w:rPr>
          <w:rFonts w:ascii="Times New Roman" w:eastAsia="Times New Roman" w:hAnsi="Times New Roman" w:cs="Times New Roman"/>
          <w:b/>
          <w:sz w:val="24"/>
          <w:szCs w:val="24"/>
          <w:lang w:eastAsia="sk-SK"/>
        </w:rPr>
      </w:pPr>
      <w:r w:rsidRPr="00EA543A">
        <w:rPr>
          <w:rFonts w:ascii="Times New Roman" w:eastAsia="Times New Roman" w:hAnsi="Times New Roman" w:cs="Times New Roman"/>
          <w:b/>
          <w:sz w:val="24"/>
          <w:szCs w:val="24"/>
          <w:lang w:eastAsia="sk-SK"/>
        </w:rPr>
        <w:t>K bodom 3</w:t>
      </w:r>
      <w:r w:rsidR="002309CB" w:rsidRPr="00EA543A">
        <w:rPr>
          <w:rFonts w:ascii="Times New Roman" w:eastAsia="Times New Roman" w:hAnsi="Times New Roman" w:cs="Times New Roman"/>
          <w:b/>
          <w:sz w:val="24"/>
          <w:szCs w:val="24"/>
          <w:lang w:eastAsia="sk-SK"/>
        </w:rPr>
        <w:t>3</w:t>
      </w:r>
      <w:r w:rsidR="005B2651" w:rsidRPr="00EA543A">
        <w:rPr>
          <w:rFonts w:ascii="Times New Roman" w:eastAsia="Times New Roman" w:hAnsi="Times New Roman" w:cs="Times New Roman"/>
          <w:b/>
          <w:sz w:val="24"/>
          <w:szCs w:val="24"/>
          <w:lang w:eastAsia="sk-SK"/>
        </w:rPr>
        <w:t>,</w:t>
      </w:r>
      <w:r w:rsidR="002309CB" w:rsidRPr="00EA543A">
        <w:rPr>
          <w:rFonts w:ascii="Times New Roman" w:eastAsia="Times New Roman" w:hAnsi="Times New Roman" w:cs="Times New Roman"/>
          <w:b/>
          <w:sz w:val="24"/>
          <w:szCs w:val="24"/>
          <w:lang w:eastAsia="sk-SK"/>
        </w:rPr>
        <w:t> 11</w:t>
      </w:r>
      <w:r w:rsidR="005B2651" w:rsidRPr="00EA543A">
        <w:rPr>
          <w:rFonts w:ascii="Times New Roman" w:eastAsia="Times New Roman" w:hAnsi="Times New Roman" w:cs="Times New Roman"/>
          <w:b/>
          <w:sz w:val="24"/>
          <w:szCs w:val="24"/>
          <w:lang w:eastAsia="sk-SK"/>
        </w:rPr>
        <w:t>1</w:t>
      </w:r>
      <w:r w:rsidR="002309CB" w:rsidRPr="00EA543A">
        <w:rPr>
          <w:rFonts w:ascii="Times New Roman" w:eastAsia="Times New Roman" w:hAnsi="Times New Roman" w:cs="Times New Roman"/>
          <w:b/>
          <w:sz w:val="24"/>
          <w:szCs w:val="24"/>
          <w:lang w:eastAsia="sk-SK"/>
        </w:rPr>
        <w:t>, 11</w:t>
      </w:r>
      <w:r w:rsidR="005B2651" w:rsidRPr="00EA543A">
        <w:rPr>
          <w:rFonts w:ascii="Times New Roman" w:eastAsia="Times New Roman" w:hAnsi="Times New Roman" w:cs="Times New Roman"/>
          <w:b/>
          <w:sz w:val="24"/>
          <w:szCs w:val="24"/>
          <w:lang w:eastAsia="sk-SK"/>
        </w:rPr>
        <w:t>3</w:t>
      </w:r>
      <w:r w:rsidR="002309CB" w:rsidRPr="00EA543A">
        <w:rPr>
          <w:rFonts w:ascii="Times New Roman" w:eastAsia="Times New Roman" w:hAnsi="Times New Roman" w:cs="Times New Roman"/>
          <w:b/>
          <w:sz w:val="24"/>
          <w:szCs w:val="24"/>
          <w:lang w:eastAsia="sk-SK"/>
        </w:rPr>
        <w:t xml:space="preserve"> a 11</w:t>
      </w:r>
      <w:r w:rsidR="005B2651" w:rsidRPr="00EA543A">
        <w:rPr>
          <w:rFonts w:ascii="Times New Roman" w:eastAsia="Times New Roman" w:hAnsi="Times New Roman" w:cs="Times New Roman"/>
          <w:b/>
          <w:sz w:val="24"/>
          <w:szCs w:val="24"/>
          <w:lang w:eastAsia="sk-SK"/>
        </w:rPr>
        <w:t>4</w:t>
      </w:r>
      <w:r w:rsidRPr="00EA543A">
        <w:rPr>
          <w:rFonts w:ascii="Times New Roman" w:eastAsia="Times New Roman" w:hAnsi="Times New Roman" w:cs="Times New Roman"/>
          <w:b/>
          <w:sz w:val="24"/>
          <w:szCs w:val="24"/>
          <w:lang w:eastAsia="sk-SK"/>
        </w:rPr>
        <w:t xml:space="preserve"> - § 16 ods. 1 písm. e) 12. bod, § 43 ods. 2, § 43 ods. 5 a § 43 ods. 6 písm. b)</w:t>
      </w:r>
    </w:p>
    <w:p w:rsidR="006310C9" w:rsidRPr="00EA543A" w:rsidRDefault="006310C9" w:rsidP="00BA62B0">
      <w:pPr>
        <w:spacing w:after="0" w:line="240" w:lineRule="auto"/>
        <w:ind w:left="66"/>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sz w:val="24"/>
          <w:szCs w:val="24"/>
          <w:lang w:eastAsia="sk-SK"/>
        </w:rPr>
        <w:lastRenderedPageBreak/>
        <w:t>Do zdroja príjmu plynúceho zo zdrojov na území Slovenskej republiky sa dopĺňa aj príjem plynúci z prerozdelenia kapitálového fondu z príspevkov. Za takýto príjem sa považuje aj príjem plynúci zo zníženia základného imania obchodnej spoločnosti, ak bolo predtým zvyšované z prostriedkov kapitálového fondu tvoreného z príspevkov spoločníkov. Tento príjem sa bude u daňovníka s obmedzenou daňovou povinnosťou zdaňovať podľa § 43 ods. 2 daňou vyberanou zrážkou, pričom vyplatený príjem je možné znížiť podľa § 43 ods. 5 písm. e) o hodnotu príspevku do kapitálového fondu z príspevkov splateného priamo daňovníkom. Takto vybranú daň je možné považovať za preddavok na daň podľa § 43 ods. 6 písm. b).</w:t>
      </w:r>
    </w:p>
    <w:p w:rsidR="00DE73E5" w:rsidRPr="00EA543A" w:rsidRDefault="00DE73E5" w:rsidP="00BA62B0">
      <w:pPr>
        <w:spacing w:after="0" w:line="240" w:lineRule="auto"/>
        <w:ind w:left="66"/>
        <w:jc w:val="both"/>
        <w:rPr>
          <w:rFonts w:ascii="Times New Roman" w:eastAsia="Times New Roman" w:hAnsi="Times New Roman" w:cs="Times New Roman"/>
          <w:b/>
          <w:sz w:val="24"/>
          <w:szCs w:val="24"/>
          <w:lang w:eastAsia="sk-SK"/>
        </w:rPr>
      </w:pPr>
    </w:p>
    <w:p w:rsidR="00DE73E5" w:rsidRPr="00EA543A" w:rsidRDefault="005C049C" w:rsidP="00BA62B0">
      <w:pPr>
        <w:spacing w:after="0" w:line="240" w:lineRule="auto"/>
        <w:ind w:left="66"/>
        <w:jc w:val="both"/>
        <w:rPr>
          <w:rFonts w:ascii="Times New Roman" w:eastAsia="Times New Roman" w:hAnsi="Times New Roman" w:cs="Times New Roman"/>
          <w:b/>
          <w:sz w:val="24"/>
          <w:szCs w:val="24"/>
          <w:lang w:eastAsia="sk-SK"/>
        </w:rPr>
      </w:pPr>
      <w:r w:rsidRPr="00EA543A">
        <w:rPr>
          <w:rFonts w:ascii="Times New Roman" w:eastAsia="Times New Roman" w:hAnsi="Times New Roman" w:cs="Times New Roman"/>
          <w:b/>
          <w:sz w:val="24"/>
          <w:szCs w:val="24"/>
          <w:lang w:eastAsia="sk-SK"/>
        </w:rPr>
        <w:t xml:space="preserve">K bodu </w:t>
      </w:r>
      <w:r w:rsidR="002309CB" w:rsidRPr="00EA543A">
        <w:rPr>
          <w:rFonts w:ascii="Times New Roman" w:eastAsia="Times New Roman" w:hAnsi="Times New Roman" w:cs="Times New Roman"/>
          <w:b/>
          <w:sz w:val="24"/>
          <w:szCs w:val="24"/>
          <w:lang w:eastAsia="sk-SK"/>
        </w:rPr>
        <w:t>34</w:t>
      </w:r>
      <w:r w:rsidRPr="00EA543A">
        <w:rPr>
          <w:rFonts w:ascii="Times New Roman" w:eastAsia="Times New Roman" w:hAnsi="Times New Roman" w:cs="Times New Roman"/>
          <w:b/>
          <w:sz w:val="24"/>
          <w:szCs w:val="24"/>
          <w:lang w:eastAsia="sk-SK"/>
        </w:rPr>
        <w:t xml:space="preserve"> - </w:t>
      </w:r>
      <w:r w:rsidR="00DE73E5" w:rsidRPr="00EA543A">
        <w:rPr>
          <w:rFonts w:ascii="Times New Roman" w:eastAsia="Times New Roman" w:hAnsi="Times New Roman" w:cs="Times New Roman"/>
          <w:b/>
          <w:sz w:val="24"/>
          <w:szCs w:val="24"/>
          <w:lang w:eastAsia="sk-SK"/>
        </w:rPr>
        <w:t>§ 16 ods. 1 písm. i)</w:t>
      </w:r>
    </w:p>
    <w:p w:rsidR="00DE73E5" w:rsidRPr="00EA543A" w:rsidRDefault="00DE73E5" w:rsidP="00BA62B0">
      <w:pPr>
        <w:spacing w:after="0" w:line="240" w:lineRule="auto"/>
        <w:ind w:left="66"/>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sz w:val="24"/>
          <w:szCs w:val="24"/>
          <w:lang w:eastAsia="sk-SK"/>
        </w:rPr>
        <w:t xml:space="preserve">V § 16 ods. 1 písm. i) sa spresňuje v nadväznosti na definíciu vkladu v § 2 písm. </w:t>
      </w:r>
      <w:proofErr w:type="spellStart"/>
      <w:r w:rsidRPr="00EA543A">
        <w:rPr>
          <w:rFonts w:ascii="Times New Roman" w:eastAsia="Times New Roman" w:hAnsi="Times New Roman" w:cs="Times New Roman"/>
          <w:sz w:val="24"/>
          <w:szCs w:val="24"/>
          <w:lang w:eastAsia="sk-SK"/>
        </w:rPr>
        <w:t>ac</w:t>
      </w:r>
      <w:proofErr w:type="spellEnd"/>
      <w:r w:rsidRPr="00EA543A">
        <w:rPr>
          <w:rFonts w:ascii="Times New Roman" w:eastAsia="Times New Roman" w:hAnsi="Times New Roman" w:cs="Times New Roman"/>
          <w:sz w:val="24"/>
          <w:szCs w:val="24"/>
          <w:lang w:eastAsia="sk-SK"/>
        </w:rPr>
        <w:t>), že príjmom daňovníka s obmedzenou daňovou povinnosťou zo zdroja na území Slovenskej republiky je rozdiel medzi hodnotou majetku započítanou na vklad spoločníka a jeho účtovnou hodnotou aj v prípade, ak sa tento majetok nevkladá do základného imania, ale použije sa na splatenie iných fondov.</w:t>
      </w:r>
    </w:p>
    <w:p w:rsidR="00DE73E5" w:rsidRPr="00EA543A" w:rsidRDefault="00DE73E5" w:rsidP="00BA62B0">
      <w:pPr>
        <w:spacing w:after="0" w:line="240" w:lineRule="auto"/>
        <w:ind w:left="66"/>
        <w:jc w:val="both"/>
        <w:rPr>
          <w:rFonts w:ascii="Times New Roman" w:eastAsia="Times New Roman" w:hAnsi="Times New Roman" w:cs="Times New Roman"/>
          <w:sz w:val="24"/>
          <w:szCs w:val="24"/>
          <w:lang w:eastAsia="sk-SK"/>
        </w:rPr>
      </w:pPr>
    </w:p>
    <w:p w:rsidR="007A6509" w:rsidRPr="00EA543A" w:rsidRDefault="007A6509" w:rsidP="00BA62B0">
      <w:pPr>
        <w:spacing w:after="0" w:line="240" w:lineRule="auto"/>
        <w:jc w:val="both"/>
        <w:rPr>
          <w:rFonts w:ascii="Times New Roman" w:eastAsia="Times New Roman" w:hAnsi="Times New Roman" w:cs="Times New Roman"/>
          <w:b/>
          <w:sz w:val="24"/>
          <w:szCs w:val="24"/>
          <w:lang w:eastAsia="sk-SK"/>
        </w:rPr>
      </w:pPr>
      <w:r w:rsidRPr="00EA543A">
        <w:rPr>
          <w:rFonts w:ascii="Times New Roman" w:eastAsia="Times New Roman" w:hAnsi="Times New Roman" w:cs="Times New Roman"/>
          <w:b/>
          <w:sz w:val="24"/>
          <w:szCs w:val="24"/>
          <w:lang w:eastAsia="sk-SK"/>
        </w:rPr>
        <w:t xml:space="preserve">K bodu </w:t>
      </w:r>
      <w:r w:rsidR="002309CB" w:rsidRPr="00EA543A">
        <w:rPr>
          <w:rFonts w:ascii="Times New Roman" w:eastAsia="Times New Roman" w:hAnsi="Times New Roman" w:cs="Times New Roman"/>
          <w:b/>
          <w:sz w:val="24"/>
          <w:szCs w:val="24"/>
          <w:lang w:eastAsia="sk-SK"/>
        </w:rPr>
        <w:t>35</w:t>
      </w:r>
      <w:r w:rsidRPr="00EA543A">
        <w:rPr>
          <w:rFonts w:ascii="Times New Roman" w:eastAsia="Times New Roman" w:hAnsi="Times New Roman" w:cs="Times New Roman"/>
          <w:b/>
          <w:sz w:val="24"/>
          <w:szCs w:val="24"/>
          <w:lang w:eastAsia="sk-SK"/>
        </w:rPr>
        <w:t xml:space="preserve"> - § 16 ods. 1 písm. k) </w:t>
      </w:r>
    </w:p>
    <w:p w:rsidR="007A6509" w:rsidRPr="00EA543A" w:rsidRDefault="007A6509" w:rsidP="00BA62B0">
      <w:pPr>
        <w:spacing w:after="0" w:line="240" w:lineRule="auto"/>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sz w:val="24"/>
          <w:szCs w:val="24"/>
          <w:lang w:eastAsia="sk-SK"/>
        </w:rPr>
        <w:t>V nadväznosti na zdaňovanie výplaty oceňovacích rozdielov z precenenia pri zlúčení, splynutí alebo rozdelení obchodných spoločností alebo družstiev podľa § 17e ods. 14 daňou vyberanou zrážkou podľa § 43 ods. 3 písm. t), sa tento príjem dopĺňa aj do príjmov daňovníka s obmedzenou daňovou povinnosťou, ako plynúci zo zdroja na území SR.</w:t>
      </w:r>
    </w:p>
    <w:p w:rsidR="00C05C9F" w:rsidRPr="00EA543A" w:rsidRDefault="00C05C9F" w:rsidP="00BA62B0">
      <w:pPr>
        <w:spacing w:after="0" w:line="240" w:lineRule="auto"/>
        <w:jc w:val="both"/>
        <w:rPr>
          <w:rFonts w:ascii="Times New Roman" w:eastAsia="Times New Roman" w:hAnsi="Times New Roman" w:cs="Times New Roman"/>
          <w:sz w:val="24"/>
          <w:szCs w:val="24"/>
          <w:lang w:eastAsia="sk-SK"/>
        </w:rPr>
      </w:pPr>
    </w:p>
    <w:p w:rsidR="00C05C9F" w:rsidRPr="00EA543A" w:rsidRDefault="00C05C9F" w:rsidP="00BA62B0">
      <w:pPr>
        <w:spacing w:after="0" w:line="240" w:lineRule="auto"/>
        <w:jc w:val="both"/>
        <w:rPr>
          <w:rFonts w:ascii="Times New Roman" w:eastAsia="Times New Roman" w:hAnsi="Times New Roman" w:cs="Times New Roman"/>
          <w:b/>
          <w:sz w:val="24"/>
          <w:szCs w:val="24"/>
          <w:lang w:eastAsia="sk-SK"/>
        </w:rPr>
      </w:pPr>
      <w:r w:rsidRPr="00EA543A">
        <w:rPr>
          <w:rFonts w:ascii="Times New Roman" w:eastAsia="Times New Roman" w:hAnsi="Times New Roman" w:cs="Times New Roman"/>
          <w:b/>
          <w:sz w:val="24"/>
          <w:szCs w:val="24"/>
          <w:lang w:eastAsia="sk-SK"/>
        </w:rPr>
        <w:t>K</w:t>
      </w:r>
      <w:r w:rsidR="002309CB" w:rsidRPr="00EA543A">
        <w:rPr>
          <w:rFonts w:ascii="Times New Roman" w:eastAsia="Times New Roman" w:hAnsi="Times New Roman" w:cs="Times New Roman"/>
          <w:b/>
          <w:sz w:val="24"/>
          <w:szCs w:val="24"/>
          <w:lang w:eastAsia="sk-SK"/>
        </w:rPr>
        <w:t> </w:t>
      </w:r>
      <w:r w:rsidRPr="00EA543A">
        <w:rPr>
          <w:rFonts w:ascii="Times New Roman" w:eastAsia="Times New Roman" w:hAnsi="Times New Roman" w:cs="Times New Roman"/>
          <w:b/>
          <w:sz w:val="24"/>
          <w:szCs w:val="24"/>
          <w:lang w:eastAsia="sk-SK"/>
        </w:rPr>
        <w:t>bodu</w:t>
      </w:r>
      <w:r w:rsidR="002309CB" w:rsidRPr="00EA543A">
        <w:rPr>
          <w:rFonts w:ascii="Times New Roman" w:eastAsia="Times New Roman" w:hAnsi="Times New Roman" w:cs="Times New Roman"/>
          <w:b/>
          <w:sz w:val="24"/>
          <w:szCs w:val="24"/>
          <w:lang w:eastAsia="sk-SK"/>
        </w:rPr>
        <w:t xml:space="preserve"> 36</w:t>
      </w:r>
      <w:r w:rsidRPr="00EA543A">
        <w:rPr>
          <w:rFonts w:ascii="Times New Roman" w:eastAsia="Times New Roman" w:hAnsi="Times New Roman" w:cs="Times New Roman"/>
          <w:b/>
          <w:sz w:val="24"/>
          <w:szCs w:val="24"/>
          <w:lang w:eastAsia="sk-SK"/>
        </w:rPr>
        <w:t xml:space="preserve"> - § 17 ods. 6</w:t>
      </w:r>
    </w:p>
    <w:p w:rsidR="00C05C9F" w:rsidRPr="00EA543A" w:rsidRDefault="00C05C9F" w:rsidP="00BA62B0">
      <w:pPr>
        <w:tabs>
          <w:tab w:val="left" w:pos="142"/>
        </w:tabs>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Úprava sa vykonáva z dôvodu jasného a jednoznačného špecifikovania požadovaných údajov v § 17 ods. 6 zákona o dani z príjmov.</w:t>
      </w:r>
    </w:p>
    <w:p w:rsidR="00C05C9F" w:rsidRPr="00EA543A" w:rsidRDefault="00C05C9F" w:rsidP="00BA62B0">
      <w:pPr>
        <w:spacing w:after="0" w:line="240" w:lineRule="auto"/>
        <w:jc w:val="both"/>
        <w:rPr>
          <w:rFonts w:ascii="Times New Roman" w:eastAsia="Times New Roman" w:hAnsi="Times New Roman" w:cs="Times New Roman"/>
          <w:sz w:val="24"/>
          <w:szCs w:val="24"/>
          <w:lang w:eastAsia="sk-SK"/>
        </w:rPr>
      </w:pPr>
    </w:p>
    <w:p w:rsidR="00DE73E5" w:rsidRPr="00EA543A" w:rsidRDefault="005C049C" w:rsidP="00BA62B0">
      <w:pPr>
        <w:spacing w:after="0" w:line="240" w:lineRule="auto"/>
        <w:ind w:left="66"/>
        <w:jc w:val="both"/>
        <w:rPr>
          <w:rFonts w:ascii="Times New Roman" w:eastAsia="Times New Roman" w:hAnsi="Times New Roman" w:cs="Times New Roman"/>
          <w:b/>
          <w:sz w:val="24"/>
          <w:szCs w:val="24"/>
          <w:lang w:eastAsia="sk-SK"/>
        </w:rPr>
      </w:pPr>
      <w:r w:rsidRPr="00EA543A">
        <w:rPr>
          <w:rFonts w:ascii="Times New Roman" w:eastAsia="Times New Roman" w:hAnsi="Times New Roman" w:cs="Times New Roman"/>
          <w:b/>
          <w:sz w:val="24"/>
          <w:szCs w:val="24"/>
          <w:lang w:eastAsia="sk-SK"/>
        </w:rPr>
        <w:t>K bodu 3</w:t>
      </w:r>
      <w:r w:rsidR="002309CB" w:rsidRPr="00EA543A">
        <w:rPr>
          <w:rFonts w:ascii="Times New Roman" w:eastAsia="Times New Roman" w:hAnsi="Times New Roman" w:cs="Times New Roman"/>
          <w:b/>
          <w:sz w:val="24"/>
          <w:szCs w:val="24"/>
          <w:lang w:eastAsia="sk-SK"/>
        </w:rPr>
        <w:t>7</w:t>
      </w:r>
      <w:r w:rsidRPr="00EA543A">
        <w:rPr>
          <w:rFonts w:ascii="Times New Roman" w:eastAsia="Times New Roman" w:hAnsi="Times New Roman" w:cs="Times New Roman"/>
          <w:b/>
          <w:sz w:val="24"/>
          <w:szCs w:val="24"/>
          <w:lang w:eastAsia="sk-SK"/>
        </w:rPr>
        <w:t xml:space="preserve"> - </w:t>
      </w:r>
      <w:r w:rsidR="00DE73E5" w:rsidRPr="00EA543A">
        <w:rPr>
          <w:rFonts w:ascii="Times New Roman" w:eastAsia="Times New Roman" w:hAnsi="Times New Roman" w:cs="Times New Roman"/>
          <w:b/>
          <w:sz w:val="24"/>
          <w:szCs w:val="24"/>
          <w:lang w:eastAsia="sk-SK"/>
        </w:rPr>
        <w:t>§ 17 ods. 19</w:t>
      </w:r>
    </w:p>
    <w:p w:rsidR="002A55E1" w:rsidRPr="00EA543A" w:rsidRDefault="007A6509" w:rsidP="00BA62B0">
      <w:pPr>
        <w:spacing w:after="0" w:line="240" w:lineRule="auto"/>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sz w:val="24"/>
          <w:szCs w:val="24"/>
          <w:lang w:eastAsia="sk-SK"/>
        </w:rPr>
        <w:t xml:space="preserve">Navrhovanou úpravou sa upravuje rozsah výdavkov, ako aj ich výška, ktoré sú považované za daňový výdavok až po zaplatení. Ustanovenie sa spresňuje v tom význame, že podmienka zaplatenia sa nedotýka tých výdavkov (nákladov), ktoré sa stávajú súčasťou obstarávacej ceny majetku resp. súčasťou vlastných nákladov napr. v prípade zásob. </w:t>
      </w:r>
      <w:r w:rsidR="002A55E1" w:rsidRPr="00EA543A">
        <w:rPr>
          <w:rFonts w:ascii="Times New Roman" w:eastAsia="Times New Roman" w:hAnsi="Times New Roman" w:cs="Times New Roman"/>
          <w:sz w:val="24"/>
          <w:szCs w:val="24"/>
          <w:lang w:eastAsia="sk-SK"/>
        </w:rPr>
        <w:t>Tieto neuhradené výdavky (náklady) podliehajú ustanoveniu § 17 ods. 27 zákona. Pri výdavkoch (nákladoch) je potrebné skúmať, či ide o výdavky (náklady) na ktoré sa uplatňuje § 17 ods. 19, alebo výdavky (náklady), na ktoré sa uplatní postup podľa § 17 ods. 27 a § 17 ods. 32. U výdavkov vymedzených v § 17 ods. 19 ustanovení sa bude sledovať už iba podmienka zaplatenia (vypustenie dodatočných limitácií).</w:t>
      </w:r>
    </w:p>
    <w:p w:rsidR="002A55E1" w:rsidRPr="00EA543A" w:rsidRDefault="007A6509" w:rsidP="00BA62B0">
      <w:pPr>
        <w:spacing w:after="0" w:line="240" w:lineRule="auto"/>
        <w:ind w:left="66"/>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sz w:val="24"/>
          <w:szCs w:val="24"/>
          <w:lang w:eastAsia="sk-SK"/>
        </w:rPr>
        <w:t xml:space="preserve">V písmene c) sa vypúšťa možnosť zahrnutia príjmov (výnosov) z marketingových a iných štúdií a prieskumov trhu u veriteľa až po prijatí úhrady. Uvedené príjmy (výnosy) budú súčasťou základu dane v súlade s účtovníctvom. Ustanovenie § 17 ods. 19 sa tak bude vzťahovať iba na výdavky po zaplatení u dlžníka.  </w:t>
      </w:r>
    </w:p>
    <w:p w:rsidR="007A6509" w:rsidRPr="00EA543A" w:rsidRDefault="007A6509" w:rsidP="00BA62B0">
      <w:pPr>
        <w:spacing w:after="0" w:line="240" w:lineRule="auto"/>
        <w:ind w:left="66"/>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sz w:val="24"/>
          <w:szCs w:val="24"/>
          <w:lang w:eastAsia="sk-SK"/>
        </w:rPr>
        <w:t>Z písmena d) sa vypúšťa 20 % limitácia odplát (provízií) za sprostredkovanie na výdavky (náklady), ktoré</w:t>
      </w:r>
      <w:r w:rsidRPr="00EA543A">
        <w:rPr>
          <w:rFonts w:ascii="Times New Roman" w:hAnsi="Times New Roman" w:cs="Times New Roman"/>
          <w:sz w:val="24"/>
          <w:szCs w:val="24"/>
        </w:rPr>
        <w:t xml:space="preserve"> </w:t>
      </w:r>
      <w:r w:rsidRPr="00EA543A">
        <w:rPr>
          <w:rFonts w:ascii="Times New Roman" w:eastAsia="Times New Roman" w:hAnsi="Times New Roman" w:cs="Times New Roman"/>
          <w:sz w:val="24"/>
          <w:szCs w:val="24"/>
          <w:lang w:eastAsia="sk-SK"/>
        </w:rPr>
        <w:t xml:space="preserve">boli zaevidované v evidencii podľa § 6 ods. 11 alebo boli zaúčtované v zdaňovacom období, ktoré sa začína po 31.12.2019. V písmene f) sa rozsah výdavkov (nákladov) po zaplatení rozširuje aj o služby týkajúce sa vedenia firiem a poradenské služby podľa kódu 70.1. a 70.22 Klasifikácie produktov podľa činností. Od 1. januára 2019 už nebude daňovník musieť sledovať podmienku zaplatenia pri výdavkoch (nákladoch) na získanie noriem a certifikátov, ani ich postupne zahrňovať do výdavkov podľa doby ich platnosti. Uvedené sa vzťahuje na výdavky (náklady) na získanie noriem a certifikátov zaúčtované po 31. decembri 2019, v prípade kalendárneho roka. Na výdavky (náklady) na získanie noriem a certifikátov, ktoré boli zaúčtované do účinnosti nového zákona sa naďalej uplatňuje </w:t>
      </w:r>
      <w:r w:rsidRPr="00EA543A">
        <w:rPr>
          <w:rFonts w:ascii="Times New Roman" w:eastAsia="Times New Roman" w:hAnsi="Times New Roman" w:cs="Times New Roman"/>
          <w:sz w:val="24"/>
          <w:szCs w:val="24"/>
          <w:lang w:eastAsia="sk-SK"/>
        </w:rPr>
        <w:lastRenderedPageBreak/>
        <w:t>podmienka zaplatenia aj časové zahrňovanie výdavkov (nákladov). Podľa nového znenia písmena g) sa za daňový výdavok po zaplatení budú považovať zmluvné pokuty, poplatky z omeškania, úroky z omeškania, paušálne náhrady nákladov spojené s uplatnením pohľadávky u dlžníka ako aj odstupné u oprávnenej osoby podľa § 355 Obchodného zákonníka. Zároveň sa dopĺňa poznámka pod čiarou k odkazu 79ba) odkazujúca sa na odstupné podľa § 355 Obchodného zákonníka.</w:t>
      </w:r>
      <w:r w:rsidRPr="00EA543A">
        <w:rPr>
          <w:rFonts w:ascii="Times New Roman" w:hAnsi="Times New Roman" w:cs="Times New Roman"/>
          <w:sz w:val="24"/>
          <w:szCs w:val="24"/>
        </w:rPr>
        <w:t xml:space="preserve"> </w:t>
      </w:r>
      <w:r w:rsidRPr="00EA543A">
        <w:rPr>
          <w:rFonts w:ascii="Times New Roman" w:eastAsia="Times New Roman" w:hAnsi="Times New Roman" w:cs="Times New Roman"/>
          <w:sz w:val="24"/>
          <w:szCs w:val="24"/>
          <w:lang w:eastAsia="sk-SK"/>
        </w:rPr>
        <w:t>Zmluvné pokuty, poplatky z omeškania, úroky z omeškania, paušálne náhrady nákladov spojené s uplatnením pohľadávky u dlžníka, ktoré boli zaúčtované do 31. decembra 2019, budú naďalej považované za nedaňový výdavok podľa § 21 ods. 2 písm. m), aj keď budú uhradené po 31. decembri 2019 (ak ide o daňovníka, ktorého zdaňovacím obdobím je kalendárny rok).</w:t>
      </w:r>
    </w:p>
    <w:p w:rsidR="00DE73E5" w:rsidRPr="00EA543A" w:rsidRDefault="00DE73E5" w:rsidP="00BA62B0">
      <w:pPr>
        <w:spacing w:after="0" w:line="240" w:lineRule="auto"/>
        <w:ind w:left="66"/>
        <w:jc w:val="both"/>
        <w:rPr>
          <w:rFonts w:ascii="Times New Roman" w:eastAsia="Times New Roman" w:hAnsi="Times New Roman" w:cs="Times New Roman"/>
          <w:sz w:val="24"/>
          <w:szCs w:val="24"/>
          <w:lang w:eastAsia="sk-SK"/>
        </w:rPr>
      </w:pPr>
    </w:p>
    <w:p w:rsidR="000D3D5E" w:rsidRPr="00EA543A" w:rsidRDefault="000D3D5E" w:rsidP="00BA62B0">
      <w:pPr>
        <w:spacing w:after="0" w:line="240" w:lineRule="auto"/>
        <w:rPr>
          <w:rFonts w:ascii="Times New Roman" w:hAnsi="Times New Roman" w:cs="Times New Roman"/>
          <w:b/>
          <w:bCs/>
          <w:sz w:val="24"/>
          <w:szCs w:val="24"/>
        </w:rPr>
      </w:pPr>
      <w:r w:rsidRPr="00EA543A">
        <w:rPr>
          <w:rFonts w:ascii="Times New Roman" w:hAnsi="Times New Roman" w:cs="Times New Roman"/>
          <w:b/>
          <w:bCs/>
          <w:sz w:val="24"/>
          <w:szCs w:val="24"/>
        </w:rPr>
        <w:t xml:space="preserve">K bodom </w:t>
      </w:r>
      <w:r w:rsidR="002309CB" w:rsidRPr="00EA543A">
        <w:rPr>
          <w:rFonts w:ascii="Times New Roman" w:hAnsi="Times New Roman" w:cs="Times New Roman"/>
          <w:b/>
          <w:bCs/>
          <w:sz w:val="24"/>
          <w:szCs w:val="24"/>
        </w:rPr>
        <w:t>38, 57</w:t>
      </w:r>
      <w:r w:rsidRPr="00EA543A">
        <w:rPr>
          <w:rFonts w:ascii="Times New Roman" w:hAnsi="Times New Roman" w:cs="Times New Roman"/>
          <w:b/>
          <w:bCs/>
          <w:sz w:val="24"/>
          <w:szCs w:val="24"/>
        </w:rPr>
        <w:t xml:space="preserve"> a</w:t>
      </w:r>
      <w:r w:rsidR="005B2651" w:rsidRPr="00EA543A">
        <w:rPr>
          <w:rFonts w:ascii="Times New Roman" w:hAnsi="Times New Roman" w:cs="Times New Roman"/>
          <w:b/>
          <w:bCs/>
          <w:sz w:val="24"/>
          <w:szCs w:val="24"/>
        </w:rPr>
        <w:t> </w:t>
      </w:r>
      <w:r w:rsidR="002309CB" w:rsidRPr="00EA543A">
        <w:rPr>
          <w:rFonts w:ascii="Times New Roman" w:hAnsi="Times New Roman" w:cs="Times New Roman"/>
          <w:b/>
          <w:bCs/>
          <w:sz w:val="24"/>
          <w:szCs w:val="24"/>
        </w:rPr>
        <w:t>13</w:t>
      </w:r>
      <w:r w:rsidR="005B2651" w:rsidRPr="00EA543A">
        <w:rPr>
          <w:rFonts w:ascii="Times New Roman" w:hAnsi="Times New Roman" w:cs="Times New Roman"/>
          <w:b/>
          <w:bCs/>
          <w:sz w:val="24"/>
          <w:szCs w:val="24"/>
        </w:rPr>
        <w:t xml:space="preserve">4 </w:t>
      </w:r>
      <w:r w:rsidRPr="00EA543A">
        <w:rPr>
          <w:rFonts w:ascii="Times New Roman" w:hAnsi="Times New Roman" w:cs="Times New Roman"/>
          <w:b/>
          <w:bCs/>
          <w:sz w:val="24"/>
          <w:szCs w:val="24"/>
        </w:rPr>
        <w:t xml:space="preserve">- poznámka pod čiarou 80, § 21 ods. 1 písm. l) a § 52zz ods. </w:t>
      </w:r>
      <w:r w:rsidR="002309CB" w:rsidRPr="00EA543A">
        <w:rPr>
          <w:rFonts w:ascii="Times New Roman" w:hAnsi="Times New Roman" w:cs="Times New Roman"/>
          <w:b/>
          <w:bCs/>
          <w:sz w:val="24"/>
          <w:szCs w:val="24"/>
        </w:rPr>
        <w:t>1</w:t>
      </w:r>
      <w:r w:rsidR="00226F05" w:rsidRPr="00EA543A">
        <w:rPr>
          <w:rFonts w:ascii="Times New Roman" w:hAnsi="Times New Roman" w:cs="Times New Roman"/>
          <w:b/>
          <w:bCs/>
          <w:sz w:val="24"/>
          <w:szCs w:val="24"/>
        </w:rPr>
        <w:t>3</w:t>
      </w:r>
    </w:p>
    <w:p w:rsidR="000D3D5E" w:rsidRPr="00EA543A" w:rsidRDefault="000D3D5E"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 xml:space="preserve">Zmluvou o výpožičke vzniká vypožičiavateľovi právo po dohodnutú dobu užívať vypožičanú vec bezodplatne. Aj napriek bezodplatnému charakteru výpožičky dochádza k situáciám, a to predovšetkým vo výrobnom procese, kedy sa na vypožičanom majetku vykonajú opravy alebo technické zhodnotenie. </w:t>
      </w:r>
      <w:r w:rsidRPr="00EA543A">
        <w:rPr>
          <w:rFonts w:ascii="Times New Roman" w:hAnsi="Times New Roman" w:cs="Times New Roman"/>
          <w:sz w:val="24"/>
          <w:szCs w:val="24"/>
          <w:lang w:eastAsia="sk-SK"/>
        </w:rPr>
        <w:t>V § 17 ods. 20 a 21 sa poznámka pod čiarou k odkazu 80 dopĺňa aj o   § 659 až  662 Občianskeho zákonníka upravujúceho zmluvy o výpožičke. Ak pri vypožičaní odpisované majetku dôjde aj k jeho technickému zhodnoteniu, potom zákon o dani z príjmov považuje toto zhodnotenie za nepeňažný príjem požičiavateľa, ktorý o túto sumu zhodnotenia zvýši vstupnú (zostatkovú) cenu svojho majetku a odpisuje ho, avšak až v tom zdaňovacom období, v ktorom ho využíva na dosiahnutie, zabezpečenie a udržanie príjmov. Ak sa však požičiavateľ písomne dohodne s vypožičiavateľom, môže toto technické zhodnotenie odpisovať aj vypožičiavateľ a u požičiavateľa je nepeňažným príjmom technické zhodnotenie po skočení zmluvy o výpožičke vo výške zostatkovej ceny, ktorú by malo technické zhodnotenie pri použití rovnomerného odpisovania § 27. V prípade prevodu vlastníckeho práva k hmotného majetku z dôvodu zabezpečenia záväzku dlžníka voči veriteľovi na základe zabezpečovacieho prevodu práva podľa § 553 Občianskeho zákonníka a následného vypožičania toho majetku dlžníkom na základe zmluvy o výpožičke, zostáva skutočným ekonomickým vlastníkom a užívateľom  hmotného majetku dlžník. Tento majetok preto môže odpisovať podľa § 24 ods. 1 písm. a) a uplatňuje si k nemu výdavky ako skutočný vlastník. Zároveň sa z § 21 ods. 1 vypúšťa písmeno l) a daňovým výdavkom sú výdavky vynaložené na vypožičaný majetok v rozsahu  uplatňovanom obdobne ako pri prenájme majetku. Podľa prechodného ustanovenia sa § 21 ods. 1 písm. l) posledný krát uplatní na výdavky (náklady) súvisiace výpožičkou za zdaňovacie obdobia roka 2019 resp. v prípade zdaňovacieho obdobia, ktorým je hospodársky rok, ktorý začal najneskôr v roku 2019 a skončí po 31. decembri 2019.</w:t>
      </w:r>
    </w:p>
    <w:p w:rsidR="000D3D5E" w:rsidRPr="00EA543A" w:rsidRDefault="000D3D5E" w:rsidP="00BA62B0">
      <w:pPr>
        <w:spacing w:after="0" w:line="240" w:lineRule="auto"/>
        <w:ind w:left="66"/>
        <w:jc w:val="both"/>
        <w:rPr>
          <w:rFonts w:ascii="Times New Roman" w:eastAsia="Times New Roman" w:hAnsi="Times New Roman" w:cs="Times New Roman"/>
          <w:sz w:val="24"/>
          <w:szCs w:val="24"/>
          <w:lang w:eastAsia="sk-SK"/>
        </w:rPr>
      </w:pPr>
    </w:p>
    <w:p w:rsidR="00DE73E5" w:rsidRPr="00EA543A" w:rsidRDefault="005C049C" w:rsidP="00BA62B0">
      <w:pPr>
        <w:spacing w:after="0" w:line="240" w:lineRule="auto"/>
        <w:ind w:left="66"/>
        <w:jc w:val="both"/>
        <w:rPr>
          <w:rFonts w:ascii="Times New Roman" w:eastAsia="Times New Roman" w:hAnsi="Times New Roman" w:cs="Times New Roman"/>
          <w:b/>
          <w:sz w:val="24"/>
          <w:szCs w:val="24"/>
          <w:lang w:eastAsia="sk-SK"/>
        </w:rPr>
      </w:pPr>
      <w:r w:rsidRPr="00EA543A">
        <w:rPr>
          <w:rFonts w:ascii="Times New Roman" w:eastAsia="Times New Roman" w:hAnsi="Times New Roman" w:cs="Times New Roman"/>
          <w:b/>
          <w:sz w:val="24"/>
          <w:szCs w:val="24"/>
          <w:lang w:eastAsia="sk-SK"/>
        </w:rPr>
        <w:t>K bodom 3</w:t>
      </w:r>
      <w:r w:rsidR="002309CB" w:rsidRPr="00EA543A">
        <w:rPr>
          <w:rFonts w:ascii="Times New Roman" w:eastAsia="Times New Roman" w:hAnsi="Times New Roman" w:cs="Times New Roman"/>
          <w:b/>
          <w:sz w:val="24"/>
          <w:szCs w:val="24"/>
          <w:lang w:eastAsia="sk-SK"/>
        </w:rPr>
        <w:t>9</w:t>
      </w:r>
      <w:r w:rsidRPr="00EA543A">
        <w:rPr>
          <w:rFonts w:ascii="Times New Roman" w:eastAsia="Times New Roman" w:hAnsi="Times New Roman" w:cs="Times New Roman"/>
          <w:b/>
          <w:sz w:val="24"/>
          <w:szCs w:val="24"/>
          <w:lang w:eastAsia="sk-SK"/>
        </w:rPr>
        <w:t>, 4</w:t>
      </w:r>
      <w:r w:rsidR="002309CB" w:rsidRPr="00EA543A">
        <w:rPr>
          <w:rFonts w:ascii="Times New Roman" w:eastAsia="Times New Roman" w:hAnsi="Times New Roman" w:cs="Times New Roman"/>
          <w:b/>
          <w:sz w:val="24"/>
          <w:szCs w:val="24"/>
          <w:lang w:eastAsia="sk-SK"/>
        </w:rPr>
        <w:t>3</w:t>
      </w:r>
      <w:r w:rsidRPr="00EA543A">
        <w:rPr>
          <w:rFonts w:ascii="Times New Roman" w:eastAsia="Times New Roman" w:hAnsi="Times New Roman" w:cs="Times New Roman"/>
          <w:b/>
          <w:sz w:val="24"/>
          <w:szCs w:val="24"/>
          <w:lang w:eastAsia="sk-SK"/>
        </w:rPr>
        <w:t xml:space="preserve"> až 4</w:t>
      </w:r>
      <w:r w:rsidR="002309CB" w:rsidRPr="00EA543A">
        <w:rPr>
          <w:rFonts w:ascii="Times New Roman" w:eastAsia="Times New Roman" w:hAnsi="Times New Roman" w:cs="Times New Roman"/>
          <w:b/>
          <w:sz w:val="24"/>
          <w:szCs w:val="24"/>
          <w:lang w:eastAsia="sk-SK"/>
        </w:rPr>
        <w:t>5</w:t>
      </w:r>
      <w:r w:rsidRPr="00EA543A">
        <w:rPr>
          <w:rFonts w:ascii="Times New Roman" w:eastAsia="Times New Roman" w:hAnsi="Times New Roman" w:cs="Times New Roman"/>
          <w:b/>
          <w:sz w:val="24"/>
          <w:szCs w:val="24"/>
          <w:lang w:eastAsia="sk-SK"/>
        </w:rPr>
        <w:t xml:space="preserve">, </w:t>
      </w:r>
      <w:r w:rsidR="002309CB" w:rsidRPr="00EA543A">
        <w:rPr>
          <w:rFonts w:ascii="Times New Roman" w:eastAsia="Times New Roman" w:hAnsi="Times New Roman" w:cs="Times New Roman"/>
          <w:b/>
          <w:sz w:val="24"/>
          <w:szCs w:val="24"/>
          <w:lang w:eastAsia="sk-SK"/>
        </w:rPr>
        <w:t>51</w:t>
      </w:r>
      <w:r w:rsidRPr="00EA543A">
        <w:rPr>
          <w:rFonts w:ascii="Times New Roman" w:eastAsia="Times New Roman" w:hAnsi="Times New Roman" w:cs="Times New Roman"/>
          <w:b/>
          <w:sz w:val="24"/>
          <w:szCs w:val="24"/>
          <w:lang w:eastAsia="sk-SK"/>
        </w:rPr>
        <w:t xml:space="preserve"> a </w:t>
      </w:r>
      <w:r w:rsidR="002309CB" w:rsidRPr="00EA543A">
        <w:rPr>
          <w:rFonts w:ascii="Times New Roman" w:eastAsia="Times New Roman" w:hAnsi="Times New Roman" w:cs="Times New Roman"/>
          <w:b/>
          <w:sz w:val="24"/>
          <w:szCs w:val="24"/>
          <w:lang w:eastAsia="sk-SK"/>
        </w:rPr>
        <w:t>54</w:t>
      </w:r>
      <w:r w:rsidRPr="00EA543A">
        <w:rPr>
          <w:rFonts w:ascii="Times New Roman" w:eastAsia="Times New Roman" w:hAnsi="Times New Roman" w:cs="Times New Roman"/>
          <w:b/>
          <w:sz w:val="24"/>
          <w:szCs w:val="24"/>
          <w:lang w:eastAsia="sk-SK"/>
        </w:rPr>
        <w:t xml:space="preserve"> - </w:t>
      </w:r>
      <w:r w:rsidR="00DE73E5" w:rsidRPr="00EA543A">
        <w:rPr>
          <w:rFonts w:ascii="Times New Roman" w:eastAsia="Times New Roman" w:hAnsi="Times New Roman" w:cs="Times New Roman"/>
          <w:b/>
          <w:sz w:val="24"/>
          <w:szCs w:val="24"/>
          <w:lang w:eastAsia="sk-SK"/>
        </w:rPr>
        <w:t>§ 17 ods. 28, § 17a ods. 7, § 17b ods. 6 písm. a) a b), § 17c ods. 4 písm. a) a b), §  20 ods. 3, § 20 ods. 10</w:t>
      </w:r>
    </w:p>
    <w:p w:rsidR="00DE73E5" w:rsidRPr="00EA543A" w:rsidRDefault="00DE73E5" w:rsidP="00BA62B0">
      <w:pPr>
        <w:spacing w:after="0" w:line="240" w:lineRule="auto"/>
        <w:ind w:left="66"/>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sz w:val="24"/>
          <w:szCs w:val="24"/>
          <w:lang w:eastAsia="sk-SK"/>
        </w:rPr>
        <w:t xml:space="preserve">Podľa zákona o dani z príjmov je možné až na vymedzené výnimky (napr. istinu z nesplateného úveru u bánk a u daňovníka, ktorý vykonáva obchodnú činnosť spočívajúcu v poskytovaní spotrebiteľských úverov) tvoriť daňovo uznanú opravnú položku iba k pohľadávke, ktorá bola zahrnutá do zdaniteľných príjmov a zároveň bola táto pohľadávka nepremlčaná. Od </w:t>
      </w:r>
      <w:proofErr w:type="spellStart"/>
      <w:r w:rsidRPr="00EA543A">
        <w:rPr>
          <w:rFonts w:ascii="Times New Roman" w:eastAsia="Times New Roman" w:hAnsi="Times New Roman" w:cs="Times New Roman"/>
          <w:sz w:val="24"/>
          <w:szCs w:val="24"/>
          <w:lang w:eastAsia="sk-SK"/>
        </w:rPr>
        <w:t>nepremlčanosti</w:t>
      </w:r>
      <w:proofErr w:type="spellEnd"/>
      <w:r w:rsidRPr="00EA543A">
        <w:rPr>
          <w:rFonts w:ascii="Times New Roman" w:eastAsia="Times New Roman" w:hAnsi="Times New Roman" w:cs="Times New Roman"/>
          <w:sz w:val="24"/>
          <w:szCs w:val="24"/>
          <w:lang w:eastAsia="sk-SK"/>
        </w:rPr>
        <w:t xml:space="preserve"> pohľadávky sa zároveň odvíja aj možnosť uplatnenia daňového výdavku pri odpise alebo postúpení pohľadávky. Vzhľadom na praktické problémy pri uplatnení daňového výdavku pri odpise pohľadávky resp. pri tvorbe opravnej položky k pohľadávke sa navrhuje posudzovať </w:t>
      </w:r>
      <w:proofErr w:type="spellStart"/>
      <w:r w:rsidRPr="00EA543A">
        <w:rPr>
          <w:rFonts w:ascii="Times New Roman" w:eastAsia="Times New Roman" w:hAnsi="Times New Roman" w:cs="Times New Roman"/>
          <w:sz w:val="24"/>
          <w:szCs w:val="24"/>
          <w:lang w:eastAsia="sk-SK"/>
        </w:rPr>
        <w:t>nepremlčanosť</w:t>
      </w:r>
      <w:proofErr w:type="spellEnd"/>
      <w:r w:rsidRPr="00EA543A">
        <w:rPr>
          <w:rFonts w:ascii="Times New Roman" w:eastAsia="Times New Roman" w:hAnsi="Times New Roman" w:cs="Times New Roman"/>
          <w:sz w:val="24"/>
          <w:szCs w:val="24"/>
          <w:lang w:eastAsia="sk-SK"/>
        </w:rPr>
        <w:t xml:space="preserve"> nie ku dňu tvorby opravnej položky, alebo ku dňu odpisu alebo postúpenia pohľadávky, ale k poslednému dňu zdaňovacieho obdobia, v ktorom dochádza k tvorbe opravnej položky, postúpeniu pohľadávky alebo odpisu pohľadávky. Pohľadávka sa v tomto prípade považuje za nepremlčanú, ak v príslušnom zdaňovacom období bola pohľadávka aspoň 1 kalendárny deň nepremlčaná. </w:t>
      </w:r>
    </w:p>
    <w:p w:rsidR="00DE73E5" w:rsidRPr="00EA543A" w:rsidRDefault="00DE73E5" w:rsidP="00BA62B0">
      <w:pPr>
        <w:spacing w:after="0" w:line="240" w:lineRule="auto"/>
        <w:ind w:left="66"/>
        <w:jc w:val="both"/>
        <w:rPr>
          <w:rFonts w:ascii="Times New Roman" w:eastAsia="Times New Roman" w:hAnsi="Times New Roman" w:cs="Times New Roman"/>
          <w:sz w:val="24"/>
          <w:szCs w:val="24"/>
          <w:u w:val="single"/>
          <w:lang w:eastAsia="sk-SK"/>
        </w:rPr>
      </w:pPr>
      <w:r w:rsidRPr="00EA543A">
        <w:rPr>
          <w:rFonts w:ascii="Times New Roman" w:eastAsia="Times New Roman" w:hAnsi="Times New Roman" w:cs="Times New Roman"/>
          <w:sz w:val="24"/>
          <w:szCs w:val="24"/>
          <w:u w:val="single"/>
          <w:lang w:eastAsia="sk-SK"/>
        </w:rPr>
        <w:lastRenderedPageBreak/>
        <w:t>Príklad</w:t>
      </w:r>
    </w:p>
    <w:p w:rsidR="00DE73E5" w:rsidRPr="00EA543A" w:rsidRDefault="00DE73E5" w:rsidP="00BA62B0">
      <w:pPr>
        <w:spacing w:after="0" w:line="240" w:lineRule="auto"/>
        <w:ind w:left="66"/>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sz w:val="24"/>
          <w:szCs w:val="24"/>
          <w:lang w:eastAsia="sk-SK"/>
        </w:rPr>
        <w:t>Daňovník, ktorého zdaňovacím obdobím je kalendárny rok, zaúčtuje  31.12.2020 opravnú položku k pohľadávke zahrnutej do zdaniteľných príjmov vo výške 100 % menovitej hodnoty pohľadávky. Od splatnosti pohľadávky uplynulo viac ako 1 080 dní, avšak pohľadávka je podľa Občianskeho zákonníka od 1.10.2020 premlčaná. Podľa § 20 ods. 3 zákona o dani z príjmov sa však doplneným znením ustanovuje, že za dané zdaňovacie obdobie sa pohľadávka považuje stále za nepremlčanú, nakoľko bola splnená podmienka, t. j. pohľadávka bola aspoň 1 kalendárny deň v zdaňovacom období nepremlčaná. Opravná položka k pohľadávke zaúčtovaná 31.12.2020, kedy je pohľadávka podľa Občianskeho zákonníka už premlčaná, je stále podľa zákona o dani z príjmov považovaná za daňový výdavok.</w:t>
      </w:r>
    </w:p>
    <w:p w:rsidR="00DE73E5" w:rsidRPr="00EA543A" w:rsidRDefault="00DE73E5" w:rsidP="00BA62B0">
      <w:pPr>
        <w:spacing w:after="0" w:line="240" w:lineRule="auto"/>
        <w:ind w:left="66"/>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sz w:val="24"/>
          <w:szCs w:val="24"/>
          <w:lang w:eastAsia="sk-SK"/>
        </w:rPr>
        <w:t>V § 17 ods. 28 zákona o dani z príjmov sa zároveň spresňuje výška daňového výdavku pri odpise resp. postúpení pohľadávky, ku ktorej mal daňovník zaúčtovanú opravnú položku, avšak neuplatnil si ju do daňových výdavkov v čase, keď pohľadávka bola nepremlčaná. Ak daňovník odpisuje takúto pohľadávku alebo ju postupuje až v čase, kedy je pohľadávka aj podľa zákona o dani z príjmov premlčaná, potom si môže uplatniť za daňový výdavok sumu najviac do výšky takej opravnej položky, ktorú mal zaúčtovanú a zároveň uplatnenú v daňových výdavkoch v čase, keď pohľadávka ešte nebola premlčaná.</w:t>
      </w:r>
    </w:p>
    <w:p w:rsidR="00DE73E5" w:rsidRPr="00EA543A" w:rsidRDefault="00DE73E5" w:rsidP="00BA62B0">
      <w:pPr>
        <w:spacing w:after="0" w:line="240" w:lineRule="auto"/>
        <w:ind w:left="66"/>
        <w:jc w:val="both"/>
        <w:rPr>
          <w:rFonts w:ascii="Times New Roman" w:eastAsia="Times New Roman" w:hAnsi="Times New Roman" w:cs="Times New Roman"/>
          <w:sz w:val="24"/>
          <w:szCs w:val="24"/>
          <w:u w:val="single"/>
          <w:lang w:eastAsia="sk-SK"/>
        </w:rPr>
      </w:pPr>
      <w:r w:rsidRPr="00EA543A">
        <w:rPr>
          <w:rFonts w:ascii="Times New Roman" w:eastAsia="Times New Roman" w:hAnsi="Times New Roman" w:cs="Times New Roman"/>
          <w:sz w:val="24"/>
          <w:szCs w:val="24"/>
          <w:u w:val="single"/>
          <w:lang w:eastAsia="sk-SK"/>
        </w:rPr>
        <w:t>Príklad</w:t>
      </w:r>
    </w:p>
    <w:p w:rsidR="00DE73E5" w:rsidRPr="00EA543A" w:rsidRDefault="00DE73E5" w:rsidP="00BA62B0">
      <w:pPr>
        <w:spacing w:after="0" w:line="240" w:lineRule="auto"/>
        <w:ind w:left="66"/>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sz w:val="24"/>
          <w:szCs w:val="24"/>
          <w:lang w:eastAsia="sk-SK"/>
        </w:rPr>
        <w:t xml:space="preserve">Daňovník, ktorého zdaňovacím obdobím je kalendárny rok, si zaúčtoval v roku 2017 opravnú položku vo výške  100 % menovitej hodnoty pohľadávky. V roku 2019 bola pohľadávka viac ako 1080 dní po lehote splatnosti, avšak daňovník si uplatnil daňový výdavok iba vo výške 20 % opravnej položky k pohľadávke. V roku 2020, v ktorom pohľadávka nebola ani jeden kalendárny deň nepremlčaná sa rozhodol pohľadávku odpísať. Podľa § 17 ods. 28 písm. b) daňovník zvýši základ dane o sumu daňovo uznanej opravnej položky, ktorú si uplatnil za daňový výdavok podľa § 20, t.j. o 20 % menovitej hodnoty pohľadávky. Základ si môže znížiť o sumu opravnej položky, ktorú by si mohol uplatniť v čase odpisu pohľadávky. Keďže v čase odpisu je pohľadávka už premlčaná (celé zdaňovacie obdobie), nemôže si k nej uplatniť daňový výdavok vo výške 100 % menovitej hodnoty pohľadávky. Zákon o dani  z príjmov mu však umožňuje uplatniť si výdavok najviac do výšky, v akej si uplatnil opravnú položku za daňový výdavok v čase, keď ešte nebola pohľadávka premlčaná. Keďže si zo zaúčtovanej opravnej položky 100 % uplatnil za daňový výdavok v čase </w:t>
      </w:r>
      <w:proofErr w:type="spellStart"/>
      <w:r w:rsidRPr="00EA543A">
        <w:rPr>
          <w:rFonts w:ascii="Times New Roman" w:eastAsia="Times New Roman" w:hAnsi="Times New Roman" w:cs="Times New Roman"/>
          <w:sz w:val="24"/>
          <w:szCs w:val="24"/>
          <w:lang w:eastAsia="sk-SK"/>
        </w:rPr>
        <w:t>nepremlčanosti</w:t>
      </w:r>
      <w:proofErr w:type="spellEnd"/>
      <w:r w:rsidRPr="00EA543A">
        <w:rPr>
          <w:rFonts w:ascii="Times New Roman" w:eastAsia="Times New Roman" w:hAnsi="Times New Roman" w:cs="Times New Roman"/>
          <w:sz w:val="24"/>
          <w:szCs w:val="24"/>
          <w:lang w:eastAsia="sk-SK"/>
        </w:rPr>
        <w:t xml:space="preserve"> pohľadávky iba 20 % jej menovitej hodnoty, môže si základ dane zníži iba o sumu týchto 20 % menovitej hodnoty pohľadávky.</w:t>
      </w:r>
    </w:p>
    <w:p w:rsidR="00226F05" w:rsidRPr="00EA543A" w:rsidRDefault="00226F05" w:rsidP="00BA62B0">
      <w:pPr>
        <w:spacing w:after="0" w:line="240" w:lineRule="auto"/>
        <w:ind w:left="66"/>
        <w:jc w:val="both"/>
        <w:rPr>
          <w:rFonts w:ascii="Times New Roman" w:eastAsia="Times New Roman" w:hAnsi="Times New Roman" w:cs="Times New Roman"/>
          <w:sz w:val="24"/>
          <w:szCs w:val="24"/>
          <w:lang w:eastAsia="sk-SK"/>
        </w:rPr>
      </w:pPr>
    </w:p>
    <w:p w:rsidR="00226F05" w:rsidRPr="00EA543A" w:rsidRDefault="00226F05" w:rsidP="00BA62B0">
      <w:pPr>
        <w:pStyle w:val="Odsekzoznamu"/>
        <w:spacing w:after="0" w:line="240" w:lineRule="auto"/>
        <w:ind w:left="0"/>
        <w:jc w:val="both"/>
        <w:rPr>
          <w:rFonts w:ascii="Times New Roman" w:hAnsi="Times New Roman" w:cs="Times New Roman"/>
          <w:b/>
          <w:sz w:val="24"/>
          <w:szCs w:val="24"/>
        </w:rPr>
      </w:pPr>
      <w:r w:rsidRPr="00EA543A">
        <w:rPr>
          <w:rFonts w:ascii="Times New Roman" w:hAnsi="Times New Roman" w:cs="Times New Roman"/>
          <w:b/>
          <w:sz w:val="24"/>
          <w:szCs w:val="24"/>
        </w:rPr>
        <w:t>K bodom 40, 62, 64</w:t>
      </w:r>
      <w:r w:rsidR="00DD7092" w:rsidRPr="00EA543A">
        <w:rPr>
          <w:rFonts w:ascii="Times New Roman" w:hAnsi="Times New Roman" w:cs="Times New Roman"/>
          <w:b/>
          <w:sz w:val="24"/>
          <w:szCs w:val="24"/>
        </w:rPr>
        <w:t>,</w:t>
      </w:r>
      <w:r w:rsidRPr="00EA543A">
        <w:rPr>
          <w:rFonts w:ascii="Times New Roman" w:hAnsi="Times New Roman" w:cs="Times New Roman"/>
          <w:b/>
          <w:sz w:val="24"/>
          <w:szCs w:val="24"/>
        </w:rPr>
        <w:t xml:space="preserve"> 71</w:t>
      </w:r>
      <w:r w:rsidR="00DD7092" w:rsidRPr="00EA543A">
        <w:rPr>
          <w:rFonts w:ascii="Times New Roman" w:hAnsi="Times New Roman" w:cs="Times New Roman"/>
          <w:b/>
          <w:sz w:val="24"/>
          <w:szCs w:val="24"/>
        </w:rPr>
        <w:t xml:space="preserve"> a 133</w:t>
      </w:r>
      <w:r w:rsidRPr="00EA543A">
        <w:rPr>
          <w:rFonts w:ascii="Times New Roman" w:hAnsi="Times New Roman" w:cs="Times New Roman"/>
          <w:b/>
          <w:sz w:val="24"/>
          <w:szCs w:val="24"/>
        </w:rPr>
        <w:t xml:space="preserve"> - § 17 ods. 31, § 22 ods. 9, § 25 ods. 3</w:t>
      </w:r>
      <w:r w:rsidR="00DD7092" w:rsidRPr="00EA543A">
        <w:rPr>
          <w:rFonts w:ascii="Times New Roman" w:hAnsi="Times New Roman" w:cs="Times New Roman"/>
          <w:b/>
          <w:sz w:val="24"/>
          <w:szCs w:val="24"/>
        </w:rPr>
        <w:t>,</w:t>
      </w:r>
      <w:r w:rsidRPr="00EA543A">
        <w:rPr>
          <w:rFonts w:ascii="Times New Roman" w:hAnsi="Times New Roman" w:cs="Times New Roman"/>
          <w:b/>
          <w:sz w:val="24"/>
          <w:szCs w:val="24"/>
        </w:rPr>
        <w:t xml:space="preserve"> § 26 ods. 13</w:t>
      </w:r>
      <w:r w:rsidR="00DD7092" w:rsidRPr="00EA543A">
        <w:rPr>
          <w:rFonts w:ascii="Times New Roman" w:hAnsi="Times New Roman" w:cs="Times New Roman"/>
          <w:b/>
          <w:sz w:val="24"/>
          <w:szCs w:val="24"/>
        </w:rPr>
        <w:t xml:space="preserve"> a § 51f</w:t>
      </w:r>
    </w:p>
    <w:p w:rsidR="00226F05" w:rsidRPr="00EA543A" w:rsidRDefault="00226F05" w:rsidP="00BA62B0">
      <w:pPr>
        <w:pStyle w:val="Odsekzoznamu"/>
        <w:spacing w:after="0" w:line="240" w:lineRule="auto"/>
        <w:ind w:left="0"/>
        <w:jc w:val="both"/>
        <w:rPr>
          <w:rFonts w:ascii="Times New Roman" w:hAnsi="Times New Roman" w:cs="Times New Roman"/>
          <w:sz w:val="24"/>
          <w:szCs w:val="24"/>
        </w:rPr>
      </w:pPr>
      <w:r w:rsidRPr="00EA543A">
        <w:rPr>
          <w:rFonts w:ascii="Times New Roman" w:hAnsi="Times New Roman" w:cs="Times New Roman"/>
          <w:sz w:val="24"/>
          <w:szCs w:val="24"/>
        </w:rPr>
        <w:t xml:space="preserve">Ustanovenie § 26 ods. 13 umožňuje uplatniť u daňovníka, ktorý je </w:t>
      </w:r>
      <w:proofErr w:type="spellStart"/>
      <w:r w:rsidRPr="00EA543A">
        <w:rPr>
          <w:rFonts w:ascii="Times New Roman" w:hAnsi="Times New Roman" w:cs="Times New Roman"/>
          <w:sz w:val="24"/>
          <w:szCs w:val="24"/>
        </w:rPr>
        <w:t>mikrodaňovníkom</w:t>
      </w:r>
      <w:proofErr w:type="spellEnd"/>
      <w:r w:rsidRPr="00EA543A">
        <w:rPr>
          <w:rFonts w:ascii="Times New Roman" w:hAnsi="Times New Roman" w:cs="Times New Roman"/>
          <w:sz w:val="24"/>
          <w:szCs w:val="24"/>
        </w:rPr>
        <w:t xml:space="preserve"> pri majetku zaradenom v odpisových skupinách 0 až 4 (hnuteľný majetok) s výnimkou osobných automobilov, ktorých vstupná cena je 48 000 a viac, daňové odpisy najdlhšie  počas doby odpisovania stanovenej pre príslušnú odpisovú skupinu, do ktorej je majetok zaradený. To znamená, že </w:t>
      </w:r>
      <w:proofErr w:type="spellStart"/>
      <w:r w:rsidRPr="00EA543A">
        <w:rPr>
          <w:rFonts w:ascii="Times New Roman" w:hAnsi="Times New Roman" w:cs="Times New Roman"/>
          <w:sz w:val="24"/>
          <w:szCs w:val="24"/>
        </w:rPr>
        <w:t>mikrodaňovník</w:t>
      </w:r>
      <w:proofErr w:type="spellEnd"/>
      <w:r w:rsidRPr="00EA543A">
        <w:rPr>
          <w:rFonts w:ascii="Times New Roman" w:hAnsi="Times New Roman" w:cs="Times New Roman"/>
          <w:sz w:val="24"/>
          <w:szCs w:val="24"/>
        </w:rPr>
        <w:t xml:space="preserve"> má možnosť uplatniť si daňové odpisy najviac počas počtu zdaňovacích období, ktoré zodpovedajú dobe odpisovania stanovenej pre príslušnú odpisovú skupinu, pričom výška daňového odpisu je v tomto prípade na dobrovoľnom rozhodnutí </w:t>
      </w:r>
      <w:proofErr w:type="spellStart"/>
      <w:r w:rsidRPr="00EA543A">
        <w:rPr>
          <w:rFonts w:ascii="Times New Roman" w:hAnsi="Times New Roman" w:cs="Times New Roman"/>
          <w:sz w:val="24"/>
          <w:szCs w:val="24"/>
        </w:rPr>
        <w:t>mikrodaňovníka</w:t>
      </w:r>
      <w:proofErr w:type="spellEnd"/>
      <w:r w:rsidRPr="00EA543A">
        <w:rPr>
          <w:rFonts w:ascii="Times New Roman" w:hAnsi="Times New Roman" w:cs="Times New Roman"/>
          <w:sz w:val="24"/>
          <w:szCs w:val="24"/>
        </w:rPr>
        <w:t xml:space="preserve">. Navrhovaný spôsob daňových odpisov umožňuje uplatnenie vstupnej ceny, resp. vstupnej ceny zvýšenej o technické zhodnotenie majetku aj v jednom zdaňovacom období, pričom daňovník je povinný aplikovať ostatné ustanovenia týkajúce sa uplatňovania daňových výdavkov hmotného majetku ako je napr. ustanovenie § 24 ods. 5, § 19 ods. 3 písm. b), . Zákon o dani z príjmov v § 22 ods. 9 jednoznačne stanovuje, že </w:t>
      </w:r>
      <w:proofErr w:type="spellStart"/>
      <w:r w:rsidRPr="00EA543A">
        <w:rPr>
          <w:rFonts w:ascii="Times New Roman" w:hAnsi="Times New Roman" w:cs="Times New Roman"/>
          <w:sz w:val="24"/>
          <w:szCs w:val="24"/>
        </w:rPr>
        <w:t>mikrodaňovník</w:t>
      </w:r>
      <w:proofErr w:type="spellEnd"/>
      <w:r w:rsidRPr="00EA543A">
        <w:rPr>
          <w:rFonts w:ascii="Times New Roman" w:hAnsi="Times New Roman" w:cs="Times New Roman"/>
          <w:sz w:val="24"/>
          <w:szCs w:val="24"/>
        </w:rPr>
        <w:t xml:space="preserve">, ktorý bude uplatňovať zvýhodnený spôsob odpisovania stanovený v § 26 ods. 13, nemôže uplatniť ustanovenie o prerušení odpisovania. Navrhovaný spôsob odpisovania je možné použiť na hmotný majetok, ktorý je zaradený do užívania alebo u fyzickej osoby zaradený do obchodného </w:t>
      </w:r>
      <w:r w:rsidRPr="00EA543A">
        <w:rPr>
          <w:rFonts w:ascii="Times New Roman" w:hAnsi="Times New Roman" w:cs="Times New Roman"/>
          <w:sz w:val="24"/>
          <w:szCs w:val="24"/>
        </w:rPr>
        <w:lastRenderedPageBreak/>
        <w:t xml:space="preserve">majetku v zdaňovacom období, v ktorom je daňovník považovaný za </w:t>
      </w:r>
      <w:proofErr w:type="spellStart"/>
      <w:r w:rsidRPr="00EA543A">
        <w:rPr>
          <w:rFonts w:ascii="Times New Roman" w:hAnsi="Times New Roman" w:cs="Times New Roman"/>
          <w:sz w:val="24"/>
          <w:szCs w:val="24"/>
        </w:rPr>
        <w:t>mikrodaňovníka</w:t>
      </w:r>
      <w:proofErr w:type="spellEnd"/>
      <w:r w:rsidRPr="00EA543A">
        <w:rPr>
          <w:rFonts w:ascii="Times New Roman" w:hAnsi="Times New Roman" w:cs="Times New Roman"/>
          <w:sz w:val="24"/>
          <w:szCs w:val="24"/>
        </w:rPr>
        <w:t xml:space="preserve"> a uplatňuje uvedený spôsob daňových odpisov aj v nasledujúcich zdaňovacích obdobiach bez ohľadu na skutočnosť, či v týchto zdaňovacích obdobiach má alebo nemá status </w:t>
      </w:r>
      <w:proofErr w:type="spellStart"/>
      <w:r w:rsidRPr="00EA543A">
        <w:rPr>
          <w:rFonts w:ascii="Times New Roman" w:hAnsi="Times New Roman" w:cs="Times New Roman"/>
          <w:sz w:val="24"/>
          <w:szCs w:val="24"/>
        </w:rPr>
        <w:t>mikrodaňovníka</w:t>
      </w:r>
      <w:proofErr w:type="spellEnd"/>
      <w:r w:rsidRPr="00EA543A">
        <w:rPr>
          <w:rFonts w:ascii="Times New Roman" w:hAnsi="Times New Roman" w:cs="Times New Roman"/>
          <w:sz w:val="24"/>
          <w:szCs w:val="24"/>
        </w:rPr>
        <w:t>. V prípade vyradenia majetku pred uplynutím doby odpisovania alebo predlženej doby odpisovania, je daňovník povinný zvýšiť základ dane o kladný rozdiel medzi sumou už uplatnených odpisov do daňových výdavkov a sumou odpisov, ktoré by boli vyčíslené podľa § 27 alebo § 28 (v prípade majetku zaradeného do odpisovej skupiny 2 alebo 3) a má možnosť uplatniť si daňovú zostatkovú cenu podľa § 25 ods. 3 zákona o dani z príjmov.</w:t>
      </w:r>
    </w:p>
    <w:p w:rsidR="00DE73E5" w:rsidRPr="00EA543A" w:rsidRDefault="00DE73E5" w:rsidP="00BA62B0">
      <w:pPr>
        <w:spacing w:after="0" w:line="240" w:lineRule="auto"/>
        <w:jc w:val="both"/>
        <w:rPr>
          <w:rFonts w:ascii="Times New Roman" w:eastAsia="Times New Roman" w:hAnsi="Times New Roman" w:cs="Times New Roman"/>
          <w:b/>
          <w:sz w:val="24"/>
          <w:szCs w:val="24"/>
          <w:lang w:eastAsia="sk-SK"/>
        </w:rPr>
      </w:pPr>
    </w:p>
    <w:p w:rsidR="00DE73E5" w:rsidRPr="00EA543A" w:rsidRDefault="005C049C" w:rsidP="00BA62B0">
      <w:pPr>
        <w:spacing w:after="0" w:line="240" w:lineRule="auto"/>
        <w:jc w:val="both"/>
        <w:rPr>
          <w:rFonts w:ascii="Times New Roman" w:eastAsia="Times New Roman" w:hAnsi="Times New Roman" w:cs="Times New Roman"/>
          <w:b/>
          <w:sz w:val="24"/>
          <w:szCs w:val="24"/>
          <w:lang w:eastAsia="sk-SK"/>
        </w:rPr>
      </w:pPr>
      <w:r w:rsidRPr="00EA543A">
        <w:rPr>
          <w:rFonts w:ascii="Times New Roman" w:eastAsia="Times New Roman" w:hAnsi="Times New Roman" w:cs="Times New Roman"/>
          <w:b/>
          <w:sz w:val="24"/>
          <w:szCs w:val="24"/>
          <w:lang w:eastAsia="sk-SK"/>
        </w:rPr>
        <w:t xml:space="preserve">K bodu </w:t>
      </w:r>
      <w:r w:rsidR="002309CB" w:rsidRPr="00EA543A">
        <w:rPr>
          <w:rFonts w:ascii="Times New Roman" w:eastAsia="Times New Roman" w:hAnsi="Times New Roman" w:cs="Times New Roman"/>
          <w:b/>
          <w:sz w:val="24"/>
          <w:szCs w:val="24"/>
          <w:lang w:eastAsia="sk-SK"/>
        </w:rPr>
        <w:t>41</w:t>
      </w:r>
      <w:r w:rsidRPr="00EA543A">
        <w:rPr>
          <w:rFonts w:ascii="Times New Roman" w:eastAsia="Times New Roman" w:hAnsi="Times New Roman" w:cs="Times New Roman"/>
          <w:b/>
          <w:sz w:val="24"/>
          <w:szCs w:val="24"/>
          <w:lang w:eastAsia="sk-SK"/>
        </w:rPr>
        <w:t xml:space="preserve"> -</w:t>
      </w:r>
      <w:r w:rsidR="00DE73E5" w:rsidRPr="00EA543A">
        <w:rPr>
          <w:rFonts w:ascii="Times New Roman" w:eastAsia="Times New Roman" w:hAnsi="Times New Roman" w:cs="Times New Roman"/>
          <w:b/>
          <w:sz w:val="24"/>
          <w:szCs w:val="24"/>
          <w:lang w:eastAsia="sk-SK"/>
        </w:rPr>
        <w:t xml:space="preserve"> § 17 ods. 32</w:t>
      </w:r>
    </w:p>
    <w:p w:rsidR="00DE73E5" w:rsidRPr="00EA543A" w:rsidRDefault="00DE73E5" w:rsidP="00BA62B0">
      <w:pPr>
        <w:spacing w:after="0" w:line="240" w:lineRule="auto"/>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sz w:val="24"/>
          <w:szCs w:val="24"/>
          <w:lang w:eastAsia="sk-SK"/>
        </w:rPr>
        <w:t xml:space="preserve">Ustanovenie § 17 ods. 32 zákona o dani z príjmov upravuje situáciu, kedy dochádza k zníženiu základu dane, ak daňovník zvyšoval základ dane o neuhradené záväzky podľa § 17 ods. 27. </w:t>
      </w:r>
    </w:p>
    <w:p w:rsidR="00DE73E5" w:rsidRPr="00EA543A" w:rsidRDefault="00DE73E5" w:rsidP="00BA62B0">
      <w:pPr>
        <w:spacing w:after="0" w:line="240" w:lineRule="auto"/>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sz w:val="24"/>
          <w:szCs w:val="24"/>
          <w:lang w:eastAsia="sk-SK"/>
        </w:rPr>
        <w:t>V písmene a) sa spresňuje, že za úhradu záväzku sa nepovažuje nahradenie pôvodného záväzku novým zmenkovým záväzkom.</w:t>
      </w:r>
    </w:p>
    <w:p w:rsidR="00DE73E5" w:rsidRPr="00EA543A" w:rsidRDefault="00DE73E5" w:rsidP="00BA62B0">
      <w:pPr>
        <w:spacing w:after="0" w:line="240" w:lineRule="auto"/>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sz w:val="24"/>
          <w:szCs w:val="24"/>
          <w:lang w:eastAsia="sk-SK"/>
        </w:rPr>
        <w:t>V písmene b) sa spresňuje, že pri odpise záväzku pri jeho zániku alebo premlčaní zaúčtovaný do výnosov sa základ dane zníži v závislosti od toho, či daňovník zvyšoval základ dane podľa § 17 ods. 27.</w:t>
      </w:r>
    </w:p>
    <w:p w:rsidR="00DE73E5" w:rsidRPr="00EA543A" w:rsidRDefault="00DE73E5" w:rsidP="00BA62B0">
      <w:pPr>
        <w:spacing w:after="0" w:line="240" w:lineRule="auto"/>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sz w:val="24"/>
          <w:szCs w:val="24"/>
          <w:lang w:eastAsia="sk-SK"/>
        </w:rPr>
        <w:t xml:space="preserve">V písmene c) sa ustanovuje, že v prípade tzv. </w:t>
      </w:r>
      <w:proofErr w:type="spellStart"/>
      <w:r w:rsidRPr="00EA543A">
        <w:rPr>
          <w:rFonts w:ascii="Times New Roman" w:eastAsia="Times New Roman" w:hAnsi="Times New Roman" w:cs="Times New Roman"/>
          <w:sz w:val="24"/>
          <w:szCs w:val="24"/>
          <w:lang w:eastAsia="sk-SK"/>
        </w:rPr>
        <w:t>novácie</w:t>
      </w:r>
      <w:proofErr w:type="spellEnd"/>
      <w:r w:rsidRPr="00EA543A">
        <w:rPr>
          <w:rFonts w:ascii="Times New Roman" w:eastAsia="Times New Roman" w:hAnsi="Times New Roman" w:cs="Times New Roman"/>
          <w:sz w:val="24"/>
          <w:szCs w:val="24"/>
          <w:lang w:eastAsia="sk-SK"/>
        </w:rPr>
        <w:t xml:space="preserve"> záväzku podľa §  570 až  574 Občianskeho zákonníka, kedy dochádza aj k zmene výšky záväzku sa o rozdiel medzi pôvodnou výškou záväzku a novou výšku záväzku môže znížiť základ dane, avšak súčasne musí byť splnená podmienka podľa § 17 ods. 27 na novú výšku záväzku, nakoľko splatnosť pôvodného záväzku sa novým záväzkom na daňové účely nemení.</w:t>
      </w:r>
    </w:p>
    <w:p w:rsidR="00DE73E5" w:rsidRPr="00EA543A" w:rsidRDefault="00DE73E5" w:rsidP="00BA62B0">
      <w:pPr>
        <w:spacing w:after="0" w:line="240" w:lineRule="auto"/>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sz w:val="24"/>
          <w:szCs w:val="24"/>
          <w:lang w:eastAsia="sk-SK"/>
        </w:rPr>
        <w:t>Pôvodné písmeno c) sa označuje ako písmeno d) a obsahuje úpravu základu dane pri vyhlásení konkurzu alebo pri potvrdení reštrukturalizačného plánu súdom.</w:t>
      </w:r>
    </w:p>
    <w:p w:rsidR="00DE73E5" w:rsidRPr="00EA543A" w:rsidRDefault="00DE73E5" w:rsidP="00BA62B0">
      <w:pPr>
        <w:spacing w:after="0" w:line="240" w:lineRule="auto"/>
        <w:jc w:val="both"/>
        <w:rPr>
          <w:rFonts w:ascii="Times New Roman" w:eastAsia="Times New Roman" w:hAnsi="Times New Roman" w:cs="Times New Roman"/>
          <w:sz w:val="24"/>
          <w:szCs w:val="24"/>
          <w:lang w:eastAsia="sk-SK"/>
        </w:rPr>
      </w:pPr>
    </w:p>
    <w:p w:rsidR="00DE73E5" w:rsidRPr="00EA543A" w:rsidRDefault="005C049C" w:rsidP="00BA62B0">
      <w:pPr>
        <w:spacing w:after="0" w:line="240" w:lineRule="auto"/>
        <w:jc w:val="both"/>
        <w:rPr>
          <w:rFonts w:ascii="Times New Roman" w:eastAsia="Times New Roman" w:hAnsi="Times New Roman" w:cs="Times New Roman"/>
          <w:b/>
          <w:sz w:val="24"/>
          <w:szCs w:val="24"/>
          <w:lang w:eastAsia="sk-SK"/>
        </w:rPr>
      </w:pPr>
      <w:r w:rsidRPr="00EA543A">
        <w:rPr>
          <w:rFonts w:ascii="Times New Roman" w:eastAsia="Times New Roman" w:hAnsi="Times New Roman" w:cs="Times New Roman"/>
          <w:b/>
          <w:sz w:val="24"/>
          <w:szCs w:val="24"/>
          <w:lang w:eastAsia="sk-SK"/>
        </w:rPr>
        <w:t xml:space="preserve">K bodu </w:t>
      </w:r>
      <w:r w:rsidR="002309CB" w:rsidRPr="00EA543A">
        <w:rPr>
          <w:rFonts w:ascii="Times New Roman" w:eastAsia="Times New Roman" w:hAnsi="Times New Roman" w:cs="Times New Roman"/>
          <w:b/>
          <w:sz w:val="24"/>
          <w:szCs w:val="24"/>
          <w:lang w:eastAsia="sk-SK"/>
        </w:rPr>
        <w:t>42</w:t>
      </w:r>
      <w:r w:rsidRPr="00EA543A">
        <w:rPr>
          <w:rFonts w:ascii="Times New Roman" w:eastAsia="Times New Roman" w:hAnsi="Times New Roman" w:cs="Times New Roman"/>
          <w:b/>
          <w:sz w:val="24"/>
          <w:szCs w:val="24"/>
          <w:lang w:eastAsia="sk-SK"/>
        </w:rPr>
        <w:t xml:space="preserve"> - </w:t>
      </w:r>
      <w:r w:rsidR="00DE73E5" w:rsidRPr="00EA543A">
        <w:rPr>
          <w:rFonts w:ascii="Times New Roman" w:eastAsia="Times New Roman" w:hAnsi="Times New Roman" w:cs="Times New Roman"/>
          <w:b/>
          <w:sz w:val="24"/>
          <w:szCs w:val="24"/>
          <w:lang w:eastAsia="sk-SK"/>
        </w:rPr>
        <w:t>§ 17 ods. 33</w:t>
      </w:r>
    </w:p>
    <w:p w:rsidR="00DE73E5" w:rsidRPr="00EA543A" w:rsidRDefault="00DE73E5"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V zákone o dani z príjmov sa spresňuje, že súčasťou základu dane je aj precenenie cenných papierov určených na obchodovanie na reálnu hodnotu účtované ako náklad alebo výnos</w:t>
      </w:r>
      <w:r w:rsidR="00752AC3" w:rsidRPr="00EA543A">
        <w:rPr>
          <w:rFonts w:ascii="Times New Roman" w:hAnsi="Times New Roman" w:cs="Times New Roman"/>
          <w:sz w:val="24"/>
          <w:szCs w:val="24"/>
        </w:rPr>
        <w:t xml:space="preserve"> prostredníctvom účtov 564 resp. 664, alebo 566 resp. 666 postupov účtovania.</w:t>
      </w:r>
    </w:p>
    <w:p w:rsidR="00DE73E5" w:rsidRPr="00EA543A" w:rsidRDefault="00DE73E5" w:rsidP="00BA62B0">
      <w:pPr>
        <w:pStyle w:val="Odsekzoznamu"/>
        <w:spacing w:after="0" w:line="240" w:lineRule="auto"/>
        <w:ind w:left="0"/>
        <w:jc w:val="both"/>
        <w:rPr>
          <w:rFonts w:ascii="Times New Roman" w:hAnsi="Times New Roman" w:cs="Times New Roman"/>
          <w:sz w:val="24"/>
          <w:szCs w:val="24"/>
        </w:rPr>
      </w:pPr>
    </w:p>
    <w:p w:rsidR="00DE73E5" w:rsidRPr="00EA543A" w:rsidRDefault="00B7414E" w:rsidP="00BA62B0">
      <w:pPr>
        <w:spacing w:after="0" w:line="240" w:lineRule="auto"/>
        <w:ind w:left="66"/>
        <w:jc w:val="both"/>
        <w:rPr>
          <w:rFonts w:ascii="Times New Roman" w:eastAsia="Times New Roman" w:hAnsi="Times New Roman" w:cs="Times New Roman"/>
          <w:b/>
          <w:sz w:val="24"/>
          <w:szCs w:val="24"/>
          <w:lang w:eastAsia="sk-SK"/>
        </w:rPr>
      </w:pPr>
      <w:r w:rsidRPr="00EA543A">
        <w:rPr>
          <w:rFonts w:ascii="Times New Roman" w:eastAsia="Times New Roman" w:hAnsi="Times New Roman" w:cs="Times New Roman"/>
          <w:b/>
          <w:sz w:val="24"/>
          <w:szCs w:val="24"/>
          <w:lang w:eastAsia="sk-SK"/>
        </w:rPr>
        <w:t>K bodu 4</w:t>
      </w:r>
      <w:r w:rsidR="00C95BCF" w:rsidRPr="00EA543A">
        <w:rPr>
          <w:rFonts w:ascii="Times New Roman" w:eastAsia="Times New Roman" w:hAnsi="Times New Roman" w:cs="Times New Roman"/>
          <w:b/>
          <w:sz w:val="24"/>
          <w:szCs w:val="24"/>
          <w:lang w:eastAsia="sk-SK"/>
        </w:rPr>
        <w:t>6</w:t>
      </w:r>
      <w:r w:rsidRPr="00EA543A">
        <w:rPr>
          <w:rFonts w:ascii="Times New Roman" w:eastAsia="Times New Roman" w:hAnsi="Times New Roman" w:cs="Times New Roman"/>
          <w:b/>
          <w:sz w:val="24"/>
          <w:szCs w:val="24"/>
          <w:lang w:eastAsia="sk-SK"/>
        </w:rPr>
        <w:t xml:space="preserve"> -</w:t>
      </w:r>
      <w:r w:rsidR="00DE73E5" w:rsidRPr="00EA543A">
        <w:rPr>
          <w:rFonts w:ascii="Times New Roman" w:eastAsia="Times New Roman" w:hAnsi="Times New Roman" w:cs="Times New Roman"/>
          <w:b/>
          <w:sz w:val="24"/>
          <w:szCs w:val="24"/>
          <w:lang w:eastAsia="sk-SK"/>
        </w:rPr>
        <w:t xml:space="preserve"> § 17e ods. 14:</w:t>
      </w:r>
    </w:p>
    <w:p w:rsidR="00DE73E5" w:rsidRPr="00EA543A" w:rsidRDefault="00DE73E5" w:rsidP="00BA62B0">
      <w:pPr>
        <w:spacing w:after="0" w:line="240" w:lineRule="auto"/>
        <w:ind w:left="66"/>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sz w:val="24"/>
          <w:szCs w:val="24"/>
          <w:lang w:eastAsia="sk-SK"/>
        </w:rPr>
        <w:t>Odsek 14 upravuje povinnosť právneho nástupcu zdaniť príjem vyplatený z oceňovacích rozdielov z precenenia pri zlúčení, splynutí alebo rozdelení obchodných spoločností alebo družstiev, ak je vyplácaný príjem v sume vyššej ako je súčin podielu sumy vykázaných oceňovacích rozdielov a najdlhšej doby odpisovania u majetku nadobudnutého pri zlúčení, splynutí alebo rozdelení a počtu zdaňovacích období odpisovania tohto majetku. Suma vyplatených oceňovacích rozdielov prevyšujúca tento podiel sa zdaní daňou vyberanou zrážkou. Ak sa oceňovacie rozdiely z precenenia pri zlúčení, splynutí alebo rozdelení obchodných spoločností alebo družstiev vzťahujú iba k neodpisovanému majetku, potom sa celá vyplatená suma zdaní daňou vyberanou zrážkou. Rovnako sa bude postupovať, ak sa suma oceňovacích rozdielov použila na zvýšenie základného imania a následne dochádza pri znížení základného imania k výplate týchto prostriedkov.</w:t>
      </w:r>
    </w:p>
    <w:p w:rsidR="00DE73E5" w:rsidRPr="00EA543A" w:rsidRDefault="00DE73E5" w:rsidP="00BA62B0">
      <w:pPr>
        <w:pStyle w:val="Odsekzoznamu"/>
        <w:spacing w:after="0" w:line="240" w:lineRule="auto"/>
        <w:ind w:left="0"/>
        <w:jc w:val="both"/>
        <w:rPr>
          <w:rFonts w:ascii="Times New Roman" w:hAnsi="Times New Roman" w:cs="Times New Roman"/>
          <w:sz w:val="24"/>
          <w:szCs w:val="24"/>
        </w:rPr>
      </w:pPr>
    </w:p>
    <w:p w:rsidR="00DE73E5" w:rsidRPr="00EA543A" w:rsidRDefault="00B7414E" w:rsidP="00BA62B0">
      <w:pPr>
        <w:spacing w:after="0" w:line="240" w:lineRule="auto"/>
        <w:jc w:val="both"/>
        <w:rPr>
          <w:rFonts w:ascii="Times New Roman" w:eastAsia="Times New Roman" w:hAnsi="Times New Roman" w:cs="Times New Roman"/>
          <w:b/>
          <w:sz w:val="24"/>
          <w:szCs w:val="24"/>
          <w:lang w:eastAsia="sk-SK"/>
        </w:rPr>
      </w:pPr>
      <w:r w:rsidRPr="00EA543A">
        <w:rPr>
          <w:rFonts w:ascii="Times New Roman" w:eastAsia="Times New Roman" w:hAnsi="Times New Roman" w:cs="Times New Roman"/>
          <w:b/>
          <w:sz w:val="24"/>
          <w:szCs w:val="24"/>
          <w:lang w:eastAsia="sk-SK"/>
        </w:rPr>
        <w:t>K bodom 4</w:t>
      </w:r>
      <w:r w:rsidR="00C95BCF" w:rsidRPr="00EA543A">
        <w:rPr>
          <w:rFonts w:ascii="Times New Roman" w:eastAsia="Times New Roman" w:hAnsi="Times New Roman" w:cs="Times New Roman"/>
          <w:b/>
          <w:sz w:val="24"/>
          <w:szCs w:val="24"/>
          <w:lang w:eastAsia="sk-SK"/>
        </w:rPr>
        <w:t>7</w:t>
      </w:r>
      <w:r w:rsidRPr="00EA543A">
        <w:rPr>
          <w:rFonts w:ascii="Times New Roman" w:eastAsia="Times New Roman" w:hAnsi="Times New Roman" w:cs="Times New Roman"/>
          <w:b/>
          <w:sz w:val="24"/>
          <w:szCs w:val="24"/>
          <w:lang w:eastAsia="sk-SK"/>
        </w:rPr>
        <w:t xml:space="preserve">, </w:t>
      </w:r>
      <w:r w:rsidR="00C95BCF" w:rsidRPr="00EA543A">
        <w:rPr>
          <w:rFonts w:ascii="Times New Roman" w:eastAsia="Times New Roman" w:hAnsi="Times New Roman" w:cs="Times New Roman"/>
          <w:b/>
          <w:sz w:val="24"/>
          <w:szCs w:val="24"/>
          <w:lang w:eastAsia="sk-SK"/>
        </w:rPr>
        <w:t>12</w:t>
      </w:r>
      <w:r w:rsidR="005B2651" w:rsidRPr="00EA543A">
        <w:rPr>
          <w:rFonts w:ascii="Times New Roman" w:eastAsia="Times New Roman" w:hAnsi="Times New Roman" w:cs="Times New Roman"/>
          <w:b/>
          <w:sz w:val="24"/>
          <w:szCs w:val="24"/>
          <w:lang w:eastAsia="sk-SK"/>
        </w:rPr>
        <w:t>5</w:t>
      </w:r>
      <w:r w:rsidR="006A4540" w:rsidRPr="00EA543A">
        <w:rPr>
          <w:rFonts w:ascii="Times New Roman" w:eastAsia="Times New Roman" w:hAnsi="Times New Roman" w:cs="Times New Roman"/>
          <w:b/>
          <w:sz w:val="24"/>
          <w:szCs w:val="24"/>
          <w:lang w:eastAsia="sk-SK"/>
        </w:rPr>
        <w:t xml:space="preserve"> </w:t>
      </w:r>
      <w:r w:rsidRPr="00EA543A">
        <w:rPr>
          <w:rFonts w:ascii="Times New Roman" w:eastAsia="Times New Roman" w:hAnsi="Times New Roman" w:cs="Times New Roman"/>
          <w:b/>
          <w:sz w:val="24"/>
          <w:szCs w:val="24"/>
          <w:lang w:eastAsia="sk-SK"/>
        </w:rPr>
        <w:t>a 1</w:t>
      </w:r>
      <w:r w:rsidR="007F2B8C" w:rsidRPr="00EA543A">
        <w:rPr>
          <w:rFonts w:ascii="Times New Roman" w:eastAsia="Times New Roman" w:hAnsi="Times New Roman" w:cs="Times New Roman"/>
          <w:b/>
          <w:sz w:val="24"/>
          <w:szCs w:val="24"/>
          <w:lang w:eastAsia="sk-SK"/>
        </w:rPr>
        <w:t>3</w:t>
      </w:r>
      <w:r w:rsidR="006A4540" w:rsidRPr="00EA543A">
        <w:rPr>
          <w:rFonts w:ascii="Times New Roman" w:eastAsia="Times New Roman" w:hAnsi="Times New Roman" w:cs="Times New Roman"/>
          <w:b/>
          <w:sz w:val="24"/>
          <w:szCs w:val="24"/>
          <w:lang w:eastAsia="sk-SK"/>
        </w:rPr>
        <w:t>8</w:t>
      </w:r>
      <w:r w:rsidRPr="00EA543A">
        <w:rPr>
          <w:rFonts w:ascii="Times New Roman" w:eastAsia="Times New Roman" w:hAnsi="Times New Roman" w:cs="Times New Roman"/>
          <w:b/>
          <w:sz w:val="24"/>
          <w:szCs w:val="24"/>
          <w:lang w:eastAsia="sk-SK"/>
        </w:rPr>
        <w:t xml:space="preserve"> - </w:t>
      </w:r>
      <w:r w:rsidR="006A4540" w:rsidRPr="00EA543A">
        <w:rPr>
          <w:rFonts w:ascii="Times New Roman" w:eastAsia="Times New Roman" w:hAnsi="Times New Roman" w:cs="Times New Roman"/>
          <w:b/>
          <w:sz w:val="24"/>
          <w:szCs w:val="24"/>
          <w:lang w:eastAsia="sk-SK"/>
        </w:rPr>
        <w:t>§ 17i, § 45 ods. 5 a</w:t>
      </w:r>
      <w:r w:rsidR="00DE73E5" w:rsidRPr="00EA543A">
        <w:rPr>
          <w:rFonts w:ascii="Times New Roman" w:eastAsia="Times New Roman" w:hAnsi="Times New Roman" w:cs="Times New Roman"/>
          <w:b/>
          <w:sz w:val="24"/>
          <w:szCs w:val="24"/>
          <w:lang w:eastAsia="sk-SK"/>
        </w:rPr>
        <w:t xml:space="preserve"> Príloha č. 2</w:t>
      </w:r>
    </w:p>
    <w:p w:rsidR="002A55E1" w:rsidRPr="00EA543A" w:rsidRDefault="002A55E1"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 xml:space="preserve">Ustanovenie § 17i obsahuje implementáciu opatrení zo smernice Rady (EU) 2017/952 z 29. mája 2017, ktorou sa mení smernica (EÚ) 2016/1164, pokiaľ ide o hybridné nesúlady s tretími krajinami (ďalej len „ATAD 2“). Smernica (EÚ) 2016/1164 obsahovala iba pravidlá týkajúce sa hybridných nesúladov medzi členskými štátmi. Smernica ATAD 2 obsahuje pravidlá týkajúce sa hybridných nesúladov s tretími krajinami, ak aspoň jedna zo zúčastnených strán je právnickou osobou, ktorá je daňovníkom alebo v prípade reverzných hybridov subjektom v </w:t>
      </w:r>
      <w:r w:rsidRPr="00EA543A">
        <w:rPr>
          <w:rFonts w:ascii="Times New Roman" w:hAnsi="Times New Roman" w:cs="Times New Roman"/>
          <w:sz w:val="24"/>
          <w:szCs w:val="24"/>
        </w:rPr>
        <w:lastRenderedPageBreak/>
        <w:t>členskom štáte. Implementácia tejto smernice sa zároveň dopĺňa do Prílohy č. 2 do zoznamu právne záväzných aktov Európskej únie preberaných do zákona o dani z príjmov.</w:t>
      </w:r>
    </w:p>
    <w:p w:rsidR="002A55E1" w:rsidRPr="00EA543A" w:rsidRDefault="002A55E1" w:rsidP="00BA62B0">
      <w:pPr>
        <w:spacing w:after="0" w:line="240" w:lineRule="auto"/>
        <w:jc w:val="both"/>
        <w:rPr>
          <w:rFonts w:ascii="Times New Roman" w:hAnsi="Times New Roman" w:cs="Times New Roman"/>
          <w:sz w:val="24"/>
          <w:szCs w:val="24"/>
        </w:rPr>
      </w:pPr>
    </w:p>
    <w:p w:rsidR="002A55E1" w:rsidRPr="00EA543A" w:rsidRDefault="002A55E1"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 xml:space="preserve">V odseku 1 je vymedzený okruh daňovníkov, na ktorých sa uplatňujú pravidlá pre zamedzenie hybridným nesúladom. Tieto pravidlá sa vzťahujú na situácie, ktoré vznikajú medzi daňovníkom, ktorý je právnickou osobou a jeho závislými osobami predovšetkým </w:t>
      </w:r>
      <w:r w:rsidR="00B503C7" w:rsidRPr="00EA543A">
        <w:rPr>
          <w:rFonts w:ascii="Times New Roman" w:hAnsi="Times New Roman" w:cs="Times New Roman"/>
          <w:sz w:val="24"/>
          <w:szCs w:val="24"/>
        </w:rPr>
        <w:t xml:space="preserve">medzi </w:t>
      </w:r>
      <w:r w:rsidRPr="00EA543A">
        <w:rPr>
          <w:rFonts w:ascii="Times New Roman" w:hAnsi="Times New Roman" w:cs="Times New Roman"/>
          <w:sz w:val="24"/>
          <w:szCs w:val="24"/>
        </w:rPr>
        <w:t>daňovníkom a jeho závislou osobou, ústredím a jeho stálou prevádzkarňou, alebo medzi stálymi prevádzkarňami toho istého daňovníka. Nesúlady sa vzťahujú aj na nezávislé osoby, ktoré sú súčasťou štruktúrovanej schémy. Štruktúrovanou schémou sa rozumejú kroky, ktoré vedú k hybridnému nesúladu medzi závislými osobami, ktorých výsledky sú premietnuté do výhodnejších podmienok  uplatňovaných aj voči nezávislým osobám. Štruktúrovanou schému sa rozumie aj súbor opatrení, ktoré boli nastavené tak, aby vytvorili hybridný nesúlad okrem situácie, kedy daňovník alebo závislá osoba nemohli vedieť, že dôjde k hybridnému nesúladu a nezdieľali výhody plynúce z výsledkov týchto nesúladov.</w:t>
      </w:r>
    </w:p>
    <w:p w:rsidR="002A55E1" w:rsidRPr="00EA543A" w:rsidRDefault="002A55E1"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Odsek 2 - Základným výsledkom hybridných nesúladov môže byť odpočet výdavku, nákladu alebo straty bez jeho zahrnutia do zdaniteľných príjmov alebo výnosov alebo viacnásobný odpočet výdavkov u viacerých závislých osôb.</w:t>
      </w:r>
    </w:p>
    <w:p w:rsidR="002A55E1" w:rsidRPr="00EA543A" w:rsidRDefault="002A55E1"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V odseku 2 písm. a) sú vymedzené situácie, v ktorých dochádza k vzniku hybridných nesúladov:</w:t>
      </w:r>
    </w:p>
    <w:p w:rsidR="002A55E1" w:rsidRPr="00EA543A" w:rsidRDefault="002A55E1" w:rsidP="00BA62B0">
      <w:pPr>
        <w:pStyle w:val="Odsekzoznamu"/>
        <w:numPr>
          <w:ilvl w:val="1"/>
          <w:numId w:val="2"/>
        </w:numPr>
        <w:spacing w:after="0" w:line="240" w:lineRule="auto"/>
        <w:ind w:left="426"/>
        <w:jc w:val="both"/>
        <w:rPr>
          <w:rFonts w:ascii="Times New Roman" w:hAnsi="Times New Roman" w:cs="Times New Roman"/>
          <w:sz w:val="24"/>
          <w:szCs w:val="24"/>
        </w:rPr>
      </w:pPr>
      <w:r w:rsidRPr="00EA543A">
        <w:rPr>
          <w:rFonts w:ascii="Times New Roman" w:hAnsi="Times New Roman" w:cs="Times New Roman"/>
          <w:sz w:val="24"/>
          <w:szCs w:val="24"/>
        </w:rPr>
        <w:t>bod – hybridný finančný nástroj - hybridný nesúlad vedúci k odpočtu výdavku (nákladu) a nezahrnutiu príjmu (výnosu) do zdaniteľného príjmu v dôsledku hybridného finančného nástroja alebo platby plynúcej na základe tohto finančného nástroja. Najčastejšie ide o situáciu, kedy je finančný nástroj u jednej závislej osoby považovaný za dlhový nástroj a vyplatená platba za úrokový náklad znižujúci základ dane a u príjemcu (závislej osoby) je považovaný za majetkový nástroj a prijatá platba za dividendu, ktorá u príjemcu nie je predmetom dane, alebo je od dane oslobodená. Príjem (výnos) sa považuje</w:t>
      </w:r>
      <w:r w:rsidR="00B503C7" w:rsidRPr="00EA543A">
        <w:rPr>
          <w:rFonts w:ascii="Times New Roman" w:hAnsi="Times New Roman" w:cs="Times New Roman"/>
          <w:sz w:val="24"/>
          <w:szCs w:val="24"/>
        </w:rPr>
        <w:t xml:space="preserve"> za</w:t>
      </w:r>
      <w:r w:rsidRPr="00EA543A">
        <w:rPr>
          <w:rFonts w:ascii="Times New Roman" w:hAnsi="Times New Roman" w:cs="Times New Roman"/>
          <w:sz w:val="24"/>
          <w:szCs w:val="24"/>
        </w:rPr>
        <w:t xml:space="preserve"> nezahrnutý aj vtedy, ak nie je zahrnutý do základu dane v primeranej lehote, ktorou je lehota 12 kalendárnych mesiacov od skončenia zdaňovacieho obdobia daňovníka. Príjem sa považuje za zahrnutý, aj keď nie je zahrnutý do základu dane v ustanovenej lehote, avšak daňovník vie preukázať, že bude zahrnutý do základu dane v nasledujúcich zdaňovacích obdobiach.</w:t>
      </w:r>
    </w:p>
    <w:p w:rsidR="002A55E1" w:rsidRPr="00EA543A" w:rsidRDefault="002A55E1" w:rsidP="00BA62B0">
      <w:pPr>
        <w:pStyle w:val="Odsekzoznamu"/>
        <w:numPr>
          <w:ilvl w:val="1"/>
          <w:numId w:val="2"/>
        </w:numPr>
        <w:spacing w:after="0" w:line="240" w:lineRule="auto"/>
        <w:ind w:left="426"/>
        <w:jc w:val="both"/>
        <w:rPr>
          <w:rFonts w:ascii="Times New Roman" w:hAnsi="Times New Roman" w:cs="Times New Roman"/>
          <w:sz w:val="24"/>
          <w:szCs w:val="24"/>
        </w:rPr>
      </w:pPr>
      <w:r w:rsidRPr="00EA543A">
        <w:rPr>
          <w:rFonts w:ascii="Times New Roman" w:hAnsi="Times New Roman" w:cs="Times New Roman"/>
          <w:sz w:val="24"/>
          <w:szCs w:val="24"/>
        </w:rPr>
        <w:t>bod – hybridný subjekt – ide o hybridný nesúlad vedúci k odpočtu výdavku (nákladu) a nezahrnutiu príjmu (výnosu) do zdaniteľného príjmu v dôsledku rozdielneho prístupu v priradení príjmu, ku ktorému dochádza najčastejšie v dôsledku rozdielneho posúdenia spoločnosti, ktorej plynú dané príjmy (výnosy). Ide o tzv. hybridné subjekty. Hybridným subjektom sa rozumie spravidla právnická osoba, ktorá je považovaná podľa štátu, v ktorom je založená za samostatného daňovníka, avšak podľa štátu jej zakladateľa (majiteľa akcií) je považovaná za transparentnú spoločnosť. Môže ísť aj o opačne posúdenú situáciu, kedy štát zakladateľa (majiteľa akcií) považuje spoločnosť založenú v inom štáte za samostatného daňovníka a naopak štát, v ktorom je spoločnosť založená považuje spoločnosť za transparentnú - ide o tzv. reverzný hybridný subjekt. V uvedenom prípade dochádza k uplatneniu daňového výdavku avšak nezahrnutiu príjmu do zdaniteľného príjmu ani v štáte, v ktorom je spoločnosť založená, ani v štáte jej zakladateľa (majiteľa akcií).</w:t>
      </w:r>
    </w:p>
    <w:p w:rsidR="002A55E1" w:rsidRPr="00EA543A" w:rsidRDefault="002A55E1" w:rsidP="00BA62B0">
      <w:pPr>
        <w:pStyle w:val="Odsekzoznamu"/>
        <w:numPr>
          <w:ilvl w:val="1"/>
          <w:numId w:val="2"/>
        </w:numPr>
        <w:spacing w:after="0" w:line="240" w:lineRule="auto"/>
        <w:ind w:left="426"/>
        <w:jc w:val="both"/>
        <w:rPr>
          <w:rFonts w:ascii="Times New Roman" w:hAnsi="Times New Roman" w:cs="Times New Roman"/>
          <w:sz w:val="24"/>
          <w:szCs w:val="24"/>
        </w:rPr>
      </w:pPr>
      <w:r w:rsidRPr="00EA543A">
        <w:rPr>
          <w:rFonts w:ascii="Times New Roman" w:hAnsi="Times New Roman" w:cs="Times New Roman"/>
          <w:sz w:val="24"/>
          <w:szCs w:val="24"/>
        </w:rPr>
        <w:t>bod – odklonená platba – ide o hybridný nesúlad vedúci k odpočtu výdavku (nákladu) a nezahrnutiu príjmu (výnosu) do zdaniteľného príjmu v dôsledku rozdielneho prístupu v priradení príjmu (výnosu) medzi ústredím a stálou prevádzkarňou. Štát ústredia priradí platbu stálej prevádzkarni v inom štáte, kým štát, kde je stála prevádzkareň umiestnená priradí platbu štátu ústredia, čím dochádza k nezdaneniu príjmu ani ústredím, ani stálou prevádzkarňou, avšak u vyplácajúceho je výdavkom (nákladom) znižujúcim základ dane.</w:t>
      </w:r>
    </w:p>
    <w:p w:rsidR="002A55E1" w:rsidRPr="00EA543A" w:rsidRDefault="002A55E1" w:rsidP="00BA62B0">
      <w:pPr>
        <w:pStyle w:val="Odsekzoznamu"/>
        <w:numPr>
          <w:ilvl w:val="1"/>
          <w:numId w:val="2"/>
        </w:numPr>
        <w:spacing w:after="0" w:line="240" w:lineRule="auto"/>
        <w:ind w:left="426"/>
        <w:jc w:val="both"/>
        <w:rPr>
          <w:rFonts w:ascii="Times New Roman" w:hAnsi="Times New Roman" w:cs="Times New Roman"/>
          <w:sz w:val="24"/>
          <w:szCs w:val="24"/>
        </w:rPr>
      </w:pPr>
      <w:r w:rsidRPr="00EA543A">
        <w:rPr>
          <w:rFonts w:ascii="Times New Roman" w:hAnsi="Times New Roman" w:cs="Times New Roman"/>
          <w:sz w:val="24"/>
          <w:szCs w:val="24"/>
        </w:rPr>
        <w:lastRenderedPageBreak/>
        <w:t>bod – nerozpoznaná stála prevádzkareň - ide o hybridný nesúlad vedúci k odpočtu výdavku (nákladu) a nezahrnutiu príjmu (výnosu) do zdaniteľného príjmu v dôsledku rozdielneho prístupu v priradení príjmu (výnosu) medzi ústredím a stálou prevádzkarňou, avšak v tomto prípade štát, v ktorom má byť stála prevádzkareň umiestnená, nedeklaruje existenciu stálej prevádzkarne. Štát ústredia priradí platbu stálej prevádzkarni v inom štáte, v ktorom však stála prevádzkareň nie je rozpoznaná, príjem tak nie je zahrnutý do základu dane ústredia ani stálej prevádzkarne, avšak u vyplácajúceho je výdavkom (nákladom) znižujúcim základ dane.</w:t>
      </w:r>
    </w:p>
    <w:p w:rsidR="002A55E1" w:rsidRPr="00EA543A" w:rsidRDefault="002A55E1" w:rsidP="00BA62B0">
      <w:pPr>
        <w:pStyle w:val="Odsekzoznamu"/>
        <w:numPr>
          <w:ilvl w:val="1"/>
          <w:numId w:val="2"/>
        </w:numPr>
        <w:spacing w:after="0" w:line="240" w:lineRule="auto"/>
        <w:ind w:left="426"/>
        <w:jc w:val="both"/>
        <w:rPr>
          <w:rFonts w:ascii="Times New Roman" w:hAnsi="Times New Roman" w:cs="Times New Roman"/>
          <w:sz w:val="24"/>
          <w:szCs w:val="24"/>
        </w:rPr>
      </w:pPr>
      <w:r w:rsidRPr="00EA543A">
        <w:rPr>
          <w:rFonts w:ascii="Times New Roman" w:hAnsi="Times New Roman" w:cs="Times New Roman"/>
          <w:sz w:val="24"/>
          <w:szCs w:val="24"/>
        </w:rPr>
        <w:t>bod – nezohľadnená platba - ide o hybridný nesúlad vedúci k odpočtu výdavku (nákladu) a nezahrnutiu príjmu (výnosu) do zdaniteľného príjmu v dôsledku  platby (výdavku) uskutočnenej hybridným subjektom a nezahrnutím príjmu u závislej osoby.</w:t>
      </w:r>
    </w:p>
    <w:p w:rsidR="002A55E1" w:rsidRPr="00EA543A" w:rsidRDefault="002A55E1" w:rsidP="00BA62B0">
      <w:pPr>
        <w:pStyle w:val="Odsekzoznamu"/>
        <w:numPr>
          <w:ilvl w:val="1"/>
          <w:numId w:val="2"/>
        </w:numPr>
        <w:spacing w:after="0" w:line="240" w:lineRule="auto"/>
        <w:ind w:left="426"/>
        <w:jc w:val="both"/>
        <w:rPr>
          <w:rFonts w:ascii="Times New Roman" w:hAnsi="Times New Roman" w:cs="Times New Roman"/>
          <w:sz w:val="24"/>
          <w:szCs w:val="24"/>
        </w:rPr>
      </w:pPr>
      <w:r w:rsidRPr="00EA543A">
        <w:rPr>
          <w:rFonts w:ascii="Times New Roman" w:hAnsi="Times New Roman" w:cs="Times New Roman"/>
          <w:sz w:val="24"/>
          <w:szCs w:val="24"/>
        </w:rPr>
        <w:t>bod – platba považovaná za realizovanú - ide o hybridný nesúlad vedúci k odpočtu výdavku (nákladu) a nezahrnutiu príjmu (výnosu) do zdaniteľného príjmu v dôsledku pomyslenej platby realizovanej stálou prevádzkarňou ústrediu (alebo aj opačne) a nezahrnutím tohto príjmu do zdaniteľného príjmu ústredia (stálej prevádzkarne.</w:t>
      </w:r>
    </w:p>
    <w:p w:rsidR="002A55E1" w:rsidRPr="00EA543A" w:rsidRDefault="002A55E1" w:rsidP="00BA62B0">
      <w:pPr>
        <w:pStyle w:val="Odsekzoznamu"/>
        <w:numPr>
          <w:ilvl w:val="1"/>
          <w:numId w:val="2"/>
        </w:numPr>
        <w:spacing w:after="0" w:line="240" w:lineRule="auto"/>
        <w:ind w:left="426"/>
        <w:jc w:val="both"/>
        <w:rPr>
          <w:rFonts w:ascii="Times New Roman" w:hAnsi="Times New Roman" w:cs="Times New Roman"/>
          <w:sz w:val="24"/>
          <w:szCs w:val="24"/>
        </w:rPr>
      </w:pPr>
      <w:r w:rsidRPr="00EA543A">
        <w:rPr>
          <w:rFonts w:ascii="Times New Roman" w:hAnsi="Times New Roman" w:cs="Times New Roman"/>
          <w:sz w:val="24"/>
          <w:szCs w:val="24"/>
        </w:rPr>
        <w:t>bod – viacnásobný odpočet výdavku (nákladu) bez zahrnutia viacnásobného príjmu (výnosu) do zdaniteľného príjmu. Najčastejšie ide o situácie v dôsledku hybridných subjektov, kedy dochádza k uplatneniu výdavku (nákladu) v štáte, kde je spoločnosť založená a rovnako aj v štáte je</w:t>
      </w:r>
      <w:r w:rsidR="00B503C7" w:rsidRPr="00EA543A">
        <w:rPr>
          <w:rFonts w:ascii="Times New Roman" w:hAnsi="Times New Roman" w:cs="Times New Roman"/>
          <w:sz w:val="24"/>
          <w:szCs w:val="24"/>
        </w:rPr>
        <w:t>j</w:t>
      </w:r>
      <w:r w:rsidRPr="00EA543A">
        <w:rPr>
          <w:rFonts w:ascii="Times New Roman" w:hAnsi="Times New Roman" w:cs="Times New Roman"/>
          <w:sz w:val="24"/>
          <w:szCs w:val="24"/>
        </w:rPr>
        <w:t xml:space="preserve"> zakladateľa (majiteľa akcií). Súčasne však môže dochádzať aj </w:t>
      </w:r>
      <w:r w:rsidR="00B503C7" w:rsidRPr="00EA543A">
        <w:rPr>
          <w:rFonts w:ascii="Times New Roman" w:hAnsi="Times New Roman" w:cs="Times New Roman"/>
          <w:sz w:val="24"/>
          <w:szCs w:val="24"/>
        </w:rPr>
        <w:t>k</w:t>
      </w:r>
      <w:r w:rsidRPr="00EA543A">
        <w:rPr>
          <w:rFonts w:ascii="Times New Roman" w:hAnsi="Times New Roman" w:cs="Times New Roman"/>
          <w:sz w:val="24"/>
          <w:szCs w:val="24"/>
        </w:rPr>
        <w:t> viacnásobnému zahrnutiu príjmov (výnosov) do zdaniteľného príjmu, preto nesúlad vzniká iba v rozsahu, v akom súčasne pri viacnásobnom uplatnení výdavkov nedochádza k viacnásobnému zahrnutiu príjmov (výnosov) do zdaniteľných príjmov.</w:t>
      </w:r>
    </w:p>
    <w:p w:rsidR="002A55E1" w:rsidRPr="00EA543A" w:rsidRDefault="002A55E1" w:rsidP="00BA62B0">
      <w:pPr>
        <w:spacing w:after="0" w:line="240" w:lineRule="auto"/>
        <w:ind w:left="66"/>
        <w:jc w:val="both"/>
        <w:rPr>
          <w:rFonts w:ascii="Times New Roman" w:hAnsi="Times New Roman" w:cs="Times New Roman"/>
          <w:sz w:val="24"/>
          <w:szCs w:val="24"/>
        </w:rPr>
      </w:pPr>
      <w:r w:rsidRPr="00EA543A">
        <w:rPr>
          <w:rFonts w:ascii="Times New Roman" w:hAnsi="Times New Roman" w:cs="Times New Roman"/>
          <w:sz w:val="24"/>
          <w:szCs w:val="24"/>
        </w:rPr>
        <w:t>písm. b) – vložený hybridný nesúlad – ide o situáciu, kedy hybridný nesúlad nevzniká priamo medzi daňovníkom a jeho závislou osobu, ale medzi jeho závislými osobami, avšak daňovník sa priamo alebo nepriamo podieľal na financovaní tohto nesúladu.</w:t>
      </w:r>
    </w:p>
    <w:p w:rsidR="002A55E1" w:rsidRPr="00EA543A" w:rsidRDefault="002A55E1" w:rsidP="00BA62B0">
      <w:pPr>
        <w:spacing w:after="0" w:line="240" w:lineRule="auto"/>
        <w:ind w:left="66"/>
        <w:jc w:val="both"/>
        <w:rPr>
          <w:rFonts w:ascii="Times New Roman" w:hAnsi="Times New Roman" w:cs="Times New Roman"/>
          <w:sz w:val="24"/>
          <w:szCs w:val="24"/>
        </w:rPr>
      </w:pPr>
      <w:r w:rsidRPr="00EA543A">
        <w:rPr>
          <w:rFonts w:ascii="Times New Roman" w:hAnsi="Times New Roman" w:cs="Times New Roman"/>
          <w:sz w:val="24"/>
          <w:szCs w:val="24"/>
        </w:rPr>
        <w:t>V odseku 3 sú špecifikované vybrané pojmy, ktoré vysvetľujú resp. bližšie špecifikujú hybridné nesúlady, napr. čo sa rozumie odpočtom (výdavku) nákladu bez zahrnutia do príjmu (výnosu), čo sa považuje za hybridný subjekt. Bližšie sa napr. špecifikuje, že hybridné nesúlady týkajúce sa hybridného subjektu a stálych prevádzkarní podľa odseku 2 písm. a) 2.-5. bodu a 7. bodu sa definícia závislej osoby modifikuje tým spôsobom, že sa hranica 25 % účasti na majetku, hlasovacích právach a zisku zvyšuje na 50 %.</w:t>
      </w:r>
    </w:p>
    <w:p w:rsidR="002A55E1" w:rsidRPr="00EA543A" w:rsidRDefault="002A55E1" w:rsidP="00BA62B0">
      <w:pPr>
        <w:spacing w:after="0" w:line="240" w:lineRule="auto"/>
        <w:ind w:left="66"/>
        <w:jc w:val="both"/>
        <w:rPr>
          <w:rFonts w:ascii="Times New Roman" w:hAnsi="Times New Roman" w:cs="Times New Roman"/>
          <w:sz w:val="24"/>
          <w:szCs w:val="24"/>
        </w:rPr>
      </w:pPr>
      <w:r w:rsidRPr="00EA543A">
        <w:rPr>
          <w:rFonts w:ascii="Times New Roman" w:hAnsi="Times New Roman" w:cs="Times New Roman"/>
          <w:sz w:val="24"/>
          <w:szCs w:val="24"/>
        </w:rPr>
        <w:t>V odseku 4 sú vymedzené situácie, kedy napriek tomu, že hybridný nesúlad vznikne, nepovažuje sa za nesúlad, na ktorý sa budú vzťahovať pravidlá uvedené v odseku 5. Ide napr. o situáciu, kedy jednou zo strán nesúladu je daňovník nezaložený alebo nezriadený na podnikanie resp. fyzická osoba. Za hybridný nesúlad sa rovnako nepovažuje nesúlad vznikajúci u obchodníka s cennými papiermi. V dôsledku prevedených finančných nástrojov môže dôjsť pri výplate výnosov z prevedených finančných nástrojov k vzniku hybridného nesúladu, avšak z nesúladov sú vylúčené situácie, ak obchodník s cennými papiermi pri prevedení platby, uplatnenej v daňových výdavkoch má zároveň aj prijatú platbu zahrnutú do zdaniteľných príjmov súvisiacu s prevedeným finančným nástrojom. Uvedené však neplatí, ak táto situácia vznikne v dôsledku štruktúrovanej schémy.</w:t>
      </w:r>
    </w:p>
    <w:p w:rsidR="002A55E1" w:rsidRPr="00EA543A" w:rsidRDefault="002A55E1" w:rsidP="00BA62B0">
      <w:pPr>
        <w:spacing w:after="0" w:line="240" w:lineRule="auto"/>
        <w:ind w:left="66"/>
        <w:jc w:val="both"/>
        <w:rPr>
          <w:rFonts w:ascii="Times New Roman" w:hAnsi="Times New Roman" w:cs="Times New Roman"/>
          <w:sz w:val="24"/>
          <w:szCs w:val="24"/>
        </w:rPr>
      </w:pPr>
      <w:r w:rsidRPr="00EA543A">
        <w:rPr>
          <w:rFonts w:ascii="Times New Roman" w:hAnsi="Times New Roman" w:cs="Times New Roman"/>
          <w:sz w:val="24"/>
          <w:szCs w:val="24"/>
        </w:rPr>
        <w:t>Odsek 5 obsahuje pravidlá, ktoré majú zamedziť vzniknutým hybridným nesúladom. Ak dôjde k hybridnému nesúladu vedúcemu k:</w:t>
      </w:r>
    </w:p>
    <w:p w:rsidR="002A55E1" w:rsidRPr="00EA543A" w:rsidRDefault="002A55E1" w:rsidP="00BA62B0">
      <w:pPr>
        <w:pStyle w:val="Odsekzoznamu"/>
        <w:numPr>
          <w:ilvl w:val="2"/>
          <w:numId w:val="1"/>
        </w:numPr>
        <w:spacing w:after="0" w:line="240" w:lineRule="auto"/>
        <w:ind w:left="284"/>
        <w:jc w:val="both"/>
        <w:rPr>
          <w:rFonts w:ascii="Times New Roman" w:hAnsi="Times New Roman" w:cs="Times New Roman"/>
          <w:sz w:val="24"/>
          <w:szCs w:val="24"/>
        </w:rPr>
      </w:pPr>
      <w:r w:rsidRPr="00EA543A">
        <w:rPr>
          <w:rFonts w:ascii="Times New Roman" w:hAnsi="Times New Roman" w:cs="Times New Roman"/>
          <w:sz w:val="24"/>
          <w:szCs w:val="24"/>
        </w:rPr>
        <w:t>viacnásobnému odpočtu výdavkov (nákladov) bez viacnásobného zahrnutia príjmov (výnosov), potom riešením je zamietnutie uplatnenia daňového výdavku resp. zníženia základu dane. Primárne má tento výdavok (náklad resp. stratu) zamietnuť (t.j. neuplatniť ako daňový výdavok alebo zníženie základu dane) zriaďovateľ daného subjektu (tzv. štát investora), ktorý v dôsledku hybridných subjektov dané výdavky (náklady) iba prevezme do svojho základu dane. Ak však štát investora nezabráni nesúladu, musí uplatniť tzv. sekundárne pravidlo štát, v ktorom je hybridný subjekt zriadený (tzv. štát zdroja)</w:t>
      </w:r>
    </w:p>
    <w:p w:rsidR="002A55E1" w:rsidRPr="00EA543A" w:rsidRDefault="002A55E1" w:rsidP="00BA62B0">
      <w:pPr>
        <w:pStyle w:val="Odsekzoznamu"/>
        <w:numPr>
          <w:ilvl w:val="2"/>
          <w:numId w:val="1"/>
        </w:numPr>
        <w:spacing w:after="0" w:line="240" w:lineRule="auto"/>
        <w:ind w:left="284"/>
        <w:jc w:val="both"/>
        <w:rPr>
          <w:rFonts w:ascii="Times New Roman" w:hAnsi="Times New Roman" w:cs="Times New Roman"/>
          <w:sz w:val="24"/>
          <w:szCs w:val="24"/>
        </w:rPr>
      </w:pPr>
      <w:r w:rsidRPr="00EA543A">
        <w:rPr>
          <w:rFonts w:ascii="Times New Roman" w:hAnsi="Times New Roman" w:cs="Times New Roman"/>
          <w:sz w:val="24"/>
          <w:szCs w:val="24"/>
        </w:rPr>
        <w:lastRenderedPageBreak/>
        <w:t>odpočtu výdavkov (nákladov) bez zahrnutia do príjmov (výnosov) – primárnym riešením je zamietnutie daňového výdavku. Ak nesúladu nezabráni štát, v ktorom sa uplatňoval daňový výdavok, nesúladu musí zabrániť štát príjemcu, a to zahrnutím príjmu do zdaniteľného príjmu (t.j. napr. neuplatnením oslobodenia)</w:t>
      </w:r>
    </w:p>
    <w:p w:rsidR="002A55E1" w:rsidRPr="00EA543A" w:rsidRDefault="002A55E1" w:rsidP="00BA62B0">
      <w:pPr>
        <w:pStyle w:val="Odsekzoznamu"/>
        <w:numPr>
          <w:ilvl w:val="2"/>
          <w:numId w:val="1"/>
        </w:numPr>
        <w:spacing w:after="0" w:line="240" w:lineRule="auto"/>
        <w:ind w:left="284"/>
        <w:jc w:val="both"/>
        <w:rPr>
          <w:rFonts w:ascii="Times New Roman" w:hAnsi="Times New Roman" w:cs="Times New Roman"/>
          <w:sz w:val="24"/>
          <w:szCs w:val="24"/>
        </w:rPr>
      </w:pPr>
      <w:r w:rsidRPr="00EA543A">
        <w:rPr>
          <w:rFonts w:ascii="Times New Roman" w:hAnsi="Times New Roman" w:cs="Times New Roman"/>
          <w:sz w:val="24"/>
          <w:szCs w:val="24"/>
        </w:rPr>
        <w:t>vloženému hybridnému nesúladu – ak hybridnému nesúladu nezabránili subjekty, medzi ktorými hybridný nesúlad vznikol, alebo iné závislé osoby, musí hybridnému nesúladu zamedziť daňovník, ktorý sa priamo alebo nepriamo podieľal na financovaní hybridného nesúladu, t.j. neumožní uplatniť výdavok ako daňový výdavok.</w:t>
      </w:r>
    </w:p>
    <w:p w:rsidR="002A55E1" w:rsidRPr="00EA543A" w:rsidRDefault="002A55E1" w:rsidP="00BA62B0">
      <w:pPr>
        <w:spacing w:after="0" w:line="240" w:lineRule="auto"/>
        <w:ind w:left="-76"/>
        <w:jc w:val="both"/>
        <w:rPr>
          <w:rFonts w:ascii="Times New Roman" w:hAnsi="Times New Roman" w:cs="Times New Roman"/>
          <w:sz w:val="24"/>
          <w:szCs w:val="24"/>
        </w:rPr>
      </w:pPr>
      <w:r w:rsidRPr="00EA543A">
        <w:rPr>
          <w:rFonts w:ascii="Times New Roman" w:hAnsi="Times New Roman" w:cs="Times New Roman"/>
          <w:sz w:val="24"/>
          <w:szCs w:val="24"/>
        </w:rPr>
        <w:t>Ak by k hybridnému nesúladu došlo v dôsledku dvojitej rezidencie, potom hybridnému nesúladu zamedzuje daňovník, ktorý je rezidentom členského štátu EÚ. Ak ide o hybridný nesúlad medzi dvoma členskými štátmi EÚ, zamedzí mu daňovník, ktorý je za rezidenta považovaný podľa ZZDZ.</w:t>
      </w:r>
    </w:p>
    <w:p w:rsidR="002A55E1" w:rsidRPr="00EA543A" w:rsidRDefault="002A55E1" w:rsidP="00BA62B0">
      <w:pPr>
        <w:spacing w:after="0" w:line="240" w:lineRule="auto"/>
        <w:ind w:left="-76"/>
        <w:jc w:val="both"/>
        <w:rPr>
          <w:rFonts w:ascii="Times New Roman" w:hAnsi="Times New Roman" w:cs="Times New Roman"/>
          <w:sz w:val="24"/>
          <w:szCs w:val="24"/>
        </w:rPr>
      </w:pPr>
      <w:r w:rsidRPr="00EA543A">
        <w:rPr>
          <w:rFonts w:ascii="Times New Roman" w:hAnsi="Times New Roman" w:cs="Times New Roman"/>
          <w:sz w:val="24"/>
          <w:szCs w:val="24"/>
        </w:rPr>
        <w:t xml:space="preserve">V odseku 6 sa bližšie uvádza, že daňovník, ktorý si upravil základ dane pri viacnásobnom odpočte výdavkov (nákladov) podľa odseku 5 písm. a), si môže znížiť základ dane o túto sumu v tom zdaňovacom období, v ktorom dôjde k zahrnutiu súvisiaceho viacnásobne zahrnutého príjmu (výnosu) do základu dane.  </w:t>
      </w:r>
    </w:p>
    <w:p w:rsidR="002A55E1" w:rsidRPr="00EA543A" w:rsidRDefault="002A55E1" w:rsidP="00BA62B0">
      <w:pPr>
        <w:spacing w:after="0" w:line="240" w:lineRule="auto"/>
        <w:ind w:left="-76"/>
        <w:jc w:val="both"/>
        <w:rPr>
          <w:rFonts w:ascii="Times New Roman" w:hAnsi="Times New Roman" w:cs="Times New Roman"/>
          <w:strike/>
          <w:sz w:val="24"/>
          <w:szCs w:val="24"/>
        </w:rPr>
      </w:pPr>
      <w:r w:rsidRPr="00EA543A">
        <w:rPr>
          <w:rFonts w:ascii="Times New Roman" w:hAnsi="Times New Roman" w:cs="Times New Roman"/>
          <w:sz w:val="24"/>
          <w:szCs w:val="24"/>
        </w:rPr>
        <w:t xml:space="preserve">V odseku 7 je osobitne vymedzená situácia, kedy sa pri vzniku nesúladu vedúceho k odpočtu výdavku (nákladu) bez zahrnutia do príjmu (výnosu) neuplatní sekundárne pravidlo, t.j. zahrnutie do príjmu. Ide o situáciu, keď štát, v ktorom sa stála prevádzkareň nachádza jej prítomnosť nerozpoznáva, kým podľa štátu ústredia vzniká v tomto inom štáte stála prevádzkareň. V tomto prípade by mal byť príjem (výnos) zahrnutý do základu dane stálej prevádzkarne alebo štátu ústredia. Štát ústredia tak nemusí urobiť, ak tento príjem nie je možné zahrnúť do základu dane na základe zmluvy o zamedzení dvojitého zdanenia uzatvorenej medzi Slovenskou republikou a príslušným zúčastneným štátom, ktorý nie členom Európskej únie.  </w:t>
      </w:r>
    </w:p>
    <w:p w:rsidR="002A55E1" w:rsidRPr="00EA543A" w:rsidRDefault="002A55E1" w:rsidP="00BA62B0">
      <w:pPr>
        <w:spacing w:after="0" w:line="240" w:lineRule="auto"/>
        <w:ind w:left="-76"/>
        <w:jc w:val="both"/>
        <w:rPr>
          <w:rFonts w:ascii="Times New Roman" w:hAnsi="Times New Roman" w:cs="Times New Roman"/>
          <w:sz w:val="24"/>
          <w:szCs w:val="24"/>
        </w:rPr>
      </w:pPr>
      <w:r w:rsidRPr="00EA543A">
        <w:rPr>
          <w:rFonts w:ascii="Times New Roman" w:hAnsi="Times New Roman" w:cs="Times New Roman"/>
          <w:sz w:val="24"/>
          <w:szCs w:val="24"/>
        </w:rPr>
        <w:t xml:space="preserve">V odseku 8 sú špecifikované situácie, kedy a v akom rozsahu sa príjem (výnos) nepovažuje na účely hybridných nesúladov za zahrnutý do zdaniteľných príjmov (výnosov) resp. v akom rozsahu sa považuje za zahrnutý. Ide o situácie, kedy príjem u príjemcu nepodlieha dani z príjmov, alebo je od dane oslobodený. V písm. c) ide napríklad o situáciu, kedy je prijatý príjem v dôsledku hybridného nesúladu posúdený ako dividenda zdanený 15 % sadzbou dane, avšak tento príjem mal byť zdanený ako úrokový výnos, na ktorý sa uplatňuje sadzba dane 19 %. V tomto prípade sa považuje  za nezahrnutý do príjmov (výnosov) v rozsahu, v akom nie je zdanený sadzbou dane 19 %.  Ak je príjem zdanený pri zdroji zrážkou, na účely odseku 8 sa považuje za zahrnutý do príjmu len vtedy, ak je zahrnutý do zdaniteľných príjmov v štáte príjemcu. </w:t>
      </w:r>
    </w:p>
    <w:p w:rsidR="002A55E1" w:rsidRPr="00EA543A" w:rsidRDefault="002A55E1" w:rsidP="00BA62B0">
      <w:pPr>
        <w:spacing w:after="0" w:line="240" w:lineRule="auto"/>
        <w:ind w:left="-76"/>
        <w:jc w:val="both"/>
        <w:rPr>
          <w:rFonts w:ascii="Times New Roman" w:hAnsi="Times New Roman" w:cs="Times New Roman"/>
          <w:sz w:val="24"/>
          <w:szCs w:val="24"/>
        </w:rPr>
      </w:pPr>
      <w:r w:rsidRPr="00EA543A">
        <w:rPr>
          <w:rFonts w:ascii="Times New Roman" w:hAnsi="Times New Roman" w:cs="Times New Roman"/>
          <w:sz w:val="24"/>
          <w:szCs w:val="24"/>
        </w:rPr>
        <w:t>V odseku 9 sa špecifikuje, že v prípade subjektov kolekt</w:t>
      </w:r>
      <w:r w:rsidR="00B503C7" w:rsidRPr="00EA543A">
        <w:rPr>
          <w:rFonts w:ascii="Times New Roman" w:hAnsi="Times New Roman" w:cs="Times New Roman"/>
          <w:sz w:val="24"/>
          <w:szCs w:val="24"/>
        </w:rPr>
        <w:t>í</w:t>
      </w:r>
      <w:r w:rsidRPr="00EA543A">
        <w:rPr>
          <w:rFonts w:ascii="Times New Roman" w:hAnsi="Times New Roman" w:cs="Times New Roman"/>
          <w:sz w:val="24"/>
          <w:szCs w:val="24"/>
        </w:rPr>
        <w:t>vn</w:t>
      </w:r>
      <w:r w:rsidR="00B503C7" w:rsidRPr="00EA543A">
        <w:rPr>
          <w:rFonts w:ascii="Times New Roman" w:hAnsi="Times New Roman" w:cs="Times New Roman"/>
          <w:sz w:val="24"/>
          <w:szCs w:val="24"/>
        </w:rPr>
        <w:t>eho</w:t>
      </w:r>
      <w:r w:rsidRPr="00EA543A">
        <w:rPr>
          <w:rFonts w:ascii="Times New Roman" w:hAnsi="Times New Roman" w:cs="Times New Roman"/>
          <w:sz w:val="24"/>
          <w:szCs w:val="24"/>
        </w:rPr>
        <w:t xml:space="preserve"> investovania bez právnej subjektivity sa posúdenie závislosti odvíja od závislosti podielnika k podielovému fondu.</w:t>
      </w:r>
    </w:p>
    <w:p w:rsidR="00DE73E5" w:rsidRPr="00EA543A" w:rsidRDefault="002A55E1" w:rsidP="00BA62B0">
      <w:pPr>
        <w:spacing w:after="0" w:line="240" w:lineRule="auto"/>
        <w:ind w:left="-76"/>
        <w:jc w:val="both"/>
        <w:rPr>
          <w:rFonts w:ascii="Times New Roman" w:hAnsi="Times New Roman" w:cs="Times New Roman"/>
          <w:sz w:val="24"/>
          <w:szCs w:val="24"/>
        </w:rPr>
      </w:pPr>
      <w:r w:rsidRPr="00EA543A">
        <w:rPr>
          <w:rFonts w:ascii="Times New Roman" w:hAnsi="Times New Roman" w:cs="Times New Roman"/>
          <w:sz w:val="24"/>
          <w:szCs w:val="24"/>
        </w:rPr>
        <w:t>V súvislosti s hybridnými nesúladmi a osobitne s hybridným prevodom sa upravuje možnosť započítania dane zaplatenej v zahraničí, a to v § 45 ods. 5. Súčasné znenie zákona umožňuje zápočet pomerom príjmov plynúcich zo zdrojov v zahraničí oproti celkovému základu dane. Pri hybridnom prevode dochádza k viacnásobnému uplatneniu tej istej zrazenej dane viacerými závislými osobami. V tomto prípade umožňuje smernica ATAD 2 započítať túto daň zaplatenú v zahraničí iba vo výške pripadajúcej na čistý príjem (výnos) dosiahnutý z danej operácie. Z uvedeného dôvodu je preto potrebné vypočítať zápočet dane zaplatenej v zahraničí na daňovú povinnosť v SR samostatne pre danú operáciu.</w:t>
      </w:r>
    </w:p>
    <w:p w:rsidR="00D463AE" w:rsidRPr="00EA543A" w:rsidRDefault="00D463AE" w:rsidP="00BA62B0">
      <w:pPr>
        <w:spacing w:after="0" w:line="240" w:lineRule="auto"/>
        <w:ind w:left="-76"/>
        <w:jc w:val="both"/>
        <w:rPr>
          <w:rFonts w:ascii="Times New Roman" w:hAnsi="Times New Roman" w:cs="Times New Roman"/>
          <w:sz w:val="24"/>
          <w:szCs w:val="24"/>
        </w:rPr>
      </w:pPr>
    </w:p>
    <w:p w:rsidR="00A40A6A" w:rsidRPr="00EA543A" w:rsidRDefault="00A40A6A" w:rsidP="00BA62B0">
      <w:pPr>
        <w:pStyle w:val="Odsekzoznamu"/>
        <w:spacing w:after="0" w:line="240" w:lineRule="auto"/>
        <w:ind w:left="0"/>
        <w:jc w:val="both"/>
        <w:rPr>
          <w:rFonts w:ascii="Times New Roman" w:hAnsi="Times New Roman" w:cs="Times New Roman"/>
          <w:sz w:val="24"/>
          <w:szCs w:val="24"/>
        </w:rPr>
      </w:pPr>
      <w:r w:rsidRPr="00EA543A">
        <w:rPr>
          <w:rFonts w:ascii="Times New Roman" w:hAnsi="Times New Roman" w:cs="Times New Roman"/>
          <w:b/>
          <w:sz w:val="24"/>
          <w:szCs w:val="24"/>
        </w:rPr>
        <w:t xml:space="preserve">K bodu </w:t>
      </w:r>
      <w:r w:rsidR="00104D86" w:rsidRPr="00EA543A">
        <w:rPr>
          <w:rFonts w:ascii="Times New Roman" w:hAnsi="Times New Roman" w:cs="Times New Roman"/>
          <w:b/>
          <w:sz w:val="24"/>
          <w:szCs w:val="24"/>
        </w:rPr>
        <w:t>4</w:t>
      </w:r>
      <w:r w:rsidR="00C95BCF" w:rsidRPr="00EA543A">
        <w:rPr>
          <w:rFonts w:ascii="Times New Roman" w:hAnsi="Times New Roman" w:cs="Times New Roman"/>
          <w:b/>
          <w:sz w:val="24"/>
          <w:szCs w:val="24"/>
        </w:rPr>
        <w:t>9</w:t>
      </w:r>
      <w:r w:rsidRPr="00EA543A">
        <w:rPr>
          <w:rFonts w:ascii="Times New Roman" w:hAnsi="Times New Roman" w:cs="Times New Roman"/>
          <w:b/>
          <w:sz w:val="24"/>
          <w:szCs w:val="24"/>
        </w:rPr>
        <w:t xml:space="preserve"> - § 19 ods. 3 písm. a)</w:t>
      </w:r>
    </w:p>
    <w:p w:rsidR="00A40A6A" w:rsidRPr="00EA543A" w:rsidRDefault="00A40A6A" w:rsidP="00BA62B0">
      <w:pPr>
        <w:pStyle w:val="Odsekzoznamu"/>
        <w:spacing w:after="0" w:line="240" w:lineRule="auto"/>
        <w:ind w:left="0"/>
        <w:jc w:val="both"/>
        <w:rPr>
          <w:rFonts w:ascii="Times New Roman" w:hAnsi="Times New Roman" w:cs="Times New Roman"/>
          <w:sz w:val="24"/>
          <w:szCs w:val="24"/>
        </w:rPr>
      </w:pPr>
      <w:r w:rsidRPr="00EA543A">
        <w:rPr>
          <w:rFonts w:ascii="Times New Roman" w:hAnsi="Times New Roman" w:cs="Times New Roman"/>
          <w:sz w:val="24"/>
          <w:szCs w:val="24"/>
        </w:rPr>
        <w:t xml:space="preserve">Zmena ustanovenia § 19 ods. 3 písm. a) umožňuje daňovníkovi, ktorý má status </w:t>
      </w:r>
      <w:proofErr w:type="spellStart"/>
      <w:r w:rsidRPr="00EA543A">
        <w:rPr>
          <w:rFonts w:ascii="Times New Roman" w:hAnsi="Times New Roman" w:cs="Times New Roman"/>
          <w:sz w:val="24"/>
          <w:szCs w:val="24"/>
        </w:rPr>
        <w:t>mikrodaňovníka</w:t>
      </w:r>
      <w:proofErr w:type="spellEnd"/>
      <w:r w:rsidRPr="00EA543A">
        <w:rPr>
          <w:rFonts w:ascii="Times New Roman" w:hAnsi="Times New Roman" w:cs="Times New Roman"/>
          <w:sz w:val="24"/>
          <w:szCs w:val="24"/>
        </w:rPr>
        <w:t xml:space="preserve"> uplatňovať pri hmotnom majetku zaradenom do odpisových skupín 0 až 4 poskytnutom na prenájom daňové odpisy bez limitovania výškou príjmov dosahovaných </w:t>
      </w:r>
      <w:r w:rsidRPr="00EA543A">
        <w:rPr>
          <w:rFonts w:ascii="Times New Roman" w:hAnsi="Times New Roman" w:cs="Times New Roman"/>
          <w:sz w:val="24"/>
          <w:szCs w:val="24"/>
        </w:rPr>
        <w:lastRenderedPageBreak/>
        <w:t>z prenajatého majetku a to z dôvodu uplatnenia daňových odpisov podľa § 26 ods. 13 zákona o dani z príjmov.</w:t>
      </w:r>
    </w:p>
    <w:p w:rsidR="00DE73E5" w:rsidRPr="00EA543A" w:rsidRDefault="00DE73E5" w:rsidP="00BA62B0">
      <w:pPr>
        <w:pStyle w:val="Odsekzoznamu"/>
        <w:spacing w:after="0" w:line="240" w:lineRule="auto"/>
        <w:ind w:left="0"/>
        <w:jc w:val="both"/>
        <w:rPr>
          <w:rFonts w:ascii="Times New Roman" w:hAnsi="Times New Roman" w:cs="Times New Roman"/>
          <w:sz w:val="24"/>
          <w:szCs w:val="24"/>
        </w:rPr>
      </w:pPr>
    </w:p>
    <w:p w:rsidR="00DE73E5" w:rsidRPr="00EA543A" w:rsidRDefault="00104D86" w:rsidP="00BA62B0">
      <w:pPr>
        <w:spacing w:after="0" w:line="240" w:lineRule="auto"/>
        <w:ind w:left="66"/>
        <w:jc w:val="both"/>
        <w:rPr>
          <w:rFonts w:ascii="Times New Roman" w:eastAsia="Times New Roman" w:hAnsi="Times New Roman" w:cs="Times New Roman"/>
          <w:b/>
          <w:sz w:val="24"/>
          <w:szCs w:val="24"/>
          <w:lang w:eastAsia="sk-SK"/>
        </w:rPr>
      </w:pPr>
      <w:r w:rsidRPr="00EA543A">
        <w:rPr>
          <w:rFonts w:ascii="Times New Roman" w:eastAsia="Times New Roman" w:hAnsi="Times New Roman" w:cs="Times New Roman"/>
          <w:b/>
          <w:sz w:val="24"/>
          <w:szCs w:val="24"/>
          <w:lang w:eastAsia="sk-SK"/>
        </w:rPr>
        <w:t xml:space="preserve">K bodom </w:t>
      </w:r>
      <w:r w:rsidR="00C95BCF" w:rsidRPr="00EA543A">
        <w:rPr>
          <w:rFonts w:ascii="Times New Roman" w:eastAsia="Times New Roman" w:hAnsi="Times New Roman" w:cs="Times New Roman"/>
          <w:b/>
          <w:sz w:val="24"/>
          <w:szCs w:val="24"/>
          <w:lang w:eastAsia="sk-SK"/>
        </w:rPr>
        <w:t>50</w:t>
      </w:r>
      <w:r w:rsidRPr="00EA543A">
        <w:rPr>
          <w:rFonts w:ascii="Times New Roman" w:eastAsia="Times New Roman" w:hAnsi="Times New Roman" w:cs="Times New Roman"/>
          <w:b/>
          <w:sz w:val="24"/>
          <w:szCs w:val="24"/>
          <w:lang w:eastAsia="sk-SK"/>
        </w:rPr>
        <w:t>, 5</w:t>
      </w:r>
      <w:r w:rsidR="00C95BCF" w:rsidRPr="00EA543A">
        <w:rPr>
          <w:rFonts w:ascii="Times New Roman" w:eastAsia="Times New Roman" w:hAnsi="Times New Roman" w:cs="Times New Roman"/>
          <w:b/>
          <w:sz w:val="24"/>
          <w:szCs w:val="24"/>
          <w:lang w:eastAsia="sk-SK"/>
        </w:rPr>
        <w:t>5</w:t>
      </w:r>
      <w:r w:rsidRPr="00EA543A">
        <w:rPr>
          <w:rFonts w:ascii="Times New Roman" w:eastAsia="Times New Roman" w:hAnsi="Times New Roman" w:cs="Times New Roman"/>
          <w:b/>
          <w:sz w:val="24"/>
          <w:szCs w:val="24"/>
          <w:lang w:eastAsia="sk-SK"/>
        </w:rPr>
        <w:t xml:space="preserve"> a </w:t>
      </w:r>
      <w:r w:rsidR="00C95BCF" w:rsidRPr="00EA543A">
        <w:rPr>
          <w:rFonts w:ascii="Times New Roman" w:eastAsia="Times New Roman" w:hAnsi="Times New Roman" w:cs="Times New Roman"/>
          <w:b/>
          <w:sz w:val="24"/>
          <w:szCs w:val="24"/>
          <w:lang w:eastAsia="sk-SK"/>
        </w:rPr>
        <w:t>56</w:t>
      </w:r>
      <w:r w:rsidRPr="00EA543A">
        <w:rPr>
          <w:rFonts w:ascii="Times New Roman" w:eastAsia="Times New Roman" w:hAnsi="Times New Roman" w:cs="Times New Roman"/>
          <w:b/>
          <w:sz w:val="24"/>
          <w:szCs w:val="24"/>
          <w:lang w:eastAsia="sk-SK"/>
        </w:rPr>
        <w:t xml:space="preserve"> - </w:t>
      </w:r>
      <w:r w:rsidR="00DE73E5" w:rsidRPr="00EA543A">
        <w:rPr>
          <w:rFonts w:ascii="Times New Roman" w:eastAsia="Times New Roman" w:hAnsi="Times New Roman" w:cs="Times New Roman"/>
          <w:b/>
          <w:sz w:val="24"/>
          <w:szCs w:val="24"/>
          <w:lang w:eastAsia="sk-SK"/>
        </w:rPr>
        <w:t>§ 20 ods. 2 písm. h), § 20 ods. 15 a § 20 ods. 23</w:t>
      </w:r>
    </w:p>
    <w:p w:rsidR="005A2351" w:rsidRPr="00EA543A" w:rsidRDefault="005A2351" w:rsidP="00BA62B0">
      <w:pPr>
        <w:spacing w:after="0" w:line="240" w:lineRule="auto"/>
        <w:ind w:left="66"/>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sz w:val="24"/>
          <w:szCs w:val="24"/>
          <w:lang w:eastAsia="sk-SK"/>
        </w:rPr>
        <w:t>Do § 20 sa dopĺňa osobitný režim pre zahrňovanie opravnej položky k nepremlčanej pohľadávke zahrnutej do zdaniteľných príjmov u </w:t>
      </w:r>
      <w:proofErr w:type="spellStart"/>
      <w:r w:rsidRPr="00EA543A">
        <w:rPr>
          <w:rFonts w:ascii="Times New Roman" w:eastAsia="Times New Roman" w:hAnsi="Times New Roman" w:cs="Times New Roman"/>
          <w:sz w:val="24"/>
          <w:szCs w:val="24"/>
          <w:lang w:eastAsia="sk-SK"/>
        </w:rPr>
        <w:t>mikrodaňovníka</w:t>
      </w:r>
      <w:proofErr w:type="spellEnd"/>
      <w:r w:rsidRPr="00EA543A">
        <w:rPr>
          <w:rFonts w:ascii="Times New Roman" w:eastAsia="Times New Roman" w:hAnsi="Times New Roman" w:cs="Times New Roman"/>
          <w:sz w:val="24"/>
          <w:szCs w:val="24"/>
          <w:lang w:eastAsia="sk-SK"/>
        </w:rPr>
        <w:t xml:space="preserve"> účtujúceho v sústave podvojného účtovníctva. Takýto daňovník, ak nebude postupovať podľa § 20  ods. 14, sa môže rozhodnúť využiť zvýhodnený režim spočívajúci v daňovom výdavku tvorby opravnej položky k pohľadávke v súlade s účtovníctvom. Rovnako sa môže </w:t>
      </w:r>
      <w:proofErr w:type="spellStart"/>
      <w:r w:rsidRPr="00EA543A">
        <w:rPr>
          <w:rFonts w:ascii="Times New Roman" w:eastAsia="Times New Roman" w:hAnsi="Times New Roman" w:cs="Times New Roman"/>
          <w:sz w:val="24"/>
          <w:szCs w:val="24"/>
          <w:lang w:eastAsia="sk-SK"/>
        </w:rPr>
        <w:t>mikrodaňovník</w:t>
      </w:r>
      <w:proofErr w:type="spellEnd"/>
      <w:r w:rsidRPr="00EA543A">
        <w:rPr>
          <w:rFonts w:ascii="Times New Roman" w:eastAsia="Times New Roman" w:hAnsi="Times New Roman" w:cs="Times New Roman"/>
          <w:sz w:val="24"/>
          <w:szCs w:val="24"/>
          <w:lang w:eastAsia="sk-SK"/>
        </w:rPr>
        <w:t xml:space="preserve"> rozhodnúť aj pre možnosť daňovej tvorby opravnej položky vzťahujúcej sa k príslušenstvu pohľadávky zahrnutému do zdaniteľných príjmov v súlade s účtovníctvom. </w:t>
      </w:r>
    </w:p>
    <w:p w:rsidR="00D21DF8" w:rsidRPr="00EA543A" w:rsidRDefault="00D21DF8" w:rsidP="00BA62B0">
      <w:pPr>
        <w:spacing w:after="0" w:line="240" w:lineRule="auto"/>
        <w:ind w:left="66"/>
        <w:jc w:val="both"/>
        <w:rPr>
          <w:rFonts w:ascii="Times New Roman" w:eastAsia="Times New Roman" w:hAnsi="Times New Roman" w:cs="Times New Roman"/>
          <w:sz w:val="24"/>
          <w:szCs w:val="24"/>
          <w:lang w:eastAsia="sk-SK"/>
        </w:rPr>
      </w:pPr>
    </w:p>
    <w:p w:rsidR="00D21DF8" w:rsidRPr="00EA543A" w:rsidRDefault="00D21DF8" w:rsidP="00BA62B0">
      <w:pPr>
        <w:spacing w:after="0" w:line="240" w:lineRule="auto"/>
        <w:ind w:left="66"/>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b/>
          <w:sz w:val="24"/>
          <w:szCs w:val="24"/>
          <w:lang w:eastAsia="sk-SK"/>
        </w:rPr>
        <w:t>K bodom 52 a 53</w:t>
      </w:r>
      <w:r w:rsidRPr="00EA543A">
        <w:rPr>
          <w:rFonts w:ascii="Times New Roman" w:eastAsia="Times New Roman" w:hAnsi="Times New Roman" w:cs="Times New Roman"/>
          <w:sz w:val="24"/>
          <w:szCs w:val="24"/>
          <w:lang w:eastAsia="sk-SK"/>
        </w:rPr>
        <w:t xml:space="preserve"> </w:t>
      </w:r>
      <w:r w:rsidRPr="00EA543A">
        <w:rPr>
          <w:rFonts w:ascii="Times New Roman" w:eastAsia="Times New Roman" w:hAnsi="Times New Roman" w:cs="Times New Roman"/>
          <w:b/>
          <w:sz w:val="24"/>
          <w:szCs w:val="24"/>
          <w:lang w:eastAsia="sk-SK"/>
        </w:rPr>
        <w:t>- § 20 ods. 9 písm. b) a poznámka pod čiarou 99</w:t>
      </w:r>
    </w:p>
    <w:p w:rsidR="0085690D" w:rsidRPr="00EA543A" w:rsidRDefault="0085690D"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 xml:space="preserve">Od 1.1.2020 je možné daňovo uznanú rezervu k lesnej </w:t>
      </w:r>
      <w:proofErr w:type="spellStart"/>
      <w:r w:rsidRPr="00EA543A">
        <w:rPr>
          <w:rFonts w:ascii="Times New Roman" w:hAnsi="Times New Roman" w:cs="Times New Roman"/>
          <w:sz w:val="24"/>
          <w:szCs w:val="24"/>
        </w:rPr>
        <w:t>pestovnej</w:t>
      </w:r>
      <w:proofErr w:type="spellEnd"/>
      <w:r w:rsidRPr="00EA543A">
        <w:rPr>
          <w:rFonts w:ascii="Times New Roman" w:hAnsi="Times New Roman" w:cs="Times New Roman"/>
          <w:sz w:val="24"/>
          <w:szCs w:val="24"/>
        </w:rPr>
        <w:t xml:space="preserve"> činnosti tvoriť v súlade so schváleným projektom lesnej </w:t>
      </w:r>
      <w:proofErr w:type="spellStart"/>
      <w:r w:rsidRPr="00EA543A">
        <w:rPr>
          <w:rFonts w:ascii="Times New Roman" w:hAnsi="Times New Roman" w:cs="Times New Roman"/>
          <w:sz w:val="24"/>
          <w:szCs w:val="24"/>
        </w:rPr>
        <w:t>pestovnej</w:t>
      </w:r>
      <w:proofErr w:type="spellEnd"/>
      <w:r w:rsidRPr="00EA543A">
        <w:rPr>
          <w:rFonts w:ascii="Times New Roman" w:hAnsi="Times New Roman" w:cs="Times New Roman"/>
          <w:sz w:val="24"/>
          <w:szCs w:val="24"/>
        </w:rPr>
        <w:t xml:space="preserve"> činnosti na obdobie od založenia kultúry alebo vzniku náletu do ukončenia </w:t>
      </w:r>
      <w:proofErr w:type="spellStart"/>
      <w:r w:rsidRPr="00EA543A">
        <w:rPr>
          <w:rFonts w:ascii="Times New Roman" w:hAnsi="Times New Roman" w:cs="Times New Roman"/>
          <w:sz w:val="24"/>
          <w:szCs w:val="24"/>
        </w:rPr>
        <w:t>prečistky</w:t>
      </w:r>
      <w:proofErr w:type="spellEnd"/>
      <w:r w:rsidRPr="00EA543A">
        <w:rPr>
          <w:rFonts w:ascii="Times New Roman" w:hAnsi="Times New Roman" w:cs="Times New Roman"/>
          <w:sz w:val="24"/>
          <w:szCs w:val="24"/>
        </w:rPr>
        <w:t xml:space="preserve"> mladého lesného porastu podľa § 21 zákona č. 326/2005 Z. z. o lesoch v znení neskorších predpisov  v nadväznosti na Vyhlášku č. 453/2006 Z. z. Ministerstva pôdohospodárstva Slovenskej republiky o hospodárskej úprave lesov a o ochrane. Zabezpečená kultúra (mladý lesný porast, ktorý vznikol spravidla sadbou) je fáza lesného porastu. Jedince –stromy, ktoré prekročia stanovenú strednú výšku lesného porastu, prechádzajú do rastovej fázy mladiny. Mladina sa považuje za najdôležitejší úsek v živote lesného porastu. Pestovateľské opatrenia vykonávané v tejto fáze rastu lesa sa v odbornej terminológii nazývajú </w:t>
      </w:r>
      <w:proofErr w:type="spellStart"/>
      <w:r w:rsidRPr="00EA543A">
        <w:rPr>
          <w:rFonts w:ascii="Times New Roman" w:hAnsi="Times New Roman" w:cs="Times New Roman"/>
          <w:sz w:val="24"/>
          <w:szCs w:val="24"/>
        </w:rPr>
        <w:t>prečistka</w:t>
      </w:r>
      <w:proofErr w:type="spellEnd"/>
      <w:r w:rsidRPr="00EA543A">
        <w:rPr>
          <w:rFonts w:ascii="Times New Roman" w:hAnsi="Times New Roman" w:cs="Times New Roman"/>
          <w:sz w:val="24"/>
          <w:szCs w:val="24"/>
        </w:rPr>
        <w:t xml:space="preserve"> a bližšie je tento typ pestovateľských opatrení uvedený v § 21 zákona č. 326/2005 Z. z. o lesoch v znení neskorších predpisov.</w:t>
      </w:r>
    </w:p>
    <w:p w:rsidR="0085690D" w:rsidRPr="00EA543A" w:rsidRDefault="0085690D" w:rsidP="00BA62B0">
      <w:pPr>
        <w:spacing w:after="0" w:line="240" w:lineRule="auto"/>
        <w:jc w:val="both"/>
        <w:rPr>
          <w:rFonts w:ascii="Times New Roman" w:hAnsi="Times New Roman" w:cs="Times New Roman"/>
          <w:sz w:val="24"/>
          <w:szCs w:val="24"/>
        </w:rPr>
      </w:pPr>
    </w:p>
    <w:p w:rsidR="00D21DF8" w:rsidRPr="00EA543A" w:rsidRDefault="00D21DF8" w:rsidP="00BA62B0">
      <w:pPr>
        <w:spacing w:after="0" w:line="240" w:lineRule="auto"/>
        <w:jc w:val="both"/>
        <w:rPr>
          <w:rFonts w:ascii="Times New Roman" w:eastAsia="Times New Roman" w:hAnsi="Times New Roman" w:cs="Times New Roman"/>
          <w:b/>
          <w:sz w:val="24"/>
          <w:szCs w:val="24"/>
          <w:lang w:eastAsia="sk-SK"/>
        </w:rPr>
      </w:pPr>
      <w:r w:rsidRPr="00EA543A">
        <w:rPr>
          <w:rFonts w:ascii="Times New Roman" w:hAnsi="Times New Roman" w:cs="Times New Roman"/>
          <w:sz w:val="24"/>
          <w:szCs w:val="24"/>
        </w:rPr>
        <w:t>.</w:t>
      </w:r>
      <w:r w:rsidRPr="00EA543A">
        <w:rPr>
          <w:rFonts w:ascii="Times New Roman" w:eastAsia="Times New Roman" w:hAnsi="Times New Roman" w:cs="Times New Roman"/>
          <w:b/>
          <w:sz w:val="24"/>
          <w:szCs w:val="24"/>
          <w:lang w:eastAsia="sk-SK"/>
        </w:rPr>
        <w:t xml:space="preserve">K bodom 58, </w:t>
      </w:r>
      <w:r w:rsidR="002E08C0" w:rsidRPr="00EA543A">
        <w:rPr>
          <w:rFonts w:ascii="Times New Roman" w:eastAsia="Times New Roman" w:hAnsi="Times New Roman" w:cs="Times New Roman"/>
          <w:b/>
          <w:sz w:val="24"/>
          <w:szCs w:val="24"/>
          <w:lang w:eastAsia="sk-SK"/>
        </w:rPr>
        <w:t>11</w:t>
      </w:r>
      <w:r w:rsidR="005B2651" w:rsidRPr="00EA543A">
        <w:rPr>
          <w:rFonts w:ascii="Times New Roman" w:eastAsia="Times New Roman" w:hAnsi="Times New Roman" w:cs="Times New Roman"/>
          <w:b/>
          <w:sz w:val="24"/>
          <w:szCs w:val="24"/>
          <w:lang w:eastAsia="sk-SK"/>
        </w:rPr>
        <w:t>2</w:t>
      </w:r>
      <w:r w:rsidR="002E08C0" w:rsidRPr="00EA543A">
        <w:rPr>
          <w:rFonts w:ascii="Times New Roman" w:eastAsia="Times New Roman" w:hAnsi="Times New Roman" w:cs="Times New Roman"/>
          <w:b/>
          <w:sz w:val="24"/>
          <w:szCs w:val="24"/>
          <w:lang w:eastAsia="sk-SK"/>
        </w:rPr>
        <w:t>, 11</w:t>
      </w:r>
      <w:r w:rsidR="005B2651" w:rsidRPr="00EA543A">
        <w:rPr>
          <w:rFonts w:ascii="Times New Roman" w:eastAsia="Times New Roman" w:hAnsi="Times New Roman" w:cs="Times New Roman"/>
          <w:b/>
          <w:sz w:val="24"/>
          <w:szCs w:val="24"/>
          <w:lang w:eastAsia="sk-SK"/>
        </w:rPr>
        <w:t>7</w:t>
      </w:r>
      <w:r w:rsidR="000A5381" w:rsidRPr="00EA543A">
        <w:rPr>
          <w:rFonts w:ascii="Times New Roman" w:eastAsia="Times New Roman" w:hAnsi="Times New Roman" w:cs="Times New Roman"/>
          <w:b/>
          <w:sz w:val="24"/>
          <w:szCs w:val="24"/>
          <w:lang w:eastAsia="sk-SK"/>
        </w:rPr>
        <w:t xml:space="preserve"> až</w:t>
      </w:r>
      <w:r w:rsidR="002E08C0" w:rsidRPr="00EA543A">
        <w:rPr>
          <w:rFonts w:ascii="Times New Roman" w:eastAsia="Times New Roman" w:hAnsi="Times New Roman" w:cs="Times New Roman"/>
          <w:b/>
          <w:sz w:val="24"/>
          <w:szCs w:val="24"/>
          <w:lang w:eastAsia="sk-SK"/>
        </w:rPr>
        <w:t xml:space="preserve"> 12</w:t>
      </w:r>
      <w:r w:rsidR="005F55C3" w:rsidRPr="00EA543A">
        <w:rPr>
          <w:rFonts w:ascii="Times New Roman" w:eastAsia="Times New Roman" w:hAnsi="Times New Roman" w:cs="Times New Roman"/>
          <w:b/>
          <w:sz w:val="24"/>
          <w:szCs w:val="24"/>
          <w:lang w:eastAsia="sk-SK"/>
        </w:rPr>
        <w:t>0</w:t>
      </w:r>
      <w:r w:rsidR="002E08C0" w:rsidRPr="00EA543A">
        <w:rPr>
          <w:rFonts w:ascii="Times New Roman" w:eastAsia="Times New Roman" w:hAnsi="Times New Roman" w:cs="Times New Roman"/>
          <w:b/>
          <w:sz w:val="24"/>
          <w:szCs w:val="24"/>
          <w:lang w:eastAsia="sk-SK"/>
        </w:rPr>
        <w:t>, 12</w:t>
      </w:r>
      <w:r w:rsidR="005F55C3" w:rsidRPr="00EA543A">
        <w:rPr>
          <w:rFonts w:ascii="Times New Roman" w:eastAsia="Times New Roman" w:hAnsi="Times New Roman" w:cs="Times New Roman"/>
          <w:b/>
          <w:sz w:val="24"/>
          <w:szCs w:val="24"/>
          <w:lang w:eastAsia="sk-SK"/>
        </w:rPr>
        <w:t>7</w:t>
      </w:r>
      <w:r w:rsidR="002E08C0" w:rsidRPr="00EA543A">
        <w:rPr>
          <w:rFonts w:ascii="Times New Roman" w:eastAsia="Times New Roman" w:hAnsi="Times New Roman" w:cs="Times New Roman"/>
          <w:b/>
          <w:sz w:val="24"/>
          <w:szCs w:val="24"/>
          <w:lang w:eastAsia="sk-SK"/>
        </w:rPr>
        <w:t xml:space="preserve"> a 13</w:t>
      </w:r>
      <w:r w:rsidR="005F55C3" w:rsidRPr="00EA543A">
        <w:rPr>
          <w:rFonts w:ascii="Times New Roman" w:eastAsia="Times New Roman" w:hAnsi="Times New Roman" w:cs="Times New Roman"/>
          <w:b/>
          <w:sz w:val="24"/>
          <w:szCs w:val="24"/>
          <w:lang w:eastAsia="sk-SK"/>
        </w:rPr>
        <w:t>4</w:t>
      </w:r>
      <w:r w:rsidRPr="00EA543A">
        <w:rPr>
          <w:rFonts w:ascii="Times New Roman" w:eastAsia="Times New Roman" w:hAnsi="Times New Roman" w:cs="Times New Roman"/>
          <w:b/>
          <w:sz w:val="24"/>
          <w:szCs w:val="24"/>
          <w:lang w:eastAsia="sk-SK"/>
        </w:rPr>
        <w:t xml:space="preserve"> - § 21 ods. 2 písm. l), </w:t>
      </w:r>
      <w:r w:rsidR="002E08C0" w:rsidRPr="00EA543A">
        <w:rPr>
          <w:rFonts w:ascii="Times New Roman" w:eastAsia="Times New Roman" w:hAnsi="Times New Roman" w:cs="Times New Roman"/>
          <w:b/>
          <w:sz w:val="24"/>
          <w:szCs w:val="24"/>
          <w:lang w:eastAsia="sk-SK"/>
        </w:rPr>
        <w:t>§ 43 ods. 3 písm. o), § 43 ods. 17 písm. a), § 43 o</w:t>
      </w:r>
      <w:r w:rsidR="005B2651" w:rsidRPr="00EA543A">
        <w:rPr>
          <w:rFonts w:ascii="Times New Roman" w:eastAsia="Times New Roman" w:hAnsi="Times New Roman" w:cs="Times New Roman"/>
          <w:b/>
          <w:sz w:val="24"/>
          <w:szCs w:val="24"/>
          <w:lang w:eastAsia="sk-SK"/>
        </w:rPr>
        <w:t>d</w:t>
      </w:r>
      <w:r w:rsidR="002E08C0" w:rsidRPr="00EA543A">
        <w:rPr>
          <w:rFonts w:ascii="Times New Roman" w:eastAsia="Times New Roman" w:hAnsi="Times New Roman" w:cs="Times New Roman"/>
          <w:b/>
          <w:sz w:val="24"/>
          <w:szCs w:val="24"/>
          <w:lang w:eastAsia="sk-SK"/>
        </w:rPr>
        <w:t xml:space="preserve">s. 17 písm. b), § 43 ods. 18, § 43 ods. 20, § 49a ods. 6 a 7, § 52zz ods. </w:t>
      </w:r>
      <w:r w:rsidR="000A5381" w:rsidRPr="00EA543A">
        <w:rPr>
          <w:rFonts w:ascii="Times New Roman" w:eastAsia="Times New Roman" w:hAnsi="Times New Roman" w:cs="Times New Roman"/>
          <w:b/>
          <w:sz w:val="24"/>
          <w:szCs w:val="24"/>
          <w:lang w:eastAsia="sk-SK"/>
        </w:rPr>
        <w:t>8</w:t>
      </w:r>
    </w:p>
    <w:p w:rsidR="002E08C0" w:rsidRPr="00EA543A" w:rsidRDefault="002E08C0" w:rsidP="00BA62B0">
      <w:pPr>
        <w:spacing w:after="0" w:line="240" w:lineRule="auto"/>
        <w:ind w:left="66"/>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sz w:val="24"/>
          <w:szCs w:val="24"/>
          <w:lang w:eastAsia="sk-SK"/>
        </w:rPr>
        <w:t>S účinnosťou od 1. 1. 2020 sa navrhuje zmena spôsobu zdaňovania peňažných plnení a nepeňažných plnení vyplatených /poskytnutých držiteľom poskytovateľovi zdravotnej starostlivosti a to</w:t>
      </w:r>
    </w:p>
    <w:p w:rsidR="002E08C0" w:rsidRPr="00EA543A" w:rsidRDefault="002E08C0" w:rsidP="00BA62B0">
      <w:pPr>
        <w:pStyle w:val="Odsekzoznamu"/>
        <w:numPr>
          <w:ilvl w:val="0"/>
          <w:numId w:val="3"/>
        </w:numPr>
        <w:spacing w:after="0" w:line="240" w:lineRule="auto"/>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sz w:val="24"/>
          <w:szCs w:val="24"/>
          <w:lang w:eastAsia="sk-SK"/>
        </w:rPr>
        <w:t xml:space="preserve">zrážkovou daňou budú zdaňované peňažné a nepeňažné plnenia zaraďované u daňovníka fyzickej osoby medzi príjmy podľa § 8, pričom zostávajú zachované všetky povinnosti uvedené v § 43, </w:t>
      </w:r>
    </w:p>
    <w:p w:rsidR="00D25ED9" w:rsidRPr="00EA543A" w:rsidRDefault="002E08C0" w:rsidP="00BA62B0">
      <w:pPr>
        <w:pStyle w:val="Odsekzoznamu"/>
        <w:numPr>
          <w:ilvl w:val="0"/>
          <w:numId w:val="3"/>
        </w:numPr>
        <w:spacing w:after="0" w:line="240" w:lineRule="auto"/>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sz w:val="24"/>
          <w:szCs w:val="24"/>
          <w:lang w:eastAsia="sk-SK"/>
        </w:rPr>
        <w:t xml:space="preserve">všetky ostatné peňažné a nepeňažné plnenia budú zdaňované prostredníctvom daňového priznania, pričom sa navrhujú oznamovacie povinnosti držiteľa voči správcovi dane aj prijímateľovi v § 49a ods. 6 a 7. </w:t>
      </w:r>
    </w:p>
    <w:p w:rsidR="002E08C0" w:rsidRPr="00EA543A" w:rsidRDefault="002E08C0" w:rsidP="00BA62B0">
      <w:pPr>
        <w:spacing w:after="0" w:line="240" w:lineRule="auto"/>
        <w:ind w:left="66"/>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sz w:val="24"/>
          <w:szCs w:val="24"/>
          <w:lang w:eastAsia="sk-SK"/>
        </w:rPr>
        <w:t>Uvedené sa bude aplikovať až na plnenia vyplatené / poskytnuté po 31. 12. 2019.</w:t>
      </w:r>
    </w:p>
    <w:p w:rsidR="005B5A43" w:rsidRPr="00EA543A" w:rsidRDefault="005B5A43" w:rsidP="005B5A43">
      <w:pPr>
        <w:spacing w:after="0" w:line="240" w:lineRule="auto"/>
        <w:ind w:left="66"/>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sz w:val="24"/>
          <w:szCs w:val="24"/>
          <w:lang w:eastAsia="sk-SK"/>
        </w:rPr>
        <w:t>Úpravou v § 21 ods. 2 písm. l) dochádza k zúženiu rozsahu výdavkov, ktoré nie sú daňovými výdavkami.</w:t>
      </w:r>
    </w:p>
    <w:p w:rsidR="005B5A43" w:rsidRPr="00EA543A" w:rsidRDefault="005B5A43" w:rsidP="005B5A43">
      <w:pPr>
        <w:spacing w:after="0" w:line="240" w:lineRule="auto"/>
        <w:ind w:left="66"/>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sz w:val="24"/>
          <w:szCs w:val="24"/>
          <w:lang w:eastAsia="sk-SK"/>
        </w:rPr>
        <w:t>Za takéto nedaňové  výdavkami budú považované výlučne výdavky súvisiace s poskytnutými peňažnými a nepeňažnými plneniami  ako napr. v prípade, ak držiteľ poskytol (daroval) poskytovateľovi zdravotnej starostlivosti medicínsky prístroj, hodnota tohoto prístroja nie je výdavkom zahrňovaným do daňových výdavkov.</w:t>
      </w:r>
    </w:p>
    <w:p w:rsidR="005B5A43" w:rsidRPr="00EA543A" w:rsidRDefault="005B5A43" w:rsidP="00BA62B0">
      <w:pPr>
        <w:spacing w:after="0" w:line="240" w:lineRule="auto"/>
        <w:ind w:left="66"/>
        <w:jc w:val="both"/>
        <w:rPr>
          <w:rFonts w:ascii="Times New Roman" w:eastAsia="Times New Roman" w:hAnsi="Times New Roman" w:cs="Times New Roman"/>
          <w:sz w:val="24"/>
          <w:szCs w:val="24"/>
          <w:lang w:eastAsia="sk-SK"/>
        </w:rPr>
      </w:pPr>
    </w:p>
    <w:p w:rsidR="00DE73E5" w:rsidRPr="00EA543A" w:rsidRDefault="00104D86" w:rsidP="00BA62B0">
      <w:pPr>
        <w:spacing w:after="0" w:line="240" w:lineRule="auto"/>
        <w:ind w:left="66"/>
        <w:jc w:val="both"/>
        <w:rPr>
          <w:rFonts w:ascii="Times New Roman" w:eastAsia="Times New Roman" w:hAnsi="Times New Roman" w:cs="Times New Roman"/>
          <w:b/>
          <w:sz w:val="24"/>
          <w:szCs w:val="24"/>
          <w:lang w:eastAsia="sk-SK"/>
        </w:rPr>
      </w:pPr>
      <w:r w:rsidRPr="00EA543A">
        <w:rPr>
          <w:rFonts w:ascii="Times New Roman" w:eastAsia="Times New Roman" w:hAnsi="Times New Roman" w:cs="Times New Roman"/>
          <w:b/>
          <w:sz w:val="24"/>
          <w:szCs w:val="24"/>
          <w:lang w:eastAsia="sk-SK"/>
        </w:rPr>
        <w:t>K bodu 5</w:t>
      </w:r>
      <w:r w:rsidR="00C95BCF" w:rsidRPr="00EA543A">
        <w:rPr>
          <w:rFonts w:ascii="Times New Roman" w:eastAsia="Times New Roman" w:hAnsi="Times New Roman" w:cs="Times New Roman"/>
          <w:b/>
          <w:sz w:val="24"/>
          <w:szCs w:val="24"/>
          <w:lang w:eastAsia="sk-SK"/>
        </w:rPr>
        <w:t>9</w:t>
      </w:r>
      <w:r w:rsidRPr="00EA543A">
        <w:rPr>
          <w:rFonts w:ascii="Times New Roman" w:eastAsia="Times New Roman" w:hAnsi="Times New Roman" w:cs="Times New Roman"/>
          <w:b/>
          <w:sz w:val="24"/>
          <w:szCs w:val="24"/>
          <w:lang w:eastAsia="sk-SK"/>
        </w:rPr>
        <w:t xml:space="preserve"> </w:t>
      </w:r>
      <w:r w:rsidR="00DE73E5" w:rsidRPr="00EA543A">
        <w:rPr>
          <w:rFonts w:ascii="Times New Roman" w:eastAsia="Times New Roman" w:hAnsi="Times New Roman" w:cs="Times New Roman"/>
          <w:b/>
          <w:sz w:val="24"/>
          <w:szCs w:val="24"/>
          <w:lang w:eastAsia="sk-SK"/>
        </w:rPr>
        <w:t xml:space="preserve"> </w:t>
      </w:r>
      <w:r w:rsidRPr="00EA543A">
        <w:rPr>
          <w:rFonts w:ascii="Times New Roman" w:eastAsia="Times New Roman" w:hAnsi="Times New Roman" w:cs="Times New Roman"/>
          <w:b/>
          <w:sz w:val="24"/>
          <w:szCs w:val="24"/>
          <w:lang w:eastAsia="sk-SK"/>
        </w:rPr>
        <w:t xml:space="preserve">- </w:t>
      </w:r>
      <w:r w:rsidR="00DE73E5" w:rsidRPr="00EA543A">
        <w:rPr>
          <w:rFonts w:ascii="Times New Roman" w:eastAsia="Times New Roman" w:hAnsi="Times New Roman" w:cs="Times New Roman"/>
          <w:b/>
          <w:sz w:val="24"/>
          <w:szCs w:val="24"/>
          <w:lang w:eastAsia="sk-SK"/>
        </w:rPr>
        <w:t>§ 21 ods. 2 písm. m) a o)</w:t>
      </w:r>
    </w:p>
    <w:p w:rsidR="00DE73E5" w:rsidRPr="00EA543A" w:rsidRDefault="00DE73E5" w:rsidP="00BA62B0">
      <w:pPr>
        <w:spacing w:after="0" w:line="240" w:lineRule="auto"/>
        <w:ind w:left="66"/>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sz w:val="24"/>
          <w:szCs w:val="24"/>
          <w:lang w:eastAsia="sk-SK"/>
        </w:rPr>
        <w:t>Zmluvné pokuty, úroky z omeškania, poplatky z omeškania a paušálna náhrada nákladov spojených s uplatnením pohľadávky budú u dlžníka od 1. januára 2020 považované za daňový výdavok, avšak až po ich zaplatení. Zároveň sa vypúšťa aj písmeno o) upravujúce nesúlady, ktoré budú upravené v novom § 17i.</w:t>
      </w:r>
    </w:p>
    <w:p w:rsidR="00A40A6A" w:rsidRPr="00EA543A" w:rsidRDefault="00A40A6A" w:rsidP="00BA62B0">
      <w:pPr>
        <w:pStyle w:val="Odsekzoznamu"/>
        <w:spacing w:after="0" w:line="240" w:lineRule="auto"/>
        <w:ind w:left="0"/>
        <w:jc w:val="both"/>
        <w:rPr>
          <w:rFonts w:ascii="Times New Roman" w:hAnsi="Times New Roman" w:cs="Times New Roman"/>
          <w:sz w:val="24"/>
          <w:szCs w:val="24"/>
        </w:rPr>
      </w:pPr>
    </w:p>
    <w:p w:rsidR="00A40A6A" w:rsidRPr="00EA543A" w:rsidRDefault="00A40A6A" w:rsidP="00BA62B0">
      <w:pPr>
        <w:pStyle w:val="Normlnywebov"/>
        <w:spacing w:before="0" w:beforeAutospacing="0" w:after="0" w:afterAutospacing="0"/>
        <w:contextualSpacing/>
        <w:jc w:val="both"/>
        <w:rPr>
          <w:b/>
        </w:rPr>
      </w:pPr>
      <w:r w:rsidRPr="00EA543A">
        <w:rPr>
          <w:b/>
        </w:rPr>
        <w:lastRenderedPageBreak/>
        <w:t>K</w:t>
      </w:r>
      <w:r w:rsidR="00C95BCF" w:rsidRPr="00EA543A">
        <w:rPr>
          <w:b/>
        </w:rPr>
        <w:t> </w:t>
      </w:r>
      <w:r w:rsidRPr="00EA543A">
        <w:rPr>
          <w:b/>
        </w:rPr>
        <w:t>bod</w:t>
      </w:r>
      <w:r w:rsidR="00C95BCF" w:rsidRPr="00EA543A">
        <w:rPr>
          <w:b/>
        </w:rPr>
        <w:t>om 60 a 61</w:t>
      </w:r>
      <w:r w:rsidRPr="00EA543A">
        <w:rPr>
          <w:b/>
        </w:rPr>
        <w:t xml:space="preserve"> - § 21 ods. 2 písm. </w:t>
      </w:r>
      <w:r w:rsidR="00DE73E5" w:rsidRPr="00EA543A">
        <w:rPr>
          <w:b/>
        </w:rPr>
        <w:t>m</w:t>
      </w:r>
      <w:r w:rsidRPr="00EA543A">
        <w:rPr>
          <w:b/>
        </w:rPr>
        <w:t>)</w:t>
      </w:r>
    </w:p>
    <w:p w:rsidR="00A40A6A" w:rsidRPr="00EA543A" w:rsidRDefault="00A40A6A" w:rsidP="00BA62B0">
      <w:pPr>
        <w:pStyle w:val="Normlnywebov"/>
        <w:spacing w:before="0" w:beforeAutospacing="0" w:after="0" w:afterAutospacing="0"/>
        <w:contextualSpacing/>
        <w:jc w:val="both"/>
      </w:pPr>
      <w:r w:rsidRPr="00EA543A">
        <w:t>Na účely uplatnenia daňového výdavku súvisiaceho s obstarávacou cenou potravín dochádza k rozšíreniu subjektov, ktorým je možné bezodplatne darovať potraviny. Podľa navrhovaného znenia bude možné daňovo uznať výdavky na potraviny nielen v prípade Potravinovej banky Slovenska ale aj akéhokoľvek daňovníkova nezaloženého alebo nezriadeného na podnikanie, ak jeho predmet činnosti zodpovedá účelu vymedzenému v § 50 ods. 5 zákona o dani z príjmov, t.j. ide o účel, na ktorý je možno použiť podiel zaplatenej dane na osobitné účely.</w:t>
      </w:r>
      <w:r w:rsidR="000A5381" w:rsidRPr="00EA543A">
        <w:t xml:space="preserve"> Rovnako sa bude posudzovať aj poskytnutie potravín s dobou použiteľnosti alebo trvanlivosti alebo potraviny bez uvedenej doby trvanlivosti alebo použiteľnosti registrovanému sociálnemu podniku, ak predmetom jeho činnosti je ochrana a podpora zdravia, poskytovanie sociálnej pomoci, podpora vzdelávania a organizovanie a sprostredkovanie dobrovoľníckej činnosti.</w:t>
      </w:r>
    </w:p>
    <w:p w:rsidR="00A92376" w:rsidRPr="00EA543A" w:rsidRDefault="00A92376" w:rsidP="00BA62B0">
      <w:pPr>
        <w:pStyle w:val="Normlnywebov"/>
        <w:spacing w:before="0" w:beforeAutospacing="0" w:after="0" w:afterAutospacing="0"/>
        <w:contextualSpacing/>
        <w:jc w:val="both"/>
      </w:pPr>
    </w:p>
    <w:p w:rsidR="00A92376" w:rsidRPr="00EA543A" w:rsidRDefault="00A92376" w:rsidP="00BA62B0">
      <w:pPr>
        <w:spacing w:after="0" w:line="240" w:lineRule="auto"/>
        <w:jc w:val="both"/>
        <w:rPr>
          <w:rFonts w:ascii="Times New Roman" w:eastAsia="Times New Roman" w:hAnsi="Times New Roman" w:cs="Times New Roman"/>
          <w:b/>
          <w:sz w:val="24"/>
          <w:szCs w:val="24"/>
          <w:lang w:eastAsia="sk-SK"/>
        </w:rPr>
      </w:pPr>
      <w:r w:rsidRPr="00EA543A">
        <w:rPr>
          <w:rFonts w:ascii="Times New Roman" w:eastAsia="Times New Roman" w:hAnsi="Times New Roman" w:cs="Times New Roman"/>
          <w:b/>
          <w:sz w:val="24"/>
          <w:szCs w:val="24"/>
          <w:lang w:eastAsia="sk-SK"/>
        </w:rPr>
        <w:t>K</w:t>
      </w:r>
      <w:r w:rsidR="00C95BCF" w:rsidRPr="00EA543A">
        <w:rPr>
          <w:rFonts w:ascii="Times New Roman" w:eastAsia="Times New Roman" w:hAnsi="Times New Roman" w:cs="Times New Roman"/>
          <w:b/>
          <w:sz w:val="24"/>
          <w:szCs w:val="24"/>
          <w:lang w:eastAsia="sk-SK"/>
        </w:rPr>
        <w:t> </w:t>
      </w:r>
      <w:r w:rsidRPr="00EA543A">
        <w:rPr>
          <w:rFonts w:ascii="Times New Roman" w:eastAsia="Times New Roman" w:hAnsi="Times New Roman" w:cs="Times New Roman"/>
          <w:b/>
          <w:sz w:val="24"/>
          <w:szCs w:val="24"/>
          <w:lang w:eastAsia="sk-SK"/>
        </w:rPr>
        <w:t>bod</w:t>
      </w:r>
      <w:r w:rsidR="00C95BCF" w:rsidRPr="00EA543A">
        <w:rPr>
          <w:rFonts w:ascii="Times New Roman" w:eastAsia="Times New Roman" w:hAnsi="Times New Roman" w:cs="Times New Roman"/>
          <w:b/>
          <w:sz w:val="24"/>
          <w:szCs w:val="24"/>
          <w:lang w:eastAsia="sk-SK"/>
        </w:rPr>
        <w:t>om 63 a 69</w:t>
      </w:r>
      <w:r w:rsidRPr="00EA543A">
        <w:rPr>
          <w:rFonts w:ascii="Times New Roman" w:eastAsia="Times New Roman" w:hAnsi="Times New Roman" w:cs="Times New Roman"/>
          <w:b/>
          <w:sz w:val="24"/>
          <w:szCs w:val="24"/>
          <w:lang w:eastAsia="sk-SK"/>
        </w:rPr>
        <w:t xml:space="preserve"> - § 22 ods. 9 a § 26 ods. 7</w:t>
      </w:r>
    </w:p>
    <w:p w:rsidR="00C95BCF" w:rsidRPr="00EA543A" w:rsidRDefault="00C95BCF"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V súvislosti s poskytnutím majetku formou výpožičky sa na takýto vzťah uplatnia ustanovenia obdobne ako pri prenájme majetku (§ 17 ods. 20 a 21). Keďže požičiavateľ počas obdobia, počas ktorého svoj majetok vypožičal, nevyužíva tento majetok na zabezpečenie zdaniteľných príjmov, je povinný prerušiť odpisovanie tohto hmotného majetku podľa § 22 ods. 9. Výnimkou je majetok podľa § 26 ods. 7, t. j. formy, modely, šablóny, ktoré sa predovšetkým vo výrobnom sektore vypožičiavajú za účelom výroby výrobkov pre požičiavateľa. Pri týchto druhoch majetku poskytnutých formou výpožičky, nemusí požičiavateľ prerušiť odpisovanie a zároveň ani nelimituje výšku odpisu dosiahnutým príjmom podľa § 19 ods. 3 písm. a).</w:t>
      </w:r>
    </w:p>
    <w:p w:rsidR="00A92376" w:rsidRPr="00EA543A" w:rsidRDefault="00A92376" w:rsidP="00BA62B0">
      <w:pPr>
        <w:pStyle w:val="Normlnywebov"/>
        <w:spacing w:before="0" w:beforeAutospacing="0" w:after="0" w:afterAutospacing="0"/>
        <w:contextualSpacing/>
        <w:jc w:val="both"/>
      </w:pPr>
    </w:p>
    <w:p w:rsidR="00DE73E5" w:rsidRPr="00EA543A" w:rsidRDefault="00104D86" w:rsidP="00BA62B0">
      <w:pPr>
        <w:spacing w:after="0" w:line="240" w:lineRule="auto"/>
        <w:ind w:left="66"/>
        <w:jc w:val="both"/>
        <w:rPr>
          <w:rFonts w:ascii="Times New Roman" w:eastAsia="Times New Roman" w:hAnsi="Times New Roman" w:cs="Times New Roman"/>
          <w:b/>
          <w:sz w:val="24"/>
          <w:szCs w:val="24"/>
          <w:lang w:eastAsia="sk-SK"/>
        </w:rPr>
      </w:pPr>
      <w:r w:rsidRPr="00EA543A">
        <w:rPr>
          <w:rFonts w:ascii="Times New Roman" w:eastAsia="Times New Roman" w:hAnsi="Times New Roman" w:cs="Times New Roman"/>
          <w:b/>
          <w:sz w:val="24"/>
          <w:szCs w:val="24"/>
          <w:lang w:eastAsia="sk-SK"/>
        </w:rPr>
        <w:t xml:space="preserve">K bodom </w:t>
      </w:r>
      <w:r w:rsidR="00C95BCF" w:rsidRPr="00EA543A">
        <w:rPr>
          <w:rFonts w:ascii="Times New Roman" w:eastAsia="Times New Roman" w:hAnsi="Times New Roman" w:cs="Times New Roman"/>
          <w:b/>
          <w:sz w:val="24"/>
          <w:szCs w:val="24"/>
          <w:lang w:eastAsia="sk-SK"/>
        </w:rPr>
        <w:t>65</w:t>
      </w:r>
      <w:r w:rsidRPr="00EA543A">
        <w:rPr>
          <w:rFonts w:ascii="Times New Roman" w:eastAsia="Times New Roman" w:hAnsi="Times New Roman" w:cs="Times New Roman"/>
          <w:b/>
          <w:sz w:val="24"/>
          <w:szCs w:val="24"/>
          <w:lang w:eastAsia="sk-SK"/>
        </w:rPr>
        <w:t xml:space="preserve"> až 6</w:t>
      </w:r>
      <w:r w:rsidR="00C95BCF" w:rsidRPr="00EA543A">
        <w:rPr>
          <w:rFonts w:ascii="Times New Roman" w:eastAsia="Times New Roman" w:hAnsi="Times New Roman" w:cs="Times New Roman"/>
          <w:b/>
          <w:sz w:val="24"/>
          <w:szCs w:val="24"/>
          <w:lang w:eastAsia="sk-SK"/>
        </w:rPr>
        <w:t>7</w:t>
      </w:r>
      <w:r w:rsidRPr="00EA543A">
        <w:rPr>
          <w:rFonts w:ascii="Times New Roman" w:eastAsia="Times New Roman" w:hAnsi="Times New Roman" w:cs="Times New Roman"/>
          <w:b/>
          <w:sz w:val="24"/>
          <w:szCs w:val="24"/>
          <w:lang w:eastAsia="sk-SK"/>
        </w:rPr>
        <w:t xml:space="preserve"> - </w:t>
      </w:r>
      <w:r w:rsidR="00DE73E5" w:rsidRPr="00EA543A">
        <w:rPr>
          <w:rFonts w:ascii="Times New Roman" w:eastAsia="Times New Roman" w:hAnsi="Times New Roman" w:cs="Times New Roman"/>
          <w:b/>
          <w:sz w:val="24"/>
          <w:szCs w:val="24"/>
          <w:lang w:eastAsia="sk-SK"/>
        </w:rPr>
        <w:t xml:space="preserve">§ 25a písm. a), písm. d) </w:t>
      </w:r>
      <w:r w:rsidRPr="00EA543A">
        <w:rPr>
          <w:rFonts w:ascii="Times New Roman" w:eastAsia="Times New Roman" w:hAnsi="Times New Roman" w:cs="Times New Roman"/>
          <w:b/>
          <w:sz w:val="24"/>
          <w:szCs w:val="24"/>
          <w:lang w:eastAsia="sk-SK"/>
        </w:rPr>
        <w:t>piaty</w:t>
      </w:r>
      <w:r w:rsidR="00DE73E5" w:rsidRPr="00EA543A">
        <w:rPr>
          <w:rFonts w:ascii="Times New Roman" w:eastAsia="Times New Roman" w:hAnsi="Times New Roman" w:cs="Times New Roman"/>
          <w:b/>
          <w:sz w:val="24"/>
          <w:szCs w:val="24"/>
          <w:lang w:eastAsia="sk-SK"/>
        </w:rPr>
        <w:t xml:space="preserve"> bod</w:t>
      </w:r>
      <w:r w:rsidRPr="00EA543A">
        <w:rPr>
          <w:rFonts w:ascii="Times New Roman" w:eastAsia="Times New Roman" w:hAnsi="Times New Roman" w:cs="Times New Roman"/>
          <w:b/>
          <w:sz w:val="24"/>
          <w:szCs w:val="24"/>
          <w:lang w:eastAsia="sk-SK"/>
        </w:rPr>
        <w:t xml:space="preserve"> a</w:t>
      </w:r>
      <w:r w:rsidR="00DE73E5" w:rsidRPr="00EA543A">
        <w:rPr>
          <w:rFonts w:ascii="Times New Roman" w:eastAsia="Times New Roman" w:hAnsi="Times New Roman" w:cs="Times New Roman"/>
          <w:b/>
          <w:sz w:val="24"/>
          <w:szCs w:val="24"/>
          <w:lang w:eastAsia="sk-SK"/>
        </w:rPr>
        <w:t xml:space="preserve"> písm. e)</w:t>
      </w:r>
    </w:p>
    <w:p w:rsidR="005A2351" w:rsidRPr="00EA543A" w:rsidRDefault="000D3D5E" w:rsidP="00BA62B0">
      <w:pPr>
        <w:pStyle w:val="Odsekzoznamu"/>
        <w:spacing w:after="0" w:line="240" w:lineRule="auto"/>
        <w:ind w:left="0"/>
        <w:jc w:val="both"/>
        <w:rPr>
          <w:rFonts w:ascii="Times New Roman" w:hAnsi="Times New Roman" w:cs="Times New Roman"/>
          <w:sz w:val="24"/>
          <w:szCs w:val="24"/>
        </w:rPr>
      </w:pPr>
      <w:r w:rsidRPr="00EA543A">
        <w:rPr>
          <w:rFonts w:ascii="Times New Roman" w:hAnsi="Times New Roman" w:cs="Times New Roman"/>
          <w:sz w:val="24"/>
          <w:szCs w:val="24"/>
        </w:rPr>
        <w:t>V § 25a písmene a) sa spresňuje, že za daňový výdavok sa pri predaji cenných papierov a obchodných podielov uplatňuje obstarávacia cena upravená o všetky jej zníženia, ktoré nevstupovali do základu dane. Ide o situáciu, kedy sa účtovne obstarávacia cena tohto majetku znižuje napr. pri výplate prostriedkov zo zníženia základného imania u daňovníka, ktorý nadobudol finančný majetok kúpou (napr. znížením na účte 06x). Ak však bolo základné imanie spoločnosti pred kúpou finančného majetku zvýšené zo zisku po zdanení, považujú sa vyplatené prostriedky zo zníženia základného imania na účely zákona o dani z príjmov za podiel na zisku (dividendu) podľa § 3 ods. 1 písm. e) a § 12 ods. 7 písm. c) 1. bodu zákona o dani z príjmov. Podľa postupov účtovania pre podnikateľov sa tento príjem vykáže ako zníženie obstarávacej ceny finančného majetku (06x). Pri predaji tohto finančného majetku sa na účely uplatnenia daňového výdavku obstarávacia cena tohto majetku neznižuje o takto vyplatený príjem.</w:t>
      </w:r>
      <w:r w:rsidR="005A2351" w:rsidRPr="00EA543A">
        <w:rPr>
          <w:rFonts w:ascii="Times New Roman" w:hAnsi="Times New Roman" w:cs="Times New Roman"/>
          <w:sz w:val="24"/>
          <w:szCs w:val="24"/>
        </w:rPr>
        <w:t xml:space="preserve"> V prípade zmeny na účte 06x, ktoré sa prejavia účtovne ako jej zvýšenie, je na účely zákona o dani z príjmov potrebné vychádzať z podstaty, v dôsledku ktorej došlo k takémuto zvýšeniu. Pri preceňovaní CP prostredníctvom účtu 414 môže dôjsť aj k zvýšeniu aj zníženiu sumy účtovanej na účte 06x. Pri predaji finančného majetku sa však toto precenenie neguje opačným zápisom, čím pri predaji finančného majetku sa pri uplatnení daňového výdavku vždy vychádza z prvotnej obstarávacej ceny tohto majetku. Ak napríklad dôjde ku kúpe obchodného podielu a následne k ďalšiemu prikúpeniu obchodného podielu, na účely zákona o dani z príjmov sa pri uplatnení daňových výdavkov vychádza zo súčtu týchto obstarávacích cien podľa § 25a písm. a). V prípade, ak by daňovník, ktorý podiel nadobudol kúpou, realizoval nepeňažný vklad do spoločnosti v reálnych hodnotách, potom pri predaji tohto podielu by pri uplatnení daňového výdavku vychádzal z kombinácie vstupných cien podľa § 25a písm. a) a § 25a písm. d).</w:t>
      </w:r>
    </w:p>
    <w:p w:rsidR="000D3D5E" w:rsidRPr="00EA543A" w:rsidRDefault="000D3D5E"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 xml:space="preserve">  </w:t>
      </w:r>
    </w:p>
    <w:p w:rsidR="000D3D5E" w:rsidRPr="00EA543A" w:rsidRDefault="000D3D5E"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V § 25a písmene d) sa dopĺňa nový piaty bod, ktorým sa spresňuje, že daňovým výdavkom je pri cenných papieroch určených na obchodovanie ich reálna hodnota, t. j. obstarávacia cena upravená o precenenie na reálnu hodnotu (účet 564, 664, 566 resp. 666) zahrňované do základu dane.</w:t>
      </w:r>
    </w:p>
    <w:p w:rsidR="000D3D5E" w:rsidRPr="00EA543A" w:rsidRDefault="000D3D5E"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lastRenderedPageBreak/>
        <w:t>V § 25a sa písmene e) prvom bode sa definuje pôvodná cena na účely ocenenia finančného majetku, ktorý nadobúda vkladateľ nepeňažného vkladu, prijímateľ nepeňažného vkladu ako aj právny nástupca daňovníka zrušeného bez likvidácie pri uplatnení pôvodných cien podľa § 17d a § 17e zákona o dani z príjmov.</w:t>
      </w:r>
    </w:p>
    <w:p w:rsidR="000D3D5E" w:rsidRPr="00EA543A" w:rsidRDefault="000D3D5E"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V § 25a písmene e) druhom bode sa dopĺňa ocenenie finančného majetku pôvodnou cenou u akcionára resp. spoločníka obchodnej spoločnosti, ktorá sa zrušuje bez likvidácie. Podľa § 3 ods. 2 písm. d) a § 12 ods. 7 písm. d) nie je predmetom dane výmena akcií daňovníka zrušeného bez likvidácie za akcie právneho nástupcu. V § 25a písmene e) druhom bode sa spresňuje, že v takomto prípade je tento majetok ocenený pôvodnou cenou, t. j. daňovou hodnotou, ktorou bol finančný majetok ocenený pred zlúčením, splynutím alebo rozdelením obchodných spoločností alebo družstiev.</w:t>
      </w:r>
    </w:p>
    <w:p w:rsidR="00DE73E5" w:rsidRPr="00EA543A" w:rsidRDefault="00DE73E5" w:rsidP="00BA62B0">
      <w:pPr>
        <w:pStyle w:val="Odsekzoznamu"/>
        <w:spacing w:after="0" w:line="240" w:lineRule="auto"/>
        <w:ind w:left="0"/>
        <w:jc w:val="both"/>
        <w:rPr>
          <w:rFonts w:ascii="Times New Roman" w:hAnsi="Times New Roman" w:cs="Times New Roman"/>
          <w:sz w:val="24"/>
          <w:szCs w:val="24"/>
        </w:rPr>
      </w:pPr>
    </w:p>
    <w:p w:rsidR="00A40A6A" w:rsidRPr="00EA543A" w:rsidRDefault="00A40A6A" w:rsidP="00BA62B0">
      <w:pPr>
        <w:pStyle w:val="Normlnywebov"/>
        <w:spacing w:before="0" w:beforeAutospacing="0" w:after="0" w:afterAutospacing="0"/>
        <w:contextualSpacing/>
        <w:jc w:val="both"/>
        <w:rPr>
          <w:b/>
        </w:rPr>
      </w:pPr>
      <w:r w:rsidRPr="00EA543A">
        <w:rPr>
          <w:b/>
        </w:rPr>
        <w:t xml:space="preserve">K bodom </w:t>
      </w:r>
      <w:r w:rsidR="00C95BCF" w:rsidRPr="00EA543A">
        <w:rPr>
          <w:b/>
        </w:rPr>
        <w:t>68</w:t>
      </w:r>
      <w:r w:rsidRPr="00EA543A">
        <w:rPr>
          <w:b/>
        </w:rPr>
        <w:t>,</w:t>
      </w:r>
      <w:r w:rsidR="00104D86" w:rsidRPr="00EA543A">
        <w:rPr>
          <w:b/>
        </w:rPr>
        <w:t xml:space="preserve"> </w:t>
      </w:r>
      <w:r w:rsidR="00C95BCF" w:rsidRPr="00EA543A">
        <w:rPr>
          <w:b/>
        </w:rPr>
        <w:t>72</w:t>
      </w:r>
      <w:r w:rsidR="00467CB4" w:rsidRPr="00EA543A">
        <w:rPr>
          <w:b/>
        </w:rPr>
        <w:t xml:space="preserve">, </w:t>
      </w:r>
      <w:r w:rsidR="00C95BCF" w:rsidRPr="00EA543A">
        <w:rPr>
          <w:b/>
        </w:rPr>
        <w:t>13</w:t>
      </w:r>
      <w:r w:rsidR="005F55C3" w:rsidRPr="00EA543A">
        <w:rPr>
          <w:b/>
        </w:rPr>
        <w:t>5</w:t>
      </w:r>
      <w:r w:rsidR="007A249B" w:rsidRPr="00EA543A">
        <w:rPr>
          <w:b/>
        </w:rPr>
        <w:t xml:space="preserve"> a 13</w:t>
      </w:r>
      <w:r w:rsidR="005F55C3" w:rsidRPr="00EA543A">
        <w:rPr>
          <w:b/>
        </w:rPr>
        <w:t>6</w:t>
      </w:r>
      <w:r w:rsidR="00467CB4" w:rsidRPr="00EA543A">
        <w:rPr>
          <w:b/>
        </w:rPr>
        <w:t xml:space="preserve"> -</w:t>
      </w:r>
      <w:r w:rsidRPr="00EA543A">
        <w:rPr>
          <w:b/>
        </w:rPr>
        <w:t xml:space="preserve"> § 26 ods. 1, § 27 ods. 1 a príloha č. 1</w:t>
      </w:r>
    </w:p>
    <w:p w:rsidR="00A40A6A" w:rsidRPr="00EA543A" w:rsidRDefault="00A40A6A"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 xml:space="preserve">V nadväznosti na schválený Akčný plán rozvoja </w:t>
      </w:r>
      <w:proofErr w:type="spellStart"/>
      <w:r w:rsidRPr="00EA543A">
        <w:rPr>
          <w:rFonts w:ascii="Times New Roman" w:hAnsi="Times New Roman" w:cs="Times New Roman"/>
          <w:sz w:val="24"/>
          <w:szCs w:val="24"/>
        </w:rPr>
        <w:t>elektromobility</w:t>
      </w:r>
      <w:proofErr w:type="spellEnd"/>
      <w:r w:rsidRPr="00EA543A">
        <w:rPr>
          <w:rFonts w:ascii="Times New Roman" w:hAnsi="Times New Roman" w:cs="Times New Roman"/>
          <w:sz w:val="24"/>
          <w:szCs w:val="24"/>
        </w:rPr>
        <w:t xml:space="preserve"> v Slovenskej republike vládou SR sa zákonom o dani z príjmov zvýhodňuje odpisovanie elektromobilov. Zavádza sa nová odpisová skupina 0 s dobou odpisovania 2 roky, do ktorej sú zaradené osobné automobily, ktoré majú v osvedčení o evidencii časť II v položke „18.3 Druh paliva/zdroj energie“ uvedenú skratku BEV alebo PHEV. Uvedené opatrenie má za cieľ zvýšiť motiváciu podnikateľského sektoru na obstaranie elektromobilu s cieľom podpory </w:t>
      </w:r>
      <w:proofErr w:type="spellStart"/>
      <w:r w:rsidRPr="00EA543A">
        <w:rPr>
          <w:rFonts w:ascii="Times New Roman" w:hAnsi="Times New Roman" w:cs="Times New Roman"/>
          <w:sz w:val="24"/>
          <w:szCs w:val="24"/>
        </w:rPr>
        <w:t>nízkoemisnej</w:t>
      </w:r>
      <w:proofErr w:type="spellEnd"/>
      <w:r w:rsidRPr="00EA543A">
        <w:rPr>
          <w:rFonts w:ascii="Times New Roman" w:hAnsi="Times New Roman" w:cs="Times New Roman"/>
          <w:sz w:val="24"/>
          <w:szCs w:val="24"/>
        </w:rPr>
        <w:t xml:space="preserve">, resp. </w:t>
      </w:r>
      <w:proofErr w:type="spellStart"/>
      <w:r w:rsidRPr="00EA543A">
        <w:rPr>
          <w:rFonts w:ascii="Times New Roman" w:hAnsi="Times New Roman" w:cs="Times New Roman"/>
          <w:sz w:val="24"/>
          <w:szCs w:val="24"/>
        </w:rPr>
        <w:t>bezemisnej</w:t>
      </w:r>
      <w:proofErr w:type="spellEnd"/>
      <w:r w:rsidRPr="00EA543A">
        <w:rPr>
          <w:rFonts w:ascii="Times New Roman" w:hAnsi="Times New Roman" w:cs="Times New Roman"/>
          <w:sz w:val="24"/>
          <w:szCs w:val="24"/>
        </w:rPr>
        <w:t xml:space="preserve"> formy dopravy. Navrhovanou úpravou dochádza k podpore </w:t>
      </w:r>
      <w:proofErr w:type="spellStart"/>
      <w:r w:rsidRPr="00EA543A">
        <w:rPr>
          <w:rFonts w:ascii="Times New Roman" w:hAnsi="Times New Roman" w:cs="Times New Roman"/>
          <w:sz w:val="24"/>
          <w:szCs w:val="24"/>
        </w:rPr>
        <w:t>bateriových</w:t>
      </w:r>
      <w:proofErr w:type="spellEnd"/>
      <w:r w:rsidRPr="00EA543A">
        <w:rPr>
          <w:rFonts w:ascii="Times New Roman" w:hAnsi="Times New Roman" w:cs="Times New Roman"/>
          <w:sz w:val="24"/>
          <w:szCs w:val="24"/>
        </w:rPr>
        <w:t xml:space="preserve"> elektrických vozidiel (BEV) alebo </w:t>
      </w:r>
      <w:proofErr w:type="spellStart"/>
      <w:r w:rsidRPr="00EA543A">
        <w:rPr>
          <w:rFonts w:ascii="Times New Roman" w:hAnsi="Times New Roman" w:cs="Times New Roman"/>
          <w:sz w:val="24"/>
          <w:szCs w:val="24"/>
        </w:rPr>
        <w:t>plug</w:t>
      </w:r>
      <w:proofErr w:type="spellEnd"/>
      <w:r w:rsidRPr="00EA543A">
        <w:rPr>
          <w:rFonts w:ascii="Times New Roman" w:hAnsi="Times New Roman" w:cs="Times New Roman"/>
          <w:sz w:val="24"/>
          <w:szCs w:val="24"/>
        </w:rPr>
        <w:t xml:space="preserve">-in hybridných elektrických vozidiel (PHEV), pričom </w:t>
      </w:r>
      <w:proofErr w:type="spellStart"/>
      <w:r w:rsidRPr="00EA543A">
        <w:rPr>
          <w:rFonts w:ascii="Times New Roman" w:hAnsi="Times New Roman" w:cs="Times New Roman"/>
          <w:sz w:val="24"/>
          <w:szCs w:val="24"/>
        </w:rPr>
        <w:t>plug</w:t>
      </w:r>
      <w:proofErr w:type="spellEnd"/>
      <w:r w:rsidRPr="00EA543A">
        <w:rPr>
          <w:rFonts w:ascii="Times New Roman" w:hAnsi="Times New Roman" w:cs="Times New Roman"/>
          <w:sz w:val="24"/>
          <w:szCs w:val="24"/>
        </w:rPr>
        <w:t xml:space="preserve">-in hybridné elektrické vozidlá môžu byť v akejkoľvek kombinácií s iným druhom paliva alebo zdroja energie. </w:t>
      </w:r>
    </w:p>
    <w:p w:rsidR="00A40A6A" w:rsidRPr="00EA543A" w:rsidRDefault="00A40A6A" w:rsidP="00BA62B0">
      <w:pPr>
        <w:pStyle w:val="Odsekzoznamu"/>
        <w:spacing w:after="0" w:line="240" w:lineRule="auto"/>
        <w:ind w:left="0"/>
        <w:jc w:val="both"/>
        <w:rPr>
          <w:rFonts w:ascii="Times New Roman" w:hAnsi="Times New Roman" w:cs="Times New Roman"/>
          <w:sz w:val="24"/>
          <w:szCs w:val="24"/>
        </w:rPr>
      </w:pPr>
    </w:p>
    <w:p w:rsidR="00A40A6A" w:rsidRPr="00EA543A" w:rsidRDefault="00A40A6A" w:rsidP="00BA62B0">
      <w:pPr>
        <w:pStyle w:val="Odsekzoznamu"/>
        <w:spacing w:after="0" w:line="240" w:lineRule="auto"/>
        <w:ind w:left="0"/>
        <w:jc w:val="both"/>
        <w:rPr>
          <w:rFonts w:ascii="Times New Roman" w:hAnsi="Times New Roman" w:cs="Times New Roman"/>
          <w:b/>
          <w:sz w:val="24"/>
          <w:szCs w:val="24"/>
        </w:rPr>
      </w:pPr>
      <w:r w:rsidRPr="00EA543A">
        <w:rPr>
          <w:rFonts w:ascii="Times New Roman" w:hAnsi="Times New Roman" w:cs="Times New Roman"/>
          <w:b/>
          <w:sz w:val="24"/>
          <w:szCs w:val="24"/>
        </w:rPr>
        <w:t xml:space="preserve">K bodu </w:t>
      </w:r>
      <w:r w:rsidR="00C95BCF" w:rsidRPr="00EA543A">
        <w:rPr>
          <w:rFonts w:ascii="Times New Roman" w:hAnsi="Times New Roman" w:cs="Times New Roman"/>
          <w:b/>
          <w:sz w:val="24"/>
          <w:szCs w:val="24"/>
        </w:rPr>
        <w:t>73</w:t>
      </w:r>
      <w:r w:rsidRPr="00EA543A">
        <w:rPr>
          <w:rFonts w:ascii="Times New Roman" w:hAnsi="Times New Roman" w:cs="Times New Roman"/>
          <w:b/>
          <w:sz w:val="24"/>
          <w:szCs w:val="24"/>
        </w:rPr>
        <w:t xml:space="preserve"> - § 30 ods. 1 </w:t>
      </w:r>
    </w:p>
    <w:p w:rsidR="00A40A6A" w:rsidRPr="00EA543A" w:rsidRDefault="00A40A6A" w:rsidP="00BA62B0">
      <w:pPr>
        <w:pStyle w:val="Odsekzoznamu"/>
        <w:spacing w:after="0" w:line="240" w:lineRule="auto"/>
        <w:ind w:left="0"/>
        <w:jc w:val="both"/>
        <w:rPr>
          <w:rFonts w:ascii="Times New Roman" w:hAnsi="Times New Roman" w:cs="Times New Roman"/>
          <w:sz w:val="24"/>
          <w:szCs w:val="24"/>
        </w:rPr>
      </w:pPr>
      <w:r w:rsidRPr="00EA543A">
        <w:rPr>
          <w:rFonts w:ascii="Times New Roman" w:hAnsi="Times New Roman" w:cs="Times New Roman"/>
          <w:sz w:val="24"/>
          <w:szCs w:val="24"/>
        </w:rPr>
        <w:t xml:space="preserve">Na základe analýzy zjednodušenia výpočtu základu dane pre malé a stredné podniky sa zavádzajú atraktívnejšie podmienky pre odpočet daňovej straty. Dochádza k zrušeniu rovnomernosti odpočtu daňovej straty a k predlženiu lehoty na jej odpočet. Podľa navrhovaného znenia je možné daňovú stratu odpočítať počas 5 bezprostredne po sebe nasledujúcich zdaňovacích období a to počnúc zdaňovacím obdobím, ktoré nasleduje za zdaňovacím obdobím, v ktorom bola táto daňová strata vyčíslená. U daňovníka, ktorým je </w:t>
      </w:r>
      <w:proofErr w:type="spellStart"/>
      <w:r w:rsidRPr="00EA543A">
        <w:rPr>
          <w:rFonts w:ascii="Times New Roman" w:hAnsi="Times New Roman" w:cs="Times New Roman"/>
          <w:sz w:val="24"/>
          <w:szCs w:val="24"/>
        </w:rPr>
        <w:t>mikrodaňovník</w:t>
      </w:r>
      <w:proofErr w:type="spellEnd"/>
      <w:r w:rsidRPr="00EA543A">
        <w:rPr>
          <w:rFonts w:ascii="Times New Roman" w:hAnsi="Times New Roman" w:cs="Times New Roman"/>
          <w:sz w:val="24"/>
          <w:szCs w:val="24"/>
        </w:rPr>
        <w:t xml:space="preserve"> nie je obmedzená výška umorovanej daňovej straty, t.j. takýto daňovník si môže uplatniť daňovú stratu do výšky vyčísleného základu dane v zdaňovacom období, v ktorom si chce jej odpočet uplatniť. Ostatní daňovníci si môžu uplatniť daňovú stratu do výšky 50 % vyčísleného základu dane, od ktorého je možné odpočet daňovej straty uskutočniť. </w:t>
      </w:r>
    </w:p>
    <w:p w:rsidR="00F36BA1" w:rsidRPr="00EA543A" w:rsidRDefault="00F36BA1" w:rsidP="00BA62B0">
      <w:pPr>
        <w:pStyle w:val="Odsekzoznamu"/>
        <w:spacing w:after="0" w:line="240" w:lineRule="auto"/>
        <w:ind w:left="0"/>
        <w:jc w:val="both"/>
        <w:rPr>
          <w:rFonts w:ascii="Times New Roman" w:hAnsi="Times New Roman" w:cs="Times New Roman"/>
          <w:sz w:val="24"/>
          <w:szCs w:val="24"/>
        </w:rPr>
      </w:pPr>
    </w:p>
    <w:p w:rsidR="00F36BA1" w:rsidRPr="00EA543A" w:rsidRDefault="00F36BA1" w:rsidP="00BA62B0">
      <w:pPr>
        <w:pStyle w:val="Odsekzoznamu"/>
        <w:spacing w:after="0" w:line="240" w:lineRule="auto"/>
        <w:ind w:left="0"/>
        <w:jc w:val="both"/>
        <w:rPr>
          <w:rFonts w:ascii="Times New Roman" w:hAnsi="Times New Roman" w:cs="Times New Roman"/>
          <w:b/>
          <w:sz w:val="24"/>
          <w:szCs w:val="24"/>
        </w:rPr>
      </w:pPr>
      <w:r w:rsidRPr="00EA543A">
        <w:rPr>
          <w:rFonts w:ascii="Times New Roman" w:hAnsi="Times New Roman" w:cs="Times New Roman"/>
          <w:b/>
          <w:sz w:val="24"/>
          <w:szCs w:val="24"/>
        </w:rPr>
        <w:t>K bodu 74 - § 30 ods. 2</w:t>
      </w:r>
    </w:p>
    <w:p w:rsidR="00F36BA1" w:rsidRPr="00EA543A" w:rsidRDefault="00F36BA1" w:rsidP="00BA62B0">
      <w:pPr>
        <w:pStyle w:val="Odsekzoznamu"/>
        <w:spacing w:after="0" w:line="240" w:lineRule="auto"/>
        <w:ind w:left="0"/>
        <w:jc w:val="both"/>
        <w:rPr>
          <w:rFonts w:ascii="Times New Roman" w:hAnsi="Times New Roman" w:cs="Times New Roman"/>
          <w:sz w:val="24"/>
          <w:szCs w:val="24"/>
        </w:rPr>
      </w:pPr>
      <w:r w:rsidRPr="00EA543A">
        <w:rPr>
          <w:rFonts w:ascii="Times New Roman" w:hAnsi="Times New Roman" w:cs="Times New Roman"/>
          <w:sz w:val="24"/>
          <w:szCs w:val="24"/>
        </w:rPr>
        <w:t>Ide o legislatívno-technickú úpravu v súvislosti s úpravou § 30 ods. 1. Pravidla uplatňovania odpočtu daňovej straty v prípade daňovníkov zanikajúcich likvidáciou a uplatňovania odpočtu daňovej straty v prípade kratšieho zdaňovacieho obdobia ako je 12 kalendárnych po sebe nasledujúcich mesiacov boli presunuté bez zmeny z odseku 1 do odseku 2.</w:t>
      </w:r>
    </w:p>
    <w:p w:rsidR="00467CB4" w:rsidRPr="00EA543A" w:rsidRDefault="00467CB4" w:rsidP="00BA62B0">
      <w:pPr>
        <w:pStyle w:val="Odsekzoznamu"/>
        <w:spacing w:after="0" w:line="240" w:lineRule="auto"/>
        <w:ind w:left="0"/>
        <w:jc w:val="both"/>
        <w:rPr>
          <w:rFonts w:ascii="Times New Roman" w:hAnsi="Times New Roman" w:cs="Times New Roman"/>
          <w:sz w:val="24"/>
          <w:szCs w:val="24"/>
        </w:rPr>
      </w:pPr>
    </w:p>
    <w:p w:rsidR="00A40A6A" w:rsidRPr="00EA543A" w:rsidRDefault="00A40A6A" w:rsidP="00BA62B0">
      <w:pPr>
        <w:pStyle w:val="Odsekzoznamu"/>
        <w:spacing w:after="0" w:line="240" w:lineRule="auto"/>
        <w:ind w:left="0"/>
        <w:jc w:val="both"/>
        <w:rPr>
          <w:rFonts w:ascii="Times New Roman" w:hAnsi="Times New Roman" w:cs="Times New Roman"/>
          <w:b/>
          <w:sz w:val="24"/>
          <w:szCs w:val="24"/>
        </w:rPr>
      </w:pPr>
      <w:r w:rsidRPr="00EA543A">
        <w:rPr>
          <w:rFonts w:ascii="Times New Roman" w:hAnsi="Times New Roman" w:cs="Times New Roman"/>
          <w:b/>
          <w:sz w:val="24"/>
          <w:szCs w:val="24"/>
        </w:rPr>
        <w:t xml:space="preserve">K bodu </w:t>
      </w:r>
      <w:r w:rsidR="00C95BCF" w:rsidRPr="00EA543A">
        <w:rPr>
          <w:rFonts w:ascii="Times New Roman" w:hAnsi="Times New Roman" w:cs="Times New Roman"/>
          <w:b/>
          <w:sz w:val="24"/>
          <w:szCs w:val="24"/>
        </w:rPr>
        <w:t>75</w:t>
      </w:r>
      <w:r w:rsidRPr="00EA543A">
        <w:rPr>
          <w:rFonts w:ascii="Times New Roman" w:hAnsi="Times New Roman" w:cs="Times New Roman"/>
          <w:b/>
          <w:sz w:val="24"/>
          <w:szCs w:val="24"/>
        </w:rPr>
        <w:t xml:space="preserve"> - § 30 ods. 5 </w:t>
      </w:r>
    </w:p>
    <w:p w:rsidR="006459F1" w:rsidRPr="00EA543A" w:rsidRDefault="00A40A6A" w:rsidP="00BA62B0">
      <w:pPr>
        <w:pStyle w:val="Odsekzoznamu"/>
        <w:spacing w:after="0" w:line="240" w:lineRule="auto"/>
        <w:ind w:left="0"/>
        <w:jc w:val="both"/>
        <w:rPr>
          <w:rFonts w:ascii="Times New Roman" w:hAnsi="Times New Roman" w:cs="Times New Roman"/>
          <w:sz w:val="24"/>
          <w:szCs w:val="24"/>
        </w:rPr>
      </w:pPr>
      <w:r w:rsidRPr="00EA543A">
        <w:rPr>
          <w:rFonts w:ascii="Times New Roman" w:hAnsi="Times New Roman" w:cs="Times New Roman"/>
          <w:sz w:val="24"/>
          <w:szCs w:val="24"/>
        </w:rPr>
        <w:t>Ustanovenie § 30 sa z dôvodu právnej istoty spresňuje ohľadom možnosti uplatňovania odpočtu daňovej straty v prípade zmeny právnej formy daňovníka. Daňovník, ktorý začal odpočítavať daňovú stratu alebo ktorému vznikol nárok na odpočet daňovej straty a následne u neho dôjde k zmene jeho právnej formy, má po jej zmene nárok pokračovať v jej odpočte v súlade s podmienkami stanovenými v odseku 1.  To znamená, že ak napr. spoločnosť s ručením obmedzeným vykázala daňovú stratu a následne spoločnosť zmenila právnu formu na komanditnú spoločnosť, táto komanditná spoločnosť má nárok na odpočet daňovej straty vykázanej spoločnosťou s ručením obmedzeným od svojho základu dane.</w:t>
      </w:r>
      <w:r w:rsidR="008D1171" w:rsidRPr="00EA543A">
        <w:rPr>
          <w:rFonts w:ascii="Times New Roman" w:hAnsi="Times New Roman" w:cs="Times New Roman"/>
          <w:sz w:val="24"/>
          <w:szCs w:val="24"/>
        </w:rPr>
        <w:t xml:space="preserve"> Ustanovenie sa </w:t>
      </w:r>
      <w:r w:rsidR="008D1171" w:rsidRPr="00EA543A">
        <w:rPr>
          <w:rFonts w:ascii="Times New Roman" w:hAnsi="Times New Roman" w:cs="Times New Roman"/>
          <w:sz w:val="24"/>
          <w:szCs w:val="24"/>
        </w:rPr>
        <w:lastRenderedPageBreak/>
        <w:t>vzťahuje nielen na zmenu kapitálovej spoločnosti na osobnú spoločnosť a naopak ale aj na zmenu jednej právnej formy kapitálovej spoločnosti na inú právnu formu kapitálovej spoločnosti.</w:t>
      </w:r>
    </w:p>
    <w:p w:rsidR="00EA65DE" w:rsidRPr="00EA543A" w:rsidRDefault="00EA65DE" w:rsidP="00BA62B0">
      <w:pPr>
        <w:pStyle w:val="Odsekzoznamu"/>
        <w:spacing w:after="0" w:line="240" w:lineRule="auto"/>
        <w:ind w:left="0"/>
        <w:jc w:val="both"/>
        <w:rPr>
          <w:rFonts w:ascii="Times New Roman" w:hAnsi="Times New Roman" w:cs="Times New Roman"/>
          <w:sz w:val="24"/>
          <w:szCs w:val="24"/>
        </w:rPr>
      </w:pPr>
    </w:p>
    <w:p w:rsidR="00EA65DE" w:rsidRPr="00EA543A" w:rsidRDefault="00467CB4" w:rsidP="00BA62B0">
      <w:pPr>
        <w:spacing w:after="0" w:line="240" w:lineRule="auto"/>
        <w:ind w:left="284" w:hanging="284"/>
        <w:jc w:val="both"/>
        <w:rPr>
          <w:rFonts w:ascii="Times New Roman" w:hAnsi="Times New Roman" w:cs="Times New Roman"/>
          <w:b/>
          <w:sz w:val="24"/>
          <w:szCs w:val="24"/>
        </w:rPr>
      </w:pPr>
      <w:r w:rsidRPr="00EA543A">
        <w:rPr>
          <w:rFonts w:ascii="Times New Roman" w:hAnsi="Times New Roman" w:cs="Times New Roman"/>
          <w:b/>
          <w:sz w:val="24"/>
          <w:szCs w:val="24"/>
        </w:rPr>
        <w:t xml:space="preserve">K bodu </w:t>
      </w:r>
      <w:r w:rsidR="00C95BCF" w:rsidRPr="00EA543A">
        <w:rPr>
          <w:rFonts w:ascii="Times New Roman" w:hAnsi="Times New Roman" w:cs="Times New Roman"/>
          <w:b/>
          <w:sz w:val="24"/>
          <w:szCs w:val="24"/>
        </w:rPr>
        <w:t>76</w:t>
      </w:r>
      <w:r w:rsidR="00EA65DE" w:rsidRPr="00EA543A">
        <w:rPr>
          <w:rFonts w:ascii="Times New Roman" w:hAnsi="Times New Roman" w:cs="Times New Roman"/>
          <w:b/>
          <w:sz w:val="24"/>
          <w:szCs w:val="24"/>
        </w:rPr>
        <w:t xml:space="preserve"> - § 30c</w:t>
      </w:r>
      <w:r w:rsidR="00E12407" w:rsidRPr="00EA543A">
        <w:rPr>
          <w:rFonts w:ascii="Times New Roman" w:hAnsi="Times New Roman" w:cs="Times New Roman"/>
          <w:b/>
          <w:sz w:val="24"/>
          <w:szCs w:val="24"/>
        </w:rPr>
        <w:t xml:space="preserve"> ods. 1</w:t>
      </w:r>
    </w:p>
    <w:p w:rsidR="00EA65DE" w:rsidRPr="00EA543A" w:rsidRDefault="00EA65DE"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 xml:space="preserve">Pre daňovníkov, ktorí vykonávajú výskum a vývoj sa zvyšuje daňové zvýhodnenie, ktoré spočíva v odpočte výdavkov (nákladov) na výskum a vývoj od základu dane, tzv. super odpočet. Tento odpočet môže využiť daňovník, ktorý realizuje projekt výskumu a vývoja, v súvislosti s ktorým mu vznikajú výdavky (náklady), ktoré sú súčasťou výsledku hospodárenia a ktoré sú spôsobilé na opätovné odpočítanie od základu dane zníženého o odpočet daňovej straty vo výške 200 %. Zvýšenie odpočtu výdavkov (nákladov) na výskum a vývoj podľa § 30c ods. 1 sa prvýkrát uplatní za zdaňovacie obdobie, ktoré začína najskôr 1. januára 2020. Výška odpočtu z tzv. medziročného prírastku výdavkov (nákladov) na výskum a vývoj podľa § 30c ods. 2 ostáva nezmenená. </w:t>
      </w:r>
    </w:p>
    <w:p w:rsidR="00B96916" w:rsidRPr="00EA543A" w:rsidRDefault="00B96916" w:rsidP="00BA62B0">
      <w:pPr>
        <w:spacing w:after="0" w:line="240" w:lineRule="auto"/>
        <w:jc w:val="both"/>
        <w:rPr>
          <w:rFonts w:ascii="Times New Roman" w:hAnsi="Times New Roman" w:cs="Times New Roman"/>
          <w:sz w:val="24"/>
          <w:szCs w:val="24"/>
        </w:rPr>
      </w:pPr>
    </w:p>
    <w:p w:rsidR="00E12407" w:rsidRPr="00EA543A" w:rsidRDefault="00E12407" w:rsidP="00BA62B0">
      <w:pPr>
        <w:spacing w:after="0" w:line="240" w:lineRule="auto"/>
        <w:ind w:left="284" w:hanging="284"/>
        <w:jc w:val="both"/>
        <w:rPr>
          <w:rFonts w:ascii="Times New Roman" w:hAnsi="Times New Roman" w:cs="Times New Roman"/>
          <w:b/>
          <w:sz w:val="24"/>
          <w:szCs w:val="24"/>
        </w:rPr>
      </w:pPr>
      <w:r w:rsidRPr="00EA543A">
        <w:rPr>
          <w:rFonts w:ascii="Times New Roman" w:hAnsi="Times New Roman" w:cs="Times New Roman"/>
          <w:b/>
          <w:sz w:val="24"/>
          <w:szCs w:val="24"/>
        </w:rPr>
        <w:t xml:space="preserve">K bodu </w:t>
      </w:r>
      <w:r w:rsidR="00C95BCF" w:rsidRPr="00EA543A">
        <w:rPr>
          <w:rFonts w:ascii="Times New Roman" w:hAnsi="Times New Roman" w:cs="Times New Roman"/>
          <w:b/>
          <w:sz w:val="24"/>
          <w:szCs w:val="24"/>
        </w:rPr>
        <w:t>77</w:t>
      </w:r>
      <w:r w:rsidRPr="00EA543A">
        <w:rPr>
          <w:rFonts w:ascii="Times New Roman" w:hAnsi="Times New Roman" w:cs="Times New Roman"/>
          <w:b/>
          <w:sz w:val="24"/>
          <w:szCs w:val="24"/>
        </w:rPr>
        <w:t xml:space="preserve"> - § 30c ods. 7</w:t>
      </w:r>
    </w:p>
    <w:p w:rsidR="00E12407" w:rsidRPr="00EA543A" w:rsidRDefault="00E12407"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 xml:space="preserve">Navrhovanou úpravou sa mení požiadavka kladená na písomný dokument projektu výskumu a vývoja, na základe ktorého sa uplatňuje odpočet výdavkov (nákladov) na výskum a vývoj. Projekt výskumu a vývoja, ako písomný dokument s predpísanými náležitosťami, nebude potrebné podpísať osobou oprávnenou konať za daňovníka pred začatím realizácie samotného projektu, ale až pri podaní daňového priznania, v ktorom prichádza k uplatneniu odpočtu výdavkov (nákladov) na výskum a vývoj. </w:t>
      </w:r>
    </w:p>
    <w:p w:rsidR="00E12407" w:rsidRPr="00EA543A" w:rsidRDefault="00E12407" w:rsidP="00BA62B0">
      <w:pPr>
        <w:spacing w:after="0" w:line="240" w:lineRule="auto"/>
        <w:ind w:left="284" w:hanging="284"/>
        <w:jc w:val="both"/>
        <w:rPr>
          <w:rFonts w:ascii="Times New Roman" w:hAnsi="Times New Roman" w:cs="Times New Roman"/>
          <w:b/>
          <w:sz w:val="24"/>
          <w:szCs w:val="24"/>
        </w:rPr>
      </w:pPr>
    </w:p>
    <w:p w:rsidR="00E12407" w:rsidRPr="00EA543A" w:rsidRDefault="00E12407" w:rsidP="00BA62B0">
      <w:pPr>
        <w:spacing w:after="0" w:line="240" w:lineRule="auto"/>
        <w:ind w:left="284" w:hanging="284"/>
        <w:jc w:val="both"/>
        <w:rPr>
          <w:rFonts w:ascii="Times New Roman" w:hAnsi="Times New Roman" w:cs="Times New Roman"/>
          <w:b/>
          <w:sz w:val="24"/>
          <w:szCs w:val="24"/>
        </w:rPr>
      </w:pPr>
      <w:r w:rsidRPr="00EA543A">
        <w:rPr>
          <w:rFonts w:ascii="Times New Roman" w:hAnsi="Times New Roman" w:cs="Times New Roman"/>
          <w:b/>
          <w:sz w:val="24"/>
          <w:szCs w:val="24"/>
        </w:rPr>
        <w:t xml:space="preserve">K bodu </w:t>
      </w:r>
      <w:r w:rsidR="00C95BCF" w:rsidRPr="00EA543A">
        <w:rPr>
          <w:rFonts w:ascii="Times New Roman" w:hAnsi="Times New Roman" w:cs="Times New Roman"/>
          <w:b/>
          <w:sz w:val="24"/>
          <w:szCs w:val="24"/>
        </w:rPr>
        <w:t>7</w:t>
      </w:r>
      <w:r w:rsidRPr="00EA543A">
        <w:rPr>
          <w:rFonts w:ascii="Times New Roman" w:hAnsi="Times New Roman" w:cs="Times New Roman"/>
          <w:b/>
          <w:sz w:val="24"/>
          <w:szCs w:val="24"/>
        </w:rPr>
        <w:t>8 - § 30c ods. 9</w:t>
      </w:r>
    </w:p>
    <w:p w:rsidR="00E12407" w:rsidRPr="00EA543A" w:rsidRDefault="00E12407"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 xml:space="preserve">Predlžuje sa max. obdobie, počas ktorého, ak daňovník nemôže odpočet výdavkov (nákladov) na výskum a vývoj efektívne uplatniť z dôvodu vykázania daňovej straty alebo nedostatočného základu dane po odpočte daňovej straty, bude možné prenášať nárok na uplatnenie tohto odpočtu. Maximálna dĺžka obdobia odpočtu sa predlžuje zo štyroch zdaňovacích období bezprostredne nasledujúcich po zdaňovacom období, v ktorom nárok na odpočet vznikol na päť zdaňovacích období. Táto úprava rešpektuje obdobie zániku práva vyrubiť daň. </w:t>
      </w:r>
    </w:p>
    <w:p w:rsidR="00E12407" w:rsidRPr="00EA543A" w:rsidRDefault="00E12407" w:rsidP="00BA62B0">
      <w:pPr>
        <w:spacing w:after="0" w:line="240" w:lineRule="auto"/>
        <w:jc w:val="both"/>
        <w:rPr>
          <w:rFonts w:ascii="Times New Roman" w:hAnsi="Times New Roman" w:cs="Times New Roman"/>
          <w:sz w:val="24"/>
          <w:szCs w:val="24"/>
        </w:rPr>
      </w:pPr>
    </w:p>
    <w:p w:rsidR="00B96916" w:rsidRPr="00EA543A" w:rsidRDefault="00B96916" w:rsidP="00BA62B0">
      <w:pPr>
        <w:pStyle w:val="Odsekzoznamu"/>
        <w:spacing w:after="0" w:line="240" w:lineRule="auto"/>
        <w:ind w:left="0"/>
        <w:jc w:val="both"/>
        <w:rPr>
          <w:rFonts w:ascii="Times New Roman" w:hAnsi="Times New Roman" w:cs="Times New Roman"/>
          <w:b/>
          <w:sz w:val="24"/>
          <w:szCs w:val="24"/>
        </w:rPr>
      </w:pPr>
      <w:r w:rsidRPr="00EA543A">
        <w:rPr>
          <w:rFonts w:ascii="Times New Roman" w:hAnsi="Times New Roman" w:cs="Times New Roman"/>
          <w:b/>
          <w:sz w:val="24"/>
          <w:szCs w:val="24"/>
        </w:rPr>
        <w:t xml:space="preserve">K bodu </w:t>
      </w:r>
      <w:r w:rsidR="00C95BCF" w:rsidRPr="00EA543A">
        <w:rPr>
          <w:rFonts w:ascii="Times New Roman" w:hAnsi="Times New Roman" w:cs="Times New Roman"/>
          <w:b/>
          <w:sz w:val="24"/>
          <w:szCs w:val="24"/>
        </w:rPr>
        <w:t>81</w:t>
      </w:r>
      <w:r w:rsidRPr="00EA543A">
        <w:rPr>
          <w:rFonts w:ascii="Times New Roman" w:hAnsi="Times New Roman" w:cs="Times New Roman"/>
          <w:b/>
          <w:sz w:val="24"/>
          <w:szCs w:val="24"/>
        </w:rPr>
        <w:t xml:space="preserve"> - § 32 ods. 10</w:t>
      </w:r>
    </w:p>
    <w:p w:rsidR="00B96916" w:rsidRPr="00EA543A" w:rsidRDefault="00B96916" w:rsidP="00BA62B0">
      <w:pPr>
        <w:pStyle w:val="Odsekzoznamu"/>
        <w:spacing w:after="0" w:line="240" w:lineRule="auto"/>
        <w:ind w:left="0"/>
        <w:jc w:val="both"/>
        <w:rPr>
          <w:rFonts w:ascii="Times New Roman" w:hAnsi="Times New Roman" w:cs="Times New Roman"/>
          <w:sz w:val="24"/>
          <w:szCs w:val="24"/>
        </w:rPr>
      </w:pPr>
      <w:r w:rsidRPr="00EA543A">
        <w:rPr>
          <w:rFonts w:ascii="Times New Roman" w:hAnsi="Times New Roman" w:cs="Times New Roman"/>
          <w:sz w:val="24"/>
          <w:szCs w:val="24"/>
        </w:rPr>
        <w:t>Z dôvodu znižovania administratívnej náročnosti sa navrhuje zrušiť povinnosť daňovníka opakovane prikladať k daňovému priznaniu doklady na priznanie daňového bonusu na vyživované dieťa, ak ich daňovník k daňovému priznaniu už raz priložil a v týchto dokladoch nedošlo k zmene údajov (napr. rodný list).</w:t>
      </w:r>
    </w:p>
    <w:p w:rsidR="00EA65DE" w:rsidRPr="00EA543A" w:rsidRDefault="00EA65DE" w:rsidP="00BA62B0">
      <w:pPr>
        <w:pStyle w:val="Odsekzoznamu"/>
        <w:spacing w:after="0" w:line="240" w:lineRule="auto"/>
        <w:ind w:left="0"/>
        <w:jc w:val="both"/>
        <w:rPr>
          <w:rFonts w:ascii="Times New Roman" w:hAnsi="Times New Roman" w:cs="Times New Roman"/>
          <w:sz w:val="24"/>
          <w:szCs w:val="24"/>
        </w:rPr>
      </w:pPr>
    </w:p>
    <w:p w:rsidR="006459F1" w:rsidRPr="00EA543A" w:rsidRDefault="006459F1" w:rsidP="00BA62B0">
      <w:pPr>
        <w:pStyle w:val="Odsekzoznamu"/>
        <w:spacing w:after="0" w:line="240" w:lineRule="auto"/>
        <w:ind w:left="0"/>
        <w:jc w:val="both"/>
        <w:rPr>
          <w:rFonts w:ascii="Times New Roman" w:hAnsi="Times New Roman" w:cs="Times New Roman"/>
          <w:b/>
          <w:sz w:val="24"/>
          <w:szCs w:val="24"/>
        </w:rPr>
      </w:pPr>
      <w:r w:rsidRPr="00EA543A">
        <w:rPr>
          <w:rFonts w:ascii="Times New Roman" w:hAnsi="Times New Roman" w:cs="Times New Roman"/>
          <w:b/>
          <w:sz w:val="24"/>
          <w:szCs w:val="24"/>
        </w:rPr>
        <w:t>K</w:t>
      </w:r>
      <w:r w:rsidR="00467CB4" w:rsidRPr="00EA543A">
        <w:rPr>
          <w:rFonts w:ascii="Times New Roman" w:hAnsi="Times New Roman" w:cs="Times New Roman"/>
          <w:b/>
          <w:sz w:val="24"/>
          <w:szCs w:val="24"/>
        </w:rPr>
        <w:t> </w:t>
      </w:r>
      <w:r w:rsidRPr="00EA543A">
        <w:rPr>
          <w:rFonts w:ascii="Times New Roman" w:hAnsi="Times New Roman" w:cs="Times New Roman"/>
          <w:b/>
          <w:sz w:val="24"/>
          <w:szCs w:val="24"/>
        </w:rPr>
        <w:t>bod</w:t>
      </w:r>
      <w:r w:rsidR="00467CB4" w:rsidRPr="00EA543A">
        <w:rPr>
          <w:rFonts w:ascii="Times New Roman" w:hAnsi="Times New Roman" w:cs="Times New Roman"/>
          <w:b/>
          <w:sz w:val="24"/>
          <w:szCs w:val="24"/>
        </w:rPr>
        <w:t xml:space="preserve">om </w:t>
      </w:r>
      <w:r w:rsidR="00C95BCF" w:rsidRPr="00EA543A">
        <w:rPr>
          <w:rFonts w:ascii="Times New Roman" w:hAnsi="Times New Roman" w:cs="Times New Roman"/>
          <w:b/>
          <w:sz w:val="24"/>
          <w:szCs w:val="24"/>
        </w:rPr>
        <w:t xml:space="preserve">83 až 86 </w:t>
      </w:r>
      <w:r w:rsidR="007C1C4D" w:rsidRPr="00EA543A">
        <w:rPr>
          <w:rFonts w:ascii="Times New Roman" w:hAnsi="Times New Roman" w:cs="Times New Roman"/>
          <w:b/>
          <w:sz w:val="24"/>
          <w:szCs w:val="24"/>
        </w:rPr>
        <w:t>a 1</w:t>
      </w:r>
      <w:r w:rsidR="00C95BCF" w:rsidRPr="00EA543A">
        <w:rPr>
          <w:rFonts w:ascii="Times New Roman" w:hAnsi="Times New Roman" w:cs="Times New Roman"/>
          <w:b/>
          <w:sz w:val="24"/>
          <w:szCs w:val="24"/>
        </w:rPr>
        <w:t>3</w:t>
      </w:r>
      <w:r w:rsidR="005F55C3" w:rsidRPr="00EA543A">
        <w:rPr>
          <w:rFonts w:ascii="Times New Roman" w:hAnsi="Times New Roman" w:cs="Times New Roman"/>
          <w:b/>
          <w:sz w:val="24"/>
          <w:szCs w:val="24"/>
        </w:rPr>
        <w:t>4</w:t>
      </w:r>
      <w:r w:rsidRPr="00EA543A">
        <w:rPr>
          <w:rFonts w:ascii="Times New Roman" w:hAnsi="Times New Roman" w:cs="Times New Roman"/>
          <w:b/>
          <w:sz w:val="24"/>
          <w:szCs w:val="24"/>
        </w:rPr>
        <w:t xml:space="preserve"> - § 34 ods. 1 a 2, 5 a</w:t>
      </w:r>
      <w:r w:rsidR="007C1C4D" w:rsidRPr="00EA543A">
        <w:rPr>
          <w:rFonts w:ascii="Times New Roman" w:hAnsi="Times New Roman" w:cs="Times New Roman"/>
          <w:b/>
          <w:sz w:val="24"/>
          <w:szCs w:val="24"/>
        </w:rPr>
        <w:t> </w:t>
      </w:r>
      <w:r w:rsidRPr="00EA543A">
        <w:rPr>
          <w:rFonts w:ascii="Times New Roman" w:hAnsi="Times New Roman" w:cs="Times New Roman"/>
          <w:b/>
          <w:sz w:val="24"/>
          <w:szCs w:val="24"/>
        </w:rPr>
        <w:t>6</w:t>
      </w:r>
      <w:r w:rsidR="007C1C4D" w:rsidRPr="00EA543A">
        <w:rPr>
          <w:rFonts w:ascii="Times New Roman" w:hAnsi="Times New Roman" w:cs="Times New Roman"/>
          <w:b/>
          <w:sz w:val="24"/>
          <w:szCs w:val="24"/>
        </w:rPr>
        <w:t xml:space="preserve"> a § 52zz ods. </w:t>
      </w:r>
      <w:r w:rsidR="007A249B" w:rsidRPr="00EA543A">
        <w:rPr>
          <w:rFonts w:ascii="Times New Roman" w:hAnsi="Times New Roman" w:cs="Times New Roman"/>
          <w:b/>
          <w:sz w:val="24"/>
          <w:szCs w:val="24"/>
        </w:rPr>
        <w:t>19</w:t>
      </w:r>
    </w:p>
    <w:p w:rsidR="006459F1" w:rsidRPr="00EA543A" w:rsidRDefault="006459F1" w:rsidP="00BA62B0">
      <w:pPr>
        <w:pStyle w:val="Odsekzoznamu"/>
        <w:spacing w:after="0" w:line="240" w:lineRule="auto"/>
        <w:ind w:left="0"/>
        <w:jc w:val="both"/>
        <w:rPr>
          <w:rFonts w:ascii="Times New Roman" w:hAnsi="Times New Roman" w:cs="Times New Roman"/>
          <w:sz w:val="24"/>
          <w:szCs w:val="24"/>
        </w:rPr>
      </w:pPr>
      <w:r w:rsidRPr="00EA543A">
        <w:rPr>
          <w:rFonts w:ascii="Times New Roman" w:hAnsi="Times New Roman" w:cs="Times New Roman"/>
          <w:sz w:val="24"/>
          <w:szCs w:val="24"/>
        </w:rPr>
        <w:t>Navrhovanou úpravou sa zvyšuje hranica pre povinnosť platenia preddavkov zo sumy 2 500 na sumu 5 000 eur.</w:t>
      </w:r>
    </w:p>
    <w:p w:rsidR="006459F1" w:rsidRPr="00EA543A" w:rsidRDefault="006459F1" w:rsidP="00BA62B0">
      <w:pPr>
        <w:pStyle w:val="Odsekzoznamu"/>
        <w:spacing w:after="0" w:line="240" w:lineRule="auto"/>
        <w:ind w:left="0"/>
        <w:jc w:val="both"/>
        <w:rPr>
          <w:rFonts w:ascii="Times New Roman" w:hAnsi="Times New Roman" w:cs="Times New Roman"/>
          <w:sz w:val="24"/>
          <w:szCs w:val="24"/>
        </w:rPr>
      </w:pPr>
      <w:r w:rsidRPr="00EA543A">
        <w:rPr>
          <w:rFonts w:ascii="Times New Roman" w:hAnsi="Times New Roman" w:cs="Times New Roman"/>
          <w:sz w:val="24"/>
          <w:szCs w:val="24"/>
        </w:rPr>
        <w:t>Zároveň sa výrazným spôsobom zjednodušuje výpočet poslednej známej daňovej povinnosti, od ktorej závisí povinnosť platenia preddavkov, pričom táto sa bude počítať výlučne zo základu dane (čiastkového základu dane) z príjmov z podnikania alebo z inej samostatne zárobkovej činnosti zníženej o daňovú stratu.</w:t>
      </w:r>
    </w:p>
    <w:p w:rsidR="006459F1" w:rsidRPr="00EA543A" w:rsidRDefault="006459F1" w:rsidP="00BA62B0">
      <w:pPr>
        <w:pStyle w:val="Odsekzoznamu"/>
        <w:spacing w:after="0" w:line="240" w:lineRule="auto"/>
        <w:ind w:left="0"/>
        <w:jc w:val="both"/>
        <w:rPr>
          <w:rFonts w:ascii="Times New Roman" w:hAnsi="Times New Roman" w:cs="Times New Roman"/>
          <w:sz w:val="24"/>
          <w:szCs w:val="24"/>
        </w:rPr>
      </w:pPr>
    </w:p>
    <w:p w:rsidR="00B96916" w:rsidRPr="00EA543A" w:rsidRDefault="00B96916" w:rsidP="00BA62B0">
      <w:pPr>
        <w:spacing w:after="0" w:line="240" w:lineRule="auto"/>
        <w:ind w:left="284" w:hanging="284"/>
        <w:jc w:val="both"/>
        <w:rPr>
          <w:rFonts w:ascii="Times New Roman" w:hAnsi="Times New Roman" w:cs="Times New Roman"/>
          <w:b/>
          <w:sz w:val="24"/>
          <w:szCs w:val="24"/>
        </w:rPr>
      </w:pPr>
      <w:r w:rsidRPr="00EA543A">
        <w:rPr>
          <w:rFonts w:ascii="Times New Roman" w:hAnsi="Times New Roman" w:cs="Times New Roman"/>
          <w:b/>
          <w:sz w:val="24"/>
          <w:szCs w:val="24"/>
        </w:rPr>
        <w:t xml:space="preserve">K bodu </w:t>
      </w:r>
      <w:r w:rsidR="00C95BCF" w:rsidRPr="00EA543A">
        <w:rPr>
          <w:rFonts w:ascii="Times New Roman" w:hAnsi="Times New Roman" w:cs="Times New Roman"/>
          <w:b/>
          <w:sz w:val="24"/>
          <w:szCs w:val="24"/>
        </w:rPr>
        <w:t>89</w:t>
      </w:r>
      <w:r w:rsidRPr="00EA543A">
        <w:rPr>
          <w:rFonts w:ascii="Times New Roman" w:hAnsi="Times New Roman" w:cs="Times New Roman"/>
          <w:b/>
          <w:sz w:val="24"/>
          <w:szCs w:val="24"/>
        </w:rPr>
        <w:t xml:space="preserve"> - § 35 ods. 6</w:t>
      </w:r>
    </w:p>
    <w:p w:rsidR="00B96916" w:rsidRPr="00EA543A" w:rsidRDefault="00B96916"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Z dôvodu právnej istoty sa navrhuje spresniť termín na odvod preddavkov na daň u daňovníka, ktorý je ekonomickým zamestnávateľom podľa § 5 ods. 4 zákona.</w:t>
      </w:r>
    </w:p>
    <w:p w:rsidR="00451E5B" w:rsidRPr="00EA543A" w:rsidRDefault="00451E5B" w:rsidP="00BA62B0">
      <w:pPr>
        <w:spacing w:after="0" w:line="240" w:lineRule="auto"/>
        <w:jc w:val="both"/>
        <w:rPr>
          <w:rFonts w:ascii="Times New Roman" w:hAnsi="Times New Roman" w:cs="Times New Roman"/>
          <w:b/>
          <w:sz w:val="24"/>
          <w:szCs w:val="24"/>
        </w:rPr>
      </w:pPr>
    </w:p>
    <w:p w:rsidR="00F45C2A" w:rsidRDefault="00F45C2A" w:rsidP="00BA62B0">
      <w:pPr>
        <w:spacing w:after="0" w:line="240" w:lineRule="auto"/>
        <w:ind w:left="284" w:hanging="284"/>
        <w:jc w:val="both"/>
        <w:rPr>
          <w:rFonts w:ascii="Times New Roman" w:hAnsi="Times New Roman" w:cs="Times New Roman"/>
          <w:b/>
          <w:sz w:val="24"/>
          <w:szCs w:val="24"/>
        </w:rPr>
      </w:pPr>
    </w:p>
    <w:p w:rsidR="00467CB4" w:rsidRPr="00EA543A" w:rsidRDefault="00467CB4" w:rsidP="00BA62B0">
      <w:pPr>
        <w:spacing w:after="0" w:line="240" w:lineRule="auto"/>
        <w:ind w:left="284" w:hanging="284"/>
        <w:jc w:val="both"/>
        <w:rPr>
          <w:rFonts w:ascii="Times New Roman" w:hAnsi="Times New Roman" w:cs="Times New Roman"/>
          <w:b/>
          <w:sz w:val="24"/>
          <w:szCs w:val="24"/>
        </w:rPr>
      </w:pPr>
      <w:r w:rsidRPr="00EA543A">
        <w:rPr>
          <w:rFonts w:ascii="Times New Roman" w:hAnsi="Times New Roman" w:cs="Times New Roman"/>
          <w:b/>
          <w:sz w:val="24"/>
          <w:szCs w:val="24"/>
        </w:rPr>
        <w:lastRenderedPageBreak/>
        <w:t xml:space="preserve">K bodu </w:t>
      </w:r>
      <w:r w:rsidR="00C95BCF" w:rsidRPr="00EA543A">
        <w:rPr>
          <w:rFonts w:ascii="Times New Roman" w:hAnsi="Times New Roman" w:cs="Times New Roman"/>
          <w:b/>
          <w:sz w:val="24"/>
          <w:szCs w:val="24"/>
        </w:rPr>
        <w:t>9</w:t>
      </w:r>
      <w:r w:rsidR="00DF4409" w:rsidRPr="00EA543A">
        <w:rPr>
          <w:rFonts w:ascii="Times New Roman" w:hAnsi="Times New Roman" w:cs="Times New Roman"/>
          <w:b/>
          <w:sz w:val="24"/>
          <w:szCs w:val="24"/>
        </w:rPr>
        <w:t>1</w:t>
      </w:r>
      <w:r w:rsidRPr="00EA543A">
        <w:rPr>
          <w:rFonts w:ascii="Times New Roman" w:hAnsi="Times New Roman" w:cs="Times New Roman"/>
          <w:b/>
          <w:sz w:val="24"/>
          <w:szCs w:val="24"/>
        </w:rPr>
        <w:t xml:space="preserve"> - § 35 ods. 8</w:t>
      </w:r>
    </w:p>
    <w:p w:rsidR="00451E5B" w:rsidRPr="00EA543A" w:rsidRDefault="00C137BA"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Ide o l</w:t>
      </w:r>
      <w:r w:rsidR="00451E5B" w:rsidRPr="00EA543A">
        <w:rPr>
          <w:rFonts w:ascii="Times New Roman" w:hAnsi="Times New Roman" w:cs="Times New Roman"/>
          <w:sz w:val="24"/>
          <w:szCs w:val="24"/>
        </w:rPr>
        <w:t>egislatívno-technick</w:t>
      </w:r>
      <w:r w:rsidRPr="00EA543A">
        <w:rPr>
          <w:rFonts w:ascii="Times New Roman" w:hAnsi="Times New Roman" w:cs="Times New Roman"/>
          <w:sz w:val="24"/>
          <w:szCs w:val="24"/>
        </w:rPr>
        <w:t>ú</w:t>
      </w:r>
      <w:r w:rsidR="00451E5B" w:rsidRPr="00EA543A">
        <w:rPr>
          <w:rFonts w:ascii="Times New Roman" w:hAnsi="Times New Roman" w:cs="Times New Roman"/>
          <w:sz w:val="24"/>
          <w:szCs w:val="24"/>
        </w:rPr>
        <w:t xml:space="preserve"> úprav</w:t>
      </w:r>
      <w:r w:rsidRPr="00EA543A">
        <w:rPr>
          <w:rFonts w:ascii="Times New Roman" w:hAnsi="Times New Roman" w:cs="Times New Roman"/>
          <w:sz w:val="24"/>
          <w:szCs w:val="24"/>
        </w:rPr>
        <w:t>u</w:t>
      </w:r>
      <w:r w:rsidR="00451E5B" w:rsidRPr="00EA543A">
        <w:rPr>
          <w:rFonts w:ascii="Times New Roman" w:hAnsi="Times New Roman" w:cs="Times New Roman"/>
          <w:sz w:val="24"/>
          <w:szCs w:val="24"/>
        </w:rPr>
        <w:t>.</w:t>
      </w:r>
    </w:p>
    <w:p w:rsidR="00451E5B" w:rsidRPr="00EA543A" w:rsidRDefault="00451E5B" w:rsidP="00BA62B0">
      <w:pPr>
        <w:spacing w:after="0" w:line="240" w:lineRule="auto"/>
        <w:jc w:val="both"/>
        <w:rPr>
          <w:rFonts w:ascii="Times New Roman" w:hAnsi="Times New Roman" w:cs="Times New Roman"/>
          <w:sz w:val="24"/>
          <w:szCs w:val="24"/>
        </w:rPr>
      </w:pPr>
    </w:p>
    <w:p w:rsidR="00451E5B" w:rsidRPr="00EA543A" w:rsidRDefault="00467CB4" w:rsidP="00BA62B0">
      <w:pPr>
        <w:spacing w:after="0" w:line="240" w:lineRule="auto"/>
        <w:jc w:val="both"/>
        <w:rPr>
          <w:rFonts w:ascii="Times New Roman" w:hAnsi="Times New Roman" w:cs="Times New Roman"/>
          <w:b/>
          <w:sz w:val="24"/>
          <w:szCs w:val="24"/>
        </w:rPr>
      </w:pPr>
      <w:r w:rsidRPr="00EA543A">
        <w:rPr>
          <w:rFonts w:ascii="Times New Roman" w:hAnsi="Times New Roman" w:cs="Times New Roman"/>
          <w:b/>
          <w:sz w:val="24"/>
          <w:szCs w:val="24"/>
        </w:rPr>
        <w:t xml:space="preserve">K bodu </w:t>
      </w:r>
      <w:r w:rsidR="00C95BCF" w:rsidRPr="00EA543A">
        <w:rPr>
          <w:rFonts w:ascii="Times New Roman" w:hAnsi="Times New Roman" w:cs="Times New Roman"/>
          <w:b/>
          <w:sz w:val="24"/>
          <w:szCs w:val="24"/>
        </w:rPr>
        <w:t>9</w:t>
      </w:r>
      <w:r w:rsidR="00DF4409" w:rsidRPr="00EA543A">
        <w:rPr>
          <w:rFonts w:ascii="Times New Roman" w:hAnsi="Times New Roman" w:cs="Times New Roman"/>
          <w:b/>
          <w:sz w:val="24"/>
          <w:szCs w:val="24"/>
        </w:rPr>
        <w:t>2</w:t>
      </w:r>
      <w:r w:rsidRPr="00EA543A">
        <w:rPr>
          <w:rFonts w:ascii="Times New Roman" w:hAnsi="Times New Roman" w:cs="Times New Roman"/>
          <w:b/>
          <w:sz w:val="24"/>
          <w:szCs w:val="24"/>
        </w:rPr>
        <w:t xml:space="preserve"> - § 35 ods. 10 a</w:t>
      </w:r>
      <w:r w:rsidR="00B96916" w:rsidRPr="00EA543A">
        <w:rPr>
          <w:rFonts w:ascii="Times New Roman" w:hAnsi="Times New Roman" w:cs="Times New Roman"/>
          <w:b/>
          <w:sz w:val="24"/>
          <w:szCs w:val="24"/>
        </w:rPr>
        <w:t>ž</w:t>
      </w:r>
      <w:r w:rsidRPr="00EA543A">
        <w:rPr>
          <w:rFonts w:ascii="Times New Roman" w:hAnsi="Times New Roman" w:cs="Times New Roman"/>
          <w:b/>
          <w:sz w:val="24"/>
          <w:szCs w:val="24"/>
        </w:rPr>
        <w:t xml:space="preserve"> 1</w:t>
      </w:r>
      <w:r w:rsidR="00B96916" w:rsidRPr="00EA543A">
        <w:rPr>
          <w:rFonts w:ascii="Times New Roman" w:hAnsi="Times New Roman" w:cs="Times New Roman"/>
          <w:b/>
          <w:sz w:val="24"/>
          <w:szCs w:val="24"/>
        </w:rPr>
        <w:t>2</w:t>
      </w:r>
    </w:p>
    <w:p w:rsidR="00B96916" w:rsidRPr="00EA543A" w:rsidRDefault="00C137BA"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Ide o legislatívno-technickú úpravu.</w:t>
      </w:r>
      <w:r w:rsidR="00B96916" w:rsidRPr="00EA543A">
        <w:rPr>
          <w:rFonts w:ascii="Times New Roman" w:hAnsi="Times New Roman" w:cs="Times New Roman"/>
          <w:sz w:val="24"/>
          <w:szCs w:val="24"/>
        </w:rPr>
        <w:t xml:space="preserve"> Z dôvodu právnej istoty sa zavádza pre daňovníka možnosť požiadať správcu dane o určenie platenia preddavkov na daň podľa odsekov 10 a 11 inak.  </w:t>
      </w:r>
    </w:p>
    <w:p w:rsidR="00451E5B" w:rsidRPr="00EA543A" w:rsidRDefault="00451E5B" w:rsidP="00BA62B0">
      <w:pPr>
        <w:spacing w:after="0" w:line="240" w:lineRule="auto"/>
        <w:jc w:val="both"/>
        <w:rPr>
          <w:rFonts w:ascii="Times New Roman" w:hAnsi="Times New Roman" w:cs="Times New Roman"/>
          <w:b/>
          <w:sz w:val="24"/>
          <w:szCs w:val="24"/>
        </w:rPr>
      </w:pPr>
    </w:p>
    <w:p w:rsidR="00467CB4" w:rsidRPr="00EA543A" w:rsidRDefault="00467CB4" w:rsidP="00BA62B0">
      <w:pPr>
        <w:spacing w:after="0" w:line="240" w:lineRule="auto"/>
        <w:jc w:val="both"/>
        <w:rPr>
          <w:rFonts w:ascii="Times New Roman" w:hAnsi="Times New Roman" w:cs="Times New Roman"/>
          <w:b/>
          <w:sz w:val="24"/>
          <w:szCs w:val="24"/>
        </w:rPr>
      </w:pPr>
      <w:r w:rsidRPr="00EA543A">
        <w:rPr>
          <w:rFonts w:ascii="Times New Roman" w:hAnsi="Times New Roman" w:cs="Times New Roman"/>
          <w:b/>
          <w:sz w:val="24"/>
          <w:szCs w:val="24"/>
        </w:rPr>
        <w:t>K bod</w:t>
      </w:r>
      <w:r w:rsidR="00C95BCF" w:rsidRPr="00EA543A">
        <w:rPr>
          <w:rFonts w:ascii="Times New Roman" w:hAnsi="Times New Roman" w:cs="Times New Roman"/>
          <w:b/>
          <w:sz w:val="24"/>
          <w:szCs w:val="24"/>
        </w:rPr>
        <w:t>om</w:t>
      </w:r>
      <w:r w:rsidRPr="00EA543A">
        <w:rPr>
          <w:rFonts w:ascii="Times New Roman" w:hAnsi="Times New Roman" w:cs="Times New Roman"/>
          <w:b/>
          <w:sz w:val="24"/>
          <w:szCs w:val="24"/>
        </w:rPr>
        <w:t xml:space="preserve"> </w:t>
      </w:r>
      <w:r w:rsidR="00C95BCF" w:rsidRPr="00EA543A">
        <w:rPr>
          <w:rFonts w:ascii="Times New Roman" w:hAnsi="Times New Roman" w:cs="Times New Roman"/>
          <w:b/>
          <w:sz w:val="24"/>
          <w:szCs w:val="24"/>
        </w:rPr>
        <w:t>9</w:t>
      </w:r>
      <w:r w:rsidR="00DF4409" w:rsidRPr="00EA543A">
        <w:rPr>
          <w:rFonts w:ascii="Times New Roman" w:hAnsi="Times New Roman" w:cs="Times New Roman"/>
          <w:b/>
          <w:sz w:val="24"/>
          <w:szCs w:val="24"/>
        </w:rPr>
        <w:t>3</w:t>
      </w:r>
      <w:r w:rsidR="00C95BCF" w:rsidRPr="00EA543A">
        <w:rPr>
          <w:rFonts w:ascii="Times New Roman" w:hAnsi="Times New Roman" w:cs="Times New Roman"/>
          <w:b/>
          <w:sz w:val="24"/>
          <w:szCs w:val="24"/>
        </w:rPr>
        <w:t xml:space="preserve"> a 9</w:t>
      </w:r>
      <w:r w:rsidR="00DF4409" w:rsidRPr="00EA543A">
        <w:rPr>
          <w:rFonts w:ascii="Times New Roman" w:hAnsi="Times New Roman" w:cs="Times New Roman"/>
          <w:b/>
          <w:sz w:val="24"/>
          <w:szCs w:val="24"/>
        </w:rPr>
        <w:t>7</w:t>
      </w:r>
      <w:r w:rsidRPr="00EA543A">
        <w:rPr>
          <w:rFonts w:ascii="Times New Roman" w:hAnsi="Times New Roman" w:cs="Times New Roman"/>
          <w:b/>
          <w:sz w:val="24"/>
          <w:szCs w:val="24"/>
        </w:rPr>
        <w:t xml:space="preserve"> - § 36 ods. 6</w:t>
      </w:r>
      <w:r w:rsidR="00425761" w:rsidRPr="00EA543A">
        <w:rPr>
          <w:rFonts w:ascii="Times New Roman" w:hAnsi="Times New Roman" w:cs="Times New Roman"/>
          <w:b/>
          <w:sz w:val="24"/>
          <w:szCs w:val="24"/>
        </w:rPr>
        <w:t xml:space="preserve"> a § 37 ods. 3</w:t>
      </w:r>
    </w:p>
    <w:p w:rsidR="00B96916" w:rsidRPr="00EA543A" w:rsidRDefault="00B96916"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Za účelom znižovania administratívnej náročnosti a z dôvodu nadbytočnosti sa vypúšťa povinnosť zamestnanca podpisovať vyhlásenie na uplatňovanie nezdaniteľnej časti základ dane na daňovníka a daňový bonus každoročne do konca januára. Z aplikačnej praxe je zrejmé, že v prípade, ak na strane zamestnanca počas roka nedochádza k zmene podmienok na uplatňovanie daňového bonusu, alebo ide o daňovníka, ktorý je poberateľom dôchodku a táto skutočnosť je zamestnávateľovi už známa, je pre zamestnanca aj zamestnávateľa zaťažujúce každoročne k 31.1. vyhlasovať tie isté skutočnosti. V prípadoch, ak má zamestnávateľ u zamestnanca prihliadnuť na nezdaniteľnú časť základu dane a daňový bonus v priebehu zdaňovacieho obdobia, zamestnanec podáva toto vyhlásenie pri nástupe do zamestnania a vždy vtedy, ak sa u neho zmenia podmienky na ich uplatňovanie. Povinnosť zamestnanca preukazovať zamestnávateľovi splnenie podmienok na priznanie daňového bonusu sa navrhovanou úpravou nevylučuje. Vyhlásenie podá zamestnanec v listinnej forme, ak sa so zamestnávateľom nedohodnú na elektronickej komunikácii.</w:t>
      </w:r>
    </w:p>
    <w:p w:rsidR="00451E5B" w:rsidRPr="00EA543A" w:rsidRDefault="00451E5B" w:rsidP="00BA62B0">
      <w:pPr>
        <w:spacing w:after="0" w:line="240" w:lineRule="auto"/>
        <w:jc w:val="both"/>
        <w:rPr>
          <w:rFonts w:ascii="Times New Roman" w:hAnsi="Times New Roman" w:cs="Times New Roman"/>
          <w:sz w:val="24"/>
          <w:szCs w:val="24"/>
        </w:rPr>
      </w:pPr>
    </w:p>
    <w:p w:rsidR="00467CB4" w:rsidRPr="00EA543A" w:rsidRDefault="00467CB4" w:rsidP="00BA62B0">
      <w:pPr>
        <w:spacing w:after="0" w:line="240" w:lineRule="auto"/>
        <w:jc w:val="both"/>
        <w:rPr>
          <w:rFonts w:ascii="Times New Roman" w:hAnsi="Times New Roman" w:cs="Times New Roman"/>
          <w:b/>
          <w:sz w:val="24"/>
          <w:szCs w:val="24"/>
        </w:rPr>
      </w:pPr>
      <w:r w:rsidRPr="00EA543A">
        <w:rPr>
          <w:rFonts w:ascii="Times New Roman" w:hAnsi="Times New Roman" w:cs="Times New Roman"/>
          <w:b/>
          <w:sz w:val="24"/>
          <w:szCs w:val="24"/>
        </w:rPr>
        <w:t xml:space="preserve">K bodu </w:t>
      </w:r>
      <w:r w:rsidR="00DF4409" w:rsidRPr="00EA543A">
        <w:rPr>
          <w:rFonts w:ascii="Times New Roman" w:hAnsi="Times New Roman" w:cs="Times New Roman"/>
          <w:b/>
          <w:sz w:val="24"/>
          <w:szCs w:val="24"/>
        </w:rPr>
        <w:t>94</w:t>
      </w:r>
      <w:r w:rsidRPr="00EA543A">
        <w:rPr>
          <w:rFonts w:ascii="Times New Roman" w:hAnsi="Times New Roman" w:cs="Times New Roman"/>
          <w:b/>
          <w:sz w:val="24"/>
          <w:szCs w:val="24"/>
        </w:rPr>
        <w:t xml:space="preserve"> - § 36 ods. 7</w:t>
      </w:r>
    </w:p>
    <w:p w:rsidR="00B96916" w:rsidRPr="00EA543A" w:rsidRDefault="00B96916"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Navrhuje sa umožniť zamestnancovi nahlasovať zmenu podmienok, ktoré majú vplyv na uplatňovanie nároku na daňový bonus a nezdaniteľnú časť základu dane na daňovníka okrem listinnej aj elektronickou formou a to po vzájomnej dohode so zamestnávateľom. Zamestnávateľ môže prijať interné opatrenia, že pri výplate bude zamestnanca na to nejakým spôsobom upozorňovať (napr. uvedie text vo výplatnej páske, pri elektronickom doručení e-mailom, pri osobnom preberaní pásky).</w:t>
      </w:r>
    </w:p>
    <w:p w:rsidR="00B96916" w:rsidRPr="00EA543A" w:rsidRDefault="00B96916"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 xml:space="preserve">  </w:t>
      </w:r>
    </w:p>
    <w:p w:rsidR="00994E9C" w:rsidRPr="00EA543A" w:rsidRDefault="00994E9C"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b/>
          <w:sz w:val="24"/>
          <w:szCs w:val="24"/>
        </w:rPr>
        <w:t xml:space="preserve">K bodom </w:t>
      </w:r>
      <w:r w:rsidR="00C95BCF" w:rsidRPr="00EA543A">
        <w:rPr>
          <w:rFonts w:ascii="Times New Roman" w:hAnsi="Times New Roman" w:cs="Times New Roman"/>
          <w:b/>
          <w:sz w:val="24"/>
          <w:szCs w:val="24"/>
        </w:rPr>
        <w:t>9</w:t>
      </w:r>
      <w:r w:rsidR="00DF4409" w:rsidRPr="00EA543A">
        <w:rPr>
          <w:rFonts w:ascii="Times New Roman" w:hAnsi="Times New Roman" w:cs="Times New Roman"/>
          <w:b/>
          <w:sz w:val="24"/>
          <w:szCs w:val="24"/>
        </w:rPr>
        <w:t>8</w:t>
      </w:r>
      <w:r w:rsidR="00C95BCF" w:rsidRPr="00EA543A">
        <w:rPr>
          <w:rFonts w:ascii="Times New Roman" w:hAnsi="Times New Roman" w:cs="Times New Roman"/>
          <w:b/>
          <w:sz w:val="24"/>
          <w:szCs w:val="24"/>
        </w:rPr>
        <w:t xml:space="preserve"> </w:t>
      </w:r>
      <w:r w:rsidRPr="00EA543A">
        <w:rPr>
          <w:rFonts w:ascii="Times New Roman" w:hAnsi="Times New Roman" w:cs="Times New Roman"/>
          <w:b/>
          <w:sz w:val="24"/>
          <w:szCs w:val="24"/>
        </w:rPr>
        <w:t>- § 38 ods. 1</w:t>
      </w:r>
    </w:p>
    <w:p w:rsidR="00451E5B" w:rsidRPr="00EA543A" w:rsidRDefault="00451E5B"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Z dôvodu zníženia administratívnej záťaže sa navrhuje umožniť zamestnancovi podať žiadosť o vykonanie ročného zúčtovania preddavkov na daň elektronickou formou a to po vzájomnej dohode so zamestnávateľom.</w:t>
      </w:r>
    </w:p>
    <w:p w:rsidR="00451E5B" w:rsidRPr="00EA543A" w:rsidRDefault="00451E5B" w:rsidP="00BA62B0">
      <w:pPr>
        <w:spacing w:after="0" w:line="240" w:lineRule="auto"/>
        <w:jc w:val="both"/>
        <w:rPr>
          <w:rFonts w:ascii="Times New Roman" w:hAnsi="Times New Roman" w:cs="Times New Roman"/>
          <w:sz w:val="24"/>
          <w:szCs w:val="24"/>
        </w:rPr>
      </w:pPr>
    </w:p>
    <w:p w:rsidR="00AC078B" w:rsidRPr="00EA543A" w:rsidRDefault="00AC078B" w:rsidP="00BA62B0">
      <w:pPr>
        <w:spacing w:after="0" w:line="240" w:lineRule="auto"/>
        <w:jc w:val="both"/>
        <w:rPr>
          <w:rFonts w:ascii="Times New Roman" w:hAnsi="Times New Roman" w:cs="Times New Roman"/>
          <w:b/>
          <w:sz w:val="24"/>
          <w:szCs w:val="24"/>
        </w:rPr>
      </w:pPr>
      <w:r w:rsidRPr="00EA543A">
        <w:rPr>
          <w:rFonts w:ascii="Times New Roman" w:hAnsi="Times New Roman" w:cs="Times New Roman"/>
          <w:b/>
          <w:sz w:val="24"/>
          <w:szCs w:val="24"/>
        </w:rPr>
        <w:t xml:space="preserve">K bodu </w:t>
      </w:r>
      <w:r w:rsidR="005F55C3" w:rsidRPr="00EA543A">
        <w:rPr>
          <w:rFonts w:ascii="Times New Roman" w:hAnsi="Times New Roman" w:cs="Times New Roman"/>
          <w:b/>
          <w:sz w:val="24"/>
          <w:szCs w:val="24"/>
        </w:rPr>
        <w:t>99</w:t>
      </w:r>
      <w:r w:rsidRPr="00EA543A">
        <w:rPr>
          <w:rFonts w:ascii="Times New Roman" w:hAnsi="Times New Roman" w:cs="Times New Roman"/>
          <w:b/>
          <w:sz w:val="24"/>
          <w:szCs w:val="24"/>
        </w:rPr>
        <w:t xml:space="preserve"> - § 39 ods. 14</w:t>
      </w:r>
    </w:p>
    <w:p w:rsidR="00AC078B" w:rsidRPr="00EA543A" w:rsidRDefault="00AC078B"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 xml:space="preserve">Vzhľadom na rovnosť lehoty v prípade zasielania výzvy na odstránenie nedostatkov v podanom prehľade a lehoty na vrátenie vzniknutého daňového preplatku sa navrhuje, aby lehota na vrátenie rozdielu neplynula  odo dňa doručenia výzvy na odstránenie nedostatkov, ale už odo dňa odovzdania výzvy na poštovú prepravu prostredníctvom pošty alebo poskytovateľa poštových služieb, alebo odo dňa odoslania výzvy elektronickými prostriedkami. </w:t>
      </w:r>
    </w:p>
    <w:p w:rsidR="00AC078B" w:rsidRPr="00EA543A" w:rsidRDefault="00AC078B" w:rsidP="00BA62B0">
      <w:pPr>
        <w:spacing w:after="0" w:line="240" w:lineRule="auto"/>
        <w:jc w:val="both"/>
        <w:rPr>
          <w:rFonts w:ascii="Times New Roman" w:hAnsi="Times New Roman" w:cs="Times New Roman"/>
          <w:sz w:val="24"/>
          <w:szCs w:val="24"/>
        </w:rPr>
      </w:pPr>
    </w:p>
    <w:p w:rsidR="00994E9C" w:rsidRPr="00EA543A" w:rsidRDefault="00994E9C" w:rsidP="00BA62B0">
      <w:pPr>
        <w:spacing w:after="0" w:line="240" w:lineRule="auto"/>
        <w:jc w:val="both"/>
        <w:rPr>
          <w:rFonts w:ascii="Times New Roman" w:hAnsi="Times New Roman" w:cs="Times New Roman"/>
          <w:b/>
          <w:sz w:val="24"/>
          <w:szCs w:val="24"/>
        </w:rPr>
      </w:pPr>
      <w:r w:rsidRPr="00EA543A">
        <w:rPr>
          <w:rFonts w:ascii="Times New Roman" w:hAnsi="Times New Roman" w:cs="Times New Roman"/>
          <w:b/>
          <w:sz w:val="24"/>
          <w:szCs w:val="24"/>
        </w:rPr>
        <w:t xml:space="preserve">K bodu </w:t>
      </w:r>
      <w:r w:rsidR="00C95BCF" w:rsidRPr="00EA543A">
        <w:rPr>
          <w:rFonts w:ascii="Times New Roman" w:hAnsi="Times New Roman" w:cs="Times New Roman"/>
          <w:b/>
          <w:sz w:val="24"/>
          <w:szCs w:val="24"/>
        </w:rPr>
        <w:t>10</w:t>
      </w:r>
      <w:r w:rsidR="005F55C3" w:rsidRPr="00EA543A">
        <w:rPr>
          <w:rFonts w:ascii="Times New Roman" w:hAnsi="Times New Roman" w:cs="Times New Roman"/>
          <w:b/>
          <w:sz w:val="24"/>
          <w:szCs w:val="24"/>
        </w:rPr>
        <w:t>0</w:t>
      </w:r>
      <w:r w:rsidRPr="00EA543A">
        <w:rPr>
          <w:rFonts w:ascii="Times New Roman" w:hAnsi="Times New Roman" w:cs="Times New Roman"/>
          <w:b/>
          <w:sz w:val="24"/>
          <w:szCs w:val="24"/>
        </w:rPr>
        <w:t xml:space="preserve"> - § 39 ods. 16</w:t>
      </w:r>
    </w:p>
    <w:p w:rsidR="00451E5B" w:rsidRPr="00EA543A" w:rsidRDefault="00451E5B"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 xml:space="preserve">V súlade s návrhom opatrení na zlepšenie podnikateľského prostredia III. sa navrhuje umožniť zamestnávateľom vystaviť a doručiť doklady, ktorými sú potvrdenie o zdaniteľných príjmoch, ročné zúčtovanie preddavkov na daň a potvrdenie o zaplatení dane elektronickou formou po vzájomnej dohode so zamestnancom. Zamestnávateľ môže doklady uvedené v odsekoch 5 až 7 doručiť zamestnancovi elektronickou formou pri zabezpečení ochrany osobných údajov (napr. šifrovaním), pokiaľ s tým zamestnanec súhlasí. Zavedením možnosti vystaviť daňové doklady </w:t>
      </w:r>
      <w:r w:rsidRPr="00EA543A">
        <w:rPr>
          <w:rFonts w:ascii="Times New Roman" w:hAnsi="Times New Roman" w:cs="Times New Roman"/>
          <w:sz w:val="24"/>
          <w:szCs w:val="24"/>
        </w:rPr>
        <w:lastRenderedPageBreak/>
        <w:t xml:space="preserve">elektronicky, vrátane predtlačeného odtlačku pečiatky a faksimile podpisu oprávnenej osoby zamestnávateľa a možnosti doručiť doklady zamestnancom elektronicky do e-mailovej schránky, by sa ušetril čas mzdových účtovníčok (tlač, podpisovanie, pečiatkovanie, odovzdanie dokladu zamestnancovi oproti podpisu v daňovom vyhlásení), čas ostatných zamestnancov (preberanie dokladov) a zároveň by sa znížili režijné náklady (papier, toner, pero, pečiatka, poštovné, atď.) zamestnávateľa. </w:t>
      </w:r>
    </w:p>
    <w:p w:rsidR="00451E5B" w:rsidRPr="00EA543A" w:rsidRDefault="00451E5B" w:rsidP="00BA62B0">
      <w:pPr>
        <w:spacing w:after="0" w:line="240" w:lineRule="auto"/>
        <w:jc w:val="both"/>
        <w:rPr>
          <w:rFonts w:ascii="Times New Roman" w:hAnsi="Times New Roman" w:cs="Times New Roman"/>
          <w:sz w:val="24"/>
          <w:szCs w:val="24"/>
        </w:rPr>
      </w:pPr>
    </w:p>
    <w:p w:rsidR="00AC078B" w:rsidRPr="00EA543A" w:rsidRDefault="00AC078B" w:rsidP="00BA62B0">
      <w:pPr>
        <w:spacing w:after="0" w:line="240" w:lineRule="auto"/>
        <w:jc w:val="both"/>
        <w:rPr>
          <w:rFonts w:ascii="Times New Roman" w:hAnsi="Times New Roman" w:cs="Times New Roman"/>
          <w:b/>
          <w:sz w:val="24"/>
          <w:szCs w:val="24"/>
        </w:rPr>
      </w:pPr>
      <w:r w:rsidRPr="00EA543A">
        <w:rPr>
          <w:rFonts w:ascii="Times New Roman" w:hAnsi="Times New Roman" w:cs="Times New Roman"/>
          <w:b/>
          <w:sz w:val="24"/>
          <w:szCs w:val="24"/>
        </w:rPr>
        <w:t xml:space="preserve">K bodom </w:t>
      </w:r>
      <w:r w:rsidR="00C95BCF" w:rsidRPr="00EA543A">
        <w:rPr>
          <w:rFonts w:ascii="Times New Roman" w:hAnsi="Times New Roman" w:cs="Times New Roman"/>
          <w:b/>
          <w:sz w:val="24"/>
          <w:szCs w:val="24"/>
        </w:rPr>
        <w:t>10</w:t>
      </w:r>
      <w:r w:rsidR="005F55C3" w:rsidRPr="00EA543A">
        <w:rPr>
          <w:rFonts w:ascii="Times New Roman" w:hAnsi="Times New Roman" w:cs="Times New Roman"/>
          <w:b/>
          <w:sz w:val="24"/>
          <w:szCs w:val="24"/>
        </w:rPr>
        <w:t>1</w:t>
      </w:r>
      <w:r w:rsidR="00C95BCF" w:rsidRPr="00EA543A">
        <w:rPr>
          <w:rFonts w:ascii="Times New Roman" w:hAnsi="Times New Roman" w:cs="Times New Roman"/>
          <w:b/>
          <w:sz w:val="24"/>
          <w:szCs w:val="24"/>
        </w:rPr>
        <w:t xml:space="preserve"> až 10</w:t>
      </w:r>
      <w:r w:rsidR="005F55C3" w:rsidRPr="00EA543A">
        <w:rPr>
          <w:rFonts w:ascii="Times New Roman" w:hAnsi="Times New Roman" w:cs="Times New Roman"/>
          <w:b/>
          <w:sz w:val="24"/>
          <w:szCs w:val="24"/>
        </w:rPr>
        <w:t>6</w:t>
      </w:r>
      <w:r w:rsidRPr="00EA543A">
        <w:rPr>
          <w:rFonts w:ascii="Times New Roman" w:hAnsi="Times New Roman" w:cs="Times New Roman"/>
          <w:b/>
          <w:sz w:val="24"/>
          <w:szCs w:val="24"/>
        </w:rPr>
        <w:t xml:space="preserve"> - § 40 ods. 1, 2, 3 a 4</w:t>
      </w:r>
    </w:p>
    <w:p w:rsidR="00AC078B" w:rsidRPr="00EA543A" w:rsidRDefault="00AC078B"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Z dôvodu zjednodušenia sa navrhuje zjednotiť lehotu na vykonanie možnej opravy výpočtu dane, alebo daňového bonusu na vyživované dieťa, daňového bonusu na zaplatené úroky alebo zamestnaneckú prémiu do piatich rokov v súlade s daňovým poriadkom, ak zamestnávateľ, ktorý je platiteľom dane, zrazil alebo vyplatil zamestnancovi daň, daňový bonus na vyživované dieťa, daňový bonus na zaplatené úroky alebo zamestnaneckú prémiu vo vyššej sume alebo v nižšej sume ako bol povinný podľa tohto zákona a to aj vtedy, ak tak urobil zavinením zamestnanca. Lehota na vrátenie alebo dodatočné zrazenie nezrazeného alebo nesprávne zrazeného preddavku na daň najneskôr do 31. marca nasledujúceho roka sa nemení.</w:t>
      </w:r>
    </w:p>
    <w:p w:rsidR="00451E5B" w:rsidRPr="00EA543A" w:rsidRDefault="00451E5B" w:rsidP="00BA62B0">
      <w:pPr>
        <w:spacing w:after="0" w:line="240" w:lineRule="auto"/>
        <w:jc w:val="both"/>
        <w:rPr>
          <w:rFonts w:ascii="Times New Roman" w:hAnsi="Times New Roman" w:cs="Times New Roman"/>
          <w:sz w:val="24"/>
          <w:szCs w:val="24"/>
        </w:rPr>
      </w:pPr>
    </w:p>
    <w:p w:rsidR="00AC078B" w:rsidRPr="00EA543A" w:rsidRDefault="00AC078B" w:rsidP="00BA62B0">
      <w:pPr>
        <w:spacing w:after="0" w:line="240" w:lineRule="auto"/>
        <w:jc w:val="both"/>
        <w:rPr>
          <w:rFonts w:ascii="Times New Roman" w:hAnsi="Times New Roman" w:cs="Times New Roman"/>
          <w:b/>
          <w:sz w:val="24"/>
          <w:szCs w:val="24"/>
        </w:rPr>
      </w:pPr>
      <w:r w:rsidRPr="00EA543A">
        <w:rPr>
          <w:rFonts w:ascii="Times New Roman" w:hAnsi="Times New Roman" w:cs="Times New Roman"/>
          <w:b/>
          <w:sz w:val="24"/>
          <w:szCs w:val="24"/>
        </w:rPr>
        <w:t>K</w:t>
      </w:r>
      <w:r w:rsidR="00151F8C" w:rsidRPr="00EA543A">
        <w:rPr>
          <w:rFonts w:ascii="Times New Roman" w:hAnsi="Times New Roman" w:cs="Times New Roman"/>
          <w:b/>
          <w:sz w:val="24"/>
          <w:szCs w:val="24"/>
        </w:rPr>
        <w:t> </w:t>
      </w:r>
      <w:r w:rsidRPr="00EA543A">
        <w:rPr>
          <w:rFonts w:ascii="Times New Roman" w:hAnsi="Times New Roman" w:cs="Times New Roman"/>
          <w:b/>
          <w:sz w:val="24"/>
          <w:szCs w:val="24"/>
        </w:rPr>
        <w:t>bod</w:t>
      </w:r>
      <w:r w:rsidR="00C95BCF" w:rsidRPr="00EA543A">
        <w:rPr>
          <w:rFonts w:ascii="Times New Roman" w:hAnsi="Times New Roman" w:cs="Times New Roman"/>
          <w:b/>
          <w:sz w:val="24"/>
          <w:szCs w:val="24"/>
        </w:rPr>
        <w:t>u</w:t>
      </w:r>
      <w:r w:rsidR="00151F8C" w:rsidRPr="00EA543A">
        <w:rPr>
          <w:rFonts w:ascii="Times New Roman" w:hAnsi="Times New Roman" w:cs="Times New Roman"/>
          <w:b/>
          <w:sz w:val="24"/>
          <w:szCs w:val="24"/>
        </w:rPr>
        <w:t xml:space="preserve"> </w:t>
      </w:r>
      <w:r w:rsidR="00C95BCF" w:rsidRPr="00EA543A">
        <w:rPr>
          <w:rFonts w:ascii="Times New Roman" w:hAnsi="Times New Roman" w:cs="Times New Roman"/>
          <w:b/>
          <w:sz w:val="24"/>
          <w:szCs w:val="24"/>
        </w:rPr>
        <w:t>10</w:t>
      </w:r>
      <w:r w:rsidR="005F55C3" w:rsidRPr="00EA543A">
        <w:rPr>
          <w:rFonts w:ascii="Times New Roman" w:hAnsi="Times New Roman" w:cs="Times New Roman"/>
          <w:b/>
          <w:sz w:val="24"/>
          <w:szCs w:val="24"/>
        </w:rPr>
        <w:t>7</w:t>
      </w:r>
      <w:r w:rsidRPr="00EA543A">
        <w:rPr>
          <w:rFonts w:ascii="Times New Roman" w:hAnsi="Times New Roman" w:cs="Times New Roman"/>
          <w:b/>
          <w:sz w:val="24"/>
          <w:szCs w:val="24"/>
        </w:rPr>
        <w:t xml:space="preserve"> - § 40 ods. 8</w:t>
      </w:r>
    </w:p>
    <w:p w:rsidR="00AC078B" w:rsidRPr="00EA543A" w:rsidRDefault="00AC078B"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Návrh upravuje tie prípady, ak zamestnávateľ žiada o vrátenie preplatku na dani, ktorý mu vznikol odvedením preddavkov na daň vo vyššej sume, než bol povinný odviesť. Upravuje sa lehota, dokedy môže zamestnávateľ žiadať správcu dane o vrátenie naviac zaplatenej sumy preddavkov na daň. Po jej uplynutí už správca dane nemôže vyrubiť daň alebo rozdiel dane. Podľa navrhovanej úpravy vráti správca dane naviac zaplatené preddavky na daň, len ak nemožno o túto sumu znížiť odvod preddavkov na daň a zamestnávateľ má všetky preddavky na daň uhradené v správnej sume. To znamená, že správca dane nevráti preplatok na preddavku na daň vtedy, ak zamestnávateľ uhradil preddavok na daň v jednom mesiaci vyššou sumou, než je predpis, pričom nemá uhradené preddavky v iných mesiacoch.</w:t>
      </w:r>
    </w:p>
    <w:p w:rsidR="00994E9C" w:rsidRPr="00EA543A" w:rsidRDefault="00994E9C" w:rsidP="00BA62B0">
      <w:pPr>
        <w:spacing w:after="0" w:line="240" w:lineRule="auto"/>
        <w:jc w:val="both"/>
        <w:rPr>
          <w:rFonts w:ascii="Times New Roman" w:hAnsi="Times New Roman" w:cs="Times New Roman"/>
          <w:b/>
          <w:sz w:val="24"/>
          <w:szCs w:val="24"/>
        </w:rPr>
      </w:pPr>
    </w:p>
    <w:p w:rsidR="00A40A6A" w:rsidRPr="00EA543A" w:rsidRDefault="00A40A6A" w:rsidP="00BA62B0">
      <w:pPr>
        <w:pStyle w:val="Odsekzoznamu"/>
        <w:spacing w:after="0" w:line="240" w:lineRule="auto"/>
        <w:ind w:left="0"/>
        <w:jc w:val="both"/>
        <w:rPr>
          <w:rFonts w:ascii="Times New Roman" w:hAnsi="Times New Roman" w:cs="Times New Roman"/>
          <w:b/>
          <w:sz w:val="24"/>
          <w:szCs w:val="24"/>
        </w:rPr>
      </w:pPr>
      <w:r w:rsidRPr="00EA543A">
        <w:rPr>
          <w:rFonts w:ascii="Times New Roman" w:hAnsi="Times New Roman" w:cs="Times New Roman"/>
          <w:b/>
          <w:sz w:val="24"/>
          <w:szCs w:val="24"/>
        </w:rPr>
        <w:t>K</w:t>
      </w:r>
      <w:r w:rsidR="00217140" w:rsidRPr="00EA543A">
        <w:rPr>
          <w:rFonts w:ascii="Times New Roman" w:hAnsi="Times New Roman" w:cs="Times New Roman"/>
          <w:b/>
          <w:sz w:val="24"/>
          <w:szCs w:val="24"/>
        </w:rPr>
        <w:t> </w:t>
      </w:r>
      <w:r w:rsidRPr="00EA543A">
        <w:rPr>
          <w:rFonts w:ascii="Times New Roman" w:hAnsi="Times New Roman" w:cs="Times New Roman"/>
          <w:b/>
          <w:sz w:val="24"/>
          <w:szCs w:val="24"/>
        </w:rPr>
        <w:t>bod</w:t>
      </w:r>
      <w:r w:rsidR="00217140" w:rsidRPr="00EA543A">
        <w:rPr>
          <w:rFonts w:ascii="Times New Roman" w:hAnsi="Times New Roman" w:cs="Times New Roman"/>
          <w:b/>
          <w:sz w:val="24"/>
          <w:szCs w:val="24"/>
        </w:rPr>
        <w:t xml:space="preserve">om </w:t>
      </w:r>
      <w:r w:rsidR="00C95BCF" w:rsidRPr="00EA543A">
        <w:rPr>
          <w:rFonts w:ascii="Times New Roman" w:hAnsi="Times New Roman" w:cs="Times New Roman"/>
          <w:b/>
          <w:sz w:val="24"/>
          <w:szCs w:val="24"/>
        </w:rPr>
        <w:t>1</w:t>
      </w:r>
      <w:r w:rsidR="005F55C3" w:rsidRPr="00EA543A">
        <w:rPr>
          <w:rFonts w:ascii="Times New Roman" w:hAnsi="Times New Roman" w:cs="Times New Roman"/>
          <w:b/>
          <w:sz w:val="24"/>
          <w:szCs w:val="24"/>
        </w:rPr>
        <w:t>08</w:t>
      </w:r>
      <w:r w:rsidR="00C95BCF" w:rsidRPr="00EA543A">
        <w:rPr>
          <w:rFonts w:ascii="Times New Roman" w:hAnsi="Times New Roman" w:cs="Times New Roman"/>
          <w:b/>
          <w:sz w:val="24"/>
          <w:szCs w:val="24"/>
        </w:rPr>
        <w:t xml:space="preserve"> a 1</w:t>
      </w:r>
      <w:r w:rsidR="005F55C3" w:rsidRPr="00EA543A">
        <w:rPr>
          <w:rFonts w:ascii="Times New Roman" w:hAnsi="Times New Roman" w:cs="Times New Roman"/>
          <w:b/>
          <w:sz w:val="24"/>
          <w:szCs w:val="24"/>
        </w:rPr>
        <w:t>09</w:t>
      </w:r>
      <w:r w:rsidRPr="00EA543A">
        <w:rPr>
          <w:rFonts w:ascii="Times New Roman" w:hAnsi="Times New Roman" w:cs="Times New Roman"/>
          <w:b/>
          <w:sz w:val="24"/>
          <w:szCs w:val="24"/>
        </w:rPr>
        <w:t xml:space="preserve"> - § 42 ods. 2, ods. 3 a ods. 6</w:t>
      </w:r>
    </w:p>
    <w:p w:rsidR="00A40A6A" w:rsidRPr="00EA543A" w:rsidRDefault="00A40A6A" w:rsidP="00BA62B0">
      <w:pPr>
        <w:pStyle w:val="Normlnywebov"/>
        <w:spacing w:before="0" w:beforeAutospacing="0" w:after="0" w:afterAutospacing="0"/>
        <w:contextualSpacing/>
        <w:jc w:val="both"/>
      </w:pPr>
      <w:r w:rsidRPr="00EA543A">
        <w:t>Za účelom zníženia administratívneho zaťaženia podnikateľov a zlepšenia podnikateľského prostredia sa navrhuje zvýšiť hranicu pre platenie preddavkov a to z 2 500 eur na 5 000 eur. Daňovník, ktorého daň za predchádzajúce zdaňovacie obdobie je rovná alebo nižšia ako 5 000 eur, nebude mať povinnosť platiť v príslušnom zdaňovacom období preddavky na daň z príjmov. Zároveň sa navrhuje zjednodušenie výpočtu dane za predchádzajúce zdaňovacie obdobie  a poslednej známej daňovej povinnosti na účely výpočtu preddavkov na daň. Daň za predchádzajúce zdaňovacie obdobie sa vypočíta zo základu dane zníženého o daňovú stratu vyčísleného za predchádzajúce zdaňovacie obdobie s použitím sadzby dane platnej v zdaňovacom období, na ktoré sú preddavky platené a z takto vyčíslenej sumy sa odpočítajú iba úľavy vyplývajúce zo zákona o dani z príjmov.</w:t>
      </w:r>
    </w:p>
    <w:p w:rsidR="00A40A6A" w:rsidRPr="00EA543A" w:rsidRDefault="00A40A6A" w:rsidP="00BA62B0">
      <w:pPr>
        <w:pStyle w:val="Normlnywebov"/>
        <w:spacing w:before="0" w:beforeAutospacing="0" w:after="0" w:afterAutospacing="0"/>
        <w:contextualSpacing/>
        <w:jc w:val="both"/>
      </w:pPr>
    </w:p>
    <w:p w:rsidR="00A40A6A" w:rsidRPr="00EA543A" w:rsidRDefault="00A40A6A" w:rsidP="00BA62B0">
      <w:pPr>
        <w:pStyle w:val="Normlnywebov"/>
        <w:spacing w:before="0" w:beforeAutospacing="0" w:after="0" w:afterAutospacing="0"/>
        <w:contextualSpacing/>
        <w:jc w:val="both"/>
        <w:rPr>
          <w:b/>
        </w:rPr>
      </w:pPr>
      <w:r w:rsidRPr="00EA543A">
        <w:rPr>
          <w:b/>
        </w:rPr>
        <w:t xml:space="preserve">K bodu </w:t>
      </w:r>
      <w:r w:rsidR="00C95BCF" w:rsidRPr="00EA543A">
        <w:rPr>
          <w:b/>
        </w:rPr>
        <w:t>11</w:t>
      </w:r>
      <w:r w:rsidR="005F55C3" w:rsidRPr="00EA543A">
        <w:rPr>
          <w:b/>
        </w:rPr>
        <w:t>0</w:t>
      </w:r>
      <w:r w:rsidRPr="00EA543A">
        <w:rPr>
          <w:b/>
        </w:rPr>
        <w:t xml:space="preserve"> - § 42 ods. 8</w:t>
      </w:r>
    </w:p>
    <w:p w:rsidR="00A40A6A" w:rsidRPr="00EA543A" w:rsidRDefault="00A40A6A" w:rsidP="00BA62B0">
      <w:pPr>
        <w:pStyle w:val="Normlnywebov"/>
        <w:spacing w:before="0" w:beforeAutospacing="0" w:after="0" w:afterAutospacing="0"/>
        <w:contextualSpacing/>
        <w:jc w:val="both"/>
      </w:pPr>
      <w:r w:rsidRPr="00EA543A">
        <w:t>Navrhovanou úpravou dochádza k zjednoteniu lehoty na vyrovnanie preddavkov na daň platených do lehoty na podanie daňového priznania novovzniknutého daňovníka s ostatnými daňovníkmi. Vyrovnanie rozdielu na preddavkoch zaplatených do lehoty na podanie daňového priznania bez ohľadu na skutočnosť, či ide o novovzniknutého daňovníka alebo iného daňovníka je stanovená do konca kalendárneho mesiaca nasledujúceho po lehote na podanie daňového priznania.</w:t>
      </w:r>
    </w:p>
    <w:p w:rsidR="00375EBD" w:rsidRPr="00EA543A" w:rsidRDefault="00375EBD" w:rsidP="00BA62B0">
      <w:pPr>
        <w:pStyle w:val="Normlnywebov"/>
        <w:spacing w:before="0" w:beforeAutospacing="0" w:after="0" w:afterAutospacing="0"/>
        <w:contextualSpacing/>
        <w:jc w:val="both"/>
      </w:pPr>
    </w:p>
    <w:p w:rsidR="00F45C2A" w:rsidRDefault="00F45C2A" w:rsidP="00BA62B0">
      <w:pPr>
        <w:pStyle w:val="Odsekzoznamu"/>
        <w:spacing w:after="0" w:line="240" w:lineRule="auto"/>
        <w:ind w:left="0"/>
        <w:jc w:val="both"/>
        <w:rPr>
          <w:rFonts w:ascii="Times New Roman" w:hAnsi="Times New Roman" w:cs="Times New Roman"/>
          <w:b/>
          <w:sz w:val="24"/>
          <w:szCs w:val="24"/>
        </w:rPr>
      </w:pPr>
    </w:p>
    <w:p w:rsidR="00F45C2A" w:rsidRDefault="00F45C2A" w:rsidP="00BA62B0">
      <w:pPr>
        <w:pStyle w:val="Odsekzoznamu"/>
        <w:spacing w:after="0" w:line="240" w:lineRule="auto"/>
        <w:ind w:left="0"/>
        <w:jc w:val="both"/>
        <w:rPr>
          <w:rFonts w:ascii="Times New Roman" w:hAnsi="Times New Roman" w:cs="Times New Roman"/>
          <w:b/>
          <w:sz w:val="24"/>
          <w:szCs w:val="24"/>
        </w:rPr>
      </w:pPr>
    </w:p>
    <w:p w:rsidR="00375EBD" w:rsidRPr="00EA543A" w:rsidRDefault="00375EBD" w:rsidP="00BA62B0">
      <w:pPr>
        <w:pStyle w:val="Odsekzoznamu"/>
        <w:spacing w:after="0" w:line="240" w:lineRule="auto"/>
        <w:ind w:left="0"/>
        <w:jc w:val="both"/>
        <w:rPr>
          <w:rFonts w:ascii="Times New Roman" w:hAnsi="Times New Roman" w:cs="Times New Roman"/>
          <w:b/>
          <w:sz w:val="24"/>
          <w:szCs w:val="24"/>
        </w:rPr>
      </w:pPr>
      <w:r w:rsidRPr="00EA543A">
        <w:rPr>
          <w:rFonts w:ascii="Times New Roman" w:hAnsi="Times New Roman" w:cs="Times New Roman"/>
          <w:b/>
          <w:sz w:val="24"/>
          <w:szCs w:val="24"/>
        </w:rPr>
        <w:lastRenderedPageBreak/>
        <w:t xml:space="preserve">K bodu </w:t>
      </w:r>
      <w:r w:rsidR="00D52903" w:rsidRPr="00EA543A">
        <w:rPr>
          <w:rFonts w:ascii="Times New Roman" w:hAnsi="Times New Roman" w:cs="Times New Roman"/>
          <w:b/>
          <w:sz w:val="24"/>
          <w:szCs w:val="24"/>
        </w:rPr>
        <w:t>11</w:t>
      </w:r>
      <w:r w:rsidR="005F55C3" w:rsidRPr="00EA543A">
        <w:rPr>
          <w:rFonts w:ascii="Times New Roman" w:hAnsi="Times New Roman" w:cs="Times New Roman"/>
          <w:b/>
          <w:sz w:val="24"/>
          <w:szCs w:val="24"/>
        </w:rPr>
        <w:t>5</w:t>
      </w:r>
      <w:r w:rsidRPr="00EA543A">
        <w:rPr>
          <w:rFonts w:ascii="Times New Roman" w:hAnsi="Times New Roman" w:cs="Times New Roman"/>
          <w:b/>
          <w:sz w:val="24"/>
          <w:szCs w:val="24"/>
        </w:rPr>
        <w:t xml:space="preserve"> - § 43 ods. 10</w:t>
      </w:r>
    </w:p>
    <w:p w:rsidR="00375EBD" w:rsidRPr="00EA543A" w:rsidRDefault="00375EBD" w:rsidP="00BA62B0">
      <w:pPr>
        <w:pStyle w:val="Odsekzoznamu"/>
        <w:spacing w:after="0" w:line="240" w:lineRule="auto"/>
        <w:ind w:left="0"/>
        <w:jc w:val="both"/>
        <w:rPr>
          <w:rFonts w:ascii="Times New Roman" w:hAnsi="Times New Roman" w:cs="Times New Roman"/>
          <w:sz w:val="24"/>
          <w:szCs w:val="24"/>
        </w:rPr>
      </w:pPr>
      <w:r w:rsidRPr="00EA543A">
        <w:rPr>
          <w:rFonts w:ascii="Times New Roman" w:hAnsi="Times New Roman" w:cs="Times New Roman"/>
          <w:sz w:val="24"/>
          <w:szCs w:val="24"/>
        </w:rPr>
        <w:t xml:space="preserve">Predmetné ustanovenie sa v návrhu zákona vypúšťa z dôvodu nadbytočnosti, nakoľko už v § 43 ods. 3  písm. b) je uvedené, že v prípade, ak je príjemcom výnosu alebo príjmu podielový fond, zrážka dane sa nevykoná. </w:t>
      </w:r>
    </w:p>
    <w:p w:rsidR="00375EBD" w:rsidRPr="00EA543A" w:rsidRDefault="00375EBD" w:rsidP="00BA62B0">
      <w:pPr>
        <w:pStyle w:val="Normlnywebov"/>
        <w:spacing w:before="0" w:beforeAutospacing="0" w:after="0" w:afterAutospacing="0"/>
        <w:contextualSpacing/>
        <w:jc w:val="both"/>
      </w:pPr>
    </w:p>
    <w:p w:rsidR="002279B1" w:rsidRPr="00EA543A" w:rsidRDefault="002279B1" w:rsidP="00BA62B0">
      <w:pPr>
        <w:pStyle w:val="Odsekzoznamu"/>
        <w:spacing w:after="0" w:line="240" w:lineRule="auto"/>
        <w:ind w:left="0"/>
        <w:jc w:val="both"/>
        <w:rPr>
          <w:rFonts w:ascii="Times New Roman" w:hAnsi="Times New Roman" w:cs="Times New Roman"/>
          <w:b/>
          <w:sz w:val="24"/>
          <w:szCs w:val="24"/>
        </w:rPr>
      </w:pPr>
      <w:r w:rsidRPr="00EA543A">
        <w:rPr>
          <w:rFonts w:ascii="Times New Roman" w:hAnsi="Times New Roman" w:cs="Times New Roman"/>
          <w:b/>
          <w:sz w:val="24"/>
          <w:szCs w:val="24"/>
        </w:rPr>
        <w:t xml:space="preserve">K bodu </w:t>
      </w:r>
      <w:r w:rsidR="00D52903" w:rsidRPr="00EA543A">
        <w:rPr>
          <w:rFonts w:ascii="Times New Roman" w:hAnsi="Times New Roman" w:cs="Times New Roman"/>
          <w:b/>
          <w:sz w:val="24"/>
          <w:szCs w:val="24"/>
        </w:rPr>
        <w:t>11</w:t>
      </w:r>
      <w:r w:rsidR="005F55C3" w:rsidRPr="00EA543A">
        <w:rPr>
          <w:rFonts w:ascii="Times New Roman" w:hAnsi="Times New Roman" w:cs="Times New Roman"/>
          <w:b/>
          <w:sz w:val="24"/>
          <w:szCs w:val="24"/>
        </w:rPr>
        <w:t>6</w:t>
      </w:r>
      <w:r w:rsidRPr="00EA543A">
        <w:rPr>
          <w:rFonts w:ascii="Times New Roman" w:hAnsi="Times New Roman" w:cs="Times New Roman"/>
          <w:b/>
          <w:sz w:val="24"/>
          <w:szCs w:val="24"/>
        </w:rPr>
        <w:t xml:space="preserve"> – poznámka pod čiarou k odkazu 136a  </w:t>
      </w:r>
    </w:p>
    <w:p w:rsidR="002279B1" w:rsidRPr="00EA543A" w:rsidRDefault="002279B1" w:rsidP="00BA62B0">
      <w:pPr>
        <w:pStyle w:val="Odsekzoznamu"/>
        <w:spacing w:after="0" w:line="240" w:lineRule="auto"/>
        <w:ind w:left="0"/>
        <w:jc w:val="both"/>
        <w:rPr>
          <w:rFonts w:ascii="Times New Roman" w:hAnsi="Times New Roman" w:cs="Times New Roman"/>
          <w:sz w:val="24"/>
          <w:szCs w:val="24"/>
        </w:rPr>
      </w:pPr>
      <w:r w:rsidRPr="00EA543A">
        <w:rPr>
          <w:rFonts w:ascii="Times New Roman" w:hAnsi="Times New Roman" w:cs="Times New Roman"/>
          <w:sz w:val="24"/>
          <w:szCs w:val="24"/>
        </w:rPr>
        <w:t xml:space="preserve">Ide o legislatívno-technickú úpravu v nadväznosti na novelu zákona o kolektívnom investovaní. </w:t>
      </w:r>
    </w:p>
    <w:p w:rsidR="002279B1" w:rsidRPr="00EA543A" w:rsidRDefault="002279B1" w:rsidP="00BA62B0">
      <w:pPr>
        <w:pStyle w:val="Normlnywebov"/>
        <w:spacing w:before="0" w:beforeAutospacing="0" w:after="0" w:afterAutospacing="0"/>
        <w:contextualSpacing/>
        <w:jc w:val="both"/>
      </w:pPr>
    </w:p>
    <w:p w:rsidR="00375EBD" w:rsidRPr="00EA543A" w:rsidRDefault="00375EBD" w:rsidP="00BA62B0">
      <w:pPr>
        <w:pStyle w:val="Odsekzoznamu"/>
        <w:spacing w:after="0" w:line="240" w:lineRule="auto"/>
        <w:ind w:left="0"/>
        <w:jc w:val="both"/>
        <w:rPr>
          <w:rFonts w:ascii="Times New Roman" w:hAnsi="Times New Roman" w:cs="Times New Roman"/>
          <w:b/>
          <w:sz w:val="24"/>
          <w:szCs w:val="24"/>
        </w:rPr>
      </w:pPr>
      <w:r w:rsidRPr="00EA543A">
        <w:rPr>
          <w:rFonts w:ascii="Times New Roman" w:hAnsi="Times New Roman" w:cs="Times New Roman"/>
          <w:b/>
          <w:sz w:val="24"/>
          <w:szCs w:val="24"/>
        </w:rPr>
        <w:t>K</w:t>
      </w:r>
      <w:r w:rsidR="00217140" w:rsidRPr="00EA543A">
        <w:rPr>
          <w:rFonts w:ascii="Times New Roman" w:hAnsi="Times New Roman" w:cs="Times New Roman"/>
          <w:b/>
          <w:sz w:val="24"/>
          <w:szCs w:val="24"/>
        </w:rPr>
        <w:t> </w:t>
      </w:r>
      <w:r w:rsidRPr="00EA543A">
        <w:rPr>
          <w:rFonts w:ascii="Times New Roman" w:hAnsi="Times New Roman" w:cs="Times New Roman"/>
          <w:b/>
          <w:sz w:val="24"/>
          <w:szCs w:val="24"/>
        </w:rPr>
        <w:t>bodu</w:t>
      </w:r>
      <w:r w:rsidR="00217140" w:rsidRPr="00EA543A">
        <w:rPr>
          <w:rFonts w:ascii="Times New Roman" w:hAnsi="Times New Roman" w:cs="Times New Roman"/>
          <w:b/>
          <w:sz w:val="24"/>
          <w:szCs w:val="24"/>
        </w:rPr>
        <w:t xml:space="preserve"> </w:t>
      </w:r>
      <w:r w:rsidR="00D52903" w:rsidRPr="00EA543A">
        <w:rPr>
          <w:rFonts w:ascii="Times New Roman" w:hAnsi="Times New Roman" w:cs="Times New Roman"/>
          <w:b/>
          <w:sz w:val="24"/>
          <w:szCs w:val="24"/>
        </w:rPr>
        <w:t>12</w:t>
      </w:r>
      <w:r w:rsidR="005F55C3" w:rsidRPr="00EA543A">
        <w:rPr>
          <w:rFonts w:ascii="Times New Roman" w:hAnsi="Times New Roman" w:cs="Times New Roman"/>
          <w:b/>
          <w:sz w:val="24"/>
          <w:szCs w:val="24"/>
        </w:rPr>
        <w:t>2</w:t>
      </w:r>
      <w:r w:rsidRPr="00EA543A">
        <w:rPr>
          <w:rFonts w:ascii="Times New Roman" w:hAnsi="Times New Roman" w:cs="Times New Roman"/>
          <w:b/>
          <w:sz w:val="24"/>
          <w:szCs w:val="24"/>
        </w:rPr>
        <w:t xml:space="preserve">  – § 43 ods. 22</w:t>
      </w:r>
    </w:p>
    <w:p w:rsidR="00375EBD" w:rsidRPr="00EA543A" w:rsidRDefault="00375EBD" w:rsidP="00BA62B0">
      <w:pPr>
        <w:pStyle w:val="Odsekzoznamu"/>
        <w:spacing w:after="0" w:line="240" w:lineRule="auto"/>
        <w:ind w:left="0"/>
        <w:jc w:val="both"/>
        <w:rPr>
          <w:rFonts w:ascii="Times New Roman" w:hAnsi="Times New Roman" w:cs="Times New Roman"/>
          <w:sz w:val="24"/>
          <w:szCs w:val="24"/>
        </w:rPr>
      </w:pPr>
      <w:r w:rsidRPr="00EA543A">
        <w:rPr>
          <w:rFonts w:ascii="Times New Roman" w:hAnsi="Times New Roman" w:cs="Times New Roman"/>
          <w:sz w:val="24"/>
          <w:szCs w:val="24"/>
        </w:rPr>
        <w:t xml:space="preserve">Vypúšťa sa z dôvodu nadbytočnosti, nakoľko uvedená výnimka sa týka príjmov plynúcich zo závislej činnosti. </w:t>
      </w:r>
    </w:p>
    <w:p w:rsidR="006459F1" w:rsidRPr="00EA543A" w:rsidRDefault="006459F1" w:rsidP="00BA62B0">
      <w:pPr>
        <w:pStyle w:val="Odsekzoznamu"/>
        <w:spacing w:after="0" w:line="240" w:lineRule="auto"/>
        <w:ind w:left="0"/>
        <w:jc w:val="both"/>
        <w:rPr>
          <w:rFonts w:ascii="Times New Roman" w:hAnsi="Times New Roman" w:cs="Times New Roman"/>
          <w:sz w:val="24"/>
          <w:szCs w:val="24"/>
        </w:rPr>
      </w:pPr>
    </w:p>
    <w:p w:rsidR="00580AE9" w:rsidRPr="00EA543A" w:rsidRDefault="00580AE9" w:rsidP="00BA62B0">
      <w:pPr>
        <w:spacing w:after="0" w:line="240" w:lineRule="auto"/>
        <w:rPr>
          <w:rFonts w:ascii="Times New Roman" w:hAnsi="Times New Roman" w:cs="Times New Roman"/>
          <w:b/>
          <w:sz w:val="24"/>
          <w:szCs w:val="24"/>
        </w:rPr>
      </w:pPr>
      <w:r w:rsidRPr="00EA543A">
        <w:rPr>
          <w:rFonts w:ascii="Times New Roman" w:hAnsi="Times New Roman" w:cs="Times New Roman"/>
          <w:b/>
          <w:sz w:val="24"/>
          <w:szCs w:val="24"/>
        </w:rPr>
        <w:t>K bod</w:t>
      </w:r>
      <w:r w:rsidR="00726BFB" w:rsidRPr="00EA543A">
        <w:rPr>
          <w:rFonts w:ascii="Times New Roman" w:hAnsi="Times New Roman" w:cs="Times New Roman"/>
          <w:b/>
          <w:sz w:val="24"/>
          <w:szCs w:val="24"/>
        </w:rPr>
        <w:t>om</w:t>
      </w:r>
      <w:r w:rsidRPr="00EA543A">
        <w:rPr>
          <w:rFonts w:ascii="Times New Roman" w:hAnsi="Times New Roman" w:cs="Times New Roman"/>
          <w:b/>
          <w:sz w:val="24"/>
          <w:szCs w:val="24"/>
        </w:rPr>
        <w:t xml:space="preserve"> </w:t>
      </w:r>
      <w:r w:rsidR="00D52903" w:rsidRPr="00EA543A">
        <w:rPr>
          <w:rFonts w:ascii="Times New Roman" w:hAnsi="Times New Roman" w:cs="Times New Roman"/>
          <w:b/>
          <w:sz w:val="24"/>
          <w:szCs w:val="24"/>
        </w:rPr>
        <w:t>12</w:t>
      </w:r>
      <w:r w:rsidR="005F55C3" w:rsidRPr="00EA543A">
        <w:rPr>
          <w:rFonts w:ascii="Times New Roman" w:hAnsi="Times New Roman" w:cs="Times New Roman"/>
          <w:b/>
          <w:sz w:val="24"/>
          <w:szCs w:val="24"/>
        </w:rPr>
        <w:t>4</w:t>
      </w:r>
      <w:r w:rsidR="00726BFB" w:rsidRPr="00EA543A">
        <w:rPr>
          <w:rFonts w:ascii="Times New Roman" w:hAnsi="Times New Roman" w:cs="Times New Roman"/>
          <w:b/>
          <w:sz w:val="24"/>
          <w:szCs w:val="24"/>
        </w:rPr>
        <w:t xml:space="preserve"> a 137</w:t>
      </w:r>
      <w:r w:rsidRPr="00EA543A">
        <w:rPr>
          <w:rFonts w:ascii="Times New Roman" w:hAnsi="Times New Roman" w:cs="Times New Roman"/>
          <w:b/>
          <w:sz w:val="24"/>
          <w:szCs w:val="24"/>
        </w:rPr>
        <w:t xml:space="preserve"> - § 45 ods. 4</w:t>
      </w:r>
      <w:r w:rsidR="00726BFB" w:rsidRPr="00EA543A">
        <w:rPr>
          <w:rFonts w:ascii="Times New Roman" w:hAnsi="Times New Roman" w:cs="Times New Roman"/>
          <w:b/>
          <w:sz w:val="24"/>
          <w:szCs w:val="24"/>
        </w:rPr>
        <w:t xml:space="preserve"> a príloha č. 2</w:t>
      </w:r>
    </w:p>
    <w:p w:rsidR="00580AE9" w:rsidRPr="00EA543A" w:rsidRDefault="00580AE9"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V § 45 sa vypúšťa odsek 4 z dôvodu skončenia platnosti smernice Rady 2003/48/ES o zdaňovaní príjmu z úspor v podobe výplaty úrokov a uplynutia prechodného obdobia pre členský štát (Rakúsko) a tretie krajiny (vrátane závislých území Spojeného kráľovstva a Holandska), ktoré uplatňovali zvýšenú sadzbu zrážkovej dane namiesto výmeny informácií o úrokových príjmoch. Vzhľadom na prechod všetkých dotknutých krajín na automatickú výmenu informácií o finančných účtoch nie sú ustanovenia v zákone potrebné. Automatická výmena informácií o finančných účtoch je upravená v rámci smernice 2014/107/EÚ, ktorou sa mení smernica 2011/16/EÚ, pokiaľ ide o povinnú automatickú výmenu informácií v oblasti daní a ktorá bola implementovaná do zákona č. 359/2015 Z. z. o automatickej výmene informácií o finančných účtoch v znení neskorších predpisov a Vyhlášky MF SR č. 446/2015 Z. z. v znení Vyhlášky MF SR č. 348/2018 Z. z., ktorou sa upravujú podrobnosti preverovania finančných účtov finančnými inštitúciami.</w:t>
      </w:r>
    </w:p>
    <w:p w:rsidR="00580AE9" w:rsidRPr="00EA543A" w:rsidRDefault="00580AE9" w:rsidP="00BA62B0">
      <w:pPr>
        <w:pStyle w:val="Odsekzoznamu"/>
        <w:spacing w:after="0" w:line="240" w:lineRule="auto"/>
        <w:ind w:left="0"/>
        <w:jc w:val="both"/>
        <w:rPr>
          <w:rFonts w:ascii="Times New Roman" w:hAnsi="Times New Roman" w:cs="Times New Roman"/>
          <w:sz w:val="24"/>
          <w:szCs w:val="24"/>
        </w:rPr>
      </w:pPr>
    </w:p>
    <w:p w:rsidR="00451E5B" w:rsidRPr="00EA543A" w:rsidRDefault="00217140" w:rsidP="00BA62B0">
      <w:pPr>
        <w:pStyle w:val="Odsekzoznamu"/>
        <w:spacing w:after="0" w:line="240" w:lineRule="auto"/>
        <w:ind w:left="0"/>
        <w:jc w:val="both"/>
        <w:rPr>
          <w:rFonts w:ascii="Times New Roman" w:hAnsi="Times New Roman" w:cs="Times New Roman"/>
          <w:b/>
          <w:sz w:val="24"/>
          <w:szCs w:val="24"/>
        </w:rPr>
      </w:pPr>
      <w:r w:rsidRPr="00EA543A">
        <w:rPr>
          <w:rFonts w:ascii="Times New Roman" w:hAnsi="Times New Roman" w:cs="Times New Roman"/>
          <w:b/>
          <w:sz w:val="24"/>
          <w:szCs w:val="24"/>
        </w:rPr>
        <w:t xml:space="preserve">K bodu </w:t>
      </w:r>
      <w:r w:rsidR="007F2B8C" w:rsidRPr="00EA543A">
        <w:rPr>
          <w:rFonts w:ascii="Times New Roman" w:hAnsi="Times New Roman" w:cs="Times New Roman"/>
          <w:b/>
          <w:sz w:val="24"/>
          <w:szCs w:val="24"/>
        </w:rPr>
        <w:t>12</w:t>
      </w:r>
      <w:r w:rsidR="005F55C3" w:rsidRPr="00EA543A">
        <w:rPr>
          <w:rFonts w:ascii="Times New Roman" w:hAnsi="Times New Roman" w:cs="Times New Roman"/>
          <w:b/>
          <w:sz w:val="24"/>
          <w:szCs w:val="24"/>
        </w:rPr>
        <w:t>6</w:t>
      </w:r>
      <w:r w:rsidRPr="00EA543A">
        <w:rPr>
          <w:rFonts w:ascii="Times New Roman" w:hAnsi="Times New Roman" w:cs="Times New Roman"/>
          <w:b/>
          <w:sz w:val="24"/>
          <w:szCs w:val="24"/>
        </w:rPr>
        <w:t xml:space="preserve"> - § </w:t>
      </w:r>
      <w:r w:rsidR="00451E5B" w:rsidRPr="00EA543A">
        <w:rPr>
          <w:rFonts w:ascii="Times New Roman" w:hAnsi="Times New Roman" w:cs="Times New Roman"/>
          <w:b/>
          <w:sz w:val="24"/>
          <w:szCs w:val="24"/>
        </w:rPr>
        <w:t>47</w:t>
      </w:r>
    </w:p>
    <w:p w:rsidR="00451E5B" w:rsidRPr="00EA543A" w:rsidRDefault="00451E5B"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 xml:space="preserve">Z dôvodu zníženia administratívnej náročnosti sa komplikovaný spôsob zaokrúhľovania daňových veličín a súvisiacich prepočtov, mení a zavádza sa jednotný postup so zaokrúhľovaním matematicky na eurocenty (dve desatinné miesta). </w:t>
      </w:r>
    </w:p>
    <w:p w:rsidR="00451E5B" w:rsidRPr="00EA543A" w:rsidRDefault="00451E5B" w:rsidP="00BA62B0">
      <w:pPr>
        <w:pStyle w:val="Odsekzoznamu"/>
        <w:spacing w:after="0" w:line="240" w:lineRule="auto"/>
        <w:ind w:left="0"/>
        <w:jc w:val="both"/>
        <w:rPr>
          <w:rFonts w:ascii="Times New Roman" w:hAnsi="Times New Roman" w:cs="Times New Roman"/>
          <w:sz w:val="24"/>
          <w:szCs w:val="24"/>
        </w:rPr>
      </w:pPr>
    </w:p>
    <w:p w:rsidR="007329DA" w:rsidRPr="00EA543A" w:rsidRDefault="006459F1" w:rsidP="00BA62B0">
      <w:pPr>
        <w:spacing w:after="0" w:line="240" w:lineRule="auto"/>
        <w:jc w:val="both"/>
        <w:rPr>
          <w:rFonts w:ascii="Times New Roman" w:eastAsia="Times New Roman" w:hAnsi="Times New Roman" w:cs="Times New Roman"/>
          <w:b/>
          <w:sz w:val="24"/>
          <w:szCs w:val="24"/>
          <w:lang w:eastAsia="sk-SK"/>
        </w:rPr>
      </w:pPr>
      <w:r w:rsidRPr="00EA543A">
        <w:rPr>
          <w:rFonts w:ascii="Times New Roman" w:eastAsia="Times New Roman" w:hAnsi="Times New Roman" w:cs="Times New Roman"/>
          <w:b/>
          <w:sz w:val="24"/>
          <w:szCs w:val="24"/>
          <w:lang w:eastAsia="sk-SK"/>
        </w:rPr>
        <w:t>K</w:t>
      </w:r>
      <w:r w:rsidR="00217140" w:rsidRPr="00EA543A">
        <w:rPr>
          <w:rFonts w:ascii="Times New Roman" w:eastAsia="Times New Roman" w:hAnsi="Times New Roman" w:cs="Times New Roman"/>
          <w:b/>
          <w:sz w:val="24"/>
          <w:szCs w:val="24"/>
          <w:lang w:eastAsia="sk-SK"/>
        </w:rPr>
        <w:t xml:space="preserve"> bodu </w:t>
      </w:r>
      <w:r w:rsidR="00D52903" w:rsidRPr="00EA543A">
        <w:rPr>
          <w:rFonts w:ascii="Times New Roman" w:eastAsia="Times New Roman" w:hAnsi="Times New Roman" w:cs="Times New Roman"/>
          <w:b/>
          <w:sz w:val="24"/>
          <w:szCs w:val="24"/>
          <w:lang w:eastAsia="sk-SK"/>
        </w:rPr>
        <w:t>1</w:t>
      </w:r>
      <w:r w:rsidR="007F2B8C" w:rsidRPr="00EA543A">
        <w:rPr>
          <w:rFonts w:ascii="Times New Roman" w:eastAsia="Times New Roman" w:hAnsi="Times New Roman" w:cs="Times New Roman"/>
          <w:b/>
          <w:sz w:val="24"/>
          <w:szCs w:val="24"/>
          <w:lang w:eastAsia="sk-SK"/>
        </w:rPr>
        <w:t>2</w:t>
      </w:r>
      <w:r w:rsidR="005F55C3" w:rsidRPr="00EA543A">
        <w:rPr>
          <w:rFonts w:ascii="Times New Roman" w:eastAsia="Times New Roman" w:hAnsi="Times New Roman" w:cs="Times New Roman"/>
          <w:b/>
          <w:sz w:val="24"/>
          <w:szCs w:val="24"/>
          <w:lang w:eastAsia="sk-SK"/>
        </w:rPr>
        <w:t>7</w:t>
      </w:r>
      <w:r w:rsidR="00217140" w:rsidRPr="00EA543A">
        <w:rPr>
          <w:rFonts w:ascii="Times New Roman" w:eastAsia="Times New Roman" w:hAnsi="Times New Roman" w:cs="Times New Roman"/>
          <w:b/>
          <w:sz w:val="24"/>
          <w:szCs w:val="24"/>
          <w:lang w:eastAsia="sk-SK"/>
        </w:rPr>
        <w:t xml:space="preserve"> </w:t>
      </w:r>
      <w:r w:rsidRPr="00EA543A">
        <w:rPr>
          <w:rFonts w:ascii="Times New Roman" w:eastAsia="Times New Roman" w:hAnsi="Times New Roman" w:cs="Times New Roman"/>
          <w:b/>
          <w:sz w:val="24"/>
          <w:szCs w:val="24"/>
          <w:lang w:eastAsia="sk-SK"/>
        </w:rPr>
        <w:t>- § 49a</w:t>
      </w:r>
      <w:r w:rsidR="007C1C4D" w:rsidRPr="00EA543A">
        <w:rPr>
          <w:rFonts w:ascii="Times New Roman" w:eastAsia="Times New Roman" w:hAnsi="Times New Roman" w:cs="Times New Roman"/>
          <w:b/>
          <w:sz w:val="24"/>
          <w:szCs w:val="24"/>
          <w:lang w:eastAsia="sk-SK"/>
        </w:rPr>
        <w:t xml:space="preserve"> </w:t>
      </w:r>
    </w:p>
    <w:p w:rsidR="006459F1" w:rsidRPr="00EA543A" w:rsidRDefault="006459F1" w:rsidP="00BA62B0">
      <w:pPr>
        <w:spacing w:after="0" w:line="240" w:lineRule="auto"/>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sz w:val="24"/>
          <w:szCs w:val="24"/>
          <w:lang w:eastAsia="sk-SK"/>
        </w:rPr>
        <w:t>Navrhovanou úpravou sa mení registračná a oznamovacia povinnosť a to s účinnosťou od 1.1.2021.</w:t>
      </w:r>
    </w:p>
    <w:p w:rsidR="005015EF" w:rsidRPr="00EA543A" w:rsidRDefault="005015EF" w:rsidP="00BA62B0">
      <w:pPr>
        <w:pStyle w:val="Odsekzoznamu"/>
        <w:spacing w:after="0" w:line="240" w:lineRule="auto"/>
        <w:ind w:left="0"/>
        <w:jc w:val="both"/>
        <w:rPr>
          <w:rFonts w:ascii="Times New Roman" w:hAnsi="Times New Roman" w:cs="Times New Roman"/>
          <w:sz w:val="24"/>
          <w:szCs w:val="24"/>
        </w:rPr>
      </w:pPr>
    </w:p>
    <w:p w:rsidR="002279B1" w:rsidRPr="00EA543A" w:rsidRDefault="002279B1" w:rsidP="00BA62B0">
      <w:pPr>
        <w:pStyle w:val="Odsekzoznamu"/>
        <w:spacing w:after="0" w:line="240" w:lineRule="auto"/>
        <w:ind w:left="0"/>
        <w:jc w:val="both"/>
        <w:rPr>
          <w:rFonts w:ascii="Times New Roman" w:hAnsi="Times New Roman" w:cs="Times New Roman"/>
          <w:b/>
          <w:sz w:val="24"/>
          <w:szCs w:val="24"/>
        </w:rPr>
      </w:pPr>
      <w:r w:rsidRPr="00EA543A">
        <w:rPr>
          <w:rFonts w:ascii="Times New Roman" w:hAnsi="Times New Roman" w:cs="Times New Roman"/>
          <w:b/>
          <w:sz w:val="24"/>
          <w:szCs w:val="24"/>
        </w:rPr>
        <w:t xml:space="preserve">K bodu </w:t>
      </w:r>
      <w:r w:rsidR="00217140" w:rsidRPr="00EA543A">
        <w:rPr>
          <w:rFonts w:ascii="Times New Roman" w:hAnsi="Times New Roman" w:cs="Times New Roman"/>
          <w:b/>
          <w:sz w:val="24"/>
          <w:szCs w:val="24"/>
        </w:rPr>
        <w:t>1</w:t>
      </w:r>
      <w:r w:rsidR="005F55C3" w:rsidRPr="00EA543A">
        <w:rPr>
          <w:rFonts w:ascii="Times New Roman" w:hAnsi="Times New Roman" w:cs="Times New Roman"/>
          <w:b/>
          <w:sz w:val="24"/>
          <w:szCs w:val="24"/>
        </w:rPr>
        <w:t xml:space="preserve">29 </w:t>
      </w:r>
      <w:r w:rsidRPr="00EA543A">
        <w:rPr>
          <w:rFonts w:ascii="Times New Roman" w:hAnsi="Times New Roman" w:cs="Times New Roman"/>
          <w:b/>
          <w:sz w:val="24"/>
          <w:szCs w:val="24"/>
        </w:rPr>
        <w:t xml:space="preserve">– poznámka pod čiarou k odkazu 142a  </w:t>
      </w:r>
    </w:p>
    <w:p w:rsidR="002279B1" w:rsidRPr="00EA543A" w:rsidRDefault="002279B1" w:rsidP="00BA62B0">
      <w:pPr>
        <w:pStyle w:val="Odsekzoznamu"/>
        <w:spacing w:after="0" w:line="240" w:lineRule="auto"/>
        <w:ind w:left="0"/>
        <w:jc w:val="both"/>
        <w:rPr>
          <w:rFonts w:ascii="Times New Roman" w:hAnsi="Times New Roman" w:cs="Times New Roman"/>
          <w:sz w:val="24"/>
          <w:szCs w:val="24"/>
        </w:rPr>
      </w:pPr>
      <w:r w:rsidRPr="00EA543A">
        <w:rPr>
          <w:rFonts w:ascii="Times New Roman" w:hAnsi="Times New Roman" w:cs="Times New Roman"/>
          <w:sz w:val="24"/>
          <w:szCs w:val="24"/>
        </w:rPr>
        <w:t xml:space="preserve">Ide o legislatívno-technickú úpravu v nadväznosti na zmenu  zákona o organizácii štátnej podpory výskumu a vývoja a o doplnení zákona č. 575/2001 Z. z. o organizácii činnosti vlády a organizácii ústrednej štátnej správy v znení neskorších predpisov. </w:t>
      </w:r>
    </w:p>
    <w:p w:rsidR="002279B1" w:rsidRPr="00EA543A" w:rsidRDefault="002279B1" w:rsidP="00BA62B0">
      <w:pPr>
        <w:pStyle w:val="Odsekzoznamu"/>
        <w:spacing w:after="0" w:line="240" w:lineRule="auto"/>
        <w:ind w:left="0"/>
        <w:jc w:val="both"/>
        <w:rPr>
          <w:rFonts w:ascii="Times New Roman" w:hAnsi="Times New Roman" w:cs="Times New Roman"/>
          <w:sz w:val="24"/>
          <w:szCs w:val="24"/>
        </w:rPr>
      </w:pPr>
    </w:p>
    <w:p w:rsidR="005015EF" w:rsidRPr="00EA543A" w:rsidRDefault="005015EF" w:rsidP="00BA62B0">
      <w:pPr>
        <w:pStyle w:val="Odsekzoznamu"/>
        <w:spacing w:after="0" w:line="240" w:lineRule="auto"/>
        <w:ind w:left="0"/>
        <w:jc w:val="both"/>
        <w:rPr>
          <w:rFonts w:ascii="Times New Roman" w:hAnsi="Times New Roman" w:cs="Times New Roman"/>
          <w:b/>
          <w:sz w:val="24"/>
          <w:szCs w:val="24"/>
        </w:rPr>
      </w:pPr>
      <w:r w:rsidRPr="00EA543A">
        <w:rPr>
          <w:rFonts w:ascii="Times New Roman" w:hAnsi="Times New Roman" w:cs="Times New Roman"/>
          <w:b/>
          <w:sz w:val="24"/>
          <w:szCs w:val="24"/>
        </w:rPr>
        <w:t xml:space="preserve">K bodu </w:t>
      </w:r>
      <w:r w:rsidR="00217140" w:rsidRPr="00EA543A">
        <w:rPr>
          <w:rFonts w:ascii="Times New Roman" w:hAnsi="Times New Roman" w:cs="Times New Roman"/>
          <w:b/>
          <w:sz w:val="24"/>
          <w:szCs w:val="24"/>
        </w:rPr>
        <w:t>1</w:t>
      </w:r>
      <w:r w:rsidR="00D52903" w:rsidRPr="00EA543A">
        <w:rPr>
          <w:rFonts w:ascii="Times New Roman" w:hAnsi="Times New Roman" w:cs="Times New Roman"/>
          <w:b/>
          <w:sz w:val="24"/>
          <w:szCs w:val="24"/>
        </w:rPr>
        <w:t>3</w:t>
      </w:r>
      <w:r w:rsidR="005F55C3" w:rsidRPr="00EA543A">
        <w:rPr>
          <w:rFonts w:ascii="Times New Roman" w:hAnsi="Times New Roman" w:cs="Times New Roman"/>
          <w:b/>
          <w:sz w:val="24"/>
          <w:szCs w:val="24"/>
        </w:rPr>
        <w:t>0</w:t>
      </w:r>
      <w:r w:rsidRPr="00EA543A">
        <w:rPr>
          <w:rFonts w:ascii="Times New Roman" w:hAnsi="Times New Roman" w:cs="Times New Roman"/>
          <w:b/>
          <w:sz w:val="24"/>
          <w:szCs w:val="24"/>
        </w:rPr>
        <w:t xml:space="preserve"> – § 50 ods. 4 písm. i) </w:t>
      </w:r>
    </w:p>
    <w:p w:rsidR="005015EF" w:rsidRPr="00EA543A" w:rsidRDefault="005015EF" w:rsidP="00BA62B0">
      <w:pPr>
        <w:pStyle w:val="Odsekzoznamu"/>
        <w:spacing w:after="0" w:line="240" w:lineRule="auto"/>
        <w:ind w:left="0"/>
        <w:contextualSpacing w:val="0"/>
        <w:jc w:val="both"/>
        <w:rPr>
          <w:rFonts w:ascii="Times New Roman" w:hAnsi="Times New Roman" w:cs="Times New Roman"/>
          <w:sz w:val="24"/>
          <w:szCs w:val="24"/>
        </w:rPr>
      </w:pPr>
      <w:r w:rsidRPr="00EA543A">
        <w:rPr>
          <w:rFonts w:ascii="Times New Roman" w:hAnsi="Times New Roman" w:cs="Times New Roman"/>
          <w:sz w:val="24"/>
          <w:szCs w:val="24"/>
        </w:rPr>
        <w:t xml:space="preserve">Ide o legislatívno-technickú úpravu v nadväznosti na novelu zákona č. 61/2015 Z. z. o odbornom vzdelávaní a príprave, kde bol pôvodný účel fondu rozvoja odborného vzdelávania a prípravy nahradený </w:t>
      </w:r>
      <w:proofErr w:type="spellStart"/>
      <w:r w:rsidRPr="00EA543A">
        <w:rPr>
          <w:rFonts w:ascii="Times New Roman" w:hAnsi="Times New Roman" w:cs="Times New Roman"/>
          <w:sz w:val="24"/>
          <w:szCs w:val="24"/>
        </w:rPr>
        <w:t>novonavrhovanými</w:t>
      </w:r>
      <w:proofErr w:type="spellEnd"/>
      <w:r w:rsidRPr="00EA543A">
        <w:rPr>
          <w:rFonts w:ascii="Times New Roman" w:hAnsi="Times New Roman" w:cs="Times New Roman"/>
          <w:sz w:val="24"/>
          <w:szCs w:val="24"/>
        </w:rPr>
        <w:t xml:space="preserve"> finančnými stimulmi.</w:t>
      </w:r>
    </w:p>
    <w:p w:rsidR="002279B1" w:rsidRPr="00EA543A" w:rsidRDefault="002279B1" w:rsidP="00BA62B0">
      <w:pPr>
        <w:pStyle w:val="Odsekzoznamu"/>
        <w:spacing w:after="0" w:line="240" w:lineRule="auto"/>
        <w:ind w:left="0"/>
        <w:contextualSpacing w:val="0"/>
        <w:jc w:val="both"/>
        <w:rPr>
          <w:rFonts w:ascii="Times New Roman" w:hAnsi="Times New Roman" w:cs="Times New Roman"/>
          <w:sz w:val="24"/>
          <w:szCs w:val="24"/>
        </w:rPr>
      </w:pPr>
    </w:p>
    <w:p w:rsidR="00DD7092" w:rsidRPr="00EA543A" w:rsidRDefault="00DD7092" w:rsidP="00BA62B0">
      <w:pPr>
        <w:pStyle w:val="Odsekzoznamu"/>
        <w:spacing w:after="0" w:line="240" w:lineRule="auto"/>
        <w:ind w:left="0"/>
        <w:contextualSpacing w:val="0"/>
        <w:jc w:val="both"/>
        <w:rPr>
          <w:rFonts w:ascii="Times New Roman" w:hAnsi="Times New Roman" w:cs="Times New Roman"/>
          <w:b/>
          <w:sz w:val="24"/>
          <w:szCs w:val="24"/>
        </w:rPr>
      </w:pPr>
      <w:r w:rsidRPr="00EA543A">
        <w:rPr>
          <w:rFonts w:ascii="Times New Roman" w:hAnsi="Times New Roman" w:cs="Times New Roman"/>
          <w:b/>
          <w:sz w:val="24"/>
          <w:szCs w:val="24"/>
        </w:rPr>
        <w:t xml:space="preserve">K bodu 131 – § 50 ods. 16 </w:t>
      </w:r>
    </w:p>
    <w:p w:rsidR="00DD7092" w:rsidRPr="00EA543A" w:rsidRDefault="00DD7092" w:rsidP="00BA62B0">
      <w:pPr>
        <w:pStyle w:val="Odsekzoznamu"/>
        <w:spacing w:after="0" w:line="240" w:lineRule="auto"/>
        <w:ind w:left="0"/>
        <w:contextualSpacing w:val="0"/>
        <w:jc w:val="both"/>
        <w:rPr>
          <w:rFonts w:ascii="Times New Roman" w:hAnsi="Times New Roman" w:cs="Times New Roman"/>
          <w:sz w:val="24"/>
          <w:szCs w:val="24"/>
        </w:rPr>
      </w:pPr>
      <w:r w:rsidRPr="00EA543A">
        <w:rPr>
          <w:rFonts w:ascii="Times New Roman" w:hAnsi="Times New Roman" w:cs="Times New Roman"/>
          <w:sz w:val="24"/>
          <w:szCs w:val="24"/>
        </w:rPr>
        <w:t xml:space="preserve">Ide o legislatívno-technickú zmenu. </w:t>
      </w:r>
    </w:p>
    <w:p w:rsidR="00DD7092" w:rsidRPr="00EA543A" w:rsidRDefault="00DD7092" w:rsidP="00BA62B0">
      <w:pPr>
        <w:pStyle w:val="Odsekzoznamu"/>
        <w:spacing w:after="0" w:line="240" w:lineRule="auto"/>
        <w:ind w:left="0"/>
        <w:contextualSpacing w:val="0"/>
        <w:jc w:val="both"/>
        <w:rPr>
          <w:rFonts w:ascii="Times New Roman" w:hAnsi="Times New Roman" w:cs="Times New Roman"/>
          <w:sz w:val="24"/>
          <w:szCs w:val="24"/>
        </w:rPr>
      </w:pPr>
    </w:p>
    <w:p w:rsidR="00F45C2A" w:rsidRDefault="00F45C2A" w:rsidP="00BA62B0">
      <w:pPr>
        <w:pStyle w:val="Odsekzoznamu"/>
        <w:spacing w:after="0" w:line="240" w:lineRule="auto"/>
        <w:ind w:left="0"/>
        <w:jc w:val="both"/>
        <w:rPr>
          <w:rFonts w:ascii="Times New Roman" w:hAnsi="Times New Roman" w:cs="Times New Roman"/>
          <w:b/>
          <w:sz w:val="24"/>
          <w:szCs w:val="24"/>
        </w:rPr>
      </w:pPr>
    </w:p>
    <w:p w:rsidR="002279B1" w:rsidRPr="00EA543A" w:rsidRDefault="002279B1" w:rsidP="00BA62B0">
      <w:pPr>
        <w:pStyle w:val="Odsekzoznamu"/>
        <w:spacing w:after="0" w:line="240" w:lineRule="auto"/>
        <w:ind w:left="0"/>
        <w:jc w:val="both"/>
        <w:rPr>
          <w:rFonts w:ascii="Times New Roman" w:hAnsi="Times New Roman" w:cs="Times New Roman"/>
          <w:b/>
          <w:sz w:val="24"/>
          <w:szCs w:val="24"/>
        </w:rPr>
      </w:pPr>
      <w:r w:rsidRPr="00EA543A">
        <w:rPr>
          <w:rFonts w:ascii="Times New Roman" w:hAnsi="Times New Roman" w:cs="Times New Roman"/>
          <w:b/>
          <w:sz w:val="24"/>
          <w:szCs w:val="24"/>
        </w:rPr>
        <w:lastRenderedPageBreak/>
        <w:t xml:space="preserve">K bodu  </w:t>
      </w:r>
      <w:r w:rsidR="00217140" w:rsidRPr="00EA543A">
        <w:rPr>
          <w:rFonts w:ascii="Times New Roman" w:hAnsi="Times New Roman" w:cs="Times New Roman"/>
          <w:b/>
          <w:sz w:val="24"/>
          <w:szCs w:val="24"/>
        </w:rPr>
        <w:t>1</w:t>
      </w:r>
      <w:r w:rsidR="00D52903" w:rsidRPr="00EA543A">
        <w:rPr>
          <w:rFonts w:ascii="Times New Roman" w:hAnsi="Times New Roman" w:cs="Times New Roman"/>
          <w:b/>
          <w:sz w:val="24"/>
          <w:szCs w:val="24"/>
        </w:rPr>
        <w:t>3</w:t>
      </w:r>
      <w:r w:rsidR="005F55C3" w:rsidRPr="00EA543A">
        <w:rPr>
          <w:rFonts w:ascii="Times New Roman" w:hAnsi="Times New Roman" w:cs="Times New Roman"/>
          <w:b/>
          <w:sz w:val="24"/>
          <w:szCs w:val="24"/>
        </w:rPr>
        <w:t>2</w:t>
      </w:r>
      <w:r w:rsidRPr="00EA543A">
        <w:rPr>
          <w:rFonts w:ascii="Times New Roman" w:hAnsi="Times New Roman" w:cs="Times New Roman"/>
          <w:b/>
          <w:sz w:val="24"/>
          <w:szCs w:val="24"/>
        </w:rPr>
        <w:t>– poznámka pod čiarou k odkazu 146ac</w:t>
      </w:r>
    </w:p>
    <w:p w:rsidR="002279B1" w:rsidRPr="00EA543A" w:rsidRDefault="002279B1" w:rsidP="00BA62B0">
      <w:pPr>
        <w:pStyle w:val="Odsekzoznamu"/>
        <w:spacing w:after="0" w:line="240" w:lineRule="auto"/>
        <w:ind w:left="0"/>
        <w:contextualSpacing w:val="0"/>
        <w:jc w:val="both"/>
        <w:rPr>
          <w:rFonts w:ascii="Times New Roman" w:hAnsi="Times New Roman" w:cs="Times New Roman"/>
          <w:sz w:val="24"/>
          <w:szCs w:val="24"/>
        </w:rPr>
      </w:pPr>
      <w:r w:rsidRPr="00EA543A">
        <w:rPr>
          <w:rFonts w:ascii="Times New Roman" w:hAnsi="Times New Roman" w:cs="Times New Roman"/>
          <w:sz w:val="24"/>
          <w:szCs w:val="24"/>
        </w:rPr>
        <w:t xml:space="preserve">Ide o legislatívno-technickú úpravu. </w:t>
      </w:r>
    </w:p>
    <w:p w:rsidR="002279B1" w:rsidRPr="00EA543A" w:rsidRDefault="002279B1" w:rsidP="00BA62B0">
      <w:pPr>
        <w:pStyle w:val="Odsekzoznamu"/>
        <w:spacing w:after="0" w:line="240" w:lineRule="auto"/>
        <w:ind w:left="0"/>
        <w:contextualSpacing w:val="0"/>
        <w:jc w:val="both"/>
        <w:rPr>
          <w:rFonts w:ascii="Times New Roman" w:hAnsi="Times New Roman" w:cs="Times New Roman"/>
          <w:sz w:val="24"/>
          <w:szCs w:val="24"/>
        </w:rPr>
      </w:pPr>
    </w:p>
    <w:p w:rsidR="008441DC" w:rsidRPr="00EA543A" w:rsidRDefault="00A40A6A" w:rsidP="00BA62B0">
      <w:pPr>
        <w:spacing w:after="0" w:line="240" w:lineRule="auto"/>
        <w:jc w:val="both"/>
        <w:rPr>
          <w:rFonts w:ascii="Times New Roman" w:hAnsi="Times New Roman" w:cs="Times New Roman"/>
          <w:b/>
          <w:sz w:val="24"/>
          <w:szCs w:val="24"/>
        </w:rPr>
      </w:pPr>
      <w:r w:rsidRPr="00EA543A">
        <w:rPr>
          <w:rFonts w:ascii="Times New Roman" w:hAnsi="Times New Roman" w:cs="Times New Roman"/>
          <w:b/>
          <w:sz w:val="24"/>
          <w:szCs w:val="24"/>
        </w:rPr>
        <w:t xml:space="preserve">K bodu </w:t>
      </w:r>
      <w:r w:rsidR="00217140" w:rsidRPr="00EA543A">
        <w:rPr>
          <w:rFonts w:ascii="Times New Roman" w:hAnsi="Times New Roman" w:cs="Times New Roman"/>
          <w:b/>
          <w:sz w:val="24"/>
          <w:szCs w:val="24"/>
        </w:rPr>
        <w:t>1</w:t>
      </w:r>
      <w:r w:rsidR="00D52903" w:rsidRPr="00EA543A">
        <w:rPr>
          <w:rFonts w:ascii="Times New Roman" w:hAnsi="Times New Roman" w:cs="Times New Roman"/>
          <w:b/>
          <w:sz w:val="24"/>
          <w:szCs w:val="24"/>
        </w:rPr>
        <w:t>3</w:t>
      </w:r>
      <w:r w:rsidR="005F55C3" w:rsidRPr="00EA543A">
        <w:rPr>
          <w:rFonts w:ascii="Times New Roman" w:hAnsi="Times New Roman" w:cs="Times New Roman"/>
          <w:b/>
          <w:sz w:val="24"/>
          <w:szCs w:val="24"/>
        </w:rPr>
        <w:t>4</w:t>
      </w:r>
      <w:r w:rsidRPr="00EA543A">
        <w:rPr>
          <w:rFonts w:ascii="Times New Roman" w:hAnsi="Times New Roman" w:cs="Times New Roman"/>
          <w:b/>
          <w:sz w:val="24"/>
          <w:szCs w:val="24"/>
        </w:rPr>
        <w:t xml:space="preserve">– </w:t>
      </w:r>
      <w:r w:rsidR="00217140" w:rsidRPr="00EA543A">
        <w:rPr>
          <w:rFonts w:ascii="Times New Roman" w:hAnsi="Times New Roman" w:cs="Times New Roman"/>
          <w:b/>
          <w:sz w:val="24"/>
          <w:szCs w:val="24"/>
        </w:rPr>
        <w:t>§ 52zz</w:t>
      </w:r>
      <w:r w:rsidR="008441DC" w:rsidRPr="00EA543A">
        <w:rPr>
          <w:rFonts w:ascii="Times New Roman" w:hAnsi="Times New Roman" w:cs="Times New Roman"/>
          <w:b/>
          <w:sz w:val="24"/>
          <w:szCs w:val="24"/>
        </w:rPr>
        <w:t xml:space="preserve"> </w:t>
      </w:r>
      <w:r w:rsidR="001B4BF9" w:rsidRPr="00EA543A">
        <w:rPr>
          <w:rFonts w:ascii="Times New Roman" w:hAnsi="Times New Roman" w:cs="Times New Roman"/>
          <w:b/>
          <w:sz w:val="24"/>
          <w:szCs w:val="24"/>
        </w:rPr>
        <w:t xml:space="preserve">až </w:t>
      </w:r>
      <w:r w:rsidR="008441DC" w:rsidRPr="00EA543A">
        <w:rPr>
          <w:rFonts w:ascii="Times New Roman" w:hAnsi="Times New Roman" w:cs="Times New Roman"/>
          <w:b/>
          <w:sz w:val="24"/>
          <w:szCs w:val="24"/>
        </w:rPr>
        <w:t>§ 52zz</w:t>
      </w:r>
      <w:r w:rsidR="001B4BF9" w:rsidRPr="00EA543A">
        <w:rPr>
          <w:rFonts w:ascii="Times New Roman" w:hAnsi="Times New Roman" w:cs="Times New Roman"/>
          <w:b/>
          <w:sz w:val="24"/>
          <w:szCs w:val="24"/>
        </w:rPr>
        <w:t>b</w:t>
      </w:r>
    </w:p>
    <w:p w:rsidR="001B4BF9" w:rsidRPr="00EA543A" w:rsidRDefault="001B4BF9" w:rsidP="00BA62B0">
      <w:pPr>
        <w:spacing w:after="0" w:line="240" w:lineRule="auto"/>
        <w:jc w:val="both"/>
        <w:rPr>
          <w:rFonts w:ascii="Times New Roman" w:hAnsi="Times New Roman" w:cs="Times New Roman"/>
          <w:b/>
          <w:sz w:val="24"/>
          <w:szCs w:val="24"/>
        </w:rPr>
      </w:pPr>
      <w:r w:rsidRPr="00EA543A">
        <w:rPr>
          <w:rFonts w:ascii="Times New Roman" w:hAnsi="Times New Roman" w:cs="Times New Roman"/>
          <w:b/>
          <w:sz w:val="24"/>
          <w:szCs w:val="24"/>
        </w:rPr>
        <w:t>§ 52zz</w:t>
      </w:r>
    </w:p>
    <w:p w:rsidR="00DE73E5" w:rsidRPr="00EA543A" w:rsidRDefault="00DE73E5" w:rsidP="00BA62B0">
      <w:pPr>
        <w:spacing w:after="0" w:line="240" w:lineRule="auto"/>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b/>
          <w:sz w:val="24"/>
          <w:szCs w:val="24"/>
          <w:lang w:eastAsia="sk-SK"/>
        </w:rPr>
        <w:t>K </w:t>
      </w:r>
      <w:r w:rsidR="00A44832" w:rsidRPr="00EA543A">
        <w:rPr>
          <w:rFonts w:ascii="Times New Roman" w:eastAsia="Times New Roman" w:hAnsi="Times New Roman" w:cs="Times New Roman"/>
          <w:b/>
          <w:sz w:val="24"/>
          <w:szCs w:val="24"/>
          <w:lang w:eastAsia="sk-SK"/>
        </w:rPr>
        <w:t>odseku</w:t>
      </w:r>
      <w:r w:rsidRPr="00EA543A">
        <w:rPr>
          <w:rFonts w:ascii="Times New Roman" w:eastAsia="Times New Roman" w:hAnsi="Times New Roman" w:cs="Times New Roman"/>
          <w:b/>
          <w:sz w:val="24"/>
          <w:szCs w:val="24"/>
          <w:lang w:eastAsia="sk-SK"/>
        </w:rPr>
        <w:t xml:space="preserve"> </w:t>
      </w:r>
      <w:r w:rsidR="00DF4409" w:rsidRPr="00EA543A">
        <w:rPr>
          <w:rFonts w:ascii="Times New Roman" w:eastAsia="Times New Roman" w:hAnsi="Times New Roman" w:cs="Times New Roman"/>
          <w:b/>
          <w:sz w:val="24"/>
          <w:szCs w:val="24"/>
          <w:lang w:eastAsia="sk-SK"/>
        </w:rPr>
        <w:t>4</w:t>
      </w:r>
      <w:r w:rsidRPr="00EA543A">
        <w:rPr>
          <w:rFonts w:ascii="Times New Roman" w:eastAsia="Times New Roman" w:hAnsi="Times New Roman" w:cs="Times New Roman"/>
          <w:sz w:val="24"/>
          <w:szCs w:val="24"/>
          <w:lang w:eastAsia="sk-SK"/>
        </w:rPr>
        <w:t xml:space="preserve"> – Oslobodenie príjmov (výnosov) z predaja akcií jednoduchej spoločnosti na akcie sa uplatní aj na akcie nadobudnuté do 31. decembra 2017, ak sú splnené podmienky minimálnej účasti na spoločnosti, pričom časový test 24 kalendárnych mesiacov začína plynúť počnúc 1. januárom 2018. V prípade daňovníka, ktorého zdaňovacím obdobím je hospodársky rok sa minimálnej podmienka účasti zisťuje do konca zdaňovacieho obdobia, ktoré bezprostredne predchádza zdaňovaciemu obdobiu začínajúcemu po 31. decembri 2017.  </w:t>
      </w:r>
    </w:p>
    <w:p w:rsidR="006C21AD" w:rsidRPr="00EA543A" w:rsidRDefault="00DE73E5" w:rsidP="00BA62B0">
      <w:pPr>
        <w:spacing w:after="0" w:line="240" w:lineRule="auto"/>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b/>
          <w:sz w:val="24"/>
          <w:szCs w:val="24"/>
          <w:lang w:eastAsia="sk-SK"/>
        </w:rPr>
        <w:t>K</w:t>
      </w:r>
      <w:r w:rsidR="00A44832" w:rsidRPr="00EA543A">
        <w:rPr>
          <w:rFonts w:ascii="Times New Roman" w:eastAsia="Times New Roman" w:hAnsi="Times New Roman" w:cs="Times New Roman"/>
          <w:b/>
          <w:sz w:val="24"/>
          <w:szCs w:val="24"/>
          <w:lang w:eastAsia="sk-SK"/>
        </w:rPr>
        <w:t xml:space="preserve"> odseku </w:t>
      </w:r>
      <w:r w:rsidR="00DF4409" w:rsidRPr="00EA543A">
        <w:rPr>
          <w:rFonts w:ascii="Times New Roman" w:eastAsia="Times New Roman" w:hAnsi="Times New Roman" w:cs="Times New Roman"/>
          <w:b/>
          <w:sz w:val="24"/>
          <w:szCs w:val="24"/>
          <w:lang w:eastAsia="sk-SK"/>
        </w:rPr>
        <w:t>5</w:t>
      </w:r>
      <w:r w:rsidRPr="00EA543A">
        <w:rPr>
          <w:rFonts w:ascii="Times New Roman" w:eastAsia="Times New Roman" w:hAnsi="Times New Roman" w:cs="Times New Roman"/>
          <w:sz w:val="24"/>
          <w:szCs w:val="24"/>
          <w:lang w:eastAsia="sk-SK"/>
        </w:rPr>
        <w:t xml:space="preserve"> – </w:t>
      </w:r>
      <w:r w:rsidR="006C21AD" w:rsidRPr="00EA543A">
        <w:rPr>
          <w:rFonts w:ascii="Times New Roman" w:eastAsia="Times New Roman" w:hAnsi="Times New Roman" w:cs="Times New Roman"/>
          <w:sz w:val="24"/>
          <w:szCs w:val="24"/>
          <w:lang w:eastAsia="sk-SK"/>
        </w:rPr>
        <w:t>Na daňové výdavky, ktoré sú daňovým výdavkom až po zaplatení, sa upravené ustanovenie § 17 ods. 19 v znení účinnom od 1. januára 2020 použije, ak boli zaúčtované do nákladov v zdaňovacom období, ktoré sa začína po 31. decembri 2019.</w:t>
      </w:r>
    </w:p>
    <w:p w:rsidR="006C21AD" w:rsidRPr="00EA543A" w:rsidRDefault="006C21AD" w:rsidP="00BA62B0">
      <w:pPr>
        <w:spacing w:after="0" w:line="240" w:lineRule="auto"/>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b/>
          <w:sz w:val="24"/>
          <w:szCs w:val="24"/>
          <w:lang w:eastAsia="sk-SK"/>
        </w:rPr>
        <w:t>K</w:t>
      </w:r>
      <w:r w:rsidR="008171AE" w:rsidRPr="00EA543A">
        <w:rPr>
          <w:rFonts w:ascii="Times New Roman" w:eastAsia="Times New Roman" w:hAnsi="Times New Roman" w:cs="Times New Roman"/>
          <w:b/>
          <w:sz w:val="24"/>
          <w:szCs w:val="24"/>
          <w:lang w:eastAsia="sk-SK"/>
        </w:rPr>
        <w:t> </w:t>
      </w:r>
      <w:r w:rsidRPr="00EA543A">
        <w:rPr>
          <w:rFonts w:ascii="Times New Roman" w:eastAsia="Times New Roman" w:hAnsi="Times New Roman" w:cs="Times New Roman"/>
          <w:b/>
          <w:sz w:val="24"/>
          <w:szCs w:val="24"/>
          <w:lang w:eastAsia="sk-SK"/>
        </w:rPr>
        <w:t>odseku</w:t>
      </w:r>
      <w:r w:rsidR="008171AE" w:rsidRPr="00EA543A">
        <w:rPr>
          <w:rFonts w:ascii="Times New Roman" w:eastAsia="Times New Roman" w:hAnsi="Times New Roman" w:cs="Times New Roman"/>
          <w:b/>
          <w:sz w:val="24"/>
          <w:szCs w:val="24"/>
          <w:lang w:eastAsia="sk-SK"/>
        </w:rPr>
        <w:t xml:space="preserve"> </w:t>
      </w:r>
      <w:r w:rsidR="00DF4409" w:rsidRPr="00EA543A">
        <w:rPr>
          <w:rFonts w:ascii="Times New Roman" w:eastAsia="Times New Roman" w:hAnsi="Times New Roman" w:cs="Times New Roman"/>
          <w:b/>
          <w:sz w:val="24"/>
          <w:szCs w:val="24"/>
          <w:lang w:eastAsia="sk-SK"/>
        </w:rPr>
        <w:t>6</w:t>
      </w:r>
      <w:r w:rsidRPr="00EA543A">
        <w:rPr>
          <w:rFonts w:ascii="Times New Roman" w:eastAsia="Times New Roman" w:hAnsi="Times New Roman" w:cs="Times New Roman"/>
          <w:sz w:val="24"/>
          <w:szCs w:val="24"/>
          <w:lang w:eastAsia="sk-SK"/>
        </w:rPr>
        <w:t xml:space="preserve">  - Príjmy (výnosy) za marketingové štúdie a iné štúdie a za prieskum trhu u veriteľa sú od 1. januára 2020 súčasťou základu dane v súlade s účtovníctvom bez ohľadu na to, či boli alebo uhradené. U daňovníka, ktorého zdaňovacím obdobím je hospodársky rok, budú súčasťou základu dane bez ohľadu na podmienku zaplatenia až v zdaňovacom období, ktoré sa začína po 31. decembri 2019.</w:t>
      </w:r>
    </w:p>
    <w:p w:rsidR="008171AE" w:rsidRPr="00EA543A" w:rsidRDefault="008171AE" w:rsidP="00BA62B0">
      <w:pPr>
        <w:spacing w:after="0" w:line="240" w:lineRule="auto"/>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b/>
          <w:sz w:val="24"/>
          <w:szCs w:val="24"/>
          <w:lang w:eastAsia="sk-SK"/>
        </w:rPr>
        <w:t xml:space="preserve">K odseku </w:t>
      </w:r>
      <w:r w:rsidR="00DF4409" w:rsidRPr="00EA543A">
        <w:rPr>
          <w:rFonts w:ascii="Times New Roman" w:eastAsia="Times New Roman" w:hAnsi="Times New Roman" w:cs="Times New Roman"/>
          <w:b/>
          <w:sz w:val="24"/>
          <w:szCs w:val="24"/>
          <w:lang w:eastAsia="sk-SK"/>
        </w:rPr>
        <w:t>7</w:t>
      </w:r>
      <w:r w:rsidRPr="00EA543A">
        <w:rPr>
          <w:rFonts w:ascii="Times New Roman" w:eastAsia="Times New Roman" w:hAnsi="Times New Roman" w:cs="Times New Roman"/>
          <w:b/>
          <w:sz w:val="24"/>
          <w:szCs w:val="24"/>
          <w:lang w:eastAsia="sk-SK"/>
        </w:rPr>
        <w:t xml:space="preserve"> - </w:t>
      </w:r>
      <w:r w:rsidRPr="00EA543A">
        <w:rPr>
          <w:rFonts w:ascii="Times New Roman" w:eastAsia="Times New Roman" w:hAnsi="Times New Roman" w:cs="Times New Roman"/>
          <w:sz w:val="24"/>
          <w:szCs w:val="24"/>
          <w:lang w:eastAsia="sk-SK"/>
        </w:rPr>
        <w:t xml:space="preserve">Podľa prechodného ustanovenia sa na výdavky (náklady) odplát (provízií) za sprostredkovanie, ktoré boli zaevidované v evidencii podľa § 6 ods. 11 alebo zaúčtované do 31. decembra 2019 uplatní limitácia hodnotou sprostredkovaného obchodu aj po 31. decembri 2019 podľa § 17 ods. 19 písm. d) v znení účinnom do 31. decembra 2019 (ak ide o daňovníka, ktorého zdaňovacím obdobím je kalendárny rok). V prípade zdaňovacieho obdobia, ktorým je hospodársky rok, ktorý začal v roku 2019 a skončil v roku 2020, sa § 17 ods. 19 písm. d) v znení účinnom do 31. decembra 2019 použije na výdavky (náklady) za odplaty (provízie) zaúčtované najneskôr do konca tohto hospodárskeho roka. Podľa prechodného ustanovenia sa na výdavky (náklady) na získanie noriem a certifikátov, ktoré boli zaevidované v evidencii podľa § 6 ods. 11 alebo  boli zaúčtované do 31. decembra 2019 uplatní postupné zahrňovanie do základu dane (36 mesiacov) podľa § 17 ods. 19 písm. g) v znení účinnom do 31. decembra 2019, aj po 31. decembri 2019. U daňovníka, ktorého zdaňovacím obdobím je hospodársky rok, ktorý začal v roku 2019 a skončí v roku 2020, sa § 17 ods. 19 písm. g) v znení účinnom do 31. decembra 2019 použije na výdavky (náklady) na získanie noriem a certifikátov, ktoré boli zaúčtované najneskôr do konca tohto hospodárskeho roka. </w:t>
      </w:r>
    </w:p>
    <w:p w:rsidR="00DE73E5" w:rsidRPr="00EA543A" w:rsidRDefault="00DE73E5" w:rsidP="00BA62B0">
      <w:pPr>
        <w:spacing w:after="0" w:line="240" w:lineRule="auto"/>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b/>
          <w:sz w:val="24"/>
          <w:szCs w:val="24"/>
          <w:lang w:eastAsia="sk-SK"/>
        </w:rPr>
        <w:t>K</w:t>
      </w:r>
      <w:r w:rsidR="00A44832" w:rsidRPr="00EA543A">
        <w:rPr>
          <w:rFonts w:ascii="Times New Roman" w:eastAsia="Times New Roman" w:hAnsi="Times New Roman" w:cs="Times New Roman"/>
          <w:b/>
          <w:sz w:val="24"/>
          <w:szCs w:val="24"/>
          <w:lang w:eastAsia="sk-SK"/>
        </w:rPr>
        <w:t xml:space="preserve"> odseku </w:t>
      </w:r>
      <w:r w:rsidR="00DF4409" w:rsidRPr="00EA543A">
        <w:rPr>
          <w:rFonts w:ascii="Times New Roman" w:eastAsia="Times New Roman" w:hAnsi="Times New Roman" w:cs="Times New Roman"/>
          <w:b/>
          <w:sz w:val="24"/>
          <w:szCs w:val="24"/>
          <w:lang w:eastAsia="sk-SK"/>
        </w:rPr>
        <w:t>9</w:t>
      </w:r>
      <w:r w:rsidRPr="00EA543A">
        <w:rPr>
          <w:rFonts w:ascii="Times New Roman" w:eastAsia="Times New Roman" w:hAnsi="Times New Roman" w:cs="Times New Roman"/>
          <w:sz w:val="24"/>
          <w:szCs w:val="24"/>
          <w:lang w:eastAsia="sk-SK"/>
        </w:rPr>
        <w:t xml:space="preserve"> - Upravené ustanovenia upravujúce odpis resp. postúpenie pohľadávky nadobudnutej v rámci podnikových kombinácií ocenenej v reálnej hodnote § 17a ods. 7, § 17b ods. 6 písm. a) a b), § 17c ods. 4 písm. a) a b) a § 20 ods. 3 sa v nadväznosti na úpravu podmienky </w:t>
      </w:r>
      <w:proofErr w:type="spellStart"/>
      <w:r w:rsidRPr="00EA543A">
        <w:rPr>
          <w:rFonts w:ascii="Times New Roman" w:eastAsia="Times New Roman" w:hAnsi="Times New Roman" w:cs="Times New Roman"/>
          <w:sz w:val="24"/>
          <w:szCs w:val="24"/>
          <w:lang w:eastAsia="sk-SK"/>
        </w:rPr>
        <w:t>premlčanosti</w:t>
      </w:r>
      <w:proofErr w:type="spellEnd"/>
      <w:r w:rsidRPr="00EA543A">
        <w:rPr>
          <w:rFonts w:ascii="Times New Roman" w:eastAsia="Times New Roman" w:hAnsi="Times New Roman" w:cs="Times New Roman"/>
          <w:sz w:val="24"/>
          <w:szCs w:val="24"/>
          <w:lang w:eastAsia="sk-SK"/>
        </w:rPr>
        <w:t xml:space="preserve"> po prvýkrát použijú v zdaňovacom období, ktoré sa začína po 31. decembri 2019. </w:t>
      </w:r>
    </w:p>
    <w:p w:rsidR="00DE73E5" w:rsidRPr="00EA543A" w:rsidRDefault="00DE73E5" w:rsidP="00BA62B0">
      <w:pPr>
        <w:spacing w:after="0" w:line="240" w:lineRule="auto"/>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b/>
          <w:sz w:val="24"/>
          <w:szCs w:val="24"/>
          <w:lang w:eastAsia="sk-SK"/>
        </w:rPr>
        <w:t>K</w:t>
      </w:r>
      <w:r w:rsidR="00A44832" w:rsidRPr="00EA543A">
        <w:rPr>
          <w:rFonts w:ascii="Times New Roman" w:eastAsia="Times New Roman" w:hAnsi="Times New Roman" w:cs="Times New Roman"/>
          <w:b/>
          <w:sz w:val="24"/>
          <w:szCs w:val="24"/>
          <w:lang w:eastAsia="sk-SK"/>
        </w:rPr>
        <w:t xml:space="preserve"> odseku </w:t>
      </w:r>
      <w:r w:rsidR="009863E8" w:rsidRPr="00EA543A">
        <w:rPr>
          <w:rFonts w:ascii="Times New Roman" w:eastAsia="Times New Roman" w:hAnsi="Times New Roman" w:cs="Times New Roman"/>
          <w:b/>
          <w:sz w:val="24"/>
          <w:szCs w:val="24"/>
          <w:lang w:eastAsia="sk-SK"/>
        </w:rPr>
        <w:t>10</w:t>
      </w:r>
      <w:r w:rsidRPr="00EA543A">
        <w:rPr>
          <w:rFonts w:ascii="Times New Roman" w:eastAsia="Times New Roman" w:hAnsi="Times New Roman" w:cs="Times New Roman"/>
          <w:sz w:val="24"/>
          <w:szCs w:val="24"/>
          <w:lang w:eastAsia="sk-SK"/>
        </w:rPr>
        <w:t xml:space="preserve"> - Ustanovenie § 17i a § 45 ods. </w:t>
      </w:r>
      <w:r w:rsidR="005F55C3" w:rsidRPr="00EA543A">
        <w:rPr>
          <w:rFonts w:ascii="Times New Roman" w:eastAsia="Times New Roman" w:hAnsi="Times New Roman" w:cs="Times New Roman"/>
          <w:sz w:val="24"/>
          <w:szCs w:val="24"/>
          <w:lang w:eastAsia="sk-SK"/>
        </w:rPr>
        <w:t>5</w:t>
      </w:r>
      <w:r w:rsidRPr="00EA543A">
        <w:rPr>
          <w:rFonts w:ascii="Times New Roman" w:eastAsia="Times New Roman" w:hAnsi="Times New Roman" w:cs="Times New Roman"/>
          <w:sz w:val="24"/>
          <w:szCs w:val="24"/>
          <w:lang w:eastAsia="sk-SK"/>
        </w:rPr>
        <w:t xml:space="preserve"> sa po prvýkrát použijú v zdaňovacom období, ktoré sa začína najskôr po 31. decembri 2019.</w:t>
      </w:r>
    </w:p>
    <w:p w:rsidR="005F55C3" w:rsidRPr="00EA543A" w:rsidRDefault="005F55C3" w:rsidP="00BA62B0">
      <w:pPr>
        <w:spacing w:after="0" w:line="240" w:lineRule="auto"/>
        <w:jc w:val="both"/>
        <w:rPr>
          <w:rFonts w:ascii="Times New Roman" w:hAnsi="Times New Roman" w:cs="Times New Roman"/>
          <w:sz w:val="24"/>
          <w:szCs w:val="24"/>
        </w:rPr>
      </w:pPr>
      <w:r w:rsidRPr="00EA543A">
        <w:rPr>
          <w:rFonts w:ascii="Times New Roman" w:eastAsia="Times New Roman" w:hAnsi="Times New Roman" w:cs="Times New Roman"/>
          <w:b/>
          <w:sz w:val="24"/>
          <w:szCs w:val="24"/>
          <w:lang w:eastAsia="sk-SK"/>
        </w:rPr>
        <w:t>K odseku 11</w:t>
      </w:r>
      <w:r w:rsidRPr="00EA543A">
        <w:rPr>
          <w:rFonts w:ascii="Times New Roman" w:eastAsia="Times New Roman" w:hAnsi="Times New Roman" w:cs="Times New Roman"/>
          <w:sz w:val="24"/>
          <w:szCs w:val="24"/>
          <w:lang w:eastAsia="sk-SK"/>
        </w:rPr>
        <w:t xml:space="preserve"> </w:t>
      </w:r>
      <w:r w:rsidRPr="00EA543A">
        <w:rPr>
          <w:rFonts w:ascii="Times New Roman" w:hAnsi="Times New Roman" w:cs="Times New Roman"/>
          <w:b/>
          <w:bCs/>
          <w:sz w:val="24"/>
          <w:szCs w:val="24"/>
        </w:rPr>
        <w:t>–</w:t>
      </w:r>
      <w:r w:rsidRPr="00EA543A">
        <w:rPr>
          <w:rFonts w:ascii="Times New Roman" w:hAnsi="Times New Roman" w:cs="Times New Roman"/>
          <w:sz w:val="24"/>
          <w:szCs w:val="24"/>
        </w:rPr>
        <w:t xml:space="preserve"> Nova daňovo uznaná rezerva k lesnej </w:t>
      </w:r>
      <w:proofErr w:type="spellStart"/>
      <w:r w:rsidRPr="00EA543A">
        <w:rPr>
          <w:rFonts w:ascii="Times New Roman" w:hAnsi="Times New Roman" w:cs="Times New Roman"/>
          <w:sz w:val="24"/>
          <w:szCs w:val="24"/>
        </w:rPr>
        <w:t>pestovnej</w:t>
      </w:r>
      <w:proofErr w:type="spellEnd"/>
      <w:r w:rsidRPr="00EA543A">
        <w:rPr>
          <w:rFonts w:ascii="Times New Roman" w:hAnsi="Times New Roman" w:cs="Times New Roman"/>
          <w:sz w:val="24"/>
          <w:szCs w:val="24"/>
        </w:rPr>
        <w:t xml:space="preserve"> činnosti v súlade so schváleným projektom lesnej </w:t>
      </w:r>
      <w:proofErr w:type="spellStart"/>
      <w:r w:rsidRPr="00EA543A">
        <w:rPr>
          <w:rFonts w:ascii="Times New Roman" w:hAnsi="Times New Roman" w:cs="Times New Roman"/>
          <w:sz w:val="24"/>
          <w:szCs w:val="24"/>
        </w:rPr>
        <w:t>pestovnej</w:t>
      </w:r>
      <w:proofErr w:type="spellEnd"/>
      <w:r w:rsidRPr="00EA543A">
        <w:rPr>
          <w:rFonts w:ascii="Times New Roman" w:hAnsi="Times New Roman" w:cs="Times New Roman"/>
          <w:sz w:val="24"/>
          <w:szCs w:val="24"/>
        </w:rPr>
        <w:t xml:space="preserve"> činnosti do obdobia prvej </w:t>
      </w:r>
      <w:proofErr w:type="spellStart"/>
      <w:r w:rsidRPr="00EA543A">
        <w:rPr>
          <w:rFonts w:ascii="Times New Roman" w:hAnsi="Times New Roman" w:cs="Times New Roman"/>
          <w:sz w:val="24"/>
          <w:szCs w:val="24"/>
        </w:rPr>
        <w:t>prečistky</w:t>
      </w:r>
      <w:proofErr w:type="spellEnd"/>
      <w:r w:rsidRPr="00EA543A">
        <w:rPr>
          <w:rFonts w:ascii="Times New Roman" w:hAnsi="Times New Roman" w:cs="Times New Roman"/>
          <w:sz w:val="24"/>
          <w:szCs w:val="24"/>
        </w:rPr>
        <w:t xml:space="preserve"> mladého lesného porastu bude daňovým výdavkom najskôr v zdaňovacom období, ktoré sa začína po 31. decembri 2019.</w:t>
      </w:r>
    </w:p>
    <w:p w:rsidR="005F55C3" w:rsidRPr="00EA543A" w:rsidRDefault="00DD7092" w:rsidP="00BA62B0">
      <w:pPr>
        <w:spacing w:after="0" w:line="240" w:lineRule="auto"/>
        <w:jc w:val="both"/>
        <w:rPr>
          <w:rFonts w:ascii="Times New Roman" w:hAnsi="Times New Roman" w:cs="Times New Roman"/>
          <w:sz w:val="24"/>
          <w:szCs w:val="24"/>
        </w:rPr>
      </w:pPr>
      <w:r w:rsidRPr="00EA543A">
        <w:rPr>
          <w:rFonts w:ascii="Times New Roman" w:eastAsia="Times New Roman" w:hAnsi="Times New Roman" w:cs="Times New Roman"/>
          <w:b/>
          <w:sz w:val="24"/>
          <w:szCs w:val="24"/>
          <w:lang w:eastAsia="sk-SK"/>
        </w:rPr>
        <w:t>K odseku 12</w:t>
      </w:r>
      <w:r w:rsidRPr="00EA543A">
        <w:rPr>
          <w:rFonts w:ascii="Times New Roman" w:eastAsia="Times New Roman" w:hAnsi="Times New Roman" w:cs="Times New Roman"/>
          <w:sz w:val="24"/>
          <w:szCs w:val="24"/>
          <w:lang w:eastAsia="sk-SK"/>
        </w:rPr>
        <w:t xml:space="preserve"> </w:t>
      </w:r>
      <w:r w:rsidR="005F55C3" w:rsidRPr="00EA543A">
        <w:rPr>
          <w:rFonts w:ascii="Times New Roman" w:hAnsi="Times New Roman" w:cs="Times New Roman"/>
          <w:sz w:val="24"/>
          <w:szCs w:val="24"/>
        </w:rPr>
        <w:t xml:space="preserve">– V tvorbe rezervy k lesnej </w:t>
      </w:r>
      <w:proofErr w:type="spellStart"/>
      <w:r w:rsidR="005F55C3" w:rsidRPr="00EA543A">
        <w:rPr>
          <w:rFonts w:ascii="Times New Roman" w:hAnsi="Times New Roman" w:cs="Times New Roman"/>
          <w:sz w:val="24"/>
          <w:szCs w:val="24"/>
        </w:rPr>
        <w:t>pestovnej</w:t>
      </w:r>
      <w:proofErr w:type="spellEnd"/>
      <w:r w:rsidR="005F55C3" w:rsidRPr="00EA543A">
        <w:rPr>
          <w:rFonts w:ascii="Times New Roman" w:hAnsi="Times New Roman" w:cs="Times New Roman"/>
          <w:sz w:val="24"/>
          <w:szCs w:val="24"/>
        </w:rPr>
        <w:t xml:space="preserve"> činnosti na obdobie do doby zabezpečenia mladého lestného porastu podľa § 20 ods. 6 zákona č. 326/2005 Z. z. o lesoch v znení neskorších predpisov môže daňovník pokračovať aj po 31. decembri 2019 podľa § 20 ods. 9 písm. b) v znení účinnom do 31. decembra 2019.</w:t>
      </w:r>
    </w:p>
    <w:p w:rsidR="006C21AD" w:rsidRPr="00EA543A" w:rsidRDefault="006C21AD" w:rsidP="00BA62B0">
      <w:pPr>
        <w:spacing w:after="0" w:line="240" w:lineRule="auto"/>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b/>
          <w:sz w:val="24"/>
          <w:szCs w:val="24"/>
          <w:lang w:eastAsia="sk-SK"/>
        </w:rPr>
        <w:t>K odseku</w:t>
      </w:r>
      <w:r w:rsidRPr="00EA543A">
        <w:rPr>
          <w:rFonts w:ascii="Times New Roman" w:eastAsia="Times New Roman" w:hAnsi="Times New Roman" w:cs="Times New Roman"/>
          <w:sz w:val="24"/>
          <w:szCs w:val="24"/>
          <w:lang w:eastAsia="sk-SK"/>
        </w:rPr>
        <w:t xml:space="preserve"> </w:t>
      </w:r>
      <w:r w:rsidR="009863E8" w:rsidRPr="00EA543A">
        <w:rPr>
          <w:rFonts w:ascii="Times New Roman" w:eastAsia="Times New Roman" w:hAnsi="Times New Roman" w:cs="Times New Roman"/>
          <w:b/>
          <w:sz w:val="24"/>
          <w:szCs w:val="24"/>
          <w:lang w:eastAsia="sk-SK"/>
        </w:rPr>
        <w:t>13</w:t>
      </w:r>
      <w:r w:rsidR="009863E8" w:rsidRPr="00EA543A">
        <w:rPr>
          <w:rFonts w:ascii="Times New Roman" w:eastAsia="Times New Roman" w:hAnsi="Times New Roman" w:cs="Times New Roman"/>
          <w:sz w:val="24"/>
          <w:szCs w:val="24"/>
          <w:lang w:eastAsia="sk-SK"/>
        </w:rPr>
        <w:t xml:space="preserve"> </w:t>
      </w:r>
      <w:r w:rsidRPr="00EA543A">
        <w:rPr>
          <w:rFonts w:ascii="Times New Roman" w:eastAsia="Times New Roman" w:hAnsi="Times New Roman" w:cs="Times New Roman"/>
          <w:sz w:val="24"/>
          <w:szCs w:val="24"/>
          <w:lang w:eastAsia="sk-SK"/>
        </w:rPr>
        <w:t>– U daňovníka, ktorého zdaňovacím obdobím je kalendárny rok sa ustanoveni</w:t>
      </w:r>
      <w:r w:rsidR="00D92EDC" w:rsidRPr="00EA543A">
        <w:rPr>
          <w:rFonts w:ascii="Times New Roman" w:eastAsia="Times New Roman" w:hAnsi="Times New Roman" w:cs="Times New Roman"/>
          <w:sz w:val="24"/>
          <w:szCs w:val="24"/>
          <w:lang w:eastAsia="sk-SK"/>
        </w:rPr>
        <w:t>a</w:t>
      </w:r>
      <w:r w:rsidRPr="00EA543A">
        <w:rPr>
          <w:rFonts w:ascii="Times New Roman" w:eastAsia="Times New Roman" w:hAnsi="Times New Roman" w:cs="Times New Roman"/>
          <w:sz w:val="24"/>
          <w:szCs w:val="24"/>
          <w:lang w:eastAsia="sk-SK"/>
        </w:rPr>
        <w:t xml:space="preserve"> § 21 ods. 1 písm. l)</w:t>
      </w:r>
      <w:r w:rsidR="00D92EDC" w:rsidRPr="00EA543A">
        <w:rPr>
          <w:rFonts w:ascii="Times New Roman" w:eastAsia="Times New Roman" w:hAnsi="Times New Roman" w:cs="Times New Roman"/>
          <w:sz w:val="24"/>
          <w:szCs w:val="24"/>
          <w:lang w:eastAsia="sk-SK"/>
        </w:rPr>
        <w:t xml:space="preserve"> a ods. 2 písm. o)</w:t>
      </w:r>
      <w:r w:rsidRPr="00EA543A">
        <w:rPr>
          <w:rFonts w:ascii="Times New Roman" w:eastAsia="Times New Roman" w:hAnsi="Times New Roman" w:cs="Times New Roman"/>
          <w:sz w:val="24"/>
          <w:szCs w:val="24"/>
          <w:lang w:eastAsia="sk-SK"/>
        </w:rPr>
        <w:t xml:space="preserve"> </w:t>
      </w:r>
      <w:r w:rsidR="00DF4409" w:rsidRPr="00EA543A">
        <w:rPr>
          <w:rFonts w:ascii="Times New Roman" w:eastAsia="Times New Roman" w:hAnsi="Times New Roman" w:cs="Times New Roman"/>
          <w:sz w:val="24"/>
          <w:szCs w:val="24"/>
          <w:lang w:eastAsia="sk-SK"/>
        </w:rPr>
        <w:t xml:space="preserve">v znení účinnom do 31. decembra 2019 </w:t>
      </w:r>
      <w:r w:rsidRPr="00EA543A">
        <w:rPr>
          <w:rFonts w:ascii="Times New Roman" w:eastAsia="Times New Roman" w:hAnsi="Times New Roman" w:cs="Times New Roman"/>
          <w:sz w:val="24"/>
          <w:szCs w:val="24"/>
          <w:lang w:eastAsia="sk-SK"/>
        </w:rPr>
        <w:t>uplatn</w:t>
      </w:r>
      <w:r w:rsidR="00D92EDC" w:rsidRPr="00EA543A">
        <w:rPr>
          <w:rFonts w:ascii="Times New Roman" w:eastAsia="Times New Roman" w:hAnsi="Times New Roman" w:cs="Times New Roman"/>
          <w:sz w:val="24"/>
          <w:szCs w:val="24"/>
          <w:lang w:eastAsia="sk-SK"/>
        </w:rPr>
        <w:t>ia</w:t>
      </w:r>
      <w:r w:rsidRPr="00EA543A">
        <w:rPr>
          <w:rFonts w:ascii="Times New Roman" w:eastAsia="Times New Roman" w:hAnsi="Times New Roman" w:cs="Times New Roman"/>
          <w:sz w:val="24"/>
          <w:szCs w:val="24"/>
          <w:lang w:eastAsia="sk-SK"/>
        </w:rPr>
        <w:t xml:space="preserve"> na výdavky </w:t>
      </w:r>
      <w:r w:rsidRPr="00EA543A">
        <w:rPr>
          <w:rFonts w:ascii="Times New Roman" w:eastAsia="Times New Roman" w:hAnsi="Times New Roman" w:cs="Times New Roman"/>
          <w:sz w:val="24"/>
          <w:szCs w:val="24"/>
          <w:lang w:eastAsia="sk-SK"/>
        </w:rPr>
        <w:lastRenderedPageBreak/>
        <w:t xml:space="preserve">(náklady), ktoré mu vzniknú najneskôr v zdaňovacom období, ktoré sa končí 31. decembra 2019. U daňovníka, ktorého zdaňovacím obdobím je hospodársky rok, budú tieto výdavky nedaňovými výdavkami najneskôr v zdaňovacom období hospodárskeho roka, ktorý začal najneskôr v roku 2019 končí po 31. decembri 2019. </w:t>
      </w:r>
    </w:p>
    <w:p w:rsidR="00DF4409" w:rsidRPr="00EA543A" w:rsidRDefault="00DF4409" w:rsidP="00BA62B0">
      <w:pPr>
        <w:spacing w:after="0" w:line="240" w:lineRule="auto"/>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b/>
          <w:sz w:val="24"/>
          <w:szCs w:val="24"/>
          <w:lang w:eastAsia="sk-SK"/>
        </w:rPr>
        <w:t xml:space="preserve">K odseku 14 </w:t>
      </w:r>
      <w:r w:rsidRPr="00EA543A">
        <w:rPr>
          <w:rFonts w:ascii="Times New Roman" w:eastAsia="Times New Roman" w:hAnsi="Times New Roman" w:cs="Times New Roman"/>
          <w:sz w:val="24"/>
          <w:szCs w:val="24"/>
          <w:lang w:eastAsia="sk-SK"/>
        </w:rPr>
        <w:t>- Zmluvné pokuty, poplatky z omeškania, úroky z omeškania, paušálne náhrady nákladov spojené s uplatnením pohľadávky u dlžníka, ktoré vznikli alebo boli zaúčtované do 31. decembra 2019, budú naďalej považované za nedaňový výdavok podľa § 21 ods. 2 písm. m), aj keď budú uhradené po 31. decembri 2019 (ak ide o daňovníka, ktorého zdaňovacím obdobím je kalendárny rok).</w:t>
      </w:r>
      <w:r w:rsidRPr="00EA543A">
        <w:rPr>
          <w:rFonts w:ascii="Times New Roman" w:hAnsi="Times New Roman" w:cs="Times New Roman"/>
          <w:sz w:val="24"/>
          <w:szCs w:val="24"/>
        </w:rPr>
        <w:t xml:space="preserve"> </w:t>
      </w:r>
      <w:r w:rsidRPr="00EA543A">
        <w:rPr>
          <w:rFonts w:ascii="Times New Roman" w:eastAsia="Times New Roman" w:hAnsi="Times New Roman" w:cs="Times New Roman"/>
          <w:sz w:val="24"/>
          <w:szCs w:val="24"/>
          <w:lang w:eastAsia="sk-SK"/>
        </w:rPr>
        <w:t>V prípade zdaňovacieho obdobia, ktorým je hospodársky rok, ktorý začal v roku 2019 a skončil v roku 2020, sa § 21 ods. 2 písm. m) v znení účinnom do 31. decembra 2019 použije na zmluvné pokuty, poplatky z omeškania, úroky z omeškania, paušálne náhrady nákladov spojené s uplatnením pohľadávky u dlžníka zaúčtované najneskôr do konca tohto hospodárskeho roka.</w:t>
      </w:r>
    </w:p>
    <w:p w:rsidR="003B48E5" w:rsidRPr="00EA543A" w:rsidRDefault="00A44832"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b/>
          <w:sz w:val="24"/>
          <w:szCs w:val="24"/>
        </w:rPr>
        <w:t>K </w:t>
      </w:r>
      <w:r w:rsidRPr="00EA543A">
        <w:rPr>
          <w:rFonts w:ascii="Times New Roman" w:eastAsia="Times New Roman" w:hAnsi="Times New Roman" w:cs="Times New Roman"/>
          <w:b/>
          <w:sz w:val="24"/>
          <w:szCs w:val="24"/>
          <w:lang w:eastAsia="sk-SK"/>
        </w:rPr>
        <w:t>odseku</w:t>
      </w:r>
      <w:r w:rsidRPr="00EA543A">
        <w:rPr>
          <w:rFonts w:ascii="Times New Roman" w:hAnsi="Times New Roman" w:cs="Times New Roman"/>
          <w:b/>
          <w:sz w:val="24"/>
          <w:szCs w:val="24"/>
        </w:rPr>
        <w:t xml:space="preserve"> 1</w:t>
      </w:r>
      <w:r w:rsidR="00CD0B27" w:rsidRPr="00EA543A">
        <w:rPr>
          <w:rFonts w:ascii="Times New Roman" w:hAnsi="Times New Roman" w:cs="Times New Roman"/>
          <w:b/>
          <w:sz w:val="24"/>
          <w:szCs w:val="24"/>
        </w:rPr>
        <w:t>5</w:t>
      </w:r>
      <w:r w:rsidRPr="00EA543A">
        <w:rPr>
          <w:rFonts w:ascii="Times New Roman" w:hAnsi="Times New Roman" w:cs="Times New Roman"/>
          <w:sz w:val="24"/>
          <w:szCs w:val="24"/>
        </w:rPr>
        <w:t xml:space="preserve"> - </w:t>
      </w:r>
      <w:r w:rsidR="00A40A6A" w:rsidRPr="00EA543A">
        <w:rPr>
          <w:rFonts w:ascii="Times New Roman" w:hAnsi="Times New Roman" w:cs="Times New Roman"/>
          <w:sz w:val="24"/>
          <w:szCs w:val="24"/>
        </w:rPr>
        <w:t xml:space="preserve">Prechodné ustanovenie umožňuje postupovať pri odpisovaní elektromobilov zvýhodneným spôsobom počas 2 rokov už v tom zdaňovacom období, za ktoré sa podáva daňové priznanie po 31. 12. 2019. Zvýhodnený spôsob odpisovania je možné použiť aj na tie elektromobily, ktoré boli už  k 31. 12. 2018 obstarané, zaradené do užívania alebo sa z nich uplatňovali odpisy, pričom daňové odpisy uplatnené v predchádzajúcich rokoch sa spätne neupravujú. </w:t>
      </w:r>
    </w:p>
    <w:p w:rsidR="00EA65DE" w:rsidRPr="00EA543A" w:rsidRDefault="00A44832"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b/>
          <w:sz w:val="24"/>
          <w:szCs w:val="24"/>
        </w:rPr>
        <w:t>K odseku 1</w:t>
      </w:r>
      <w:r w:rsidR="00CD0B27" w:rsidRPr="00EA543A">
        <w:rPr>
          <w:rFonts w:ascii="Times New Roman" w:hAnsi="Times New Roman" w:cs="Times New Roman"/>
          <w:b/>
          <w:sz w:val="24"/>
          <w:szCs w:val="24"/>
        </w:rPr>
        <w:t>6</w:t>
      </w:r>
      <w:r w:rsidRPr="00EA543A">
        <w:rPr>
          <w:rFonts w:ascii="Times New Roman" w:hAnsi="Times New Roman" w:cs="Times New Roman"/>
          <w:b/>
          <w:sz w:val="24"/>
          <w:szCs w:val="24"/>
        </w:rPr>
        <w:t xml:space="preserve"> </w:t>
      </w:r>
      <w:r w:rsidRPr="00EA543A">
        <w:rPr>
          <w:rFonts w:ascii="Times New Roman" w:hAnsi="Times New Roman" w:cs="Times New Roman"/>
          <w:sz w:val="24"/>
          <w:szCs w:val="24"/>
        </w:rPr>
        <w:t xml:space="preserve">- </w:t>
      </w:r>
      <w:r w:rsidR="00A40A6A" w:rsidRPr="00EA543A">
        <w:rPr>
          <w:rFonts w:ascii="Times New Roman" w:hAnsi="Times New Roman" w:cs="Times New Roman"/>
          <w:sz w:val="24"/>
          <w:szCs w:val="24"/>
        </w:rPr>
        <w:t>Podľa prechodného ustanovenia sa umožňuje odpočet daňovej straty podľa nových podmienok platných a účinných od 1. 1. 2020 na daňové straty, ktoré sú vykázané za zdaňovacie obdobia, ktoré začínajú najskôr 1. 1. 2020 a prípade daňovníkov s hospodárskym rokom na daňové straty, ktoré sú vykázané za zdaňovacie obdobie, ktoré začne v priebehu kalendárneho roka 2020.</w:t>
      </w:r>
    </w:p>
    <w:p w:rsidR="00EA65DE" w:rsidRPr="00EA543A" w:rsidRDefault="00A44832" w:rsidP="00BA62B0">
      <w:pPr>
        <w:pStyle w:val="Odsekzoznamu"/>
        <w:spacing w:after="0" w:line="240" w:lineRule="auto"/>
        <w:ind w:left="0"/>
        <w:jc w:val="both"/>
        <w:rPr>
          <w:rFonts w:ascii="Times New Roman" w:hAnsi="Times New Roman" w:cs="Times New Roman"/>
          <w:sz w:val="24"/>
          <w:szCs w:val="24"/>
        </w:rPr>
      </w:pPr>
      <w:r w:rsidRPr="00EA543A">
        <w:rPr>
          <w:rFonts w:ascii="Times New Roman" w:hAnsi="Times New Roman" w:cs="Times New Roman"/>
          <w:b/>
          <w:sz w:val="24"/>
          <w:szCs w:val="24"/>
        </w:rPr>
        <w:t>K odseku 1</w:t>
      </w:r>
      <w:r w:rsidR="00CD0B27" w:rsidRPr="00EA543A">
        <w:rPr>
          <w:rFonts w:ascii="Times New Roman" w:hAnsi="Times New Roman" w:cs="Times New Roman"/>
          <w:b/>
          <w:sz w:val="24"/>
          <w:szCs w:val="24"/>
        </w:rPr>
        <w:t>7</w:t>
      </w:r>
      <w:r w:rsidRPr="00EA543A">
        <w:rPr>
          <w:rFonts w:ascii="Times New Roman" w:hAnsi="Times New Roman" w:cs="Times New Roman"/>
          <w:sz w:val="24"/>
          <w:szCs w:val="24"/>
        </w:rPr>
        <w:t xml:space="preserve"> - </w:t>
      </w:r>
      <w:r w:rsidR="00EA65DE" w:rsidRPr="00EA543A">
        <w:rPr>
          <w:rFonts w:ascii="Times New Roman" w:hAnsi="Times New Roman" w:cs="Times New Roman"/>
          <w:sz w:val="24"/>
          <w:szCs w:val="24"/>
        </w:rPr>
        <w:t xml:space="preserve">Zmenou v § 30c ods. 1 sa navrhuje postupné zvýšenie odpočtu výdavkov (nákladov) na výskum a vývoj u daňovníka, ktorý realizuje projekt výskumu a vývoja z doterajšej úrovne 100 % až na 200 %. Pri podaní daňového priznania za zdaňovacie obdobie, ktoré začalo najskôr 1. januára 2019 a za ktoré sa daňové priznanie podáva po 31. decembri 2019 sa uplatní výška odpočtu 150 %. Zvýšenie odpočtu výdavkov (nákladov) na výskum a vývoj podľa § 30c ods. 1 vo výške 200 % sa prvýkrát uplatní za zdaňovacie obdobie, ktoré začína najskôr 1. januára 2020. Výška odpočtu z tzv. medziročného prírastku výdavkov (nákladov) na výskum a vývoj podľa § 30c ods. 2 ostáva nezmenená. </w:t>
      </w:r>
    </w:p>
    <w:p w:rsidR="00E12407" w:rsidRPr="00EA543A" w:rsidRDefault="00E12407"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b/>
          <w:sz w:val="24"/>
          <w:szCs w:val="24"/>
        </w:rPr>
        <w:t xml:space="preserve">K odseku </w:t>
      </w:r>
      <w:r w:rsidR="009863E8" w:rsidRPr="00EA543A">
        <w:rPr>
          <w:rFonts w:ascii="Times New Roman" w:hAnsi="Times New Roman" w:cs="Times New Roman"/>
          <w:b/>
          <w:sz w:val="24"/>
          <w:szCs w:val="24"/>
        </w:rPr>
        <w:t>1</w:t>
      </w:r>
      <w:r w:rsidR="00CD0B27" w:rsidRPr="00EA543A">
        <w:rPr>
          <w:rFonts w:ascii="Times New Roman" w:hAnsi="Times New Roman" w:cs="Times New Roman"/>
          <w:b/>
          <w:sz w:val="24"/>
          <w:szCs w:val="24"/>
        </w:rPr>
        <w:t>8</w:t>
      </w:r>
      <w:r w:rsidRPr="00EA543A">
        <w:rPr>
          <w:rFonts w:ascii="Times New Roman" w:hAnsi="Times New Roman" w:cs="Times New Roman"/>
          <w:b/>
          <w:sz w:val="24"/>
          <w:szCs w:val="24"/>
        </w:rPr>
        <w:t xml:space="preserve"> - </w:t>
      </w:r>
      <w:r w:rsidRPr="00EA543A">
        <w:rPr>
          <w:rFonts w:ascii="Times New Roman" w:hAnsi="Times New Roman" w:cs="Times New Roman"/>
          <w:sz w:val="24"/>
          <w:szCs w:val="24"/>
        </w:rPr>
        <w:t>Ustanovuje sa prvé najskoršie použitie zmenených ustanovení § 30c ods. 7 a 9 v znení účinnom od 1. januára 2020. Tieto ustanovenia sa prvýkrát použijú pri projekte výskumu a vývoja, ktorý sa začne realizovať v zdaňovacom období, ktoré začalo najskôr 1. januára 2020.</w:t>
      </w:r>
    </w:p>
    <w:p w:rsidR="00A40A6A" w:rsidRPr="00EA543A" w:rsidRDefault="00A44832" w:rsidP="00BA62B0">
      <w:pPr>
        <w:pStyle w:val="Odsekzoznamu"/>
        <w:spacing w:after="0" w:line="240" w:lineRule="auto"/>
        <w:ind w:left="0"/>
        <w:jc w:val="both"/>
        <w:rPr>
          <w:rFonts w:ascii="Times New Roman" w:hAnsi="Times New Roman" w:cs="Times New Roman"/>
          <w:sz w:val="24"/>
          <w:szCs w:val="24"/>
        </w:rPr>
      </w:pPr>
      <w:r w:rsidRPr="00EA543A">
        <w:rPr>
          <w:rFonts w:ascii="Times New Roman" w:hAnsi="Times New Roman" w:cs="Times New Roman"/>
          <w:b/>
          <w:sz w:val="24"/>
          <w:szCs w:val="24"/>
        </w:rPr>
        <w:t xml:space="preserve">K odseku </w:t>
      </w:r>
      <w:r w:rsidR="001B4BF9" w:rsidRPr="00EA543A">
        <w:rPr>
          <w:rFonts w:ascii="Times New Roman" w:hAnsi="Times New Roman" w:cs="Times New Roman"/>
          <w:b/>
          <w:sz w:val="24"/>
          <w:szCs w:val="24"/>
        </w:rPr>
        <w:t>2</w:t>
      </w:r>
      <w:r w:rsidR="00CD0B27" w:rsidRPr="00EA543A">
        <w:rPr>
          <w:rFonts w:ascii="Times New Roman" w:hAnsi="Times New Roman" w:cs="Times New Roman"/>
          <w:b/>
          <w:sz w:val="24"/>
          <w:szCs w:val="24"/>
        </w:rPr>
        <w:t>1</w:t>
      </w:r>
      <w:r w:rsidRPr="00EA543A">
        <w:rPr>
          <w:rFonts w:ascii="Times New Roman" w:hAnsi="Times New Roman" w:cs="Times New Roman"/>
          <w:sz w:val="24"/>
          <w:szCs w:val="24"/>
        </w:rPr>
        <w:t xml:space="preserve"> - </w:t>
      </w:r>
      <w:r w:rsidR="00A40A6A" w:rsidRPr="00EA543A">
        <w:rPr>
          <w:rFonts w:ascii="Times New Roman" w:hAnsi="Times New Roman" w:cs="Times New Roman"/>
          <w:sz w:val="24"/>
          <w:szCs w:val="24"/>
        </w:rPr>
        <w:t>Podľa prechodného ustanovenia sa zvýšená hranica pre platenie preddavkov na daň z príjmov právnických osôb podľa § 42 ods. 2 a 3 použije prvýkrát v zdaňovacom období, ktoré začína najskôr 1. 1. 2020.</w:t>
      </w:r>
    </w:p>
    <w:p w:rsidR="00155163" w:rsidRPr="00EA543A" w:rsidRDefault="00155163"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b/>
          <w:sz w:val="24"/>
          <w:szCs w:val="24"/>
        </w:rPr>
        <w:t xml:space="preserve">K odseku </w:t>
      </w:r>
      <w:r w:rsidR="001B4BF9" w:rsidRPr="00EA543A">
        <w:rPr>
          <w:rFonts w:ascii="Times New Roman" w:hAnsi="Times New Roman" w:cs="Times New Roman"/>
          <w:b/>
          <w:sz w:val="24"/>
          <w:szCs w:val="24"/>
        </w:rPr>
        <w:t>2</w:t>
      </w:r>
      <w:r w:rsidR="00CD0B27" w:rsidRPr="00EA543A">
        <w:rPr>
          <w:rFonts w:ascii="Times New Roman" w:hAnsi="Times New Roman" w:cs="Times New Roman"/>
          <w:b/>
          <w:sz w:val="24"/>
          <w:szCs w:val="24"/>
        </w:rPr>
        <w:t>2</w:t>
      </w:r>
      <w:r w:rsidRPr="00EA543A">
        <w:rPr>
          <w:rFonts w:ascii="Times New Roman" w:hAnsi="Times New Roman" w:cs="Times New Roman"/>
          <w:sz w:val="24"/>
          <w:szCs w:val="24"/>
        </w:rPr>
        <w:t xml:space="preserve"> - Prechodné ustanovenie nadväzuje na vypustenie ustanovenia § 45 ods. 4, ktoré sa zo zákona vypúšťa z dôvodu skončenia platnosti smernice Rady 2003/48/ES o zdaňovaní príjmu z úspor v podobe výplaty úrokov a uplynutia prechodného obdobia pre členský štát (Rakúsko) a tretie krajiny (vrátane závislých území Spojeného kráľovstva a Holandska), ktoré uplatňovali zvýšenú sadzbu zrážkovej dane namiesto výmeny informácií o úrokových príjmoch. Zápočet dane upravený v § 45 ods. 4 bude možné poslednýkrát uplatniť pri podaní daňového priznania za rok 2019. </w:t>
      </w:r>
    </w:p>
    <w:p w:rsidR="00AC078B" w:rsidRPr="00EA543A" w:rsidRDefault="00AC078B" w:rsidP="00BA62B0">
      <w:pPr>
        <w:spacing w:after="0" w:line="240" w:lineRule="auto"/>
        <w:jc w:val="both"/>
        <w:rPr>
          <w:rFonts w:ascii="Times New Roman" w:hAnsi="Times New Roman" w:cs="Times New Roman"/>
          <w:sz w:val="24"/>
          <w:szCs w:val="24"/>
        </w:rPr>
      </w:pPr>
    </w:p>
    <w:p w:rsidR="009863E8" w:rsidRPr="00EA543A" w:rsidRDefault="001B4BF9" w:rsidP="00BA62B0">
      <w:pPr>
        <w:pStyle w:val="Odsekzoznamu"/>
        <w:spacing w:after="0" w:line="240" w:lineRule="auto"/>
        <w:ind w:left="0"/>
        <w:jc w:val="both"/>
        <w:rPr>
          <w:rFonts w:ascii="Times New Roman" w:hAnsi="Times New Roman" w:cs="Times New Roman"/>
          <w:b/>
          <w:sz w:val="24"/>
          <w:szCs w:val="24"/>
        </w:rPr>
      </w:pPr>
      <w:r w:rsidRPr="00EA543A">
        <w:rPr>
          <w:rFonts w:ascii="Times New Roman" w:hAnsi="Times New Roman" w:cs="Times New Roman"/>
          <w:b/>
          <w:sz w:val="24"/>
          <w:szCs w:val="24"/>
        </w:rPr>
        <w:t>§ 52zza</w:t>
      </w:r>
    </w:p>
    <w:p w:rsidR="00CD0B27" w:rsidRPr="00EA543A" w:rsidRDefault="00CD0B27" w:rsidP="00BA62B0">
      <w:pPr>
        <w:spacing w:after="0" w:line="240" w:lineRule="auto"/>
        <w:jc w:val="both"/>
        <w:rPr>
          <w:rFonts w:ascii="Times New Roman" w:hAnsi="Times New Roman" w:cs="Times New Roman"/>
          <w:b/>
          <w:sz w:val="24"/>
          <w:szCs w:val="24"/>
        </w:rPr>
      </w:pPr>
      <w:r w:rsidRPr="00EA543A">
        <w:rPr>
          <w:rFonts w:ascii="Times New Roman" w:hAnsi="Times New Roman" w:cs="Times New Roman"/>
          <w:b/>
          <w:sz w:val="24"/>
          <w:szCs w:val="24"/>
        </w:rPr>
        <w:t xml:space="preserve">K odseku 1 – </w:t>
      </w:r>
      <w:r w:rsidRPr="00EA543A">
        <w:rPr>
          <w:rFonts w:ascii="Times New Roman" w:hAnsi="Times New Roman" w:cs="Times New Roman"/>
          <w:sz w:val="24"/>
          <w:szCs w:val="24"/>
        </w:rPr>
        <w:t xml:space="preserve">Podľa prechodného ustanovenia je možné </w:t>
      </w:r>
      <w:r w:rsidR="00A771BC" w:rsidRPr="00EA543A">
        <w:rPr>
          <w:rFonts w:ascii="Times New Roman" w:hAnsi="Times New Roman" w:cs="Times New Roman"/>
          <w:sz w:val="24"/>
          <w:szCs w:val="24"/>
        </w:rPr>
        <w:t>postavenie</w:t>
      </w:r>
      <w:r w:rsidRPr="00EA543A">
        <w:rPr>
          <w:rFonts w:ascii="Times New Roman" w:hAnsi="Times New Roman" w:cs="Times New Roman"/>
          <w:sz w:val="24"/>
          <w:szCs w:val="24"/>
        </w:rPr>
        <w:t xml:space="preserve"> </w:t>
      </w:r>
      <w:proofErr w:type="spellStart"/>
      <w:r w:rsidRPr="00EA543A">
        <w:rPr>
          <w:rFonts w:ascii="Times New Roman" w:hAnsi="Times New Roman" w:cs="Times New Roman"/>
          <w:sz w:val="24"/>
          <w:szCs w:val="24"/>
        </w:rPr>
        <w:t>mikrodaňovníka</w:t>
      </w:r>
      <w:proofErr w:type="spellEnd"/>
      <w:r w:rsidRPr="00EA543A">
        <w:rPr>
          <w:rFonts w:ascii="Times New Roman" w:hAnsi="Times New Roman" w:cs="Times New Roman"/>
          <w:sz w:val="24"/>
          <w:szCs w:val="24"/>
        </w:rPr>
        <w:t xml:space="preserve"> ako aj opatrenia týkajúce sa uplatňovania zvýhodnených podmienok pri odpisovaní hmotného </w:t>
      </w:r>
      <w:r w:rsidRPr="00EA543A">
        <w:rPr>
          <w:rFonts w:ascii="Times New Roman" w:hAnsi="Times New Roman" w:cs="Times New Roman"/>
          <w:sz w:val="24"/>
          <w:szCs w:val="24"/>
        </w:rPr>
        <w:lastRenderedPageBreak/>
        <w:t xml:space="preserve">majetku, tvorby opravnej položky k pohľadávke a odpočtu daňovej straty nadobudnúť najskôr v zdaňovacom období, ktoré začína 1. januára 2021. V prípade daňovníka, ktorého zdaňovacím obdobím je hospodársky rok je možné </w:t>
      </w:r>
      <w:r w:rsidR="00A771BC" w:rsidRPr="00EA543A">
        <w:rPr>
          <w:rFonts w:ascii="Times New Roman" w:hAnsi="Times New Roman" w:cs="Times New Roman"/>
          <w:sz w:val="24"/>
          <w:szCs w:val="24"/>
        </w:rPr>
        <w:t>postavenie</w:t>
      </w:r>
      <w:r w:rsidRPr="00EA543A">
        <w:rPr>
          <w:rFonts w:ascii="Times New Roman" w:hAnsi="Times New Roman" w:cs="Times New Roman"/>
          <w:sz w:val="24"/>
          <w:szCs w:val="24"/>
        </w:rPr>
        <w:t xml:space="preserve"> </w:t>
      </w:r>
      <w:proofErr w:type="spellStart"/>
      <w:r w:rsidRPr="00EA543A">
        <w:rPr>
          <w:rFonts w:ascii="Times New Roman" w:hAnsi="Times New Roman" w:cs="Times New Roman"/>
          <w:sz w:val="24"/>
          <w:szCs w:val="24"/>
        </w:rPr>
        <w:t>mikrodaňovníka</w:t>
      </w:r>
      <w:proofErr w:type="spellEnd"/>
      <w:r w:rsidRPr="00EA543A">
        <w:rPr>
          <w:rFonts w:ascii="Times New Roman" w:hAnsi="Times New Roman" w:cs="Times New Roman"/>
          <w:sz w:val="24"/>
          <w:szCs w:val="24"/>
        </w:rPr>
        <w:t xml:space="preserve"> </w:t>
      </w:r>
      <w:r w:rsidR="00A771BC" w:rsidRPr="00EA543A">
        <w:rPr>
          <w:rFonts w:ascii="Times New Roman" w:hAnsi="Times New Roman" w:cs="Times New Roman"/>
          <w:sz w:val="24"/>
          <w:szCs w:val="24"/>
        </w:rPr>
        <w:t>nadobudnúť prvýkrát v zdaňovacom období, ktoré začne najskôr v priebehu kalendárneho roka 2021.</w:t>
      </w:r>
    </w:p>
    <w:p w:rsidR="009863E8" w:rsidRPr="00EA543A" w:rsidRDefault="009863E8"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b/>
          <w:sz w:val="24"/>
          <w:szCs w:val="24"/>
        </w:rPr>
        <w:t xml:space="preserve">K odseku </w:t>
      </w:r>
      <w:r w:rsidR="00A771BC" w:rsidRPr="00EA543A">
        <w:rPr>
          <w:rFonts w:ascii="Times New Roman" w:hAnsi="Times New Roman" w:cs="Times New Roman"/>
          <w:b/>
          <w:sz w:val="24"/>
          <w:szCs w:val="24"/>
        </w:rPr>
        <w:t>3</w:t>
      </w:r>
      <w:r w:rsidRPr="00EA543A">
        <w:rPr>
          <w:rFonts w:ascii="Times New Roman" w:hAnsi="Times New Roman" w:cs="Times New Roman"/>
          <w:b/>
          <w:sz w:val="24"/>
          <w:szCs w:val="24"/>
        </w:rPr>
        <w:t xml:space="preserve"> - </w:t>
      </w:r>
      <w:r w:rsidRPr="00EA543A">
        <w:rPr>
          <w:rFonts w:ascii="Times New Roman" w:hAnsi="Times New Roman" w:cs="Times New Roman"/>
          <w:sz w:val="24"/>
          <w:szCs w:val="24"/>
        </w:rPr>
        <w:t>Podľa prechodného ustanovenia je možné spôsob uplatňovania daňových odpisov v </w:t>
      </w:r>
      <w:r w:rsidRPr="00EA543A">
        <w:rPr>
          <w:rFonts w:ascii="Times New Roman" w:eastAsia="Times New Roman" w:hAnsi="Times New Roman" w:cs="Times New Roman"/>
          <w:sz w:val="24"/>
          <w:szCs w:val="24"/>
          <w:lang w:eastAsia="sk-SK"/>
        </w:rPr>
        <w:t>ľubovoľnej</w:t>
      </w:r>
      <w:r w:rsidRPr="00EA543A">
        <w:rPr>
          <w:rFonts w:ascii="Times New Roman" w:hAnsi="Times New Roman" w:cs="Times New Roman"/>
          <w:sz w:val="24"/>
          <w:szCs w:val="24"/>
        </w:rPr>
        <w:t xml:space="preserve"> výške maximálne však do výšky vstupnej ceny majetku využiť na hmotný majetok patriaci do odpisovej skupiny 0 až 4 zaradený do užívania od 1. 1. 2020.</w:t>
      </w:r>
    </w:p>
    <w:p w:rsidR="00A771BC" w:rsidRPr="00EA543A" w:rsidRDefault="00DF4409" w:rsidP="00BA62B0">
      <w:pPr>
        <w:spacing w:after="0" w:line="240" w:lineRule="auto"/>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b/>
          <w:sz w:val="24"/>
          <w:szCs w:val="24"/>
          <w:lang w:eastAsia="sk-SK"/>
        </w:rPr>
        <w:t xml:space="preserve">K odseku </w:t>
      </w:r>
      <w:r w:rsidR="00A771BC" w:rsidRPr="00EA543A">
        <w:rPr>
          <w:rFonts w:ascii="Times New Roman" w:eastAsia="Times New Roman" w:hAnsi="Times New Roman" w:cs="Times New Roman"/>
          <w:b/>
          <w:sz w:val="24"/>
          <w:szCs w:val="24"/>
          <w:lang w:eastAsia="sk-SK"/>
        </w:rPr>
        <w:t>4</w:t>
      </w:r>
      <w:r w:rsidRPr="00EA543A">
        <w:rPr>
          <w:rFonts w:ascii="Times New Roman" w:eastAsia="Times New Roman" w:hAnsi="Times New Roman" w:cs="Times New Roman"/>
          <w:sz w:val="24"/>
          <w:szCs w:val="24"/>
          <w:lang w:eastAsia="sk-SK"/>
        </w:rPr>
        <w:t xml:space="preserve"> -  U daňovníka je možné tvoriť daňovo uznané opravné položky § 20 ods. 2 písm. h), § 20 ods. 15 a § 20 ods. 23 v súlade s účtovníctvom k tým pohľadávkam, ktoré mu vznikli a boli zahrnuté do zdaniteľných príjmov v zdaňovacom období, v ktorom spĺňal status </w:t>
      </w:r>
      <w:proofErr w:type="spellStart"/>
      <w:r w:rsidRPr="00EA543A">
        <w:rPr>
          <w:rFonts w:ascii="Times New Roman" w:eastAsia="Times New Roman" w:hAnsi="Times New Roman" w:cs="Times New Roman"/>
          <w:sz w:val="24"/>
          <w:szCs w:val="24"/>
          <w:lang w:eastAsia="sk-SK"/>
        </w:rPr>
        <w:t>mikrodaňovníka</w:t>
      </w:r>
      <w:proofErr w:type="spellEnd"/>
      <w:r w:rsidRPr="00EA543A">
        <w:rPr>
          <w:rFonts w:ascii="Times New Roman" w:eastAsia="Times New Roman" w:hAnsi="Times New Roman" w:cs="Times New Roman"/>
          <w:sz w:val="24"/>
          <w:szCs w:val="24"/>
          <w:lang w:eastAsia="sk-SK"/>
        </w:rPr>
        <w:t>. Obdobne to platí aj pre príslušenstvo k pohľadávke zahrnuté do zdaniteľných príjmov.</w:t>
      </w:r>
    </w:p>
    <w:p w:rsidR="00DF4409" w:rsidRPr="00EA543A" w:rsidRDefault="00A771BC" w:rsidP="00BA62B0">
      <w:pPr>
        <w:spacing w:after="0" w:line="240" w:lineRule="auto"/>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b/>
          <w:sz w:val="24"/>
          <w:szCs w:val="24"/>
          <w:lang w:eastAsia="sk-SK"/>
        </w:rPr>
        <w:t xml:space="preserve">K odseku 5 – </w:t>
      </w:r>
      <w:r w:rsidRPr="00EA543A">
        <w:rPr>
          <w:rFonts w:ascii="Times New Roman" w:eastAsia="Times New Roman" w:hAnsi="Times New Roman" w:cs="Times New Roman"/>
          <w:sz w:val="24"/>
          <w:szCs w:val="24"/>
          <w:lang w:eastAsia="sk-SK"/>
        </w:rPr>
        <w:t xml:space="preserve">Podľa prechodného obdobia sa odpočet daňovej straty podľa podmienok stanovených pre </w:t>
      </w:r>
      <w:proofErr w:type="spellStart"/>
      <w:r w:rsidRPr="00EA543A">
        <w:rPr>
          <w:rFonts w:ascii="Times New Roman" w:eastAsia="Times New Roman" w:hAnsi="Times New Roman" w:cs="Times New Roman"/>
          <w:sz w:val="24"/>
          <w:szCs w:val="24"/>
          <w:lang w:eastAsia="sk-SK"/>
        </w:rPr>
        <w:t>mikrodaňovníka</w:t>
      </w:r>
      <w:proofErr w:type="spellEnd"/>
      <w:r w:rsidRPr="00EA543A">
        <w:rPr>
          <w:rFonts w:ascii="Times New Roman" w:eastAsia="Times New Roman" w:hAnsi="Times New Roman" w:cs="Times New Roman"/>
          <w:sz w:val="24"/>
          <w:szCs w:val="24"/>
          <w:lang w:eastAsia="sk-SK"/>
        </w:rPr>
        <w:t xml:space="preserve"> môže použiť na daňové straty vyčíslené najskôr za zdaňovacie obdobie 2021.</w:t>
      </w:r>
    </w:p>
    <w:p w:rsidR="007329DA" w:rsidRPr="00EA543A" w:rsidRDefault="007329DA" w:rsidP="00BA62B0">
      <w:pPr>
        <w:spacing w:after="0" w:line="240" w:lineRule="auto"/>
        <w:jc w:val="both"/>
        <w:rPr>
          <w:rFonts w:ascii="Times New Roman" w:eastAsia="Times New Roman" w:hAnsi="Times New Roman" w:cs="Times New Roman"/>
          <w:sz w:val="24"/>
          <w:szCs w:val="24"/>
          <w:lang w:eastAsia="sk-SK"/>
        </w:rPr>
      </w:pPr>
      <w:r w:rsidRPr="00EA543A">
        <w:rPr>
          <w:rFonts w:ascii="Times New Roman" w:eastAsia="Times New Roman" w:hAnsi="Times New Roman" w:cs="Times New Roman"/>
          <w:b/>
          <w:sz w:val="24"/>
          <w:szCs w:val="24"/>
          <w:lang w:eastAsia="sk-SK"/>
        </w:rPr>
        <w:t xml:space="preserve">K odseku 6 - </w:t>
      </w:r>
      <w:r w:rsidRPr="00EA543A">
        <w:rPr>
          <w:rFonts w:ascii="Times New Roman" w:eastAsia="Times New Roman" w:hAnsi="Times New Roman" w:cs="Times New Roman"/>
          <w:sz w:val="24"/>
          <w:szCs w:val="24"/>
          <w:lang w:eastAsia="sk-SK"/>
        </w:rPr>
        <w:t>Navrhovanou úpravou sa mení registračná a oznamovacia povinnosť a to s účinnosťou od 1.1.2021.</w:t>
      </w:r>
    </w:p>
    <w:p w:rsidR="007329DA" w:rsidRPr="00EA543A" w:rsidRDefault="007329DA" w:rsidP="00BA62B0">
      <w:pPr>
        <w:spacing w:after="0" w:line="240" w:lineRule="auto"/>
        <w:jc w:val="both"/>
        <w:rPr>
          <w:rFonts w:ascii="Times New Roman" w:eastAsia="Times New Roman" w:hAnsi="Times New Roman" w:cs="Times New Roman"/>
          <w:b/>
          <w:sz w:val="24"/>
          <w:szCs w:val="24"/>
          <w:lang w:eastAsia="sk-SK"/>
        </w:rPr>
      </w:pPr>
    </w:p>
    <w:p w:rsidR="007D1101" w:rsidRPr="00EA543A" w:rsidRDefault="007D1101" w:rsidP="00BA62B0">
      <w:pPr>
        <w:spacing w:after="0" w:line="240" w:lineRule="auto"/>
        <w:rPr>
          <w:rFonts w:ascii="Times New Roman" w:hAnsi="Times New Roman" w:cs="Times New Roman"/>
          <w:b/>
          <w:sz w:val="24"/>
          <w:szCs w:val="24"/>
        </w:rPr>
      </w:pPr>
      <w:r w:rsidRPr="00EA543A">
        <w:rPr>
          <w:rFonts w:ascii="Times New Roman" w:hAnsi="Times New Roman" w:cs="Times New Roman"/>
          <w:b/>
          <w:sz w:val="24"/>
          <w:szCs w:val="24"/>
        </w:rPr>
        <w:t xml:space="preserve">K bodu </w:t>
      </w:r>
      <w:r w:rsidR="00D52903" w:rsidRPr="00EA543A">
        <w:rPr>
          <w:rFonts w:ascii="Times New Roman" w:hAnsi="Times New Roman" w:cs="Times New Roman"/>
          <w:b/>
          <w:sz w:val="24"/>
          <w:szCs w:val="24"/>
        </w:rPr>
        <w:t>1</w:t>
      </w:r>
      <w:r w:rsidR="00E5471F" w:rsidRPr="00EA543A">
        <w:rPr>
          <w:rFonts w:ascii="Times New Roman" w:hAnsi="Times New Roman" w:cs="Times New Roman"/>
          <w:b/>
          <w:sz w:val="24"/>
          <w:szCs w:val="24"/>
        </w:rPr>
        <w:t>40</w:t>
      </w:r>
    </w:p>
    <w:p w:rsidR="007D1101" w:rsidRPr="00EA543A" w:rsidRDefault="007D1101" w:rsidP="00BA62B0">
      <w:pPr>
        <w:spacing w:after="0" w:line="240" w:lineRule="auto"/>
        <w:jc w:val="both"/>
        <w:rPr>
          <w:rFonts w:ascii="Times New Roman" w:hAnsi="Times New Roman" w:cs="Times New Roman"/>
          <w:sz w:val="24"/>
          <w:szCs w:val="24"/>
          <w:lang w:eastAsia="sk-SK"/>
        </w:rPr>
      </w:pPr>
      <w:r w:rsidRPr="00EA543A">
        <w:rPr>
          <w:rFonts w:ascii="Times New Roman" w:hAnsi="Times New Roman" w:cs="Times New Roman"/>
          <w:sz w:val="24"/>
          <w:szCs w:val="24"/>
          <w:lang w:eastAsia="sk-SK"/>
        </w:rPr>
        <w:t>Navrhovaná zmena v celom texte zákona vyplýva zo zmeny názvu nezmluvného štátu na nespolupracujúci štát z dôvodu zapracovania čierneho zoznamu EÚ.</w:t>
      </w:r>
    </w:p>
    <w:p w:rsidR="0071616E" w:rsidRPr="00EA543A" w:rsidRDefault="0071616E" w:rsidP="00BA62B0">
      <w:pPr>
        <w:spacing w:after="0" w:line="240" w:lineRule="auto"/>
        <w:jc w:val="both"/>
        <w:rPr>
          <w:rFonts w:ascii="Times New Roman" w:hAnsi="Times New Roman" w:cs="Times New Roman"/>
          <w:b/>
          <w:sz w:val="24"/>
          <w:szCs w:val="24"/>
        </w:rPr>
      </w:pPr>
    </w:p>
    <w:p w:rsidR="0071616E" w:rsidRPr="00EA543A" w:rsidRDefault="00451E5B" w:rsidP="00BA62B0">
      <w:pPr>
        <w:spacing w:after="0" w:line="240" w:lineRule="auto"/>
        <w:jc w:val="both"/>
        <w:rPr>
          <w:rFonts w:ascii="Times New Roman" w:hAnsi="Times New Roman" w:cs="Times New Roman"/>
          <w:b/>
          <w:sz w:val="24"/>
          <w:szCs w:val="24"/>
        </w:rPr>
      </w:pPr>
      <w:r w:rsidRPr="00EA543A">
        <w:rPr>
          <w:rFonts w:ascii="Times New Roman" w:hAnsi="Times New Roman" w:cs="Times New Roman"/>
          <w:b/>
          <w:sz w:val="24"/>
          <w:szCs w:val="24"/>
        </w:rPr>
        <w:t>Čl. II</w:t>
      </w:r>
    </w:p>
    <w:p w:rsidR="000C65ED" w:rsidRPr="00EA543A" w:rsidRDefault="000C65ED" w:rsidP="00BA62B0">
      <w:pPr>
        <w:pStyle w:val="Zkladntext"/>
        <w:jc w:val="both"/>
        <w:rPr>
          <w:rFonts w:eastAsiaTheme="minorHAnsi"/>
          <w:color w:val="auto"/>
          <w:szCs w:val="24"/>
          <w:lang w:eastAsia="en-US"/>
        </w:rPr>
      </w:pPr>
      <w:r w:rsidRPr="00EA543A">
        <w:rPr>
          <w:rFonts w:eastAsiaTheme="minorHAnsi"/>
          <w:color w:val="auto"/>
          <w:szCs w:val="24"/>
          <w:lang w:eastAsia="en-US"/>
        </w:rPr>
        <w:t xml:space="preserve">Tento zákon nadobúda účinnosť 1. januára 2020 okrem čl. I bodov 1, 9, 40, 49, </w:t>
      </w:r>
      <w:r w:rsidR="000B4116" w:rsidRPr="00EA543A">
        <w:rPr>
          <w:rFonts w:eastAsiaTheme="minorHAnsi"/>
          <w:color w:val="auto"/>
          <w:szCs w:val="24"/>
          <w:lang w:eastAsia="en-US"/>
        </w:rPr>
        <w:t xml:space="preserve">50, 55, </w:t>
      </w:r>
      <w:r w:rsidRPr="00EA543A">
        <w:rPr>
          <w:rFonts w:eastAsiaTheme="minorHAnsi"/>
          <w:color w:val="auto"/>
          <w:szCs w:val="24"/>
          <w:lang w:eastAsia="en-US"/>
        </w:rPr>
        <w:t xml:space="preserve">56, 62, 64, 71, 73 § 30 ods. 1 písm. a),  </w:t>
      </w:r>
      <w:r w:rsidR="000B4116" w:rsidRPr="00EA543A">
        <w:rPr>
          <w:rFonts w:eastAsiaTheme="minorHAnsi"/>
          <w:color w:val="auto"/>
          <w:szCs w:val="24"/>
          <w:lang w:eastAsia="en-US"/>
        </w:rPr>
        <w:t xml:space="preserve">body </w:t>
      </w:r>
      <w:r w:rsidRPr="00EA543A">
        <w:rPr>
          <w:rFonts w:eastAsiaTheme="minorHAnsi"/>
          <w:color w:val="auto"/>
          <w:szCs w:val="24"/>
          <w:lang w:eastAsia="en-US"/>
        </w:rPr>
        <w:t>12</w:t>
      </w:r>
      <w:r w:rsidR="000B4116" w:rsidRPr="00EA543A">
        <w:rPr>
          <w:rFonts w:eastAsiaTheme="minorHAnsi"/>
          <w:color w:val="auto"/>
          <w:szCs w:val="24"/>
          <w:lang w:eastAsia="en-US"/>
        </w:rPr>
        <w:t>7</w:t>
      </w:r>
      <w:r w:rsidRPr="00EA543A">
        <w:rPr>
          <w:rFonts w:eastAsiaTheme="minorHAnsi"/>
          <w:color w:val="auto"/>
          <w:szCs w:val="24"/>
          <w:lang w:eastAsia="en-US"/>
        </w:rPr>
        <w:t xml:space="preserve"> a bodu 13</w:t>
      </w:r>
      <w:r w:rsidR="000B4116" w:rsidRPr="00EA543A">
        <w:rPr>
          <w:rFonts w:eastAsiaTheme="minorHAnsi"/>
          <w:color w:val="auto"/>
          <w:szCs w:val="24"/>
          <w:lang w:eastAsia="en-US"/>
        </w:rPr>
        <w:t>3</w:t>
      </w:r>
      <w:r w:rsidRPr="00EA543A">
        <w:rPr>
          <w:rFonts w:eastAsiaTheme="minorHAnsi"/>
          <w:color w:val="auto"/>
          <w:szCs w:val="24"/>
          <w:lang w:eastAsia="en-US"/>
        </w:rPr>
        <w:t>, ktoré nadobúdajú účinnosť 1. januára 2021 a čl. I bodu 11, ktorý nadobúda účinnosť 1. januára 2022.</w:t>
      </w:r>
    </w:p>
    <w:p w:rsidR="008171AE" w:rsidRPr="00EA543A" w:rsidRDefault="008171AE" w:rsidP="00BA62B0">
      <w:pPr>
        <w:spacing w:after="0" w:line="240" w:lineRule="auto"/>
        <w:jc w:val="both"/>
        <w:rPr>
          <w:rFonts w:ascii="Times New Roman" w:hAnsi="Times New Roman" w:cs="Times New Roman"/>
          <w:sz w:val="24"/>
          <w:szCs w:val="24"/>
        </w:rPr>
      </w:pPr>
    </w:p>
    <w:p w:rsidR="00BA0AB9" w:rsidRDefault="00DD7092"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 xml:space="preserve">              </w:t>
      </w:r>
    </w:p>
    <w:p w:rsidR="00BA0AB9" w:rsidRDefault="00BA0AB9" w:rsidP="00BA0A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Schválené vládou SR dňa </w:t>
      </w:r>
      <w:r>
        <w:rPr>
          <w:rFonts w:ascii="Times New Roman" w:hAnsi="Times New Roman" w:cs="Times New Roman"/>
          <w:sz w:val="24"/>
          <w:szCs w:val="24"/>
        </w:rPr>
        <w:t>29</w:t>
      </w:r>
      <w:r>
        <w:rPr>
          <w:rFonts w:ascii="Times New Roman" w:hAnsi="Times New Roman" w:cs="Times New Roman"/>
          <w:sz w:val="24"/>
          <w:szCs w:val="24"/>
        </w:rPr>
        <w:t xml:space="preserve">. </w:t>
      </w:r>
      <w:r>
        <w:rPr>
          <w:rFonts w:ascii="Times New Roman" w:hAnsi="Times New Roman" w:cs="Times New Roman"/>
          <w:sz w:val="24"/>
          <w:szCs w:val="24"/>
        </w:rPr>
        <w:t>mája 2019</w:t>
      </w:r>
      <w:r>
        <w:rPr>
          <w:rFonts w:ascii="Times New Roman" w:hAnsi="Times New Roman" w:cs="Times New Roman"/>
          <w:sz w:val="24"/>
          <w:szCs w:val="24"/>
        </w:rPr>
        <w:t>.</w:t>
      </w:r>
    </w:p>
    <w:p w:rsidR="00BA0AB9" w:rsidRDefault="00BA0AB9" w:rsidP="00BA0AB9">
      <w:pPr>
        <w:spacing w:after="0" w:line="240" w:lineRule="auto"/>
        <w:jc w:val="both"/>
        <w:rPr>
          <w:rFonts w:ascii="Times New Roman" w:hAnsi="Times New Roman" w:cs="Times New Roman"/>
          <w:sz w:val="24"/>
          <w:szCs w:val="24"/>
        </w:rPr>
      </w:pPr>
    </w:p>
    <w:p w:rsidR="00BA0AB9" w:rsidRDefault="00BA0AB9" w:rsidP="00BA0AB9">
      <w:pPr>
        <w:spacing w:after="0" w:line="240" w:lineRule="auto"/>
        <w:jc w:val="both"/>
        <w:rPr>
          <w:rFonts w:ascii="Times New Roman" w:hAnsi="Times New Roman" w:cs="Times New Roman"/>
          <w:sz w:val="24"/>
          <w:szCs w:val="24"/>
        </w:rPr>
      </w:pPr>
    </w:p>
    <w:p w:rsidR="00BA0AB9" w:rsidRDefault="00BA0AB9" w:rsidP="00BA0AB9">
      <w:pPr>
        <w:spacing w:after="0" w:line="240" w:lineRule="auto"/>
        <w:jc w:val="both"/>
        <w:rPr>
          <w:rFonts w:ascii="Times New Roman" w:hAnsi="Times New Roman" w:cs="Times New Roman"/>
          <w:sz w:val="24"/>
          <w:szCs w:val="24"/>
        </w:rPr>
      </w:pPr>
    </w:p>
    <w:p w:rsidR="00F45C2A" w:rsidRDefault="00F45C2A" w:rsidP="00BA0AB9">
      <w:pPr>
        <w:spacing w:after="0" w:line="240" w:lineRule="auto"/>
        <w:jc w:val="both"/>
        <w:rPr>
          <w:rFonts w:ascii="Times New Roman" w:hAnsi="Times New Roman" w:cs="Times New Roman"/>
          <w:sz w:val="24"/>
          <w:szCs w:val="24"/>
        </w:rPr>
      </w:pPr>
    </w:p>
    <w:p w:rsidR="00BA0AB9" w:rsidRDefault="00BA0AB9" w:rsidP="00BA0AB9">
      <w:pPr>
        <w:spacing w:after="0" w:line="240" w:lineRule="auto"/>
        <w:jc w:val="both"/>
        <w:rPr>
          <w:rFonts w:ascii="Times New Roman" w:hAnsi="Times New Roman" w:cs="Times New Roman"/>
          <w:sz w:val="24"/>
          <w:szCs w:val="24"/>
        </w:rPr>
      </w:pPr>
    </w:p>
    <w:p w:rsidR="00BA0AB9" w:rsidRDefault="00BA0AB9" w:rsidP="00BA0AB9">
      <w:pPr>
        <w:spacing w:after="0" w:line="240" w:lineRule="auto"/>
        <w:jc w:val="both"/>
        <w:rPr>
          <w:rFonts w:ascii="Times New Roman" w:hAnsi="Times New Roman" w:cs="Times New Roman"/>
          <w:sz w:val="24"/>
          <w:szCs w:val="24"/>
        </w:rPr>
      </w:pPr>
    </w:p>
    <w:p w:rsidR="00BA0AB9" w:rsidRPr="002A3729" w:rsidRDefault="00BA0AB9" w:rsidP="00BA0AB9">
      <w:pPr>
        <w:spacing w:after="0" w:line="240" w:lineRule="auto"/>
        <w:jc w:val="both"/>
        <w:rPr>
          <w:rFonts w:ascii="Times New Roman" w:hAnsi="Times New Roman"/>
          <w:sz w:val="24"/>
          <w:szCs w:val="24"/>
        </w:rPr>
      </w:pPr>
    </w:p>
    <w:p w:rsidR="00BA0AB9" w:rsidRPr="002A3729" w:rsidRDefault="00BA0AB9" w:rsidP="00BA0AB9">
      <w:pPr>
        <w:spacing w:after="0" w:line="240" w:lineRule="auto"/>
        <w:jc w:val="center"/>
        <w:rPr>
          <w:rFonts w:ascii="Times New Roman" w:hAnsi="Times New Roman"/>
          <w:b/>
          <w:sz w:val="24"/>
          <w:szCs w:val="24"/>
        </w:rPr>
      </w:pPr>
      <w:r>
        <w:rPr>
          <w:rFonts w:ascii="Times New Roman" w:hAnsi="Times New Roman"/>
          <w:b/>
          <w:sz w:val="24"/>
          <w:szCs w:val="24"/>
        </w:rPr>
        <w:t xml:space="preserve">Peter </w:t>
      </w:r>
      <w:proofErr w:type="spellStart"/>
      <w:r>
        <w:rPr>
          <w:rFonts w:ascii="Times New Roman" w:hAnsi="Times New Roman"/>
          <w:b/>
          <w:sz w:val="24"/>
          <w:szCs w:val="24"/>
        </w:rPr>
        <w:t>Pellegrini</w:t>
      </w:r>
      <w:proofErr w:type="spellEnd"/>
      <w:r>
        <w:rPr>
          <w:rFonts w:ascii="Times New Roman" w:hAnsi="Times New Roman"/>
          <w:b/>
          <w:sz w:val="24"/>
          <w:szCs w:val="24"/>
        </w:rPr>
        <w:t xml:space="preserve">, </w:t>
      </w:r>
      <w:proofErr w:type="spellStart"/>
      <w:r>
        <w:rPr>
          <w:rFonts w:ascii="Times New Roman" w:hAnsi="Times New Roman"/>
          <w:b/>
          <w:sz w:val="24"/>
          <w:szCs w:val="24"/>
        </w:rPr>
        <w:t>v.r</w:t>
      </w:r>
      <w:proofErr w:type="spellEnd"/>
      <w:r>
        <w:rPr>
          <w:rFonts w:ascii="Times New Roman" w:hAnsi="Times New Roman"/>
          <w:b/>
          <w:sz w:val="24"/>
          <w:szCs w:val="24"/>
        </w:rPr>
        <w:t>.</w:t>
      </w:r>
    </w:p>
    <w:p w:rsidR="00BA0AB9" w:rsidRPr="002A3729" w:rsidRDefault="00BA0AB9" w:rsidP="00BA0AB9">
      <w:pPr>
        <w:spacing w:after="0" w:line="240" w:lineRule="auto"/>
        <w:jc w:val="center"/>
        <w:rPr>
          <w:rFonts w:ascii="Times New Roman" w:hAnsi="Times New Roman"/>
          <w:sz w:val="24"/>
          <w:szCs w:val="24"/>
        </w:rPr>
      </w:pPr>
      <w:r w:rsidRPr="002A3729">
        <w:rPr>
          <w:rFonts w:ascii="Times New Roman" w:hAnsi="Times New Roman"/>
          <w:sz w:val="24"/>
          <w:szCs w:val="24"/>
        </w:rPr>
        <w:t>predseda vlády Slovenskej republiky</w:t>
      </w:r>
    </w:p>
    <w:p w:rsidR="00BA0AB9" w:rsidRPr="002A3729" w:rsidRDefault="00BA0AB9" w:rsidP="00BA0AB9">
      <w:pPr>
        <w:spacing w:after="0" w:line="240" w:lineRule="auto"/>
        <w:jc w:val="center"/>
        <w:rPr>
          <w:rFonts w:ascii="Times New Roman" w:hAnsi="Times New Roman"/>
          <w:sz w:val="24"/>
          <w:szCs w:val="24"/>
        </w:rPr>
      </w:pPr>
    </w:p>
    <w:p w:rsidR="00BA0AB9" w:rsidRDefault="00BA0AB9" w:rsidP="00BA0AB9">
      <w:pPr>
        <w:spacing w:after="0" w:line="240" w:lineRule="auto"/>
        <w:jc w:val="center"/>
        <w:rPr>
          <w:rFonts w:ascii="Times New Roman" w:hAnsi="Times New Roman"/>
          <w:sz w:val="24"/>
          <w:szCs w:val="24"/>
        </w:rPr>
      </w:pPr>
    </w:p>
    <w:p w:rsidR="00BA0AB9" w:rsidRDefault="00BA0AB9" w:rsidP="00BA0AB9">
      <w:pPr>
        <w:spacing w:after="0" w:line="240" w:lineRule="auto"/>
        <w:jc w:val="center"/>
        <w:rPr>
          <w:rFonts w:ascii="Times New Roman" w:hAnsi="Times New Roman"/>
          <w:sz w:val="24"/>
          <w:szCs w:val="24"/>
        </w:rPr>
      </w:pPr>
    </w:p>
    <w:p w:rsidR="00BA0AB9" w:rsidRDefault="00BA0AB9" w:rsidP="00BA0AB9">
      <w:pPr>
        <w:spacing w:after="0" w:line="240" w:lineRule="auto"/>
        <w:jc w:val="center"/>
        <w:rPr>
          <w:rFonts w:ascii="Times New Roman" w:hAnsi="Times New Roman"/>
          <w:sz w:val="24"/>
          <w:szCs w:val="24"/>
        </w:rPr>
      </w:pPr>
    </w:p>
    <w:p w:rsidR="00BA0AB9" w:rsidRPr="002A3729" w:rsidRDefault="00BA0AB9" w:rsidP="00BA0AB9">
      <w:pPr>
        <w:spacing w:after="0" w:line="240" w:lineRule="auto"/>
        <w:jc w:val="center"/>
        <w:rPr>
          <w:rFonts w:ascii="Times New Roman" w:hAnsi="Times New Roman"/>
          <w:sz w:val="24"/>
          <w:szCs w:val="24"/>
        </w:rPr>
      </w:pPr>
      <w:bookmarkStart w:id="1" w:name="_GoBack"/>
      <w:bookmarkEnd w:id="1"/>
    </w:p>
    <w:p w:rsidR="00BA0AB9" w:rsidRDefault="00BA0AB9" w:rsidP="00BA0AB9">
      <w:pPr>
        <w:spacing w:after="0" w:line="240" w:lineRule="auto"/>
        <w:jc w:val="center"/>
        <w:rPr>
          <w:rFonts w:ascii="Times New Roman" w:hAnsi="Times New Roman"/>
          <w:sz w:val="24"/>
          <w:szCs w:val="24"/>
        </w:rPr>
      </w:pPr>
    </w:p>
    <w:p w:rsidR="00F45C2A" w:rsidRDefault="00F45C2A" w:rsidP="00BA0AB9">
      <w:pPr>
        <w:spacing w:after="0" w:line="240" w:lineRule="auto"/>
        <w:jc w:val="center"/>
        <w:rPr>
          <w:rFonts w:ascii="Times New Roman" w:hAnsi="Times New Roman"/>
          <w:sz w:val="24"/>
          <w:szCs w:val="24"/>
        </w:rPr>
      </w:pPr>
    </w:p>
    <w:p w:rsidR="00BA0AB9" w:rsidRPr="002A3729" w:rsidRDefault="00BA0AB9" w:rsidP="00BA0AB9">
      <w:pPr>
        <w:spacing w:after="0" w:line="240" w:lineRule="auto"/>
        <w:jc w:val="center"/>
        <w:rPr>
          <w:rFonts w:ascii="Times New Roman" w:hAnsi="Times New Roman"/>
          <w:sz w:val="24"/>
          <w:szCs w:val="24"/>
        </w:rPr>
      </w:pPr>
    </w:p>
    <w:p w:rsidR="00BA0AB9" w:rsidRPr="002A3729" w:rsidRDefault="00BA0AB9" w:rsidP="00BA0AB9">
      <w:pPr>
        <w:spacing w:after="0" w:line="240" w:lineRule="auto"/>
        <w:jc w:val="center"/>
        <w:rPr>
          <w:rFonts w:ascii="Times New Roman" w:hAnsi="Times New Roman"/>
          <w:b/>
          <w:sz w:val="24"/>
          <w:szCs w:val="24"/>
        </w:rPr>
      </w:pPr>
      <w:r>
        <w:rPr>
          <w:rFonts w:ascii="Times New Roman" w:hAnsi="Times New Roman"/>
          <w:b/>
          <w:sz w:val="24"/>
          <w:szCs w:val="24"/>
        </w:rPr>
        <w:t>Ladislav Kamenický</w:t>
      </w:r>
      <w:r>
        <w:rPr>
          <w:rFonts w:ascii="Times New Roman" w:hAnsi="Times New Roman"/>
          <w:b/>
          <w:sz w:val="24"/>
          <w:szCs w:val="24"/>
        </w:rPr>
        <w:t xml:space="preserve">, </w:t>
      </w:r>
      <w:proofErr w:type="spellStart"/>
      <w:r>
        <w:rPr>
          <w:rFonts w:ascii="Times New Roman" w:hAnsi="Times New Roman"/>
          <w:b/>
          <w:sz w:val="24"/>
          <w:szCs w:val="24"/>
        </w:rPr>
        <w:t>v.r</w:t>
      </w:r>
      <w:proofErr w:type="spellEnd"/>
      <w:r>
        <w:rPr>
          <w:rFonts w:ascii="Times New Roman" w:hAnsi="Times New Roman"/>
          <w:b/>
          <w:sz w:val="24"/>
          <w:szCs w:val="24"/>
        </w:rPr>
        <w:t>.</w:t>
      </w:r>
    </w:p>
    <w:p w:rsidR="00BA0AB9" w:rsidRPr="002A3729" w:rsidRDefault="00BA0AB9" w:rsidP="00BA0AB9">
      <w:pPr>
        <w:spacing w:after="0" w:line="240" w:lineRule="auto"/>
        <w:jc w:val="center"/>
        <w:rPr>
          <w:rFonts w:ascii="Times New Roman" w:hAnsi="Times New Roman"/>
          <w:color w:val="000000"/>
          <w:sz w:val="24"/>
          <w:szCs w:val="24"/>
        </w:rPr>
      </w:pPr>
      <w:r w:rsidRPr="002A3729">
        <w:rPr>
          <w:rFonts w:ascii="Times New Roman" w:hAnsi="Times New Roman"/>
          <w:sz w:val="24"/>
          <w:szCs w:val="24"/>
        </w:rPr>
        <w:t>minister financií Slovenskej republiky</w:t>
      </w:r>
    </w:p>
    <w:p w:rsidR="00AB5000" w:rsidRPr="00EA543A" w:rsidRDefault="00DD7092" w:rsidP="00BA62B0">
      <w:pPr>
        <w:spacing w:after="0" w:line="240" w:lineRule="auto"/>
        <w:jc w:val="both"/>
        <w:rPr>
          <w:rFonts w:ascii="Times New Roman" w:hAnsi="Times New Roman" w:cs="Times New Roman"/>
          <w:sz w:val="24"/>
          <w:szCs w:val="24"/>
        </w:rPr>
      </w:pPr>
      <w:r w:rsidRPr="00EA543A">
        <w:rPr>
          <w:rFonts w:ascii="Times New Roman" w:hAnsi="Times New Roman" w:cs="Times New Roman"/>
          <w:sz w:val="24"/>
          <w:szCs w:val="24"/>
        </w:rPr>
        <w:t xml:space="preserve">                                                                                                              </w:t>
      </w:r>
    </w:p>
    <w:sectPr w:rsidR="00AB5000" w:rsidRPr="00EA543A" w:rsidSect="00EA543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43A" w:rsidRDefault="00EA543A" w:rsidP="009B11DA">
      <w:pPr>
        <w:spacing w:after="0" w:line="240" w:lineRule="auto"/>
      </w:pPr>
      <w:r>
        <w:separator/>
      </w:r>
    </w:p>
  </w:endnote>
  <w:endnote w:type="continuationSeparator" w:id="0">
    <w:p w:rsidR="00EA543A" w:rsidRDefault="00EA543A" w:rsidP="009B1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Calibri">
    <w:altName w:val="Century Gothic"/>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43A" w:rsidRDefault="00EA543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EA543A" w:rsidRDefault="00EA543A">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43A" w:rsidRDefault="00EA543A">
    <w:pPr>
      <w:pStyle w:val="Pta"/>
      <w:jc w:val="right"/>
    </w:pPr>
    <w:r>
      <w:fldChar w:fldCharType="begin"/>
    </w:r>
    <w:r>
      <w:instrText>PAGE   \* MERGEFORMAT</w:instrText>
    </w:r>
    <w:r>
      <w:fldChar w:fldCharType="separate"/>
    </w:r>
    <w:r w:rsidR="00F45C2A">
      <w:rPr>
        <w:noProof/>
      </w:rPr>
      <w:t>11</w:t>
    </w:r>
    <w:r>
      <w:fldChar w:fldCharType="end"/>
    </w:r>
  </w:p>
  <w:p w:rsidR="00EA543A" w:rsidRDefault="00EA543A">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43A" w:rsidRDefault="00EA543A">
    <w:pPr>
      <w:pStyle w:val="Pta"/>
      <w:jc w:val="right"/>
    </w:pPr>
    <w:r>
      <w:fldChar w:fldCharType="begin"/>
    </w:r>
    <w:r>
      <w:instrText>PAGE   \* MERGEFORMAT</w:instrText>
    </w:r>
    <w:r>
      <w:fldChar w:fldCharType="separate"/>
    </w:r>
    <w:r>
      <w:rPr>
        <w:noProof/>
      </w:rPr>
      <w:t>0</w:t>
    </w:r>
    <w:r>
      <w:fldChar w:fldCharType="end"/>
    </w:r>
  </w:p>
  <w:p w:rsidR="00EA543A" w:rsidRDefault="00EA543A">
    <w:pPr>
      <w:pStyle w:val="Pt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143459"/>
      <w:docPartObj>
        <w:docPartGallery w:val="Page Numbers (Bottom of Page)"/>
        <w:docPartUnique/>
      </w:docPartObj>
    </w:sdtPr>
    <w:sdtContent>
      <w:p w:rsidR="00EA543A" w:rsidRDefault="00EA543A">
        <w:pPr>
          <w:pStyle w:val="Pta"/>
          <w:jc w:val="center"/>
        </w:pPr>
        <w:r>
          <w:fldChar w:fldCharType="begin"/>
        </w:r>
        <w:r>
          <w:instrText>PAGE   \* MERGEFORMAT</w:instrText>
        </w:r>
        <w:r>
          <w:fldChar w:fldCharType="separate"/>
        </w:r>
        <w:r w:rsidR="00F45C2A">
          <w:rPr>
            <w:noProof/>
          </w:rPr>
          <w:t>54</w:t>
        </w:r>
        <w:r>
          <w:fldChar w:fldCharType="end"/>
        </w:r>
      </w:p>
    </w:sdtContent>
  </w:sdt>
  <w:p w:rsidR="00EA543A" w:rsidRDefault="00EA543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43A" w:rsidRDefault="00EA543A" w:rsidP="009B11DA">
      <w:pPr>
        <w:spacing w:after="0" w:line="240" w:lineRule="auto"/>
      </w:pPr>
      <w:r>
        <w:separator/>
      </w:r>
    </w:p>
  </w:footnote>
  <w:footnote w:type="continuationSeparator" w:id="0">
    <w:p w:rsidR="00EA543A" w:rsidRDefault="00EA543A" w:rsidP="009B11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43A" w:rsidRDefault="00EA543A" w:rsidP="00EA543A">
    <w:pPr>
      <w:pStyle w:val="Hlavika"/>
      <w:jc w:val="right"/>
      <w:rPr>
        <w:sz w:val="24"/>
        <w:szCs w:val="24"/>
      </w:rPr>
    </w:pPr>
    <w:r>
      <w:rPr>
        <w:sz w:val="24"/>
        <w:szCs w:val="24"/>
      </w:rPr>
      <w:t>Príloha č. 2</w:t>
    </w:r>
  </w:p>
  <w:p w:rsidR="00EA543A" w:rsidRPr="00EB59C8" w:rsidRDefault="00EA543A" w:rsidP="00EA543A">
    <w:pPr>
      <w:pStyle w:val="Hlavika"/>
      <w:jc w:val="right"/>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43A" w:rsidRPr="000A15AE" w:rsidRDefault="00EA543A" w:rsidP="00EA543A">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546E"/>
    <w:multiLevelType w:val="hybridMultilevel"/>
    <w:tmpl w:val="AF2EF426"/>
    <w:lvl w:ilvl="0" w:tplc="041B0001">
      <w:start w:val="1"/>
      <w:numFmt w:val="bullet"/>
      <w:lvlText w:val=""/>
      <w:lvlJc w:val="left"/>
      <w:pPr>
        <w:ind w:left="780" w:hanging="360"/>
      </w:pPr>
      <w:rPr>
        <w:rFonts w:ascii="Symbol" w:hAnsi="Symbol" w:hint="default"/>
        <w:b/>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 w15:restartNumberingAfterBreak="0">
    <w:nsid w:val="041C4D31"/>
    <w:multiLevelType w:val="hybridMultilevel"/>
    <w:tmpl w:val="8D7C5BA2"/>
    <w:lvl w:ilvl="0" w:tplc="252202AE">
      <w:start w:val="1"/>
      <w:numFmt w:val="lowerLetter"/>
      <w:lvlText w:val="%1)"/>
      <w:lvlJc w:val="left"/>
      <w:pPr>
        <w:ind w:left="1080" w:hanging="360"/>
      </w:pPr>
      <w:rPr>
        <w:rFonts w:hint="default"/>
      </w:rPr>
    </w:lvl>
    <w:lvl w:ilvl="1" w:tplc="E98637B0">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4B136C2"/>
    <w:multiLevelType w:val="hybridMultilevel"/>
    <w:tmpl w:val="788AA182"/>
    <w:lvl w:ilvl="0" w:tplc="C74072A4">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0A4E7AB4"/>
    <w:multiLevelType w:val="hybridMultilevel"/>
    <w:tmpl w:val="788AA182"/>
    <w:lvl w:ilvl="0" w:tplc="C74072A4">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AD53D07"/>
    <w:multiLevelType w:val="hybridMultilevel"/>
    <w:tmpl w:val="788AA182"/>
    <w:lvl w:ilvl="0" w:tplc="C74072A4">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0C043857"/>
    <w:multiLevelType w:val="hybridMultilevel"/>
    <w:tmpl w:val="D6A4F9F0"/>
    <w:lvl w:ilvl="0" w:tplc="ADB8FCB2">
      <w:start w:val="1"/>
      <w:numFmt w:val="decimal"/>
      <w:lvlText w:val="%1."/>
      <w:lvlJc w:val="left"/>
      <w:pPr>
        <w:ind w:left="426" w:hanging="360"/>
      </w:pPr>
      <w:rPr>
        <w:rFonts w:hint="default"/>
      </w:rPr>
    </w:lvl>
    <w:lvl w:ilvl="1" w:tplc="041B0019" w:tentative="1">
      <w:start w:val="1"/>
      <w:numFmt w:val="lowerLetter"/>
      <w:lvlText w:val="%2."/>
      <w:lvlJc w:val="left"/>
      <w:pPr>
        <w:ind w:left="1146" w:hanging="360"/>
      </w:pPr>
    </w:lvl>
    <w:lvl w:ilvl="2" w:tplc="041B001B" w:tentative="1">
      <w:start w:val="1"/>
      <w:numFmt w:val="lowerRoman"/>
      <w:lvlText w:val="%3."/>
      <w:lvlJc w:val="right"/>
      <w:pPr>
        <w:ind w:left="1866" w:hanging="180"/>
      </w:pPr>
    </w:lvl>
    <w:lvl w:ilvl="3" w:tplc="041B000F" w:tentative="1">
      <w:start w:val="1"/>
      <w:numFmt w:val="decimal"/>
      <w:lvlText w:val="%4."/>
      <w:lvlJc w:val="left"/>
      <w:pPr>
        <w:ind w:left="2586" w:hanging="360"/>
      </w:pPr>
    </w:lvl>
    <w:lvl w:ilvl="4" w:tplc="041B0019" w:tentative="1">
      <w:start w:val="1"/>
      <w:numFmt w:val="lowerLetter"/>
      <w:lvlText w:val="%5."/>
      <w:lvlJc w:val="left"/>
      <w:pPr>
        <w:ind w:left="3306" w:hanging="360"/>
      </w:pPr>
    </w:lvl>
    <w:lvl w:ilvl="5" w:tplc="041B001B" w:tentative="1">
      <w:start w:val="1"/>
      <w:numFmt w:val="lowerRoman"/>
      <w:lvlText w:val="%6."/>
      <w:lvlJc w:val="right"/>
      <w:pPr>
        <w:ind w:left="4026" w:hanging="180"/>
      </w:pPr>
    </w:lvl>
    <w:lvl w:ilvl="6" w:tplc="041B000F" w:tentative="1">
      <w:start w:val="1"/>
      <w:numFmt w:val="decimal"/>
      <w:lvlText w:val="%7."/>
      <w:lvlJc w:val="left"/>
      <w:pPr>
        <w:ind w:left="4746" w:hanging="360"/>
      </w:pPr>
    </w:lvl>
    <w:lvl w:ilvl="7" w:tplc="041B0019" w:tentative="1">
      <w:start w:val="1"/>
      <w:numFmt w:val="lowerLetter"/>
      <w:lvlText w:val="%8."/>
      <w:lvlJc w:val="left"/>
      <w:pPr>
        <w:ind w:left="5466" w:hanging="360"/>
      </w:pPr>
    </w:lvl>
    <w:lvl w:ilvl="8" w:tplc="041B001B" w:tentative="1">
      <w:start w:val="1"/>
      <w:numFmt w:val="lowerRoman"/>
      <w:lvlText w:val="%9."/>
      <w:lvlJc w:val="right"/>
      <w:pPr>
        <w:ind w:left="6186" w:hanging="180"/>
      </w:pPr>
    </w:lvl>
  </w:abstractNum>
  <w:abstractNum w:abstractNumId="6"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1E7C99"/>
    <w:multiLevelType w:val="hybridMultilevel"/>
    <w:tmpl w:val="788AA182"/>
    <w:lvl w:ilvl="0" w:tplc="C74072A4">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12F43CE1"/>
    <w:multiLevelType w:val="hybridMultilevel"/>
    <w:tmpl w:val="788AA182"/>
    <w:lvl w:ilvl="0" w:tplc="C74072A4">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42638AF"/>
    <w:multiLevelType w:val="hybridMultilevel"/>
    <w:tmpl w:val="788AA182"/>
    <w:lvl w:ilvl="0" w:tplc="C74072A4">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14751291"/>
    <w:multiLevelType w:val="hybridMultilevel"/>
    <w:tmpl w:val="455AE83C"/>
    <w:lvl w:ilvl="0" w:tplc="09CA03E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62D6A9A"/>
    <w:multiLevelType w:val="hybridMultilevel"/>
    <w:tmpl w:val="788AA182"/>
    <w:lvl w:ilvl="0" w:tplc="C74072A4">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186D4C49"/>
    <w:multiLevelType w:val="hybridMultilevel"/>
    <w:tmpl w:val="8658866E"/>
    <w:lvl w:ilvl="0" w:tplc="402A0E40">
      <w:start w:val="6"/>
      <w:numFmt w:val="bullet"/>
      <w:lvlText w:val="-"/>
      <w:lvlJc w:val="left"/>
      <w:pPr>
        <w:tabs>
          <w:tab w:val="num" w:pos="870"/>
        </w:tabs>
        <w:ind w:left="870" w:hanging="360"/>
      </w:pPr>
      <w:rPr>
        <w:rFonts w:ascii="Times New Roman" w:eastAsia="Times New Roman" w:hAnsi="Times New Roman" w:hint="default"/>
      </w:rPr>
    </w:lvl>
    <w:lvl w:ilvl="1" w:tplc="041B0003">
      <w:start w:val="1"/>
      <w:numFmt w:val="bullet"/>
      <w:lvlText w:val="o"/>
      <w:lvlJc w:val="left"/>
      <w:pPr>
        <w:tabs>
          <w:tab w:val="num" w:pos="1620"/>
        </w:tabs>
        <w:ind w:left="1620" w:hanging="360"/>
      </w:pPr>
      <w:rPr>
        <w:rFonts w:ascii="Courier New" w:hAnsi="Courier New" w:hint="default"/>
      </w:rPr>
    </w:lvl>
    <w:lvl w:ilvl="2" w:tplc="041B0005">
      <w:start w:val="1"/>
      <w:numFmt w:val="bullet"/>
      <w:lvlText w:val=""/>
      <w:lvlJc w:val="left"/>
      <w:pPr>
        <w:tabs>
          <w:tab w:val="num" w:pos="2340"/>
        </w:tabs>
        <w:ind w:left="2340" w:hanging="360"/>
      </w:pPr>
      <w:rPr>
        <w:rFonts w:ascii="Wingdings" w:hAnsi="Wingdings" w:hint="default"/>
      </w:rPr>
    </w:lvl>
    <w:lvl w:ilvl="3" w:tplc="041B0001">
      <w:start w:val="1"/>
      <w:numFmt w:val="bullet"/>
      <w:lvlText w:val=""/>
      <w:lvlJc w:val="left"/>
      <w:pPr>
        <w:tabs>
          <w:tab w:val="num" w:pos="3060"/>
        </w:tabs>
        <w:ind w:left="3060" w:hanging="360"/>
      </w:pPr>
      <w:rPr>
        <w:rFonts w:ascii="Symbol" w:hAnsi="Symbol" w:hint="default"/>
      </w:rPr>
    </w:lvl>
    <w:lvl w:ilvl="4" w:tplc="041B0003">
      <w:start w:val="1"/>
      <w:numFmt w:val="bullet"/>
      <w:lvlText w:val="o"/>
      <w:lvlJc w:val="left"/>
      <w:pPr>
        <w:tabs>
          <w:tab w:val="num" w:pos="3780"/>
        </w:tabs>
        <w:ind w:left="3780" w:hanging="360"/>
      </w:pPr>
      <w:rPr>
        <w:rFonts w:ascii="Courier New" w:hAnsi="Courier New" w:hint="default"/>
      </w:rPr>
    </w:lvl>
    <w:lvl w:ilvl="5" w:tplc="041B0005">
      <w:start w:val="1"/>
      <w:numFmt w:val="bullet"/>
      <w:lvlText w:val=""/>
      <w:lvlJc w:val="left"/>
      <w:pPr>
        <w:tabs>
          <w:tab w:val="num" w:pos="4500"/>
        </w:tabs>
        <w:ind w:left="4500" w:hanging="360"/>
      </w:pPr>
      <w:rPr>
        <w:rFonts w:ascii="Wingdings" w:hAnsi="Wingdings" w:hint="default"/>
      </w:rPr>
    </w:lvl>
    <w:lvl w:ilvl="6" w:tplc="041B0001">
      <w:start w:val="1"/>
      <w:numFmt w:val="bullet"/>
      <w:lvlText w:val=""/>
      <w:lvlJc w:val="left"/>
      <w:pPr>
        <w:tabs>
          <w:tab w:val="num" w:pos="5220"/>
        </w:tabs>
        <w:ind w:left="5220" w:hanging="360"/>
      </w:pPr>
      <w:rPr>
        <w:rFonts w:ascii="Symbol" w:hAnsi="Symbol" w:hint="default"/>
      </w:rPr>
    </w:lvl>
    <w:lvl w:ilvl="7" w:tplc="041B0003">
      <w:start w:val="1"/>
      <w:numFmt w:val="bullet"/>
      <w:lvlText w:val="o"/>
      <w:lvlJc w:val="left"/>
      <w:pPr>
        <w:tabs>
          <w:tab w:val="num" w:pos="5940"/>
        </w:tabs>
        <w:ind w:left="5940" w:hanging="360"/>
      </w:pPr>
      <w:rPr>
        <w:rFonts w:ascii="Courier New" w:hAnsi="Courier New" w:hint="default"/>
      </w:rPr>
    </w:lvl>
    <w:lvl w:ilvl="8" w:tplc="041B0005">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200461AB"/>
    <w:multiLevelType w:val="hybridMultilevel"/>
    <w:tmpl w:val="788AA182"/>
    <w:lvl w:ilvl="0" w:tplc="C74072A4">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 w15:restartNumberingAfterBreak="0">
    <w:nsid w:val="210E58E6"/>
    <w:multiLevelType w:val="hybridMultilevel"/>
    <w:tmpl w:val="788AA182"/>
    <w:lvl w:ilvl="0" w:tplc="C74072A4">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003777"/>
    <w:multiLevelType w:val="hybridMultilevel"/>
    <w:tmpl w:val="788AA182"/>
    <w:lvl w:ilvl="0" w:tplc="C74072A4">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77D0DE7"/>
    <w:multiLevelType w:val="hybridMultilevel"/>
    <w:tmpl w:val="35C64144"/>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1F6C06"/>
    <w:multiLevelType w:val="hybridMultilevel"/>
    <w:tmpl w:val="26B4305E"/>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55E04BE5"/>
    <w:multiLevelType w:val="hybridMultilevel"/>
    <w:tmpl w:val="54AE1D3A"/>
    <w:lvl w:ilvl="0" w:tplc="4648986E">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6C22685"/>
    <w:multiLevelType w:val="hybridMultilevel"/>
    <w:tmpl w:val="788AA182"/>
    <w:lvl w:ilvl="0" w:tplc="C74072A4">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59D87971"/>
    <w:multiLevelType w:val="hybridMultilevel"/>
    <w:tmpl w:val="918ABCEA"/>
    <w:lvl w:ilvl="0" w:tplc="670EFFCC">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5C9B77D4"/>
    <w:multiLevelType w:val="multilevel"/>
    <w:tmpl w:val="B9268C54"/>
    <w:lvl w:ilvl="0">
      <w:start w:val="1"/>
      <w:numFmt w:val="decimal"/>
      <w:lvlText w:val="%1."/>
      <w:legacy w:legacy="1" w:legacySpace="0" w:legacyIndent="425"/>
      <w:lvlJc w:val="left"/>
      <w:pPr>
        <w:ind w:left="425" w:hanging="425"/>
      </w:pPr>
      <w:rPr>
        <w:rFonts w:cs="Times New Roman"/>
        <w:b/>
        <w:bCs/>
      </w:rPr>
    </w:lvl>
    <w:lvl w:ilvl="1">
      <w:start w:val="1"/>
      <w:numFmt w:val="lowerLetter"/>
      <w:lvlText w:val="%2)"/>
      <w:legacy w:legacy="1" w:legacySpace="0" w:legacyIndent="425"/>
      <w:lvlJc w:val="left"/>
      <w:pPr>
        <w:ind w:left="850" w:hanging="425"/>
      </w:pPr>
      <w:rPr>
        <w:rFonts w:ascii="Arial Narrow" w:eastAsia="Times New Roman" w:hAnsi="Arial Narrow" w:cs="Times New Roman" w:hint="default"/>
        <w:b w:val="0"/>
        <w:sz w:val="24"/>
        <w:szCs w:val="24"/>
      </w:rPr>
    </w:lvl>
    <w:lvl w:ilvl="2">
      <w:start w:val="1"/>
      <w:numFmt w:val="decimal"/>
      <w:lvlText w:val="%3.)"/>
      <w:legacy w:legacy="1" w:legacySpace="0" w:legacyIndent="425"/>
      <w:lvlJc w:val="left"/>
      <w:pPr>
        <w:ind w:left="1275" w:hanging="425"/>
      </w:pPr>
      <w:rPr>
        <w:rFonts w:cs="Times New Roman"/>
      </w:rPr>
    </w:lvl>
    <w:lvl w:ilvl="3">
      <w:start w:val="1"/>
      <w:numFmt w:val="lowerLetter"/>
      <w:lvlText w:val="%4)"/>
      <w:legacy w:legacy="1" w:legacySpace="0" w:legacyIndent="708"/>
      <w:lvlJc w:val="left"/>
      <w:pPr>
        <w:ind w:left="1983" w:hanging="708"/>
      </w:pPr>
      <w:rPr>
        <w:rFonts w:cs="Times New Roman"/>
      </w:rPr>
    </w:lvl>
    <w:lvl w:ilvl="4">
      <w:start w:val="1"/>
      <w:numFmt w:val="decimal"/>
      <w:lvlText w:val="(%5)"/>
      <w:legacy w:legacy="1" w:legacySpace="0" w:legacyIndent="708"/>
      <w:lvlJc w:val="left"/>
      <w:pPr>
        <w:ind w:left="2691" w:hanging="708"/>
      </w:pPr>
      <w:rPr>
        <w:rFonts w:cs="Times New Roman"/>
      </w:rPr>
    </w:lvl>
    <w:lvl w:ilvl="5">
      <w:start w:val="1"/>
      <w:numFmt w:val="lowerLetter"/>
      <w:lvlText w:val="(%6)"/>
      <w:legacy w:legacy="1" w:legacySpace="0" w:legacyIndent="708"/>
      <w:lvlJc w:val="left"/>
      <w:pPr>
        <w:ind w:left="3399" w:hanging="708"/>
      </w:pPr>
      <w:rPr>
        <w:rFonts w:cs="Times New Roman"/>
      </w:rPr>
    </w:lvl>
    <w:lvl w:ilvl="6">
      <w:start w:val="1"/>
      <w:numFmt w:val="lowerRoman"/>
      <w:lvlText w:val="(%7)"/>
      <w:legacy w:legacy="1" w:legacySpace="0" w:legacyIndent="708"/>
      <w:lvlJc w:val="left"/>
      <w:pPr>
        <w:ind w:left="4107" w:hanging="708"/>
      </w:pPr>
      <w:rPr>
        <w:rFonts w:cs="Times New Roman"/>
      </w:rPr>
    </w:lvl>
    <w:lvl w:ilvl="7">
      <w:start w:val="1"/>
      <w:numFmt w:val="lowerLetter"/>
      <w:lvlText w:val="(%8)"/>
      <w:legacy w:legacy="1" w:legacySpace="0" w:legacyIndent="708"/>
      <w:lvlJc w:val="left"/>
      <w:pPr>
        <w:ind w:left="4815" w:hanging="708"/>
      </w:pPr>
      <w:rPr>
        <w:rFonts w:cs="Times New Roman"/>
      </w:rPr>
    </w:lvl>
    <w:lvl w:ilvl="8">
      <w:start w:val="1"/>
      <w:numFmt w:val="lowerRoman"/>
      <w:lvlText w:val="(%9)"/>
      <w:legacy w:legacy="1" w:legacySpace="0" w:legacyIndent="708"/>
      <w:lvlJc w:val="left"/>
      <w:pPr>
        <w:ind w:left="5523" w:hanging="708"/>
      </w:pPr>
      <w:rPr>
        <w:rFonts w:cs="Times New Roman"/>
      </w:rPr>
    </w:lvl>
  </w:abstractNum>
  <w:abstractNum w:abstractNumId="24" w15:restartNumberingAfterBreak="0">
    <w:nsid w:val="5D0B44FF"/>
    <w:multiLevelType w:val="hybridMultilevel"/>
    <w:tmpl w:val="38349D96"/>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E0D6F7B"/>
    <w:multiLevelType w:val="hybridMultilevel"/>
    <w:tmpl w:val="788AA182"/>
    <w:lvl w:ilvl="0" w:tplc="C74072A4">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6" w15:restartNumberingAfterBreak="0">
    <w:nsid w:val="63DC34B7"/>
    <w:multiLevelType w:val="hybridMultilevel"/>
    <w:tmpl w:val="2C80850C"/>
    <w:lvl w:ilvl="0" w:tplc="0CF68C0C">
      <w:start w:val="6"/>
      <w:numFmt w:val="bullet"/>
      <w:lvlText w:val="-"/>
      <w:lvlJc w:val="left"/>
      <w:pPr>
        <w:tabs>
          <w:tab w:val="num" w:pos="870"/>
        </w:tabs>
        <w:ind w:left="870" w:hanging="360"/>
      </w:pPr>
      <w:rPr>
        <w:rFonts w:ascii="Times New Roman" w:eastAsia="Times New Roman" w:hAnsi="Times New Roman" w:hint="default"/>
      </w:rPr>
    </w:lvl>
    <w:lvl w:ilvl="1" w:tplc="041B0003">
      <w:start w:val="1"/>
      <w:numFmt w:val="bullet"/>
      <w:lvlText w:val="o"/>
      <w:lvlJc w:val="left"/>
      <w:pPr>
        <w:tabs>
          <w:tab w:val="num" w:pos="1620"/>
        </w:tabs>
        <w:ind w:left="1620" w:hanging="360"/>
      </w:pPr>
      <w:rPr>
        <w:rFonts w:ascii="Courier New" w:hAnsi="Courier New" w:hint="default"/>
      </w:rPr>
    </w:lvl>
    <w:lvl w:ilvl="2" w:tplc="041B0005">
      <w:start w:val="1"/>
      <w:numFmt w:val="bullet"/>
      <w:lvlText w:val=""/>
      <w:lvlJc w:val="left"/>
      <w:pPr>
        <w:tabs>
          <w:tab w:val="num" w:pos="2340"/>
        </w:tabs>
        <w:ind w:left="2340" w:hanging="360"/>
      </w:pPr>
      <w:rPr>
        <w:rFonts w:ascii="Wingdings" w:hAnsi="Wingdings" w:hint="default"/>
      </w:rPr>
    </w:lvl>
    <w:lvl w:ilvl="3" w:tplc="041B0001">
      <w:start w:val="1"/>
      <w:numFmt w:val="bullet"/>
      <w:lvlText w:val=""/>
      <w:lvlJc w:val="left"/>
      <w:pPr>
        <w:tabs>
          <w:tab w:val="num" w:pos="3060"/>
        </w:tabs>
        <w:ind w:left="3060" w:hanging="360"/>
      </w:pPr>
      <w:rPr>
        <w:rFonts w:ascii="Symbol" w:hAnsi="Symbol" w:hint="default"/>
      </w:rPr>
    </w:lvl>
    <w:lvl w:ilvl="4" w:tplc="041B0003">
      <w:start w:val="1"/>
      <w:numFmt w:val="bullet"/>
      <w:lvlText w:val="o"/>
      <w:lvlJc w:val="left"/>
      <w:pPr>
        <w:tabs>
          <w:tab w:val="num" w:pos="3780"/>
        </w:tabs>
        <w:ind w:left="3780" w:hanging="360"/>
      </w:pPr>
      <w:rPr>
        <w:rFonts w:ascii="Courier New" w:hAnsi="Courier New" w:hint="default"/>
      </w:rPr>
    </w:lvl>
    <w:lvl w:ilvl="5" w:tplc="041B0005">
      <w:start w:val="1"/>
      <w:numFmt w:val="bullet"/>
      <w:lvlText w:val=""/>
      <w:lvlJc w:val="left"/>
      <w:pPr>
        <w:tabs>
          <w:tab w:val="num" w:pos="4500"/>
        </w:tabs>
        <w:ind w:left="4500" w:hanging="360"/>
      </w:pPr>
      <w:rPr>
        <w:rFonts w:ascii="Wingdings" w:hAnsi="Wingdings" w:hint="default"/>
      </w:rPr>
    </w:lvl>
    <w:lvl w:ilvl="6" w:tplc="041B0001">
      <w:start w:val="1"/>
      <w:numFmt w:val="bullet"/>
      <w:lvlText w:val=""/>
      <w:lvlJc w:val="left"/>
      <w:pPr>
        <w:tabs>
          <w:tab w:val="num" w:pos="5220"/>
        </w:tabs>
        <w:ind w:left="5220" w:hanging="360"/>
      </w:pPr>
      <w:rPr>
        <w:rFonts w:ascii="Symbol" w:hAnsi="Symbol" w:hint="default"/>
      </w:rPr>
    </w:lvl>
    <w:lvl w:ilvl="7" w:tplc="041B0003">
      <w:start w:val="1"/>
      <w:numFmt w:val="bullet"/>
      <w:lvlText w:val="o"/>
      <w:lvlJc w:val="left"/>
      <w:pPr>
        <w:tabs>
          <w:tab w:val="num" w:pos="5940"/>
        </w:tabs>
        <w:ind w:left="5940" w:hanging="360"/>
      </w:pPr>
      <w:rPr>
        <w:rFonts w:ascii="Courier New" w:hAnsi="Courier New" w:hint="default"/>
      </w:rPr>
    </w:lvl>
    <w:lvl w:ilvl="8" w:tplc="041B0005">
      <w:start w:val="1"/>
      <w:numFmt w:val="bullet"/>
      <w:lvlText w:val=""/>
      <w:lvlJc w:val="left"/>
      <w:pPr>
        <w:tabs>
          <w:tab w:val="num" w:pos="6660"/>
        </w:tabs>
        <w:ind w:left="6660" w:hanging="360"/>
      </w:pPr>
      <w:rPr>
        <w:rFonts w:ascii="Wingdings" w:hAnsi="Wingdings" w:hint="default"/>
      </w:rPr>
    </w:lvl>
  </w:abstractNum>
  <w:abstractNum w:abstractNumId="27" w15:restartNumberingAfterBreak="0">
    <w:nsid w:val="66256460"/>
    <w:multiLevelType w:val="hybridMultilevel"/>
    <w:tmpl w:val="4A0AC568"/>
    <w:lvl w:ilvl="0" w:tplc="365245CE">
      <w:start w:val="1"/>
      <w:numFmt w:val="lowerLetter"/>
      <w:lvlText w:val="%1)"/>
      <w:lvlJc w:val="left"/>
      <w:pPr>
        <w:ind w:left="426" w:hanging="360"/>
      </w:pPr>
      <w:rPr>
        <w:rFonts w:hint="default"/>
      </w:rPr>
    </w:lvl>
    <w:lvl w:ilvl="1" w:tplc="E050137C">
      <w:start w:val="1"/>
      <w:numFmt w:val="lowerLetter"/>
      <w:lvlText w:val="%2)"/>
      <w:lvlJc w:val="left"/>
      <w:pPr>
        <w:ind w:left="1146" w:hanging="360"/>
      </w:pPr>
      <w:rPr>
        <w:rFonts w:ascii="Arial Narrow" w:hAnsi="Arial Narrow" w:hint="default"/>
        <w:b w:val="0"/>
        <w:strike w:val="0"/>
        <w:color w:val="auto"/>
      </w:rPr>
    </w:lvl>
    <w:lvl w:ilvl="2" w:tplc="5832D062">
      <w:start w:val="1"/>
      <w:numFmt w:val="bullet"/>
      <w:lvlText w:val="-"/>
      <w:lvlJc w:val="left"/>
      <w:pPr>
        <w:ind w:left="2046" w:hanging="360"/>
      </w:pPr>
      <w:rPr>
        <w:rFonts w:ascii="Arial Narrow" w:eastAsiaTheme="minorHAnsi" w:hAnsi="Arial Narrow" w:cstheme="minorBidi" w:hint="default"/>
      </w:rPr>
    </w:lvl>
    <w:lvl w:ilvl="3" w:tplc="B058CE40">
      <w:start w:val="1"/>
      <w:numFmt w:val="decimal"/>
      <w:lvlText w:val="%4."/>
      <w:lvlJc w:val="left"/>
      <w:pPr>
        <w:ind w:left="2586" w:hanging="360"/>
      </w:pPr>
      <w:rPr>
        <w:rFonts w:hint="default"/>
      </w:rPr>
    </w:lvl>
    <w:lvl w:ilvl="4" w:tplc="041B0019" w:tentative="1">
      <w:start w:val="1"/>
      <w:numFmt w:val="lowerLetter"/>
      <w:lvlText w:val="%5."/>
      <w:lvlJc w:val="left"/>
      <w:pPr>
        <w:ind w:left="3306" w:hanging="360"/>
      </w:pPr>
    </w:lvl>
    <w:lvl w:ilvl="5" w:tplc="041B001B" w:tentative="1">
      <w:start w:val="1"/>
      <w:numFmt w:val="lowerRoman"/>
      <w:lvlText w:val="%6."/>
      <w:lvlJc w:val="right"/>
      <w:pPr>
        <w:ind w:left="4026" w:hanging="180"/>
      </w:pPr>
    </w:lvl>
    <w:lvl w:ilvl="6" w:tplc="041B000F" w:tentative="1">
      <w:start w:val="1"/>
      <w:numFmt w:val="decimal"/>
      <w:lvlText w:val="%7."/>
      <w:lvlJc w:val="left"/>
      <w:pPr>
        <w:ind w:left="4746" w:hanging="360"/>
      </w:pPr>
    </w:lvl>
    <w:lvl w:ilvl="7" w:tplc="041B0019" w:tentative="1">
      <w:start w:val="1"/>
      <w:numFmt w:val="lowerLetter"/>
      <w:lvlText w:val="%8."/>
      <w:lvlJc w:val="left"/>
      <w:pPr>
        <w:ind w:left="5466" w:hanging="360"/>
      </w:pPr>
    </w:lvl>
    <w:lvl w:ilvl="8" w:tplc="041B001B" w:tentative="1">
      <w:start w:val="1"/>
      <w:numFmt w:val="lowerRoman"/>
      <w:lvlText w:val="%9."/>
      <w:lvlJc w:val="right"/>
      <w:pPr>
        <w:ind w:left="6186" w:hanging="180"/>
      </w:pPr>
    </w:lvl>
  </w:abstractNum>
  <w:abstractNum w:abstractNumId="28" w15:restartNumberingAfterBreak="0">
    <w:nsid w:val="670573E1"/>
    <w:multiLevelType w:val="hybridMultilevel"/>
    <w:tmpl w:val="788AA182"/>
    <w:lvl w:ilvl="0" w:tplc="C74072A4">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67381AF0"/>
    <w:multiLevelType w:val="hybridMultilevel"/>
    <w:tmpl w:val="545C9D60"/>
    <w:lvl w:ilvl="0" w:tplc="B240BA3A">
      <w:start w:val="6"/>
      <w:numFmt w:val="bullet"/>
      <w:lvlText w:val="-"/>
      <w:lvlJc w:val="left"/>
      <w:pPr>
        <w:tabs>
          <w:tab w:val="num" w:pos="900"/>
        </w:tabs>
        <w:ind w:left="900" w:hanging="39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085009"/>
    <w:multiLevelType w:val="hybridMultilevel"/>
    <w:tmpl w:val="67DE287E"/>
    <w:lvl w:ilvl="0" w:tplc="410863CE">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A226C93"/>
    <w:multiLevelType w:val="hybridMultilevel"/>
    <w:tmpl w:val="788AA182"/>
    <w:lvl w:ilvl="0" w:tplc="C74072A4">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78DE33DB"/>
    <w:multiLevelType w:val="hybridMultilevel"/>
    <w:tmpl w:val="788AA182"/>
    <w:lvl w:ilvl="0" w:tplc="C74072A4">
      <w:start w:val="1"/>
      <w:numFmt w:val="upp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7B6E70CB"/>
    <w:multiLevelType w:val="hybridMultilevel"/>
    <w:tmpl w:val="B396020C"/>
    <w:lvl w:ilvl="0" w:tplc="B21A0CB4">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BDE54EF"/>
    <w:multiLevelType w:val="hybridMultilevel"/>
    <w:tmpl w:val="419C7968"/>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abstractNum w:abstractNumId="35" w15:restartNumberingAfterBreak="0">
    <w:nsid w:val="7C1F1209"/>
    <w:multiLevelType w:val="hybridMultilevel"/>
    <w:tmpl w:val="5DBC93BC"/>
    <w:lvl w:ilvl="0" w:tplc="1CD211DA">
      <w:numFmt w:val="bullet"/>
      <w:lvlText w:val="-"/>
      <w:lvlJc w:val="left"/>
      <w:pPr>
        <w:ind w:left="785" w:hanging="360"/>
      </w:pPr>
      <w:rPr>
        <w:rFonts w:ascii="Arial Narrow" w:eastAsia="Times New Roman" w:hAnsi="Arial Narrow" w:hint="default"/>
      </w:rPr>
    </w:lvl>
    <w:lvl w:ilvl="1" w:tplc="041B0003" w:tentative="1">
      <w:start w:val="1"/>
      <w:numFmt w:val="bullet"/>
      <w:lvlText w:val="o"/>
      <w:lvlJc w:val="left"/>
      <w:pPr>
        <w:ind w:left="1505" w:hanging="360"/>
      </w:pPr>
      <w:rPr>
        <w:rFonts w:ascii="Courier New" w:hAnsi="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hint="default"/>
      </w:rPr>
    </w:lvl>
    <w:lvl w:ilvl="8" w:tplc="041B0005" w:tentative="1">
      <w:start w:val="1"/>
      <w:numFmt w:val="bullet"/>
      <w:lvlText w:val=""/>
      <w:lvlJc w:val="left"/>
      <w:pPr>
        <w:ind w:left="6545" w:hanging="360"/>
      </w:pPr>
      <w:rPr>
        <w:rFonts w:ascii="Wingdings" w:hAnsi="Wingdings" w:hint="default"/>
      </w:rPr>
    </w:lvl>
  </w:abstractNum>
  <w:num w:numId="1">
    <w:abstractNumId w:val="27"/>
  </w:num>
  <w:num w:numId="2">
    <w:abstractNumId w:val="1"/>
  </w:num>
  <w:num w:numId="3">
    <w:abstractNumId w:val="5"/>
  </w:num>
  <w:num w:numId="4">
    <w:abstractNumId w:val="10"/>
  </w:num>
  <w:num w:numId="5">
    <w:abstractNumId w:val="0"/>
  </w:num>
  <w:num w:numId="6">
    <w:abstractNumId w:val="34"/>
  </w:num>
  <w:num w:numId="7">
    <w:abstractNumId w:val="15"/>
  </w:num>
  <w:num w:numId="8">
    <w:abstractNumId w:val="18"/>
  </w:num>
  <w:num w:numId="9">
    <w:abstractNumId w:val="6"/>
  </w:num>
  <w:num w:numId="10">
    <w:abstractNumId w:val="31"/>
  </w:num>
  <w:num w:numId="11">
    <w:abstractNumId w:val="32"/>
  </w:num>
  <w:num w:numId="12">
    <w:abstractNumId w:val="3"/>
  </w:num>
  <w:num w:numId="13">
    <w:abstractNumId w:val="7"/>
  </w:num>
  <w:num w:numId="14">
    <w:abstractNumId w:val="25"/>
  </w:num>
  <w:num w:numId="15">
    <w:abstractNumId w:val="28"/>
  </w:num>
  <w:num w:numId="16">
    <w:abstractNumId w:val="13"/>
  </w:num>
  <w:num w:numId="17">
    <w:abstractNumId w:val="2"/>
  </w:num>
  <w:num w:numId="18">
    <w:abstractNumId w:val="9"/>
  </w:num>
  <w:num w:numId="19">
    <w:abstractNumId w:val="4"/>
  </w:num>
  <w:num w:numId="20">
    <w:abstractNumId w:val="14"/>
  </w:num>
  <w:num w:numId="21">
    <w:abstractNumId w:val="21"/>
  </w:num>
  <w:num w:numId="22">
    <w:abstractNumId w:val="16"/>
  </w:num>
  <w:num w:numId="23">
    <w:abstractNumId w:val="11"/>
  </w:num>
  <w:num w:numId="24">
    <w:abstractNumId w:val="8"/>
  </w:num>
  <w:num w:numId="25">
    <w:abstractNumId w:val="20"/>
  </w:num>
  <w:num w:numId="26">
    <w:abstractNumId w:val="33"/>
  </w:num>
  <w:num w:numId="27">
    <w:abstractNumId w:val="30"/>
  </w:num>
  <w:num w:numId="28">
    <w:abstractNumId w:val="22"/>
  </w:num>
  <w:num w:numId="29">
    <w:abstractNumId w:val="19"/>
  </w:num>
  <w:num w:numId="30">
    <w:abstractNumId w:val="17"/>
  </w:num>
  <w:num w:numId="31">
    <w:abstractNumId w:val="23"/>
  </w:num>
  <w:num w:numId="32">
    <w:abstractNumId w:val="29"/>
  </w:num>
  <w:num w:numId="33">
    <w:abstractNumId w:val="26"/>
  </w:num>
  <w:num w:numId="34">
    <w:abstractNumId w:val="12"/>
  </w:num>
  <w:num w:numId="35">
    <w:abstractNumId w:val="24"/>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16E"/>
    <w:rsid w:val="0002593C"/>
    <w:rsid w:val="0006149C"/>
    <w:rsid w:val="000A0963"/>
    <w:rsid w:val="000A5381"/>
    <w:rsid w:val="000B4116"/>
    <w:rsid w:val="000C65ED"/>
    <w:rsid w:val="000D3D5E"/>
    <w:rsid w:val="00104D86"/>
    <w:rsid w:val="00151F8C"/>
    <w:rsid w:val="00155163"/>
    <w:rsid w:val="00172760"/>
    <w:rsid w:val="001A308A"/>
    <w:rsid w:val="001B409B"/>
    <w:rsid w:val="001B4BF9"/>
    <w:rsid w:val="001B730C"/>
    <w:rsid w:val="00217140"/>
    <w:rsid w:val="00226F05"/>
    <w:rsid w:val="002279B1"/>
    <w:rsid w:val="002309CB"/>
    <w:rsid w:val="00262443"/>
    <w:rsid w:val="00282A6F"/>
    <w:rsid w:val="00291C3E"/>
    <w:rsid w:val="002A55E1"/>
    <w:rsid w:val="002B5634"/>
    <w:rsid w:val="002E08C0"/>
    <w:rsid w:val="00333125"/>
    <w:rsid w:val="00375EBD"/>
    <w:rsid w:val="003A1C8B"/>
    <w:rsid w:val="003B48E5"/>
    <w:rsid w:val="003C265B"/>
    <w:rsid w:val="00405D59"/>
    <w:rsid w:val="00425761"/>
    <w:rsid w:val="00451E5B"/>
    <w:rsid w:val="00461F10"/>
    <w:rsid w:val="00467CB4"/>
    <w:rsid w:val="004F068C"/>
    <w:rsid w:val="005015EF"/>
    <w:rsid w:val="00540DE4"/>
    <w:rsid w:val="005752F2"/>
    <w:rsid w:val="00580AE9"/>
    <w:rsid w:val="005964D8"/>
    <w:rsid w:val="005A2351"/>
    <w:rsid w:val="005B2651"/>
    <w:rsid w:val="005B5A43"/>
    <w:rsid w:val="005C049C"/>
    <w:rsid w:val="005D6F7D"/>
    <w:rsid w:val="005F380C"/>
    <w:rsid w:val="005F55C3"/>
    <w:rsid w:val="006310C9"/>
    <w:rsid w:val="00635499"/>
    <w:rsid w:val="006459F1"/>
    <w:rsid w:val="006605D4"/>
    <w:rsid w:val="006862A3"/>
    <w:rsid w:val="006A4540"/>
    <w:rsid w:val="006C21AD"/>
    <w:rsid w:val="006F1017"/>
    <w:rsid w:val="00707092"/>
    <w:rsid w:val="0071616E"/>
    <w:rsid w:val="00717394"/>
    <w:rsid w:val="00726BFB"/>
    <w:rsid w:val="007329DA"/>
    <w:rsid w:val="00743AFA"/>
    <w:rsid w:val="00752AC3"/>
    <w:rsid w:val="007A249B"/>
    <w:rsid w:val="007A5B13"/>
    <w:rsid w:val="007A6509"/>
    <w:rsid w:val="007B79E4"/>
    <w:rsid w:val="007C1C4D"/>
    <w:rsid w:val="007D1101"/>
    <w:rsid w:val="007F2B8C"/>
    <w:rsid w:val="007F74CA"/>
    <w:rsid w:val="00810615"/>
    <w:rsid w:val="008171AE"/>
    <w:rsid w:val="00835F46"/>
    <w:rsid w:val="00843A95"/>
    <w:rsid w:val="008441DC"/>
    <w:rsid w:val="0085690D"/>
    <w:rsid w:val="008A5BAB"/>
    <w:rsid w:val="008D1171"/>
    <w:rsid w:val="008F497C"/>
    <w:rsid w:val="009118B1"/>
    <w:rsid w:val="00947E97"/>
    <w:rsid w:val="00972AC9"/>
    <w:rsid w:val="009863E8"/>
    <w:rsid w:val="00994E9C"/>
    <w:rsid w:val="009A7A44"/>
    <w:rsid w:val="009B11DA"/>
    <w:rsid w:val="00A26283"/>
    <w:rsid w:val="00A40A6A"/>
    <w:rsid w:val="00A43915"/>
    <w:rsid w:val="00A44832"/>
    <w:rsid w:val="00A51EED"/>
    <w:rsid w:val="00A771BC"/>
    <w:rsid w:val="00A92376"/>
    <w:rsid w:val="00AB5000"/>
    <w:rsid w:val="00AC078B"/>
    <w:rsid w:val="00B1315E"/>
    <w:rsid w:val="00B2271E"/>
    <w:rsid w:val="00B503C7"/>
    <w:rsid w:val="00B7414E"/>
    <w:rsid w:val="00B96916"/>
    <w:rsid w:val="00B96F7D"/>
    <w:rsid w:val="00BA0AB9"/>
    <w:rsid w:val="00BA62B0"/>
    <w:rsid w:val="00BB4F35"/>
    <w:rsid w:val="00BB7DCA"/>
    <w:rsid w:val="00BC1A64"/>
    <w:rsid w:val="00BD7B51"/>
    <w:rsid w:val="00BF4674"/>
    <w:rsid w:val="00C05C9F"/>
    <w:rsid w:val="00C1049C"/>
    <w:rsid w:val="00C137BA"/>
    <w:rsid w:val="00C15682"/>
    <w:rsid w:val="00C36EAB"/>
    <w:rsid w:val="00C71E1F"/>
    <w:rsid w:val="00C7287D"/>
    <w:rsid w:val="00C872DF"/>
    <w:rsid w:val="00C95BCF"/>
    <w:rsid w:val="00C96F8F"/>
    <w:rsid w:val="00CD0B27"/>
    <w:rsid w:val="00D06207"/>
    <w:rsid w:val="00D21DF8"/>
    <w:rsid w:val="00D25ED9"/>
    <w:rsid w:val="00D463AE"/>
    <w:rsid w:val="00D52903"/>
    <w:rsid w:val="00D56499"/>
    <w:rsid w:val="00D826B1"/>
    <w:rsid w:val="00D927BE"/>
    <w:rsid w:val="00D92EDC"/>
    <w:rsid w:val="00DA3CAB"/>
    <w:rsid w:val="00DC6E23"/>
    <w:rsid w:val="00DD7092"/>
    <w:rsid w:val="00DE73E5"/>
    <w:rsid w:val="00DF4409"/>
    <w:rsid w:val="00E12407"/>
    <w:rsid w:val="00E5471F"/>
    <w:rsid w:val="00E7599B"/>
    <w:rsid w:val="00E774EC"/>
    <w:rsid w:val="00E86E7E"/>
    <w:rsid w:val="00E87295"/>
    <w:rsid w:val="00E960A0"/>
    <w:rsid w:val="00EA543A"/>
    <w:rsid w:val="00EA65DE"/>
    <w:rsid w:val="00EF3ED0"/>
    <w:rsid w:val="00F018BF"/>
    <w:rsid w:val="00F14E5C"/>
    <w:rsid w:val="00F36BA1"/>
    <w:rsid w:val="00F37A93"/>
    <w:rsid w:val="00F45C2A"/>
    <w:rsid w:val="00FE49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0633D1-6ED9-4EDD-8A12-FC56F5C4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605D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uiPriority w:val="99"/>
    <w:qFormat/>
    <w:rsid w:val="00A40A6A"/>
    <w:pPr>
      <w:ind w:left="720"/>
      <w:contextualSpacing/>
    </w:pPr>
  </w:style>
  <w:style w:type="paragraph" w:styleId="Normlnywebov">
    <w:name w:val="Normal (Web)"/>
    <w:basedOn w:val="Normlny"/>
    <w:uiPriority w:val="99"/>
    <w:unhideWhenUsed/>
    <w:rsid w:val="00A40A6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link w:val="Odsekzoznamu"/>
    <w:uiPriority w:val="99"/>
    <w:locked/>
    <w:rsid w:val="006459F1"/>
  </w:style>
  <w:style w:type="paragraph" w:styleId="Textbubliny">
    <w:name w:val="Balloon Text"/>
    <w:basedOn w:val="Normlny"/>
    <w:link w:val="TextbublinyChar"/>
    <w:uiPriority w:val="99"/>
    <w:semiHidden/>
    <w:unhideWhenUsed/>
    <w:rsid w:val="00451E5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51E5B"/>
    <w:rPr>
      <w:rFonts w:ascii="Segoe UI" w:hAnsi="Segoe UI" w:cs="Segoe UI"/>
      <w:sz w:val="18"/>
      <w:szCs w:val="18"/>
    </w:rPr>
  </w:style>
  <w:style w:type="paragraph" w:styleId="Hlavika">
    <w:name w:val="header"/>
    <w:basedOn w:val="Normlny"/>
    <w:link w:val="HlavikaChar"/>
    <w:uiPriority w:val="99"/>
    <w:unhideWhenUsed/>
    <w:rsid w:val="009B11D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B11DA"/>
  </w:style>
  <w:style w:type="paragraph" w:styleId="Pta">
    <w:name w:val="footer"/>
    <w:basedOn w:val="Normlny"/>
    <w:link w:val="PtaChar"/>
    <w:uiPriority w:val="99"/>
    <w:unhideWhenUsed/>
    <w:rsid w:val="009B11DA"/>
    <w:pPr>
      <w:tabs>
        <w:tab w:val="center" w:pos="4536"/>
        <w:tab w:val="right" w:pos="9072"/>
      </w:tabs>
      <w:spacing w:after="0" w:line="240" w:lineRule="auto"/>
    </w:pPr>
  </w:style>
  <w:style w:type="character" w:customStyle="1" w:styleId="PtaChar">
    <w:name w:val="Päta Char"/>
    <w:basedOn w:val="Predvolenpsmoodseku"/>
    <w:link w:val="Pta"/>
    <w:uiPriority w:val="99"/>
    <w:rsid w:val="009B11DA"/>
  </w:style>
  <w:style w:type="paragraph" w:customStyle="1" w:styleId="Zkladntext">
    <w:name w:val="Základní text"/>
    <w:aliases w:val="Základný text Char Char"/>
    <w:rsid w:val="008171AE"/>
    <w:pPr>
      <w:widowControl w:val="0"/>
      <w:snapToGrid w:val="0"/>
      <w:spacing w:after="0" w:line="240" w:lineRule="auto"/>
    </w:pPr>
    <w:rPr>
      <w:rFonts w:ascii="Times New Roman" w:eastAsia="Times New Roman" w:hAnsi="Times New Roman" w:cs="Times New Roman"/>
      <w:color w:val="000000"/>
      <w:sz w:val="24"/>
      <w:szCs w:val="20"/>
      <w:lang w:eastAsia="sk-SK"/>
    </w:rPr>
  </w:style>
  <w:style w:type="character" w:styleId="Hypertextovprepojenie">
    <w:name w:val="Hyperlink"/>
    <w:uiPriority w:val="99"/>
    <w:rsid w:val="00EA543A"/>
    <w:rPr>
      <w:rFonts w:cs="Times New Roman"/>
      <w:color w:val="0000FF"/>
      <w:u w:val="single"/>
    </w:rPr>
  </w:style>
  <w:style w:type="paragraph" w:customStyle="1" w:styleId="Default">
    <w:name w:val="Default"/>
    <w:rsid w:val="00EA543A"/>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styleId="slostrany">
    <w:name w:val="page number"/>
    <w:basedOn w:val="Predvolenpsmoodseku"/>
    <w:uiPriority w:val="99"/>
    <w:rsid w:val="00EA543A"/>
    <w:rPr>
      <w:rFonts w:cs="Times New Roman"/>
    </w:rPr>
  </w:style>
  <w:style w:type="table" w:styleId="Mriekatabuky">
    <w:name w:val="Table Grid"/>
    <w:basedOn w:val="Normlnatabuka"/>
    <w:uiPriority w:val="59"/>
    <w:rsid w:val="00EA5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basedOn w:val="Predvolenpsmoodseku"/>
    <w:uiPriority w:val="20"/>
    <w:qFormat/>
    <w:rsid w:val="00BA0AB9"/>
    <w:rPr>
      <w:rFonts w:cs="Times New Roman"/>
      <w:i/>
    </w:rPr>
  </w:style>
  <w:style w:type="paragraph" w:customStyle="1" w:styleId="c08dispositif">
    <w:name w:val="c08dispositif"/>
    <w:basedOn w:val="Normlny"/>
    <w:rsid w:val="00BA0AB9"/>
    <w:pPr>
      <w:spacing w:before="100" w:beforeAutospacing="1" w:after="240" w:line="240" w:lineRule="auto"/>
      <w:ind w:left="1134" w:hanging="567"/>
      <w:jc w:val="both"/>
    </w:pPr>
    <w:rPr>
      <w:rFonts w:ascii="Times New Roman" w:eastAsia="Times New Roman" w:hAnsi="Times New Roman" w:cs="Times New Roman"/>
      <w:b/>
      <w:bCs/>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178013">
      <w:bodyDiv w:val="1"/>
      <w:marLeft w:val="0"/>
      <w:marRight w:val="0"/>
      <w:marTop w:val="0"/>
      <w:marBottom w:val="0"/>
      <w:divBdr>
        <w:top w:val="none" w:sz="0" w:space="0" w:color="auto"/>
        <w:left w:val="none" w:sz="0" w:space="0" w:color="auto"/>
        <w:bottom w:val="none" w:sz="0" w:space="0" w:color="auto"/>
        <w:right w:val="none" w:sz="0" w:space="0" w:color="auto"/>
      </w:divBdr>
    </w:div>
    <w:div w:id="420950420">
      <w:bodyDiv w:val="1"/>
      <w:marLeft w:val="0"/>
      <w:marRight w:val="0"/>
      <w:marTop w:val="0"/>
      <w:marBottom w:val="0"/>
      <w:divBdr>
        <w:top w:val="none" w:sz="0" w:space="0" w:color="auto"/>
        <w:left w:val="none" w:sz="0" w:space="0" w:color="auto"/>
        <w:bottom w:val="none" w:sz="0" w:space="0" w:color="auto"/>
        <w:right w:val="none" w:sz="0" w:space="0" w:color="auto"/>
      </w:divBdr>
    </w:div>
    <w:div w:id="643242403">
      <w:bodyDiv w:val="1"/>
      <w:marLeft w:val="0"/>
      <w:marRight w:val="0"/>
      <w:marTop w:val="0"/>
      <w:marBottom w:val="0"/>
      <w:divBdr>
        <w:top w:val="none" w:sz="0" w:space="0" w:color="auto"/>
        <w:left w:val="none" w:sz="0" w:space="0" w:color="auto"/>
        <w:bottom w:val="none" w:sz="0" w:space="0" w:color="auto"/>
        <w:right w:val="none" w:sz="0" w:space="0" w:color="auto"/>
      </w:divBdr>
    </w:div>
    <w:div w:id="667833273">
      <w:bodyDiv w:val="1"/>
      <w:marLeft w:val="0"/>
      <w:marRight w:val="0"/>
      <w:marTop w:val="0"/>
      <w:marBottom w:val="0"/>
      <w:divBdr>
        <w:top w:val="none" w:sz="0" w:space="0" w:color="auto"/>
        <w:left w:val="none" w:sz="0" w:space="0" w:color="auto"/>
        <w:bottom w:val="none" w:sz="0" w:space="0" w:color="auto"/>
        <w:right w:val="none" w:sz="0" w:space="0" w:color="auto"/>
      </w:divBdr>
    </w:div>
    <w:div w:id="825367082">
      <w:bodyDiv w:val="1"/>
      <w:marLeft w:val="0"/>
      <w:marRight w:val="0"/>
      <w:marTop w:val="0"/>
      <w:marBottom w:val="0"/>
      <w:divBdr>
        <w:top w:val="none" w:sz="0" w:space="0" w:color="auto"/>
        <w:left w:val="none" w:sz="0" w:space="0" w:color="auto"/>
        <w:bottom w:val="none" w:sz="0" w:space="0" w:color="auto"/>
        <w:right w:val="none" w:sz="0" w:space="0" w:color="auto"/>
      </w:divBdr>
    </w:div>
    <w:div w:id="1019698597">
      <w:bodyDiv w:val="1"/>
      <w:marLeft w:val="0"/>
      <w:marRight w:val="0"/>
      <w:marTop w:val="0"/>
      <w:marBottom w:val="0"/>
      <w:divBdr>
        <w:top w:val="none" w:sz="0" w:space="0" w:color="auto"/>
        <w:left w:val="none" w:sz="0" w:space="0" w:color="auto"/>
        <w:bottom w:val="none" w:sz="0" w:space="0" w:color="auto"/>
        <w:right w:val="none" w:sz="0" w:space="0" w:color="auto"/>
      </w:divBdr>
    </w:div>
    <w:div w:id="1092244500">
      <w:bodyDiv w:val="1"/>
      <w:marLeft w:val="0"/>
      <w:marRight w:val="0"/>
      <w:marTop w:val="0"/>
      <w:marBottom w:val="0"/>
      <w:divBdr>
        <w:top w:val="none" w:sz="0" w:space="0" w:color="auto"/>
        <w:left w:val="none" w:sz="0" w:space="0" w:color="auto"/>
        <w:bottom w:val="none" w:sz="0" w:space="0" w:color="auto"/>
        <w:right w:val="none" w:sz="0" w:space="0" w:color="auto"/>
      </w:divBdr>
    </w:div>
    <w:div w:id="1203252175">
      <w:bodyDiv w:val="1"/>
      <w:marLeft w:val="0"/>
      <w:marRight w:val="0"/>
      <w:marTop w:val="0"/>
      <w:marBottom w:val="0"/>
      <w:divBdr>
        <w:top w:val="none" w:sz="0" w:space="0" w:color="auto"/>
        <w:left w:val="none" w:sz="0" w:space="0" w:color="auto"/>
        <w:bottom w:val="none" w:sz="0" w:space="0" w:color="auto"/>
        <w:right w:val="none" w:sz="0" w:space="0" w:color="auto"/>
      </w:divBdr>
    </w:div>
    <w:div w:id="1265961092">
      <w:bodyDiv w:val="1"/>
      <w:marLeft w:val="0"/>
      <w:marRight w:val="0"/>
      <w:marTop w:val="0"/>
      <w:marBottom w:val="0"/>
      <w:divBdr>
        <w:top w:val="none" w:sz="0" w:space="0" w:color="auto"/>
        <w:left w:val="none" w:sz="0" w:space="0" w:color="auto"/>
        <w:bottom w:val="none" w:sz="0" w:space="0" w:color="auto"/>
        <w:right w:val="none" w:sz="0" w:space="0" w:color="auto"/>
      </w:divBdr>
    </w:div>
    <w:div w:id="1644845224">
      <w:bodyDiv w:val="1"/>
      <w:marLeft w:val="0"/>
      <w:marRight w:val="0"/>
      <w:marTop w:val="0"/>
      <w:marBottom w:val="0"/>
      <w:divBdr>
        <w:top w:val="none" w:sz="0" w:space="0" w:color="auto"/>
        <w:left w:val="none" w:sz="0" w:space="0" w:color="auto"/>
        <w:bottom w:val="none" w:sz="0" w:space="0" w:color="auto"/>
        <w:right w:val="none" w:sz="0" w:space="0" w:color="auto"/>
      </w:divBdr>
    </w:div>
    <w:div w:id="1749688047">
      <w:bodyDiv w:val="1"/>
      <w:marLeft w:val="0"/>
      <w:marRight w:val="0"/>
      <w:marTop w:val="0"/>
      <w:marBottom w:val="0"/>
      <w:divBdr>
        <w:top w:val="none" w:sz="0" w:space="0" w:color="auto"/>
        <w:left w:val="none" w:sz="0" w:space="0" w:color="auto"/>
        <w:bottom w:val="none" w:sz="0" w:space="0" w:color="auto"/>
        <w:right w:val="none" w:sz="0" w:space="0" w:color="auto"/>
      </w:divBdr>
    </w:div>
    <w:div w:id="1764762389">
      <w:bodyDiv w:val="1"/>
      <w:marLeft w:val="0"/>
      <w:marRight w:val="0"/>
      <w:marTop w:val="0"/>
      <w:marBottom w:val="0"/>
      <w:divBdr>
        <w:top w:val="none" w:sz="0" w:space="0" w:color="auto"/>
        <w:left w:val="none" w:sz="0" w:space="0" w:color="auto"/>
        <w:bottom w:val="none" w:sz="0" w:space="0" w:color="auto"/>
        <w:right w:val="none" w:sz="0" w:space="0" w:color="auto"/>
      </w:divBdr>
    </w:div>
    <w:div w:id="1893038916">
      <w:bodyDiv w:val="1"/>
      <w:marLeft w:val="0"/>
      <w:marRight w:val="0"/>
      <w:marTop w:val="0"/>
      <w:marBottom w:val="0"/>
      <w:divBdr>
        <w:top w:val="none" w:sz="0" w:space="0" w:color="auto"/>
        <w:left w:val="none" w:sz="0" w:space="0" w:color="auto"/>
        <w:bottom w:val="none" w:sz="0" w:space="0" w:color="auto"/>
        <w:right w:val="none" w:sz="0" w:space="0" w:color="auto"/>
      </w:divBdr>
    </w:div>
    <w:div w:id="1986087844">
      <w:bodyDiv w:val="1"/>
      <w:marLeft w:val="0"/>
      <w:marRight w:val="0"/>
      <w:marTop w:val="0"/>
      <w:marBottom w:val="0"/>
      <w:divBdr>
        <w:top w:val="none" w:sz="0" w:space="0" w:color="auto"/>
        <w:left w:val="none" w:sz="0" w:space="0" w:color="auto"/>
        <w:bottom w:val="none" w:sz="0" w:space="0" w:color="auto"/>
        <w:right w:val="none" w:sz="0" w:space="0" w:color="auto"/>
      </w:divBdr>
    </w:div>
    <w:div w:id="2110613629">
      <w:bodyDiv w:val="1"/>
      <w:marLeft w:val="0"/>
      <w:marRight w:val="0"/>
      <w:marTop w:val="0"/>
      <w:marBottom w:val="0"/>
      <w:divBdr>
        <w:top w:val="none" w:sz="0" w:space="0" w:color="auto"/>
        <w:left w:val="none" w:sz="0" w:space="0" w:color="auto"/>
        <w:bottom w:val="none" w:sz="0" w:space="0" w:color="auto"/>
        <w:right w:val="none" w:sz="0" w:space="0" w:color="auto"/>
      </w:divBdr>
    </w:div>
    <w:div w:id="212083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a.vidova@mfsr.s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3CFF1-E591-4D20-90ED-9E8968757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55</Pages>
  <Words>20803</Words>
  <Characters>114834</Characters>
  <Application>Microsoft Office Word</Application>
  <DocSecurity>0</DocSecurity>
  <Lines>11483</Lines>
  <Paragraphs>4521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Ministerstvo financií SR</Company>
  <LinksUpToDate>false</LinksUpToDate>
  <CharactersWithSpaces>131116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Vidova Michaela</dc:creator>
  <cp:lastModifiedBy>Vidova Michaela</cp:lastModifiedBy>
  <cp:revision>5</cp:revision>
  <cp:lastPrinted>2019-05-21T15:58:00Z</cp:lastPrinted>
  <dcterms:created xsi:type="dcterms:W3CDTF">2019-05-29T08:35:00Z</dcterms:created>
  <dcterms:modified xsi:type="dcterms:W3CDTF">2019-05-29T09:41:00Z</dcterms:modified>
</cp:coreProperties>
</file>