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C4F" w:rsidRPr="00861EE0" w:rsidRDefault="00201C4F">
      <w:pPr>
        <w:pStyle w:val="Nzov"/>
      </w:pPr>
      <w:r w:rsidRPr="00861EE0">
        <w:t>Dôvodová správa</w:t>
      </w:r>
    </w:p>
    <w:p w:rsidR="00201C4F" w:rsidRPr="00861EE0" w:rsidRDefault="00201C4F">
      <w:pPr>
        <w:jc w:val="center"/>
        <w:rPr>
          <w:b/>
          <w:bCs/>
        </w:rPr>
      </w:pPr>
    </w:p>
    <w:p w:rsidR="003E553C" w:rsidRPr="00861EE0" w:rsidRDefault="003E553C">
      <w:pPr>
        <w:jc w:val="center"/>
        <w:rPr>
          <w:b/>
          <w:bCs/>
        </w:rPr>
      </w:pPr>
    </w:p>
    <w:p w:rsidR="00201C4F" w:rsidRPr="00861EE0" w:rsidRDefault="00201C4F" w:rsidP="006F694F">
      <w:pPr>
        <w:pStyle w:val="Podtitul"/>
        <w:jc w:val="both"/>
      </w:pPr>
      <w:r w:rsidRPr="00861EE0">
        <w:t>Všeobecná časť</w:t>
      </w:r>
    </w:p>
    <w:p w:rsidR="00201C4F" w:rsidRPr="00861EE0" w:rsidRDefault="00201C4F">
      <w:pPr>
        <w:ind w:left="360"/>
        <w:jc w:val="both"/>
      </w:pPr>
    </w:p>
    <w:p w:rsidR="009D5BE2" w:rsidRPr="00861EE0" w:rsidRDefault="00201C4F">
      <w:pPr>
        <w:pStyle w:val="Zkladntext2"/>
      </w:pPr>
      <w:r w:rsidRPr="00861EE0">
        <w:tab/>
      </w:r>
      <w:r w:rsidR="005F5EA2" w:rsidRPr="00861EE0">
        <w:t>C</w:t>
      </w:r>
      <w:r w:rsidR="007B48DA" w:rsidRPr="00861EE0">
        <w:t xml:space="preserve">ieľom predloženého návrhu </w:t>
      </w:r>
      <w:r w:rsidR="00EF71CE" w:rsidRPr="00861EE0">
        <w:t>zákona, ktorým sa mení a dopĺňa zákon</w:t>
      </w:r>
      <w:r w:rsidR="0072012D" w:rsidRPr="00861EE0">
        <w:br/>
      </w:r>
      <w:r w:rsidR="006C377D" w:rsidRPr="00861EE0">
        <w:t>č. 80/</w:t>
      </w:r>
      <w:r w:rsidR="00EF71CE" w:rsidRPr="00861EE0">
        <w:t>199</w:t>
      </w:r>
      <w:r w:rsidR="003727DF" w:rsidRPr="00861EE0">
        <w:t>7</w:t>
      </w:r>
      <w:r w:rsidR="00EF71CE" w:rsidRPr="00861EE0">
        <w:t xml:space="preserve"> Z.</w:t>
      </w:r>
      <w:r w:rsidR="003727DF" w:rsidRPr="00861EE0">
        <w:t xml:space="preserve"> z. </w:t>
      </w:r>
      <w:r w:rsidR="00EF71CE" w:rsidRPr="00861EE0">
        <w:t>o</w:t>
      </w:r>
      <w:r w:rsidR="003727DF" w:rsidRPr="00861EE0">
        <w:t xml:space="preserve"> Exportno-importnej banke Slovenskej republiky </w:t>
      </w:r>
      <w:r w:rsidR="00EF71CE" w:rsidRPr="00861EE0">
        <w:t>v znení neskorších predpisov</w:t>
      </w:r>
      <w:r w:rsidR="00A90217" w:rsidRPr="00861EE0">
        <w:t xml:space="preserve"> </w:t>
      </w:r>
      <w:r w:rsidR="004F20F7" w:rsidRPr="00861EE0">
        <w:t xml:space="preserve">(ďalej len „zákon o Eximbanke“) </w:t>
      </w:r>
      <w:r w:rsidR="003727DF" w:rsidRPr="00861EE0">
        <w:t>a</w:t>
      </w:r>
      <w:r w:rsidR="00951814" w:rsidRPr="00861EE0">
        <w:t xml:space="preserve"> ktorým sa menia </w:t>
      </w:r>
      <w:r w:rsidR="00DE4057" w:rsidRPr="00861EE0">
        <w:t>a</w:t>
      </w:r>
      <w:r w:rsidR="00951814" w:rsidRPr="00861EE0">
        <w:t> </w:t>
      </w:r>
      <w:r w:rsidR="00DE4057" w:rsidRPr="00861EE0">
        <w:t>dop</w:t>
      </w:r>
      <w:r w:rsidR="00951814" w:rsidRPr="00861EE0">
        <w:t xml:space="preserve">ĺňajú </w:t>
      </w:r>
      <w:r w:rsidR="00DE4057" w:rsidRPr="00861EE0">
        <w:t>niektor</w:t>
      </w:r>
      <w:r w:rsidR="00951814" w:rsidRPr="00861EE0">
        <w:t xml:space="preserve">é </w:t>
      </w:r>
      <w:r w:rsidR="00DE4057" w:rsidRPr="00861EE0">
        <w:t>zákon</w:t>
      </w:r>
      <w:r w:rsidR="00951814" w:rsidRPr="00861EE0">
        <w:t>y</w:t>
      </w:r>
      <w:r w:rsidR="00DE4057" w:rsidRPr="00861EE0">
        <w:t xml:space="preserve">, je vytvorenie </w:t>
      </w:r>
      <w:r w:rsidR="009D5BE2" w:rsidRPr="00861EE0">
        <w:t xml:space="preserve">legislatívnych predpokladov pre efektívnejšie fungovanie špecializovaných finančných subjektov, ktorými sú Exportno-importná banka Slovenskej republiky (ďalej len „Eximbanka“), Fond ochrany vkladov a Národný fond pre riešenie krízových situácií </w:t>
      </w:r>
      <w:r w:rsidR="00951814" w:rsidRPr="00861EE0">
        <w:t xml:space="preserve">na finančnom trhu </w:t>
      </w:r>
      <w:r w:rsidR="009D5BE2" w:rsidRPr="00861EE0">
        <w:t>(ďalej len „Národný fond“).</w:t>
      </w:r>
    </w:p>
    <w:p w:rsidR="009D5BE2" w:rsidRPr="00861EE0" w:rsidRDefault="009D5BE2">
      <w:pPr>
        <w:pStyle w:val="Zkladntext2"/>
      </w:pPr>
    </w:p>
    <w:p w:rsidR="00091E08" w:rsidRPr="00861EE0" w:rsidRDefault="009D5BE2" w:rsidP="009D5BE2">
      <w:pPr>
        <w:pStyle w:val="Zkladntext2"/>
        <w:ind w:firstLine="709"/>
      </w:pPr>
      <w:r w:rsidRPr="00861EE0">
        <w:t>Hlavným</w:t>
      </w:r>
      <w:r w:rsidR="005F5EA2" w:rsidRPr="00861EE0">
        <w:t xml:space="preserve">i dvoma </w:t>
      </w:r>
      <w:r w:rsidRPr="00861EE0">
        <w:t>dôvod</w:t>
      </w:r>
      <w:r w:rsidR="005F5EA2" w:rsidRPr="00861EE0">
        <w:t xml:space="preserve">mi </w:t>
      </w:r>
      <w:r w:rsidRPr="00861EE0">
        <w:t xml:space="preserve">novelizácie </w:t>
      </w:r>
      <w:r w:rsidR="00450F97" w:rsidRPr="00861EE0">
        <w:t xml:space="preserve">zákona o Eximbanke </w:t>
      </w:r>
      <w:r w:rsidR="00AA47E8" w:rsidRPr="00861EE0">
        <w:t xml:space="preserve">sú </w:t>
      </w:r>
      <w:r w:rsidR="005F5EA2" w:rsidRPr="00861EE0">
        <w:t xml:space="preserve">(i) </w:t>
      </w:r>
      <w:r w:rsidR="00450F97" w:rsidRPr="00861EE0">
        <w:t>rozšírenie činností Eximbanky o vykonávanie finančných nástrojov Európskej únie (EÚ) určených na rozvojovú spoluprácu a</w:t>
      </w:r>
      <w:r w:rsidR="005F5EA2" w:rsidRPr="00861EE0">
        <w:t xml:space="preserve"> (ii) umožnenie Eximbanke priamo financovať a spolufinancovať zvýhodnené vývozné úvery.    </w:t>
      </w:r>
      <w:r w:rsidR="004F20F7" w:rsidRPr="00861EE0">
        <w:t xml:space="preserve"> </w:t>
      </w:r>
    </w:p>
    <w:p w:rsidR="00091E08" w:rsidRPr="00861EE0" w:rsidRDefault="00091E08">
      <w:pPr>
        <w:pStyle w:val="Zkladntext2"/>
      </w:pPr>
    </w:p>
    <w:p w:rsidR="00E40CF6" w:rsidRPr="00861EE0" w:rsidRDefault="00450F97" w:rsidP="00E40CF6">
      <w:pPr>
        <w:ind w:firstLine="709"/>
        <w:jc w:val="both"/>
      </w:pPr>
      <w:r w:rsidRPr="00861EE0">
        <w:t xml:space="preserve">K prvému dôvodu </w:t>
      </w:r>
      <w:r w:rsidR="008156D1" w:rsidRPr="00861EE0">
        <w:t xml:space="preserve">širšie </w:t>
      </w:r>
      <w:r w:rsidRPr="00861EE0">
        <w:t>uvádzame, že v</w:t>
      </w:r>
      <w:r w:rsidR="00E40CF6" w:rsidRPr="00861EE0">
        <w:t xml:space="preserve"> roku 2015 schválilo medzinárodné spoločenstvo na pôde Organizácie spojených národov nový rámec rozvojovej spolupráce – Agendu 2030 pre udržateľný rozvoj. Na rozdiel od predchádzajúcich konceptov (napr. Miléniové rozvojové ciele) sa Agenda 2030 pre udržateľný rozvoj sústreďuje na zmeny, ktoré je potrebné v záujme udržateľného rozvoja dosiahnuť nielen v rozvojových, ale aj v rozvinutých krajinách. Prirodzenou súčasťou tohto procesu je postupný posun od tradičných, najmä grantových foriem rozvojovej spolupráce k novým nástrojom a spôsobom jej realizácie. Zároveň si dosiahnutie cieľov udržateľného rozvoja vyžaduje dodatočné zdroje, ktoré nie je možné zabezpečiť výlučne formou oficiálnej rozvojovej pomoci</w:t>
      </w:r>
      <w:r w:rsidR="00072A0D" w:rsidRPr="00861EE0">
        <w:t xml:space="preserve"> (v anglickom jazyku </w:t>
      </w:r>
      <w:proofErr w:type="spellStart"/>
      <w:r w:rsidR="00072A0D" w:rsidRPr="00861EE0">
        <w:t>Official</w:t>
      </w:r>
      <w:proofErr w:type="spellEnd"/>
      <w:r w:rsidR="00072A0D" w:rsidRPr="00861EE0">
        <w:t xml:space="preserve"> </w:t>
      </w:r>
      <w:proofErr w:type="spellStart"/>
      <w:r w:rsidR="00072A0D" w:rsidRPr="00861EE0">
        <w:t>Development</w:t>
      </w:r>
      <w:proofErr w:type="spellEnd"/>
      <w:r w:rsidR="00072A0D" w:rsidRPr="00861EE0">
        <w:t xml:space="preserve"> </w:t>
      </w:r>
      <w:proofErr w:type="spellStart"/>
      <w:r w:rsidR="00072A0D" w:rsidRPr="00861EE0">
        <w:t>Assistance</w:t>
      </w:r>
      <w:proofErr w:type="spellEnd"/>
      <w:r w:rsidR="00072A0D" w:rsidRPr="00861EE0">
        <w:t xml:space="preserve"> /ODA/)</w:t>
      </w:r>
      <w:r w:rsidR="00E40CF6" w:rsidRPr="00861EE0">
        <w:t>. Preto sa ako nevyhnutné ukazuje zapojenie súkromného sektora a s tým spojené využívanie nových finančných nástrojov.</w:t>
      </w:r>
    </w:p>
    <w:p w:rsidR="00E40CF6" w:rsidRPr="00861EE0" w:rsidRDefault="00E40CF6" w:rsidP="00E40CF6">
      <w:pPr>
        <w:jc w:val="both"/>
      </w:pPr>
    </w:p>
    <w:p w:rsidR="00E40CF6" w:rsidRPr="00861EE0" w:rsidRDefault="00E40CF6" w:rsidP="00E40CF6">
      <w:pPr>
        <w:ind w:firstLine="709"/>
        <w:jc w:val="both"/>
      </w:pPr>
      <w:r w:rsidRPr="00861EE0">
        <w:t>Na uvedený posun v nastavení ekosystému rozvojovej spolupráce reflektovala Európska únia prostredníctvom vytvorenia Externého investičného plánu (EIP)</w:t>
      </w:r>
      <w:r w:rsidR="005B6439" w:rsidRPr="00861EE0">
        <w:t xml:space="preserve"> a v rámci neho ako jeho prvého piliera zriadením Európskeho fondu pre udržateľný rozvoj (nariadenie Európskeho parlamentu a Rady (EÚ) 2017/1601 z 26. septembra 2017 o zriadení Európskeho fondu pre udržateľný rozvoj (EFSD), záruky EFSD a záručného fondu EFSD</w:t>
      </w:r>
      <w:r w:rsidR="00F10D64" w:rsidRPr="00861EE0">
        <w:t xml:space="preserve"> (Ú. v. EÚ L 249, 27.9.2017)</w:t>
      </w:r>
      <w:r w:rsidR="005B6439" w:rsidRPr="00861EE0">
        <w:t>)</w:t>
      </w:r>
      <w:r w:rsidRPr="00861EE0">
        <w:t>, ktorého cieľom je mobilizácia finančných prostriedkov na investičné projekty najmä v štátoch Afriky a európskeho susedstva</w:t>
      </w:r>
      <w:r w:rsidR="005B6439" w:rsidRPr="00861EE0">
        <w:t xml:space="preserve">. </w:t>
      </w:r>
      <w:r w:rsidRPr="00861EE0">
        <w:t>Verejné prostriedky EIP/</w:t>
      </w:r>
      <w:r w:rsidR="005B6439" w:rsidRPr="00861EE0">
        <w:t>E</w:t>
      </w:r>
      <w:r w:rsidRPr="00861EE0">
        <w:t>FSD pomôžu prilákať investície verejných finančných inštitúcií</w:t>
      </w:r>
      <w:r w:rsidR="00E76F01" w:rsidRPr="00861EE0">
        <w:t>,</w:t>
      </w:r>
      <w:r w:rsidRPr="00861EE0">
        <w:t xml:space="preserve"> a</w:t>
      </w:r>
      <w:r w:rsidR="00815288" w:rsidRPr="00861EE0">
        <w:t xml:space="preserve">ko aj </w:t>
      </w:r>
      <w:r w:rsidRPr="00861EE0">
        <w:t>súkromného sektora a podporiť tak realizáciu životaschopných projektov v rozvojových krajinách.</w:t>
      </w:r>
    </w:p>
    <w:p w:rsidR="00815288" w:rsidRPr="00861EE0" w:rsidRDefault="00815288" w:rsidP="00E40CF6">
      <w:pPr>
        <w:ind w:firstLine="709"/>
        <w:jc w:val="both"/>
      </w:pPr>
    </w:p>
    <w:p w:rsidR="00815288" w:rsidRPr="00861EE0" w:rsidRDefault="00815288" w:rsidP="00D40376">
      <w:pPr>
        <w:ind w:firstLine="709"/>
        <w:jc w:val="both"/>
      </w:pPr>
      <w:r w:rsidRPr="00861EE0">
        <w:t xml:space="preserve">Súkromný sektor má </w:t>
      </w:r>
      <w:r w:rsidR="00E64CD0" w:rsidRPr="00861EE0">
        <w:t>v medzinárodnom rozvoji nezastupiteľnú úlohu</w:t>
      </w:r>
      <w:r w:rsidRPr="00861EE0">
        <w:t>. Prináša obyvateľom nové pracovné príležitosti, potrebné know-how a celkovo prispieva k zlepšeniu podnikateľského prostredia a ekonomického rastu v daných štátoch. Zapájanie sa do spoločensky prospešných projektov a investícií v rozvojových krajinách predstavuje zároveň pre firmy príležitosť expandovať na nové trhy.</w:t>
      </w:r>
      <w:r w:rsidR="00D40376" w:rsidRPr="00861EE0">
        <w:t xml:space="preserve"> </w:t>
      </w:r>
      <w:r w:rsidRPr="00861EE0">
        <w:t xml:space="preserve">Slovenská republika sa dlhodobo snaží o zvýšenie zapojenia slovenského súkromného sektora do rozvojovej spolupráce. Deje sa tak </w:t>
      </w:r>
      <w:r w:rsidR="00E2165A" w:rsidRPr="00861EE0">
        <w:t xml:space="preserve">nie len </w:t>
      </w:r>
      <w:r w:rsidRPr="00861EE0">
        <w:t>prostredníctvom viacerých projektov a</w:t>
      </w:r>
      <w:r w:rsidR="008214E6" w:rsidRPr="00861EE0">
        <w:t> </w:t>
      </w:r>
      <w:r w:rsidRPr="00861EE0">
        <w:t>p</w:t>
      </w:r>
      <w:r w:rsidR="008214E6" w:rsidRPr="00861EE0">
        <w:t xml:space="preserve">rogramov </w:t>
      </w:r>
      <w:r w:rsidR="00E2165A" w:rsidRPr="00861EE0">
        <w:t>/</w:t>
      </w:r>
      <w:r w:rsidR="008214E6" w:rsidRPr="00861EE0">
        <w:t xml:space="preserve">napr. </w:t>
      </w:r>
      <w:r w:rsidRPr="00861EE0">
        <w:t>projekt</w:t>
      </w:r>
      <w:r w:rsidR="00D40376" w:rsidRPr="00861EE0">
        <w:t>u</w:t>
      </w:r>
      <w:r w:rsidRPr="00861EE0">
        <w:t xml:space="preserve"> </w:t>
      </w:r>
      <w:proofErr w:type="spellStart"/>
      <w:r w:rsidRPr="00861EE0">
        <w:t>Rozvojmajstri</w:t>
      </w:r>
      <w:proofErr w:type="spellEnd"/>
      <w:r w:rsidRPr="00861EE0">
        <w:t xml:space="preserve"> realizovan</w:t>
      </w:r>
      <w:r w:rsidR="00D40376" w:rsidRPr="00861EE0">
        <w:t xml:space="preserve">ého </w:t>
      </w:r>
      <w:r w:rsidRPr="00861EE0">
        <w:t>v spolupráci M</w:t>
      </w:r>
      <w:r w:rsidR="00D40376" w:rsidRPr="00861EE0">
        <w:t xml:space="preserve">inisterstva financií </w:t>
      </w:r>
      <w:r w:rsidRPr="00861EE0">
        <w:t>SR a Rozvojového programu Organizácie spojených národov, Programu podnikateľských partnerstiev Slovenskej agentúry pre medzinárodnú rozvojovú spoluprácu (SAMRS)</w:t>
      </w:r>
      <w:r w:rsidR="00E2165A" w:rsidRPr="00861EE0">
        <w:t xml:space="preserve">/ a prostredníctvom </w:t>
      </w:r>
      <w:r w:rsidRPr="00861EE0">
        <w:t>vytváran</w:t>
      </w:r>
      <w:r w:rsidR="00E2165A" w:rsidRPr="00861EE0">
        <w:t xml:space="preserve">ia </w:t>
      </w:r>
      <w:r w:rsidRPr="00861EE0">
        <w:t xml:space="preserve">špecifických fondov s medzinárodnými finančnými inštitúciami a medzinárodnými organizáciami, </w:t>
      </w:r>
      <w:r w:rsidR="00E2165A" w:rsidRPr="00861EE0">
        <w:t xml:space="preserve">ale </w:t>
      </w:r>
      <w:r w:rsidRPr="00861EE0">
        <w:t xml:space="preserve">aj </w:t>
      </w:r>
      <w:r w:rsidRPr="00861EE0">
        <w:lastRenderedPageBreak/>
        <w:t>legislatívnym</w:t>
      </w:r>
      <w:r w:rsidR="00E2165A" w:rsidRPr="00861EE0">
        <w:t xml:space="preserve">i </w:t>
      </w:r>
      <w:r w:rsidR="00E64CD0" w:rsidRPr="00861EE0">
        <w:t xml:space="preserve">úpravami </w:t>
      </w:r>
      <w:r w:rsidR="00E2165A" w:rsidRPr="00861EE0">
        <w:t xml:space="preserve">formou zavedenia nových </w:t>
      </w:r>
      <w:r w:rsidRPr="00861EE0">
        <w:t xml:space="preserve">nástrojov </w:t>
      </w:r>
      <w:r w:rsidR="00E2165A" w:rsidRPr="00861EE0">
        <w:t xml:space="preserve">rozvojovej spolupráce /napr. </w:t>
      </w:r>
      <w:r w:rsidRPr="00861EE0">
        <w:t xml:space="preserve">zadanie zákazky prostredníctvom SAMRS, zvýhodnené vývozné úvery). Napriek existencii uvedených mechanizmov </w:t>
      </w:r>
      <w:r w:rsidR="0033265B" w:rsidRPr="00861EE0">
        <w:t xml:space="preserve">je </w:t>
      </w:r>
      <w:r w:rsidRPr="00861EE0">
        <w:t xml:space="preserve">úroveň aktivizácie slovenského súkromného sektora v rozvojovej spolupráci </w:t>
      </w:r>
      <w:r w:rsidR="0033265B" w:rsidRPr="00861EE0">
        <w:t>veľmi slabá</w:t>
      </w:r>
      <w:r w:rsidRPr="00861EE0">
        <w:t>.</w:t>
      </w:r>
    </w:p>
    <w:p w:rsidR="0033265B" w:rsidRPr="00861EE0" w:rsidRDefault="0033265B" w:rsidP="00D40376">
      <w:pPr>
        <w:ind w:firstLine="709"/>
        <w:jc w:val="both"/>
      </w:pPr>
    </w:p>
    <w:p w:rsidR="001E13E0" w:rsidRPr="00861EE0" w:rsidRDefault="001E13E0" w:rsidP="001E13E0">
      <w:pPr>
        <w:ind w:firstLine="709"/>
        <w:jc w:val="both"/>
      </w:pPr>
      <w:r w:rsidRPr="00861EE0">
        <w:t>Na potrebu efektívnejšieho zapájania súkromného sektora reflektuje aj pri</w:t>
      </w:r>
      <w:r w:rsidR="008214E6" w:rsidRPr="00861EE0">
        <w:t xml:space="preserve">jatá </w:t>
      </w:r>
      <w:r w:rsidRPr="00861EE0">
        <w:rPr>
          <w:i/>
        </w:rPr>
        <w:t>Strednodobá stratégia rozvojovej spolupráce S</w:t>
      </w:r>
      <w:r w:rsidR="008214E6" w:rsidRPr="00861EE0">
        <w:rPr>
          <w:i/>
        </w:rPr>
        <w:t xml:space="preserve">lovenskej republiky </w:t>
      </w:r>
      <w:r w:rsidRPr="00861EE0">
        <w:rPr>
          <w:i/>
        </w:rPr>
        <w:t>na roky 2019 – 2023</w:t>
      </w:r>
      <w:r w:rsidRPr="00861EE0">
        <w:t xml:space="preserve">. Konkrétnym nedostatkom, na ktorý reaguje </w:t>
      </w:r>
      <w:r w:rsidR="00E76F01" w:rsidRPr="00861EE0">
        <w:t xml:space="preserve">uvedený </w:t>
      </w:r>
      <w:r w:rsidRPr="00861EE0">
        <w:t>materiál, je len limitované zapájanie slovenských firiem do projektov a verejných súťaží v rozvojových krajinách, financovaných zo zdrojov rozpočtu EÚ. Rozvojová spolupráca EÚ sa realizuje najmä prostredníctvom grantov na podporu projektov a</w:t>
      </w:r>
      <w:r w:rsidR="00F300C5" w:rsidRPr="00861EE0">
        <w:t> </w:t>
      </w:r>
      <w:r w:rsidRPr="00861EE0">
        <w:t>zákaziek</w:t>
      </w:r>
      <w:r w:rsidR="00F300C5" w:rsidRPr="00861EE0">
        <w:t xml:space="preserve">, </w:t>
      </w:r>
      <w:r w:rsidRPr="00861EE0">
        <w:t>ktoré sú zadávané prostredníctvom verejného obstarávania, a</w:t>
      </w:r>
      <w:r w:rsidR="00F300C5" w:rsidRPr="00861EE0">
        <w:t xml:space="preserve">ko </w:t>
      </w:r>
      <w:r w:rsidRPr="00861EE0">
        <w:t xml:space="preserve">aj ďalšími mechanizmami (napr. rozpočtová podpora). Z celkovej </w:t>
      </w:r>
      <w:r w:rsidR="00F300C5" w:rsidRPr="00861EE0">
        <w:t>oficiálnej rozvojovej pomoci,</w:t>
      </w:r>
      <w:r w:rsidRPr="00861EE0">
        <w:t xml:space="preserve"> ktorú S</w:t>
      </w:r>
      <w:r w:rsidR="00F300C5" w:rsidRPr="00861EE0">
        <w:t>lovenská republik</w:t>
      </w:r>
      <w:r w:rsidR="006629C6" w:rsidRPr="00861EE0">
        <w:t>a</w:t>
      </w:r>
      <w:r w:rsidR="00F300C5" w:rsidRPr="00861EE0">
        <w:t xml:space="preserve"> </w:t>
      </w:r>
      <w:r w:rsidRPr="00861EE0">
        <w:t>každoročne poskytuje (cca 119 mil. USD za rok 2017), tvorí príspevok na rozvojovú spoluprácu EÚ nosnú časť (za rok 2017 to bolo 57,4 mil. EUR). Z nej sa však len malá časť (okolo 5</w:t>
      </w:r>
      <w:r w:rsidR="006629C6" w:rsidRPr="00861EE0">
        <w:t xml:space="preserve"> </w:t>
      </w:r>
      <w:r w:rsidRPr="00861EE0">
        <w:t xml:space="preserve">%) vracia v podobe zákaziek a projektov realizovaných slovenskými subjektmi. </w:t>
      </w:r>
    </w:p>
    <w:p w:rsidR="0033265B" w:rsidRPr="00861EE0" w:rsidRDefault="0033265B" w:rsidP="00D40376">
      <w:pPr>
        <w:ind w:firstLine="709"/>
        <w:jc w:val="both"/>
      </w:pPr>
    </w:p>
    <w:p w:rsidR="0033265B" w:rsidRPr="00861EE0" w:rsidRDefault="0033265B" w:rsidP="00F300C5">
      <w:pPr>
        <w:ind w:firstLine="709"/>
        <w:jc w:val="both"/>
      </w:pPr>
      <w:r w:rsidRPr="00861EE0">
        <w:t>Z uvedeného vyplýva, že Slovensko sa do väčších rozvojových projektov zapája v obmedzenej miere a uplatnenie slovenského podnikateľského sektora v rozvojovej spolupráci zaostáva za svojím potenciálom. Príčin je niekoľko</w:t>
      </w:r>
      <w:r w:rsidR="00A96B58" w:rsidRPr="00861EE0">
        <w:t>, pričom j</w:t>
      </w:r>
      <w:r w:rsidRPr="00861EE0">
        <w:t xml:space="preserve">ednou z nich sú aj </w:t>
      </w:r>
      <w:r w:rsidR="005558C3" w:rsidRPr="00861EE0">
        <w:t xml:space="preserve">obmedzené </w:t>
      </w:r>
      <w:r w:rsidRPr="00861EE0">
        <w:t xml:space="preserve">zdroje na realizáciu finančne náročnejších investičných projektov. Slovensku v súčasnosti chýba inštitúcia, ktorá by mohla využívať zdroje EIP/EFSD formou tzv. kombinovaného financovania (tzv. </w:t>
      </w:r>
      <w:proofErr w:type="spellStart"/>
      <w:r w:rsidRPr="00861EE0">
        <w:t>blending</w:t>
      </w:r>
      <w:proofErr w:type="spellEnd"/>
      <w:r w:rsidRPr="00861EE0">
        <w:t xml:space="preserve">), pri ktorom časť rozvojového projektu je financovaná napr. nenávratne zo zdrojov rozpočtu EÚ a časť návratne zo zdrojov súkromného alebo verejného sektora. </w:t>
      </w:r>
      <w:r w:rsidR="00DD5031" w:rsidRPr="00861EE0">
        <w:t>Uvedená skutočnosť je prepojená s chýbajúcim tzv. rozvojovým mandátom – t. j. kompetenciou finančnej inštitúcie, resp. kvázi finančnej inštitúcie podporovať hospodársky rozvoj v rozvojových krajinách. T</w:t>
      </w:r>
      <w:r w:rsidR="0082121B" w:rsidRPr="00861EE0">
        <w:t xml:space="preserve">ieto </w:t>
      </w:r>
      <w:r w:rsidR="00DD5031" w:rsidRPr="00861EE0">
        <w:t xml:space="preserve">nedostatky podrobne popisuje materiál s názvom </w:t>
      </w:r>
      <w:r w:rsidR="00DD5031" w:rsidRPr="00861EE0">
        <w:rPr>
          <w:i/>
        </w:rPr>
        <w:t>„Informácia o plánovanom rozšírení mandátu Exportno-importnej banky SR na využívanie zdrojov v rámci Externého investičného plánu EÚ“</w:t>
      </w:r>
      <w:r w:rsidR="00DD5031" w:rsidRPr="00861EE0">
        <w:t>, ktorý vláda Slovenskej republiky prekovala v decembri minulého roka. V</w:t>
      </w:r>
      <w:r w:rsidR="000012DF" w:rsidRPr="00861EE0">
        <w:t>ychádzajúc z predmetného materiálu sa z</w:t>
      </w:r>
      <w:r w:rsidR="00A96B58" w:rsidRPr="00861EE0">
        <w:t xml:space="preserve"> tohto dôvodu </w:t>
      </w:r>
      <w:r w:rsidR="004F20F7" w:rsidRPr="00861EE0">
        <w:t xml:space="preserve">v návrhu zákona (v rámci úpravy zákona o Eximbanke) </w:t>
      </w:r>
      <w:r w:rsidR="00A96B58" w:rsidRPr="00861EE0">
        <w:t xml:space="preserve">navrhuje </w:t>
      </w:r>
      <w:r w:rsidR="004F20F7" w:rsidRPr="00861EE0">
        <w:t xml:space="preserve">rozšíriť činnosti Eximbanky o vykonávanie finančných nástrojov EÚ určených na rozvojovú spoluprácu. </w:t>
      </w:r>
      <w:r w:rsidR="00E7691B" w:rsidRPr="00861EE0">
        <w:t xml:space="preserve">Samotná primárna úprava možnosti využívania finančných nástrojov EÚ </w:t>
      </w:r>
      <w:r w:rsidR="0016545D" w:rsidRPr="00861EE0">
        <w:t xml:space="preserve">určených na rozvojovú </w:t>
      </w:r>
      <w:r w:rsidR="00E7691B" w:rsidRPr="00861EE0">
        <w:t>spoluprác</w:t>
      </w:r>
      <w:r w:rsidR="0016545D" w:rsidRPr="00861EE0">
        <w:t>u</w:t>
      </w:r>
      <w:r w:rsidR="00E7691B" w:rsidRPr="00861EE0">
        <w:t xml:space="preserve"> ako ďalš</w:t>
      </w:r>
      <w:r w:rsidR="000335EF" w:rsidRPr="00861EE0">
        <w:t xml:space="preserve">ieho </w:t>
      </w:r>
      <w:r w:rsidR="00E7691B" w:rsidRPr="00861EE0">
        <w:t>nástroj</w:t>
      </w:r>
      <w:r w:rsidR="000335EF" w:rsidRPr="00861EE0">
        <w:t>a</w:t>
      </w:r>
      <w:r w:rsidR="00E7691B" w:rsidRPr="00861EE0">
        <w:t xml:space="preserve"> rozvojovej spolupráce však bude obsiahnutá </w:t>
      </w:r>
      <w:r w:rsidR="00324800" w:rsidRPr="00861EE0">
        <w:t xml:space="preserve">v </w:t>
      </w:r>
      <w:r w:rsidR="00672C1E" w:rsidRPr="00861EE0">
        <w:t>zákone č. 392/2015 Z. z. o rozvojovej spolupráci a o zmene a doplnení niektorých zákonov (ďalej len „zákon o rozvojovej spolupráci“</w:t>
      </w:r>
      <w:r w:rsidR="000831EE" w:rsidRPr="00861EE0">
        <w:t>)</w:t>
      </w:r>
      <w:r w:rsidR="00E7691B" w:rsidRPr="00861EE0">
        <w:t xml:space="preserve">, keďže predmetom tohto zákona je okrem iného aj </w:t>
      </w:r>
      <w:r w:rsidR="00B86FFD" w:rsidRPr="00861EE0">
        <w:t xml:space="preserve">agregovaná </w:t>
      </w:r>
      <w:r w:rsidR="00E7691B" w:rsidRPr="00861EE0">
        <w:t>úprava nástrojov rozvojovej spolupráce</w:t>
      </w:r>
      <w:r w:rsidR="000831EE" w:rsidRPr="00861EE0">
        <w:t xml:space="preserve"> (</w:t>
      </w:r>
      <w:r w:rsidR="005F5EA2" w:rsidRPr="00861EE0">
        <w:t xml:space="preserve">pozn.: </w:t>
      </w:r>
      <w:r w:rsidR="000831EE" w:rsidRPr="00861EE0">
        <w:t xml:space="preserve">táto súvisiaca právna úprava je riešená v čl. </w:t>
      </w:r>
      <w:r w:rsidR="00324800" w:rsidRPr="00861EE0">
        <w:t xml:space="preserve">IV </w:t>
      </w:r>
      <w:r w:rsidR="000831EE" w:rsidRPr="00861EE0">
        <w:t xml:space="preserve">návrhu zákona). </w:t>
      </w:r>
      <w:r w:rsidR="00F300C5" w:rsidRPr="00861EE0">
        <w:t xml:space="preserve">Popri </w:t>
      </w:r>
      <w:r w:rsidR="004F20F7" w:rsidRPr="00861EE0">
        <w:t>zabezpečen</w:t>
      </w:r>
      <w:r w:rsidR="00F300C5" w:rsidRPr="00861EE0">
        <w:t xml:space="preserve">í </w:t>
      </w:r>
      <w:r w:rsidR="004F20F7" w:rsidRPr="00861EE0">
        <w:t xml:space="preserve">prijatia </w:t>
      </w:r>
      <w:r w:rsidR="00E7691B" w:rsidRPr="00861EE0">
        <w:t xml:space="preserve">potrebného právneho rámca </w:t>
      </w:r>
      <w:r w:rsidR="00F300C5" w:rsidRPr="00861EE0">
        <w:t xml:space="preserve">pre Eximbanku </w:t>
      </w:r>
      <w:r w:rsidR="00E7691B" w:rsidRPr="00861EE0">
        <w:t xml:space="preserve">sa bude Eximbanka musieť podrobiť tzv. </w:t>
      </w:r>
      <w:proofErr w:type="spellStart"/>
      <w:r w:rsidRPr="00861EE0">
        <w:t>Pillar</w:t>
      </w:r>
      <w:proofErr w:type="spellEnd"/>
      <w:r w:rsidRPr="00861EE0">
        <w:t xml:space="preserve"> </w:t>
      </w:r>
      <w:proofErr w:type="spellStart"/>
      <w:r w:rsidRPr="00861EE0">
        <w:t>Assessment</w:t>
      </w:r>
      <w:proofErr w:type="spellEnd"/>
      <w:r w:rsidRPr="00861EE0">
        <w:t>-u EÚ, t</w:t>
      </w:r>
      <w:r w:rsidR="00E7691B" w:rsidRPr="00861EE0">
        <w:t xml:space="preserve">o znamená </w:t>
      </w:r>
      <w:r w:rsidRPr="00861EE0">
        <w:t>formy zhodnotenia spôsobilosti inštitúcie implementovať rozpočtové zdroje EÚ alokované v EIP/EFSD.</w:t>
      </w:r>
      <w:r w:rsidR="0016545D" w:rsidRPr="00861EE0">
        <w:t xml:space="preserve"> </w:t>
      </w:r>
      <w:r w:rsidR="00DE0FC2" w:rsidRPr="00861EE0">
        <w:t xml:space="preserve">V tejto súvislosti sa navrhuje, aby aj agentúra SAMRS mohla </w:t>
      </w:r>
      <w:r w:rsidR="0016545D" w:rsidRPr="00861EE0">
        <w:t>vykonáva</w:t>
      </w:r>
      <w:r w:rsidR="00DE0FC2" w:rsidRPr="00861EE0">
        <w:t>ť</w:t>
      </w:r>
      <w:r w:rsidR="0016545D" w:rsidRPr="00861EE0">
        <w:t xml:space="preserve"> finančn</w:t>
      </w:r>
      <w:r w:rsidR="00DE0FC2" w:rsidRPr="00861EE0">
        <w:t xml:space="preserve">é </w:t>
      </w:r>
      <w:r w:rsidR="0016545D" w:rsidRPr="00861EE0">
        <w:t>nástroj</w:t>
      </w:r>
      <w:r w:rsidR="00DE0FC2" w:rsidRPr="00861EE0">
        <w:t>e</w:t>
      </w:r>
      <w:r w:rsidR="0016545D" w:rsidRPr="00861EE0">
        <w:t xml:space="preserve"> </w:t>
      </w:r>
      <w:r w:rsidR="000C55ED" w:rsidRPr="00861EE0">
        <w:t>EÚ určen</w:t>
      </w:r>
      <w:r w:rsidR="00DE0FC2" w:rsidRPr="00861EE0">
        <w:t>é</w:t>
      </w:r>
      <w:r w:rsidR="000C55ED" w:rsidRPr="00861EE0">
        <w:t xml:space="preserve"> na rozvojovú spoluprácu</w:t>
      </w:r>
      <w:r w:rsidR="00DE0FC2" w:rsidRPr="00861EE0">
        <w:t xml:space="preserve">, </w:t>
      </w:r>
      <w:r w:rsidR="0016545D" w:rsidRPr="00861EE0">
        <w:t>ktor</w:t>
      </w:r>
      <w:r w:rsidR="00DE0FC2" w:rsidRPr="00861EE0">
        <w:t xml:space="preserve">á, obdobne ako Eximbanka, už oficiálne požiadala o vykonanie </w:t>
      </w:r>
      <w:proofErr w:type="spellStart"/>
      <w:r w:rsidR="0016545D" w:rsidRPr="00861EE0">
        <w:t>Pillar</w:t>
      </w:r>
      <w:proofErr w:type="spellEnd"/>
      <w:r w:rsidR="0016545D" w:rsidRPr="00861EE0">
        <w:t xml:space="preserve"> </w:t>
      </w:r>
      <w:proofErr w:type="spellStart"/>
      <w:r w:rsidR="0016545D" w:rsidRPr="00861EE0">
        <w:t>Assement</w:t>
      </w:r>
      <w:proofErr w:type="spellEnd"/>
      <w:r w:rsidR="00A95679" w:rsidRPr="00861EE0">
        <w:t xml:space="preserve"> </w:t>
      </w:r>
      <w:r w:rsidR="000C55ED" w:rsidRPr="00861EE0">
        <w:t>a ktorá tým pádom bude môcť priamo</w:t>
      </w:r>
      <w:r w:rsidR="0016545D" w:rsidRPr="00861EE0">
        <w:t xml:space="preserve"> </w:t>
      </w:r>
      <w:r w:rsidR="000C55ED" w:rsidRPr="00861EE0">
        <w:t xml:space="preserve">realizovať napr. grantové, ale rovnako aj iné formy rozvojovej spolupráce financované zo zdrojov EÚ.  </w:t>
      </w:r>
    </w:p>
    <w:p w:rsidR="003E43C1" w:rsidRPr="00861EE0" w:rsidRDefault="003E43C1" w:rsidP="00F300C5">
      <w:pPr>
        <w:ind w:firstLine="709"/>
        <w:jc w:val="both"/>
      </w:pPr>
    </w:p>
    <w:p w:rsidR="0033265B" w:rsidRPr="00861EE0" w:rsidRDefault="00DD5031" w:rsidP="00A8677D">
      <w:pPr>
        <w:pStyle w:val="Zkladntext2"/>
        <w:ind w:firstLine="709"/>
      </w:pPr>
      <w:r w:rsidRPr="00861EE0">
        <w:t>D</w:t>
      </w:r>
      <w:r w:rsidR="00E12126" w:rsidRPr="00861EE0">
        <w:t xml:space="preserve">ruhou dôležitou úpravou </w:t>
      </w:r>
      <w:r w:rsidR="005F5EA2" w:rsidRPr="00861EE0">
        <w:t xml:space="preserve">zákona o Eximbanke </w:t>
      </w:r>
      <w:r w:rsidR="00E12126" w:rsidRPr="00861EE0">
        <w:t xml:space="preserve">je </w:t>
      </w:r>
      <w:r w:rsidR="00DF2A11" w:rsidRPr="00861EE0">
        <w:t xml:space="preserve">umožniť Eximbanke priamo financovať alebo spolufinancovať zvýhodnené vývozné úvery. Tieto </w:t>
      </w:r>
      <w:r w:rsidR="00BE6F94" w:rsidRPr="00861EE0">
        <w:t xml:space="preserve">boli ako nástroj rozvojovej spolupráce zavedené do slovenského právneho poriadku ešte v roku 2015, avšak doposiaľ sa nepodarilo zrealizovať ani jeden projekt viazanej pomoci formou zvýhodneného vývozného úveru. </w:t>
      </w:r>
      <w:r w:rsidR="004E5CE0" w:rsidRPr="00861EE0">
        <w:t>Z</w:t>
      </w:r>
      <w:r w:rsidR="00BE6F94" w:rsidRPr="00861EE0">
        <w:t> doter</w:t>
      </w:r>
      <w:r w:rsidR="004E5CE0" w:rsidRPr="00861EE0">
        <w:t>a</w:t>
      </w:r>
      <w:r w:rsidR="00BE6F94" w:rsidRPr="00861EE0">
        <w:t xml:space="preserve">jších snáh o praktickú aplikáciu súčasnej právnej úpravy </w:t>
      </w:r>
      <w:r w:rsidR="004E5CE0" w:rsidRPr="00861EE0">
        <w:t>vyplýva, že j</w:t>
      </w:r>
      <w:r w:rsidR="00BE6F94" w:rsidRPr="00861EE0">
        <w:t>edn</w:t>
      </w:r>
      <w:r w:rsidR="00DF2A11" w:rsidRPr="00861EE0">
        <w:t xml:space="preserve">ou z príčin môže byť aj skutočnosť, že súčasná právna úprava umožňuje poskytovať </w:t>
      </w:r>
      <w:r w:rsidR="00DF2A11" w:rsidRPr="00861EE0">
        <w:lastRenderedPageBreak/>
        <w:t xml:space="preserve">zvýhodnené vývozné úvery len komerčnými bankami, ktoré objektívne z dôvodu vyššieho rizika nemusia vždy ponúknuť dlhodobý splátkový kalendár, pričom odberatelia z rozvojových krajín uprednostňujú práve dlhé financovanie. Preto sa navrhuje v novele zákona o Eximbanke umožniť </w:t>
      </w:r>
      <w:r w:rsidR="00D76DB5" w:rsidRPr="00861EE0">
        <w:t>Eximbanke nielen poisťovať, ale aj priamo financovať alebo spolufinancovať zvýhodnené vývozné úvery. Možnosť poskytovať zvýhodnené vývozné úvery komerčnými bankami samozrejme zostane zachovaná (s podmienkou ich poistenia Eximbankou tak ako doposiaľ), aby bolo možné aj komerčný bankový sektor zapájať do financovania rozvojovej spolupráce vrátane spolufinancovania veľkých rozvojových projektov. Primárnym dôvodom pre nižší záujem odberateľov z rozvojových krajín o </w:t>
      </w:r>
      <w:r w:rsidR="00A8677D" w:rsidRPr="00861EE0">
        <w:t xml:space="preserve">„slovenské“ </w:t>
      </w:r>
      <w:r w:rsidR="00D76DB5" w:rsidRPr="00861EE0">
        <w:t xml:space="preserve">zvýhodnené vývozné úvery </w:t>
      </w:r>
      <w:r w:rsidR="00A8677D" w:rsidRPr="00861EE0">
        <w:t xml:space="preserve">však pravdepodobne bude </w:t>
      </w:r>
      <w:r w:rsidR="004E5CE0" w:rsidRPr="00861EE0">
        <w:t xml:space="preserve">prísnejšie nastavenie podmienok poskytovania zvýhodnených vývozných úverov v porovnaní s tým, aké umožňuje kapitola III prílohy II nariadenia </w:t>
      </w:r>
      <w:r w:rsidR="00025981" w:rsidRPr="00861EE0">
        <w:t>Európskeho parlamentu a Rady (</w:t>
      </w:r>
      <w:r w:rsidR="004E5CE0" w:rsidRPr="00861EE0">
        <w:t>EÚ</w:t>
      </w:r>
      <w:r w:rsidR="00025981" w:rsidRPr="00861EE0">
        <w:t>)</w:t>
      </w:r>
      <w:r w:rsidR="004E5CE0" w:rsidRPr="00861EE0">
        <w:t xml:space="preserve"> č. 1233/2011 </w:t>
      </w:r>
      <w:r w:rsidR="00025981" w:rsidRPr="00861EE0">
        <w:t xml:space="preserve">zo 16. novembra 2011 </w:t>
      </w:r>
      <w:r w:rsidR="004E5CE0" w:rsidRPr="00861EE0">
        <w:t xml:space="preserve">o uplatňovaní určitých usmernení </w:t>
      </w:r>
      <w:r w:rsidR="000F6010" w:rsidRPr="00861EE0">
        <w:t>v oblasti štátom podporovaných vývoznýc</w:t>
      </w:r>
      <w:r w:rsidR="00B86FFD" w:rsidRPr="00861EE0">
        <w:t>h úverov</w:t>
      </w:r>
      <w:r w:rsidR="00025981" w:rsidRPr="00861EE0">
        <w:t xml:space="preserve"> a o zrušení rozhodnutí Rady 2001/76/ES a 2001/77/ES (Ú. v. EÚ L 326, 8.12.2011) v platnom znení </w:t>
      </w:r>
      <w:r w:rsidR="00775B8C" w:rsidRPr="00861EE0">
        <w:t>(ďalej len „nariadenie EÚ č. 1233/2011“)</w:t>
      </w:r>
      <w:r w:rsidR="004E5CE0" w:rsidRPr="00861EE0">
        <w:t xml:space="preserve">, ktorá ustanovuje </w:t>
      </w:r>
      <w:r w:rsidR="00775B8C" w:rsidRPr="00861EE0">
        <w:t xml:space="preserve">formy viazanej pomoci a </w:t>
      </w:r>
      <w:r w:rsidR="004E5CE0" w:rsidRPr="00861EE0">
        <w:t>podmienky týkajúce sa poskytovania viazanej pomoci.</w:t>
      </w:r>
      <w:r w:rsidR="000F6010" w:rsidRPr="00861EE0">
        <w:t xml:space="preserve"> </w:t>
      </w:r>
      <w:r w:rsidR="00A8677D" w:rsidRPr="00861EE0">
        <w:t xml:space="preserve">Preto sa súčasne navrhuje zlepšenie existujúcich podmienok poskytovania zvýhodnených vývozných úverov </w:t>
      </w:r>
      <w:r w:rsidR="00DB39A9" w:rsidRPr="00861EE0">
        <w:t xml:space="preserve">v prospech </w:t>
      </w:r>
      <w:r w:rsidR="00996402" w:rsidRPr="00861EE0">
        <w:t xml:space="preserve">partnerských </w:t>
      </w:r>
      <w:r w:rsidR="00DB39A9" w:rsidRPr="00861EE0">
        <w:t>krajín.</w:t>
      </w:r>
      <w:r w:rsidR="00A8677D" w:rsidRPr="00861EE0">
        <w:t xml:space="preserve"> </w:t>
      </w:r>
      <w:r w:rsidR="00B83D64" w:rsidRPr="00861EE0">
        <w:t xml:space="preserve">Nová </w:t>
      </w:r>
      <w:r w:rsidR="00B86FFD" w:rsidRPr="00861EE0">
        <w:t xml:space="preserve">komplexná </w:t>
      </w:r>
      <w:r w:rsidR="000F6010" w:rsidRPr="00861EE0">
        <w:t xml:space="preserve">úprava </w:t>
      </w:r>
      <w:r w:rsidR="00B86FFD" w:rsidRPr="00861EE0">
        <w:t xml:space="preserve">podmienok poskytovania zvýhodnených vývozných úverov </w:t>
      </w:r>
      <w:r w:rsidR="001E13E0" w:rsidRPr="00861EE0">
        <w:t xml:space="preserve">ako jedného z nástrojov rozvojovej spolupráce je </w:t>
      </w:r>
      <w:r w:rsidR="00B86FFD" w:rsidRPr="00861EE0">
        <w:t>riešená</w:t>
      </w:r>
      <w:r w:rsidR="001E13E0" w:rsidRPr="00861EE0">
        <w:t xml:space="preserve"> v rámci novelizácie zákona o rozvojovej spolupráci.</w:t>
      </w:r>
      <w:r w:rsidR="00B86FFD" w:rsidRPr="00861EE0">
        <w:t xml:space="preserve">   </w:t>
      </w:r>
      <w:r w:rsidR="000F6010" w:rsidRPr="00861EE0">
        <w:t xml:space="preserve">   </w:t>
      </w:r>
      <w:r w:rsidR="004E5CE0" w:rsidRPr="00861EE0">
        <w:t xml:space="preserve">    </w:t>
      </w:r>
      <w:r w:rsidR="00BE6F94" w:rsidRPr="00861EE0">
        <w:t xml:space="preserve">      </w:t>
      </w:r>
      <w:r w:rsidR="00E12126" w:rsidRPr="00861EE0">
        <w:t xml:space="preserve">   </w:t>
      </w:r>
    </w:p>
    <w:p w:rsidR="00E12126" w:rsidRPr="00861EE0" w:rsidRDefault="00E12126" w:rsidP="00D40376">
      <w:pPr>
        <w:ind w:firstLine="709"/>
        <w:jc w:val="both"/>
      </w:pPr>
    </w:p>
    <w:p w:rsidR="0033265B" w:rsidRPr="00861EE0" w:rsidRDefault="0027518A" w:rsidP="00D40376">
      <w:pPr>
        <w:ind w:firstLine="709"/>
        <w:jc w:val="both"/>
      </w:pPr>
      <w:r w:rsidRPr="00861EE0">
        <w:t xml:space="preserve">Potreba súvisiacej novelizácie zákona o rozvojovej spolupráci sa využila aj na rozšírenie zákonnej úpravy nástrojov rozvojovej spolupráce o nový nástroj bilaterálnej rozvojovej spolupráce, ktorým je </w:t>
      </w:r>
      <w:r w:rsidR="00763D22" w:rsidRPr="00861EE0">
        <w:t xml:space="preserve">poskytnutie </w:t>
      </w:r>
      <w:r w:rsidRPr="00861EE0">
        <w:t>vedomostí a skúseností.</w:t>
      </w:r>
      <w:r w:rsidR="00C61423" w:rsidRPr="00861EE0">
        <w:t xml:space="preserve"> Hlavným cieľom </w:t>
      </w:r>
      <w:r w:rsidR="00763D22" w:rsidRPr="00861EE0">
        <w:t xml:space="preserve">poskytovania </w:t>
      </w:r>
      <w:r w:rsidR="00C61423" w:rsidRPr="00861EE0">
        <w:t>vedomostí a skúseností ako jedného z nástrojov ODA je podpora partnerských krajín pri napĺňaní cieľov udržateľného rozvoja. Teritoriálne sa tento nástroj bude zameriavať na krajiny a teritóriá definované v strednodobej stratégii rozvojovej spolupráce Slovenskej republiky, avšak jeho využitie bude možné aj v ďalších krajinách, ktorých zoznam vydáva Výbor pre rozvojovú pomoc pri Organizácii pre hospodársku spoluprácu a rozvoj, a v ktorých je zriadený zastupiteľský úrad Slovenskej republiky.</w:t>
      </w:r>
      <w:r w:rsidR="002D6547" w:rsidRPr="00861EE0">
        <w:t xml:space="preserve"> </w:t>
      </w:r>
      <w:r w:rsidR="00E12126" w:rsidRPr="00861EE0">
        <w:t xml:space="preserve">Súčasťou </w:t>
      </w:r>
      <w:r w:rsidR="002D6547" w:rsidRPr="00861EE0">
        <w:t xml:space="preserve">zmeny </w:t>
      </w:r>
      <w:r w:rsidR="00E12126" w:rsidRPr="00861EE0">
        <w:t xml:space="preserve">zákona </w:t>
      </w:r>
      <w:r w:rsidR="002D6547" w:rsidRPr="00861EE0">
        <w:t xml:space="preserve">o rozvojovej spolupráci </w:t>
      </w:r>
      <w:r w:rsidR="00E12126" w:rsidRPr="00861EE0">
        <w:t xml:space="preserve">sú </w:t>
      </w:r>
      <w:r w:rsidR="005D2C58" w:rsidRPr="00861EE0">
        <w:t xml:space="preserve">na základe </w:t>
      </w:r>
      <w:r w:rsidR="00C61423" w:rsidRPr="00861EE0">
        <w:t xml:space="preserve">skúseností z </w:t>
      </w:r>
      <w:r w:rsidR="005D2C58" w:rsidRPr="00861EE0">
        <w:t>d</w:t>
      </w:r>
      <w:r w:rsidR="005558C3" w:rsidRPr="00861EE0">
        <w:t xml:space="preserve">oterajšej aplikačnej praxe </w:t>
      </w:r>
      <w:r w:rsidR="00E12126" w:rsidRPr="00861EE0">
        <w:t xml:space="preserve">aj </w:t>
      </w:r>
      <w:r w:rsidR="003D7272" w:rsidRPr="00861EE0">
        <w:t xml:space="preserve">legislatívne </w:t>
      </w:r>
      <w:r w:rsidR="003449B5" w:rsidRPr="00861EE0">
        <w:t xml:space="preserve">zmeny týkajúce sa fungovania </w:t>
      </w:r>
      <w:r w:rsidR="005D2C58" w:rsidRPr="00861EE0">
        <w:t>iných nástrojov rozvojovej spolupráce</w:t>
      </w:r>
      <w:r w:rsidR="00F44CAF" w:rsidRPr="00861EE0">
        <w:t xml:space="preserve">, a to </w:t>
      </w:r>
      <w:r w:rsidR="00C61423" w:rsidRPr="00861EE0">
        <w:t>poskyt</w:t>
      </w:r>
      <w:r w:rsidR="00F44CAF" w:rsidRPr="00861EE0">
        <w:t xml:space="preserve">ovania </w:t>
      </w:r>
      <w:r w:rsidR="00C61423" w:rsidRPr="00861EE0">
        <w:t>finančného príspevku</w:t>
      </w:r>
      <w:r w:rsidR="00F44CAF" w:rsidRPr="00861EE0">
        <w:t xml:space="preserve"> a </w:t>
      </w:r>
      <w:r w:rsidR="00C61423" w:rsidRPr="00861EE0">
        <w:t>poskyt</w:t>
      </w:r>
      <w:r w:rsidR="00F44CAF" w:rsidRPr="00861EE0">
        <w:t xml:space="preserve">ovania </w:t>
      </w:r>
      <w:r w:rsidR="00C61423" w:rsidRPr="00861EE0">
        <w:t>vládneho štipendia.</w:t>
      </w:r>
    </w:p>
    <w:p w:rsidR="00815288" w:rsidRPr="00861EE0" w:rsidRDefault="00815288" w:rsidP="00E40CF6">
      <w:pPr>
        <w:ind w:firstLine="709"/>
        <w:jc w:val="both"/>
      </w:pPr>
    </w:p>
    <w:p w:rsidR="00BB7197" w:rsidRPr="00861EE0" w:rsidRDefault="00951814" w:rsidP="0078643F">
      <w:pPr>
        <w:pStyle w:val="Zarkazkladnhotextu"/>
        <w:spacing w:after="0"/>
        <w:ind w:left="0" w:firstLine="709"/>
        <w:jc w:val="both"/>
      </w:pPr>
      <w:r w:rsidRPr="00861EE0">
        <w:t xml:space="preserve">Novelou </w:t>
      </w:r>
      <w:r w:rsidR="00CB5182" w:rsidRPr="00861EE0">
        <w:t xml:space="preserve">zákona o Eximbanke </w:t>
      </w:r>
      <w:r w:rsidRPr="00861EE0">
        <w:t xml:space="preserve">sa riešia </w:t>
      </w:r>
      <w:r w:rsidR="00CB5182" w:rsidRPr="00861EE0">
        <w:t>aj ďalšie úpravy týkajúce sa efektívnejšieho f</w:t>
      </w:r>
      <w:r w:rsidR="006A531C" w:rsidRPr="00861EE0">
        <w:t>u</w:t>
      </w:r>
      <w:r w:rsidR="00CB5182" w:rsidRPr="00861EE0">
        <w:t xml:space="preserve">ngovania Eximbanky spočívajúce v umožnení otvárať a potvrdzovať akreditívy, v rozšírení </w:t>
      </w:r>
      <w:r w:rsidRPr="00861EE0">
        <w:t xml:space="preserve">obsahu </w:t>
      </w:r>
      <w:r w:rsidR="00CB5182" w:rsidRPr="00861EE0">
        <w:t>úverových podmienok a podmienok úverového poistenia pri financovaní a poisťovaní vývozných úverov a pri fina</w:t>
      </w:r>
      <w:r w:rsidR="00BB7197" w:rsidRPr="00861EE0">
        <w:t>n</w:t>
      </w:r>
      <w:r w:rsidR="00CB5182" w:rsidRPr="00861EE0">
        <w:t xml:space="preserve">covaní </w:t>
      </w:r>
      <w:r w:rsidR="00BB7197" w:rsidRPr="00861EE0">
        <w:t>dovozných úverov a pod.</w:t>
      </w:r>
    </w:p>
    <w:p w:rsidR="00BB7197" w:rsidRPr="00861EE0" w:rsidRDefault="00BB7197" w:rsidP="0078643F">
      <w:pPr>
        <w:pStyle w:val="Zarkazkladnhotextu"/>
        <w:spacing w:after="0"/>
        <w:ind w:left="0" w:firstLine="709"/>
        <w:jc w:val="both"/>
      </w:pPr>
    </w:p>
    <w:p w:rsidR="00BB7197" w:rsidRPr="00861EE0" w:rsidRDefault="002D6547" w:rsidP="0078643F">
      <w:pPr>
        <w:pStyle w:val="Zarkazkladnhotextu"/>
        <w:spacing w:after="0"/>
        <w:ind w:left="0" w:firstLine="709"/>
        <w:jc w:val="both"/>
      </w:pPr>
      <w:r w:rsidRPr="00861EE0">
        <w:t xml:space="preserve">Dôvodom novelizácie zákona Národnej rady Slovenskej republiky č. 118/1996 Z. z. o ochrane vkladov a o zmene a doplnení niektorých zákonov v znení neskorších predpisov (ďalej len „zákon o ochrane vkladov“) </w:t>
      </w:r>
      <w:r w:rsidR="000047AC" w:rsidRPr="00861EE0">
        <w:t>je vytvorenie legislatívnych predpokladov (priestoru) pre diverzifikáciu pri správe peňažných prostriedkov Fondu ochrany vkladov pri súčasnom zachovaní doterajšej miery bezpečnosti pri správe peňažných prostriedkov Fondu ochrany vkladov.</w:t>
      </w:r>
      <w:r w:rsidRPr="00861EE0">
        <w:t xml:space="preserve"> </w:t>
      </w:r>
      <w:r w:rsidR="000047AC" w:rsidRPr="00861EE0">
        <w:t xml:space="preserve">To znamená, že napriek rozšíreniu možností pre efektívnejšiu správu peňažných prostriedkov </w:t>
      </w:r>
      <w:r w:rsidR="00BB7197" w:rsidRPr="00861EE0">
        <w:t xml:space="preserve">Fondu ochrany vkladov zostane </w:t>
      </w:r>
      <w:r w:rsidR="000047AC" w:rsidRPr="00861EE0">
        <w:t>zachovaná doterajšia miera absencie rizika</w:t>
      </w:r>
      <w:r w:rsidR="00BB7197" w:rsidRPr="00861EE0">
        <w:t xml:space="preserve"> zníženia hodnoty týchto finančných prostriedkov.</w:t>
      </w:r>
    </w:p>
    <w:p w:rsidR="00FD24B2" w:rsidRDefault="00FD24B2" w:rsidP="00951814">
      <w:pPr>
        <w:ind w:firstLine="709"/>
        <w:jc w:val="both"/>
      </w:pPr>
    </w:p>
    <w:p w:rsidR="008156D1" w:rsidRPr="00861EE0" w:rsidRDefault="00BB7197" w:rsidP="00951814">
      <w:pPr>
        <w:ind w:firstLine="709"/>
        <w:jc w:val="both"/>
      </w:pPr>
      <w:bookmarkStart w:id="0" w:name="_GoBack"/>
      <w:bookmarkEnd w:id="0"/>
      <w:r w:rsidRPr="00861EE0">
        <w:t xml:space="preserve">Navrhovaná právna úprava zákona o ochrane vkladov reflektuje na nové usmernenie Európskej centrálnej banky (EÚ) 2019/671 (ECB/2019/7) o domácich operáciách riadenia aktív a pasív zo strany národných centrálnych bánk (Ú. v. EÚ L 113, 29.4.2019), podľa ktorého pri </w:t>
      </w:r>
      <w:r w:rsidRPr="00861EE0">
        <w:lastRenderedPageBreak/>
        <w:t xml:space="preserve">vedení v národných centrálnych bankách budú od 1. októbra 2019 už aj peňažné prostriedky národných systémov (fondov) pre ochranu vkladov podliehať zápornej úrokovej sadzbe. </w:t>
      </w:r>
      <w:r w:rsidR="008156D1" w:rsidRPr="00861EE0">
        <w:t xml:space="preserve">Z tohto dôvodu sa navrhuje umožniť viesť peňažné prostriedky Fondu ochrany vkladov nielen na účtoch Národnej banky Slovenska, ale aj na účtoch Štátnej pokladnice. Takáto právna úprava ochrany vkladov je plne v súlade s ustanoveniami § 10 ods. 7 smernice Európskeho parlamentu a Rady 2014/49/EÚ zo 16. </w:t>
      </w:r>
      <w:r w:rsidR="006A531C" w:rsidRPr="00861EE0">
        <w:t>apríla</w:t>
      </w:r>
      <w:r w:rsidR="008156D1" w:rsidRPr="00861EE0">
        <w:t xml:space="preserve"> 2014 o systémoch ochrany vkladov (Ú. v. EÚ L 173, 12.6.2014). </w:t>
      </w:r>
    </w:p>
    <w:p w:rsidR="00BB7197" w:rsidRPr="00861EE0" w:rsidRDefault="008156D1" w:rsidP="00BB7197">
      <w:pPr>
        <w:ind w:firstLine="709"/>
        <w:jc w:val="both"/>
      </w:pPr>
      <w:r w:rsidRPr="00861EE0">
        <w:t xml:space="preserve">       </w:t>
      </w:r>
    </w:p>
    <w:p w:rsidR="002D6547" w:rsidRPr="00861EE0" w:rsidRDefault="00BB7197" w:rsidP="0078643F">
      <w:pPr>
        <w:pStyle w:val="Zarkazkladnhotextu"/>
        <w:spacing w:after="0"/>
        <w:ind w:left="0" w:firstLine="709"/>
        <w:jc w:val="both"/>
      </w:pPr>
      <w:r w:rsidRPr="00861EE0">
        <w:t xml:space="preserve">Dôvodom </w:t>
      </w:r>
      <w:r w:rsidR="008156D1" w:rsidRPr="00861EE0">
        <w:t xml:space="preserve">novelizácie zákona č. </w:t>
      </w:r>
      <w:r w:rsidR="000C7FAF" w:rsidRPr="00861EE0">
        <w:t>371/2014 Z. z. o riešení krízových situácií na finančnom trhu a o zmene a doplnení niektorých zákonov v znení neskorších predpisov (ďalej len „zákon o riešení krízových situáci</w:t>
      </w:r>
      <w:r w:rsidR="006A531C" w:rsidRPr="00861EE0">
        <w:t>í</w:t>
      </w:r>
      <w:r w:rsidR="009965C7" w:rsidRPr="00861EE0">
        <w:t>“</w:t>
      </w:r>
      <w:r w:rsidR="000C7FAF" w:rsidRPr="00861EE0">
        <w:t xml:space="preserve">) </w:t>
      </w:r>
      <w:r w:rsidR="009965C7" w:rsidRPr="00861EE0">
        <w:t>je vytvorenie legislatívnych predpokladov (priestoru) pre diverzifikáciu pri správe peňažných prostriedkov Národného fondu pri súčasnom zachovaní doterajšej miery bezpečnosti pri správe peňažných prostriedkov Náro</w:t>
      </w:r>
      <w:r w:rsidR="00B9721E" w:rsidRPr="00861EE0">
        <w:t>d</w:t>
      </w:r>
      <w:r w:rsidR="009965C7" w:rsidRPr="00861EE0">
        <w:t>ného fondu. To rovnako ako v prípade Fondu ochrany vkladov bude znamenať, že napriek rozšíreniu možností pre efektívnejšiu správu peňažných prostriedkov Národného fondu zostane zachovaná doterajšia miera absencie rizika zníženia hodnoty týchto finančných prostriedkov.</w:t>
      </w:r>
      <w:r w:rsidR="000C7FAF" w:rsidRPr="00861EE0">
        <w:t xml:space="preserve"> </w:t>
      </w:r>
      <w:r w:rsidR="009965C7" w:rsidRPr="00861EE0">
        <w:t xml:space="preserve">Pritom správu peňažných prostriedkov Národného fondu </w:t>
      </w:r>
      <w:r w:rsidR="00B9721E" w:rsidRPr="00861EE0">
        <w:t xml:space="preserve">zabezpečuje </w:t>
      </w:r>
      <w:r w:rsidR="009965C7" w:rsidRPr="00861EE0">
        <w:t xml:space="preserve">v zmysle zákona o riešení krízových situácií </w:t>
      </w:r>
      <w:r w:rsidR="00B9721E" w:rsidRPr="00861EE0">
        <w:t xml:space="preserve">samotný </w:t>
      </w:r>
      <w:r w:rsidR="009965C7" w:rsidRPr="00861EE0">
        <w:t xml:space="preserve">Fond ochrany vkladov. Preto sa z dôvodu uvedeného </w:t>
      </w:r>
      <w:r w:rsidR="00B9721E" w:rsidRPr="00861EE0">
        <w:t xml:space="preserve">pri zmene právnej úpravy ochrany vkladov </w:t>
      </w:r>
      <w:r w:rsidR="009965C7" w:rsidRPr="00861EE0">
        <w:t xml:space="preserve">navrhuje </w:t>
      </w:r>
      <w:r w:rsidR="00B9721E" w:rsidRPr="00861EE0">
        <w:t xml:space="preserve">rovnako </w:t>
      </w:r>
      <w:r w:rsidR="009965C7" w:rsidRPr="00861EE0">
        <w:t xml:space="preserve">umožniť viesť peňažné prostriedky </w:t>
      </w:r>
      <w:r w:rsidR="00B9721E" w:rsidRPr="00861EE0">
        <w:t>Národného f</w:t>
      </w:r>
      <w:r w:rsidR="009965C7" w:rsidRPr="00861EE0">
        <w:t xml:space="preserve">ondu nielen na účtoch Národnej banky Slovenska, ale aj na účtoch Štátnej pokladnice.    </w:t>
      </w:r>
      <w:r w:rsidRPr="00861EE0">
        <w:t xml:space="preserve"> </w:t>
      </w:r>
      <w:r w:rsidR="002D6547" w:rsidRPr="00861EE0">
        <w:t xml:space="preserve"> </w:t>
      </w:r>
    </w:p>
    <w:p w:rsidR="002D6547" w:rsidRPr="00861EE0" w:rsidRDefault="002D6547" w:rsidP="0078643F">
      <w:pPr>
        <w:pStyle w:val="Zarkazkladnhotextu"/>
        <w:spacing w:after="0"/>
        <w:ind w:left="0" w:firstLine="709"/>
        <w:jc w:val="both"/>
      </w:pPr>
    </w:p>
    <w:p w:rsidR="0078643F" w:rsidRPr="00861EE0" w:rsidRDefault="0078643F" w:rsidP="0078643F">
      <w:pPr>
        <w:pStyle w:val="Zarkazkladnhotextu"/>
        <w:spacing w:after="0"/>
        <w:ind w:left="0" w:firstLine="709"/>
        <w:jc w:val="both"/>
      </w:pPr>
      <w:r w:rsidRPr="00861EE0">
        <w:t>Vzhľadom na to, že schválením t</w:t>
      </w:r>
      <w:r w:rsidR="003F4DB0" w:rsidRPr="00861EE0">
        <w:t xml:space="preserve">ejto právnej úpravy </w:t>
      </w:r>
      <w:r w:rsidRPr="00861EE0">
        <w:t xml:space="preserve">sa </w:t>
      </w:r>
      <w:r w:rsidR="002D6547" w:rsidRPr="00861EE0">
        <w:t xml:space="preserve">okrem vytvorenia legislatívnych predpokladov pre efektívnejšie fungovanie špecializovaných finančných subjektov </w:t>
      </w:r>
      <w:r w:rsidRPr="00861EE0">
        <w:t xml:space="preserve">vytvoria </w:t>
      </w:r>
      <w:r w:rsidR="002D6547" w:rsidRPr="00861EE0">
        <w:t xml:space="preserve">aj </w:t>
      </w:r>
      <w:r w:rsidRPr="00861EE0">
        <w:t>predpoklady pre širšie uplatnenie slovenského podnikateľského sektora v rozvojovej spolupráci,</w:t>
      </w:r>
      <w:r w:rsidR="003F4DB0" w:rsidRPr="00861EE0">
        <w:t xml:space="preserve"> návrh zákona bude mať pozitívny vplyv na podnikateľské prostredie. Z dôvodu potreby zabezpečenia podpory poskytovania zvýhodnených vývozných úverov bude mať návrh zákona čiastočne negatívny vplyv na rozpočet verejnej správy, ktorý je však rozpočtovo krytý, keďže</w:t>
      </w:r>
      <w:r w:rsidR="001D4623" w:rsidRPr="00861EE0">
        <w:t>,</w:t>
      </w:r>
      <w:r w:rsidR="003F4DB0" w:rsidRPr="00861EE0">
        <w:t xml:space="preserve"> </w:t>
      </w:r>
      <w:r w:rsidR="001D4623" w:rsidRPr="00861EE0">
        <w:t xml:space="preserve">ako bolo spomínané, </w:t>
      </w:r>
      <w:r w:rsidR="003F4DB0" w:rsidRPr="00861EE0">
        <w:t xml:space="preserve">právna úprava poskytovania zvýhodnených vývozných úverov bola prijatá už v roku 2015. </w:t>
      </w:r>
      <w:r w:rsidR="00F44CAF" w:rsidRPr="00861EE0">
        <w:rPr>
          <w:bCs/>
        </w:rPr>
        <w:t>Zdrojové krytie výdavkov na realizáciu nového nástroja rozvojovej spolupráce, ktorým je poskytovanie vedomostí a skúseností, ako aj výdavkov pre verejné vysoké školy na personálne a materiálne zabezpečenie vzdelávania študentov z partnerských krajín</w:t>
      </w:r>
      <w:r w:rsidR="00CB03FD" w:rsidRPr="00861EE0">
        <w:rPr>
          <w:bCs/>
        </w:rPr>
        <w:t xml:space="preserve">, je </w:t>
      </w:r>
      <w:r w:rsidR="00F44CAF" w:rsidRPr="00861EE0">
        <w:rPr>
          <w:bCs/>
        </w:rPr>
        <w:t>zabezpečené v</w:t>
      </w:r>
      <w:r w:rsidR="00CB03FD" w:rsidRPr="00861EE0">
        <w:rPr>
          <w:bCs/>
        </w:rPr>
        <w:t> rámci medzirezortného programu rozvojovej spolupráce, ktorého financovanie bolo schválené v </w:t>
      </w:r>
      <w:r w:rsidR="00F44CAF" w:rsidRPr="00861EE0">
        <w:rPr>
          <w:bCs/>
          <w:i/>
        </w:rPr>
        <w:t>Strednodob</w:t>
      </w:r>
      <w:r w:rsidR="00CB03FD" w:rsidRPr="00861EE0">
        <w:rPr>
          <w:bCs/>
          <w:i/>
        </w:rPr>
        <w:t xml:space="preserve">ej </w:t>
      </w:r>
      <w:r w:rsidR="00F44CAF" w:rsidRPr="00861EE0">
        <w:rPr>
          <w:bCs/>
          <w:i/>
        </w:rPr>
        <w:t>stratégi</w:t>
      </w:r>
      <w:r w:rsidR="00CB03FD" w:rsidRPr="00861EE0">
        <w:rPr>
          <w:bCs/>
          <w:i/>
        </w:rPr>
        <w:t xml:space="preserve">i </w:t>
      </w:r>
      <w:r w:rsidR="00F44CAF" w:rsidRPr="00861EE0">
        <w:rPr>
          <w:bCs/>
          <w:i/>
        </w:rPr>
        <w:t>rozvojovej spolupráce na roky 2019 až 2023</w:t>
      </w:r>
      <w:r w:rsidR="00CB03FD" w:rsidRPr="00861EE0">
        <w:rPr>
          <w:bCs/>
        </w:rPr>
        <w:t>.</w:t>
      </w:r>
      <w:r w:rsidR="00F44CAF" w:rsidRPr="00861EE0">
        <w:t xml:space="preserve"> </w:t>
      </w:r>
      <w:r w:rsidR="005A3406" w:rsidRPr="00861EE0">
        <w:t xml:space="preserve">Prijatie zákona nebude mať vplyvy na manželstvo, rodičovstvo a rodinu, nebude mať sociálne vplyvy, vplyvy na životné prostredie, na informatizáciu spoločnosti ani na služby verejnej správy pre občana. </w:t>
      </w:r>
      <w:r w:rsidR="003F4DB0" w:rsidRPr="00861EE0">
        <w:t xml:space="preserve"> </w:t>
      </w:r>
    </w:p>
    <w:p w:rsidR="005A3406" w:rsidRPr="00861EE0" w:rsidRDefault="005A3406" w:rsidP="005F44EF">
      <w:pPr>
        <w:pStyle w:val="Zarkazkladnhotextu"/>
        <w:spacing w:after="0"/>
        <w:ind w:left="0" w:firstLine="709"/>
        <w:jc w:val="both"/>
      </w:pPr>
    </w:p>
    <w:p w:rsidR="005F44EF" w:rsidRPr="00861EE0" w:rsidRDefault="00201C4F" w:rsidP="005F44EF">
      <w:pPr>
        <w:pStyle w:val="Zarkazkladnhotextu"/>
        <w:spacing w:after="0"/>
        <w:ind w:left="0" w:firstLine="709"/>
        <w:jc w:val="both"/>
      </w:pPr>
      <w:r w:rsidRPr="00861EE0">
        <w:t xml:space="preserve">Návrh </w:t>
      </w:r>
      <w:r w:rsidR="003725BF" w:rsidRPr="00861EE0">
        <w:t xml:space="preserve">zákona </w:t>
      </w:r>
      <w:r w:rsidRPr="00861EE0">
        <w:t xml:space="preserve">je </w:t>
      </w:r>
      <w:r w:rsidR="005F44EF" w:rsidRPr="00861EE0">
        <w:t>v súlade s Ústavou Slovenskej republiky, ústavnými zákonmi a nálezmi Ústavného súdu Slovenskej republiky, s inými zákonmi a medzinárodnými zmluvami a inými medzinárodnými dokumentmi, ktorými je Slovenská republika viazaná</w:t>
      </w:r>
      <w:r w:rsidR="008129FD" w:rsidRPr="00861EE0">
        <w:t xml:space="preserve">, </w:t>
      </w:r>
      <w:r w:rsidR="005F44EF" w:rsidRPr="00861EE0">
        <w:t>a s právom Európskej únie.</w:t>
      </w:r>
    </w:p>
    <w:p w:rsidR="005F795F" w:rsidRPr="00861EE0" w:rsidRDefault="005F795F" w:rsidP="005F44EF">
      <w:pPr>
        <w:pStyle w:val="Zkladntext2"/>
        <w:rPr>
          <w:bCs/>
        </w:rPr>
      </w:pPr>
    </w:p>
    <w:p w:rsidR="005F795F" w:rsidRDefault="005F795F" w:rsidP="005F44EF">
      <w:pPr>
        <w:pStyle w:val="Zkladntext2"/>
        <w:rPr>
          <w:bCs/>
        </w:rPr>
      </w:pPr>
    </w:p>
    <w:p w:rsidR="00861EE0" w:rsidRDefault="00861EE0" w:rsidP="005F44EF">
      <w:pPr>
        <w:pStyle w:val="Zkladntext2"/>
        <w:rPr>
          <w:bCs/>
        </w:rPr>
      </w:pPr>
    </w:p>
    <w:p w:rsidR="00861EE0" w:rsidRDefault="00861EE0" w:rsidP="005F44EF">
      <w:pPr>
        <w:pStyle w:val="Zkladntext2"/>
        <w:rPr>
          <w:bCs/>
        </w:rPr>
      </w:pPr>
    </w:p>
    <w:p w:rsidR="00861EE0" w:rsidRDefault="00861EE0" w:rsidP="005F44EF">
      <w:pPr>
        <w:pStyle w:val="Zkladntext2"/>
        <w:rPr>
          <w:bCs/>
        </w:rPr>
      </w:pPr>
    </w:p>
    <w:p w:rsidR="00861EE0" w:rsidRDefault="00861EE0" w:rsidP="005F44EF">
      <w:pPr>
        <w:pStyle w:val="Zkladntext2"/>
        <w:rPr>
          <w:bCs/>
        </w:rPr>
      </w:pPr>
    </w:p>
    <w:p w:rsidR="00861EE0" w:rsidRDefault="00861EE0" w:rsidP="005F44EF">
      <w:pPr>
        <w:pStyle w:val="Zkladntext2"/>
        <w:rPr>
          <w:bCs/>
        </w:rPr>
      </w:pPr>
    </w:p>
    <w:p w:rsidR="00861EE0" w:rsidRDefault="00861EE0" w:rsidP="005F44EF">
      <w:pPr>
        <w:pStyle w:val="Zkladntext2"/>
        <w:rPr>
          <w:bCs/>
        </w:rPr>
      </w:pPr>
    </w:p>
    <w:p w:rsidR="00861EE0" w:rsidRDefault="00861EE0" w:rsidP="005F44EF">
      <w:pPr>
        <w:pStyle w:val="Zkladntext2"/>
        <w:rPr>
          <w:bCs/>
        </w:rPr>
      </w:pPr>
    </w:p>
    <w:p w:rsidR="00861EE0" w:rsidRDefault="00861EE0" w:rsidP="005F44EF">
      <w:pPr>
        <w:pStyle w:val="Zkladntext2"/>
        <w:rPr>
          <w:bCs/>
        </w:rPr>
      </w:pPr>
    </w:p>
    <w:p w:rsidR="00861EE0" w:rsidRPr="00861EE0" w:rsidRDefault="00861EE0" w:rsidP="005F44EF">
      <w:pPr>
        <w:pStyle w:val="Zkladntext2"/>
        <w:rPr>
          <w:bCs/>
        </w:rPr>
      </w:pPr>
    </w:p>
    <w:p w:rsidR="00861EE0" w:rsidRPr="00861EE0" w:rsidRDefault="00861EE0" w:rsidP="00861EE0">
      <w:pPr>
        <w:jc w:val="center"/>
        <w:rPr>
          <w:b/>
          <w:bCs/>
        </w:rPr>
      </w:pPr>
      <w:r w:rsidRPr="00861EE0">
        <w:rPr>
          <w:b/>
          <w:bCs/>
        </w:rPr>
        <w:t>DOLOŽKA ZLUČITEĽNOSTI</w:t>
      </w:r>
    </w:p>
    <w:p w:rsidR="00861EE0" w:rsidRPr="00861EE0" w:rsidRDefault="00861EE0" w:rsidP="00861EE0">
      <w:pPr>
        <w:pBdr>
          <w:bottom w:val="single" w:sz="6" w:space="1" w:color="auto"/>
        </w:pBdr>
        <w:jc w:val="center"/>
        <w:rPr>
          <w:b/>
          <w:bCs/>
        </w:rPr>
      </w:pPr>
      <w:r w:rsidRPr="00861EE0">
        <w:rPr>
          <w:b/>
          <w:bCs/>
        </w:rPr>
        <w:t xml:space="preserve">návrhu zákona, </w:t>
      </w:r>
      <w:r w:rsidRPr="00861EE0">
        <w:rPr>
          <w:b/>
        </w:rPr>
        <w:t xml:space="preserve">ktorým sa mení a dopĺňa zákon č. 80/1997 Z. z. o Exportno-importnej  banke Slovenskej republiky v znení neskorších predpisov a ktorým sa menia a dopĺňajú niektoré zákony </w:t>
      </w:r>
      <w:r w:rsidRPr="00861EE0">
        <w:rPr>
          <w:b/>
          <w:bCs/>
        </w:rPr>
        <w:t>s právom Európskej únie</w:t>
      </w:r>
    </w:p>
    <w:p w:rsidR="00861EE0" w:rsidRPr="00861EE0" w:rsidRDefault="00861EE0" w:rsidP="00861EE0">
      <w:pPr>
        <w:spacing w:after="120"/>
        <w:ind w:left="425"/>
        <w:jc w:val="both"/>
      </w:pPr>
    </w:p>
    <w:p w:rsidR="00861EE0" w:rsidRPr="00861EE0" w:rsidRDefault="00861EE0" w:rsidP="00861EE0">
      <w:pPr>
        <w:numPr>
          <w:ilvl w:val="0"/>
          <w:numId w:val="16"/>
        </w:numPr>
        <w:spacing w:after="120"/>
        <w:jc w:val="both"/>
      </w:pPr>
      <w:r w:rsidRPr="00861EE0">
        <w:rPr>
          <w:b/>
          <w:bCs/>
        </w:rPr>
        <w:t>Navrhovateľ zákona:</w:t>
      </w:r>
    </w:p>
    <w:p w:rsidR="00861EE0" w:rsidRPr="00861EE0" w:rsidRDefault="00861EE0" w:rsidP="00861EE0">
      <w:pPr>
        <w:ind w:firstLine="425"/>
        <w:jc w:val="both"/>
      </w:pPr>
      <w:r w:rsidRPr="00861EE0">
        <w:t xml:space="preserve">Vláda Slovenskej republiky. </w:t>
      </w:r>
    </w:p>
    <w:p w:rsidR="00861EE0" w:rsidRPr="00861EE0" w:rsidRDefault="00861EE0" w:rsidP="00861EE0">
      <w:pPr>
        <w:jc w:val="both"/>
        <w:rPr>
          <w:b/>
          <w:bCs/>
        </w:rPr>
      </w:pPr>
    </w:p>
    <w:p w:rsidR="00861EE0" w:rsidRPr="00861EE0" w:rsidRDefault="00861EE0" w:rsidP="00861EE0">
      <w:pPr>
        <w:numPr>
          <w:ilvl w:val="0"/>
          <w:numId w:val="16"/>
        </w:numPr>
        <w:spacing w:after="120"/>
        <w:jc w:val="both"/>
        <w:rPr>
          <w:b/>
          <w:bCs/>
        </w:rPr>
      </w:pPr>
      <w:r w:rsidRPr="00861EE0">
        <w:rPr>
          <w:b/>
          <w:bCs/>
        </w:rPr>
        <w:t>Názov návrhu zákona:</w:t>
      </w:r>
    </w:p>
    <w:p w:rsidR="00861EE0" w:rsidRPr="00861EE0" w:rsidRDefault="00861EE0" w:rsidP="00861EE0">
      <w:pPr>
        <w:ind w:left="425"/>
        <w:jc w:val="both"/>
      </w:pPr>
      <w:r w:rsidRPr="00861EE0">
        <w:t>Návrh zákona, ktorým sa mení a dopĺňa zákon č. 80/1997 Z. z. o Exportno-importnej  banke Slovenskej republiky v znení neskorších predpisov a ktorým sa menia a dopĺňajú niektoré zákony.</w:t>
      </w:r>
    </w:p>
    <w:p w:rsidR="00861EE0" w:rsidRPr="00861EE0" w:rsidRDefault="00861EE0" w:rsidP="00861EE0">
      <w:pPr>
        <w:ind w:left="425"/>
        <w:jc w:val="both"/>
        <w:rPr>
          <w:b/>
          <w:bCs/>
        </w:rPr>
      </w:pPr>
    </w:p>
    <w:p w:rsidR="00861EE0" w:rsidRPr="00861EE0" w:rsidRDefault="00861EE0" w:rsidP="00861EE0">
      <w:pPr>
        <w:numPr>
          <w:ilvl w:val="0"/>
          <w:numId w:val="16"/>
        </w:numPr>
        <w:spacing w:after="240"/>
        <w:jc w:val="both"/>
        <w:rPr>
          <w:b/>
          <w:bCs/>
        </w:rPr>
      </w:pPr>
      <w:r w:rsidRPr="00861EE0">
        <w:rPr>
          <w:b/>
          <w:bCs/>
        </w:rPr>
        <w:t xml:space="preserve">Predmet návrhu zákona </w:t>
      </w:r>
      <w:r w:rsidRPr="00861EE0">
        <w:rPr>
          <w:b/>
          <w:lang w:eastAsia="cs-CZ"/>
        </w:rPr>
        <w:t>je upravený v práve Európskej únie:</w:t>
      </w:r>
    </w:p>
    <w:p w:rsidR="00861EE0" w:rsidRPr="00861EE0" w:rsidRDefault="00861EE0" w:rsidP="00861EE0">
      <w:pPr>
        <w:pStyle w:val="Odsekzoznamu"/>
        <w:numPr>
          <w:ilvl w:val="1"/>
          <w:numId w:val="16"/>
        </w:numPr>
        <w:spacing w:after="120" w:line="276" w:lineRule="auto"/>
        <w:jc w:val="both"/>
        <w:rPr>
          <w:b/>
          <w:bCs/>
          <w:iCs/>
          <w:lang w:eastAsia="cs-CZ"/>
        </w:rPr>
      </w:pPr>
      <w:r w:rsidRPr="00861EE0">
        <w:rPr>
          <w:b/>
          <w:bCs/>
          <w:iCs/>
          <w:lang w:eastAsia="cs-CZ"/>
        </w:rPr>
        <w:t xml:space="preserve">Primárne právo: </w:t>
      </w:r>
    </w:p>
    <w:p w:rsidR="00861EE0" w:rsidRPr="00861EE0" w:rsidRDefault="00861EE0" w:rsidP="00861EE0">
      <w:pPr>
        <w:numPr>
          <w:ilvl w:val="0"/>
          <w:numId w:val="17"/>
        </w:numPr>
        <w:spacing w:after="240"/>
        <w:ind w:left="901" w:hanging="391"/>
        <w:jc w:val="both"/>
        <w:rPr>
          <w:lang w:eastAsia="cs-CZ"/>
        </w:rPr>
      </w:pPr>
      <w:r w:rsidRPr="00861EE0">
        <w:t xml:space="preserve">čl. 4, čl. 26 ods. 2, čl. 56 až čl. 66, </w:t>
      </w:r>
      <w:r w:rsidRPr="00861EE0">
        <w:rPr>
          <w:lang w:eastAsia="cs-CZ"/>
        </w:rPr>
        <w:t>čl. 208, čl. 209 a čl. 212 Zmluvy o fungovaní Európskej únie.</w:t>
      </w:r>
    </w:p>
    <w:p w:rsidR="00861EE0" w:rsidRPr="00861EE0" w:rsidRDefault="00861EE0" w:rsidP="00861EE0">
      <w:pPr>
        <w:pStyle w:val="Zarkazkladnhotextu"/>
        <w:numPr>
          <w:ilvl w:val="1"/>
          <w:numId w:val="16"/>
        </w:numPr>
        <w:spacing w:after="240"/>
        <w:jc w:val="both"/>
      </w:pPr>
      <w:r w:rsidRPr="00861EE0">
        <w:rPr>
          <w:b/>
          <w:bCs/>
          <w:iCs/>
        </w:rPr>
        <w:t>Sekundárne právo:</w:t>
      </w:r>
      <w:r w:rsidRPr="00861EE0">
        <w:rPr>
          <w:b/>
          <w:bCs/>
          <w:i/>
          <w:iCs/>
        </w:rPr>
        <w:t xml:space="preserve"> </w:t>
      </w:r>
    </w:p>
    <w:p w:rsidR="00861EE0" w:rsidRPr="00861EE0" w:rsidRDefault="00861EE0" w:rsidP="00861EE0">
      <w:pPr>
        <w:pStyle w:val="Odsekzoznamu"/>
        <w:numPr>
          <w:ilvl w:val="0"/>
          <w:numId w:val="17"/>
        </w:numPr>
        <w:spacing w:after="120"/>
        <w:ind w:left="901" w:hanging="391"/>
        <w:jc w:val="both"/>
        <w:rPr>
          <w:bCs/>
        </w:rPr>
      </w:pPr>
      <w:r w:rsidRPr="00861EE0">
        <w:rPr>
          <w:bCs/>
        </w:rPr>
        <w:t xml:space="preserve">smernica </w:t>
      </w:r>
      <w:r w:rsidRPr="00861EE0">
        <w:t xml:space="preserve">Európskeho parlamentu a Rady </w:t>
      </w:r>
      <w:r w:rsidRPr="00861EE0">
        <w:rPr>
          <w:u w:val="single"/>
        </w:rPr>
        <w:t>2014/49/EÚ</w:t>
      </w:r>
      <w:r w:rsidRPr="00861EE0">
        <w:t xml:space="preserve"> zo 16. apríla 2014 o systémoch ochrany vkladov </w:t>
      </w:r>
      <w:r w:rsidRPr="00861EE0">
        <w:rPr>
          <w:bCs/>
        </w:rPr>
        <w:t>(prepracované znenie)</w:t>
      </w:r>
      <w:r w:rsidRPr="00861EE0">
        <w:t xml:space="preserve"> (</w:t>
      </w:r>
      <w:r w:rsidRPr="00861EE0">
        <w:rPr>
          <w:iCs/>
        </w:rPr>
        <w:t>Ú. v. EÚ L 173, 12.6.2014), gestor: Ministerstvo financií SR.</w:t>
      </w:r>
    </w:p>
    <w:p w:rsidR="00861EE0" w:rsidRPr="00861EE0" w:rsidRDefault="00861EE0" w:rsidP="00861EE0">
      <w:pPr>
        <w:pStyle w:val="Odsekzoznamu"/>
        <w:numPr>
          <w:ilvl w:val="0"/>
          <w:numId w:val="17"/>
        </w:numPr>
        <w:spacing w:after="120"/>
        <w:ind w:left="901" w:hanging="391"/>
        <w:jc w:val="both"/>
        <w:rPr>
          <w:bCs/>
        </w:rPr>
      </w:pPr>
      <w:r w:rsidRPr="00861EE0">
        <w:rPr>
          <w:bCs/>
        </w:rPr>
        <w:t xml:space="preserve">nariadenie </w:t>
      </w:r>
      <w:r w:rsidRPr="00861EE0">
        <w:t xml:space="preserve">Európskeho parlamentu a Rady (EÚ) </w:t>
      </w:r>
      <w:r w:rsidRPr="00861EE0">
        <w:rPr>
          <w:u w:val="single"/>
        </w:rPr>
        <w:t>2017/1601</w:t>
      </w:r>
      <w:r w:rsidRPr="00861EE0">
        <w:t xml:space="preserve"> z 26. septembra 2017 o zriadení Európskeho fondu pre udržateľný rozvoj (EFSD), záruky EFSD a záručného fondu EFSD</w:t>
      </w:r>
      <w:r w:rsidRPr="00861EE0">
        <w:rPr>
          <w:bCs/>
        </w:rPr>
        <w:t>, (</w:t>
      </w:r>
      <w:r w:rsidRPr="00861EE0">
        <w:rPr>
          <w:iCs/>
        </w:rPr>
        <w:t>Ú. v. EÚ L 249, 27.9.2017)</w:t>
      </w:r>
      <w:r w:rsidRPr="00861EE0">
        <w:rPr>
          <w:bCs/>
        </w:rPr>
        <w:t xml:space="preserve">, </w:t>
      </w:r>
      <w:r w:rsidRPr="00861EE0">
        <w:rPr>
          <w:iCs/>
        </w:rPr>
        <w:t xml:space="preserve">gestor: </w:t>
      </w:r>
      <w:r w:rsidRPr="00861EE0">
        <w:rPr>
          <w:bCs/>
        </w:rPr>
        <w:t>Ministerstvo zahraničných vecí a európskych záležitostí SR,</w:t>
      </w:r>
    </w:p>
    <w:p w:rsidR="00861EE0" w:rsidRPr="00861EE0" w:rsidRDefault="00861EE0" w:rsidP="00861EE0">
      <w:pPr>
        <w:pStyle w:val="Odsekzoznamu"/>
        <w:numPr>
          <w:ilvl w:val="0"/>
          <w:numId w:val="17"/>
        </w:numPr>
        <w:spacing w:after="120"/>
        <w:ind w:left="901" w:hanging="391"/>
        <w:jc w:val="both"/>
        <w:rPr>
          <w:bCs/>
        </w:rPr>
      </w:pPr>
      <w:r w:rsidRPr="00861EE0">
        <w:rPr>
          <w:bCs/>
        </w:rPr>
        <w:t xml:space="preserve">nariadenie </w:t>
      </w:r>
      <w:r w:rsidRPr="00861EE0">
        <w:t xml:space="preserve">Európskeho parlamentu a Rady (EÚ) č. </w:t>
      </w:r>
      <w:r w:rsidRPr="00861EE0">
        <w:rPr>
          <w:u w:val="single"/>
        </w:rPr>
        <w:t>231/2014</w:t>
      </w:r>
      <w:r w:rsidRPr="00861EE0">
        <w:t xml:space="preserve"> z 11. marca 2014, ktorým sa ustanovuje nástroj predvstupovej pomoci (IPA II) (Ú. v. EÚ L 77, 15.3.2014),</w:t>
      </w:r>
      <w:r w:rsidRPr="00861EE0">
        <w:rPr>
          <w:iCs/>
        </w:rPr>
        <w:t xml:space="preserve"> gestor: </w:t>
      </w:r>
      <w:r w:rsidRPr="00861EE0">
        <w:rPr>
          <w:bCs/>
        </w:rPr>
        <w:t>Ministerstvo zahraničných vecí a európskych záležitostí SR,</w:t>
      </w:r>
    </w:p>
    <w:p w:rsidR="00861EE0" w:rsidRPr="00861EE0" w:rsidRDefault="00861EE0" w:rsidP="00861EE0">
      <w:pPr>
        <w:pStyle w:val="Odsekzoznamu"/>
        <w:numPr>
          <w:ilvl w:val="0"/>
          <w:numId w:val="17"/>
        </w:numPr>
        <w:spacing w:after="120"/>
        <w:ind w:left="901" w:hanging="391"/>
        <w:jc w:val="both"/>
        <w:rPr>
          <w:bCs/>
        </w:rPr>
      </w:pPr>
      <w:r w:rsidRPr="00861EE0">
        <w:t xml:space="preserve">nariadenie Európskeho parlamentu a Rady (EÚ) č. </w:t>
      </w:r>
      <w:r w:rsidRPr="00861EE0">
        <w:rPr>
          <w:u w:val="single"/>
        </w:rPr>
        <w:t>232/2014</w:t>
      </w:r>
      <w:r w:rsidRPr="00861EE0">
        <w:t xml:space="preserve"> z 11. marca 2014, ktorým sa ustanovuje nástroj európskeho susedstva (Ú. v. EÚ L 77, 15.3.2014), </w:t>
      </w:r>
      <w:r w:rsidRPr="00861EE0">
        <w:rPr>
          <w:iCs/>
        </w:rPr>
        <w:t xml:space="preserve">gestor: </w:t>
      </w:r>
      <w:r w:rsidRPr="00861EE0">
        <w:rPr>
          <w:bCs/>
        </w:rPr>
        <w:t>Ministerstvo zahraničných vecí a európskych záležitostí SR,</w:t>
      </w:r>
    </w:p>
    <w:p w:rsidR="00861EE0" w:rsidRPr="00861EE0" w:rsidRDefault="00861EE0" w:rsidP="00861EE0">
      <w:pPr>
        <w:pStyle w:val="Odsekzoznamu"/>
        <w:numPr>
          <w:ilvl w:val="0"/>
          <w:numId w:val="17"/>
        </w:numPr>
        <w:spacing w:after="120"/>
        <w:ind w:hanging="391"/>
        <w:jc w:val="both"/>
        <w:rPr>
          <w:bCs/>
          <w:lang w:eastAsia="en-US"/>
        </w:rPr>
      </w:pPr>
      <w:r w:rsidRPr="00861EE0">
        <w:t xml:space="preserve">nariadenie Európskeho parlamentu a Rady (EÚ) č. </w:t>
      </w:r>
      <w:r w:rsidRPr="00861EE0">
        <w:rPr>
          <w:u w:val="single"/>
        </w:rPr>
        <w:t>233/2014</w:t>
      </w:r>
      <w:r w:rsidRPr="00861EE0">
        <w:t xml:space="preserve"> z 11. marca 2014, ktorým sa ustanovuje nástroj financovania rozvojovej spolupráce na obdobie 2014 – 2020 (Ú. v. EÚ L 77/44, 15.3.2014), </w:t>
      </w:r>
      <w:r w:rsidRPr="00861EE0">
        <w:rPr>
          <w:iCs/>
        </w:rPr>
        <w:t xml:space="preserve">gestor: </w:t>
      </w:r>
      <w:r w:rsidRPr="00861EE0">
        <w:rPr>
          <w:bCs/>
        </w:rPr>
        <w:t>Ministerstvo zahraničných vecí a európskych záležitostí SR,</w:t>
      </w:r>
    </w:p>
    <w:p w:rsidR="00861EE0" w:rsidRPr="00861EE0" w:rsidRDefault="00861EE0" w:rsidP="00861EE0">
      <w:pPr>
        <w:pStyle w:val="Odsekzoznamu"/>
        <w:numPr>
          <w:ilvl w:val="0"/>
          <w:numId w:val="17"/>
        </w:numPr>
        <w:spacing w:after="120"/>
        <w:ind w:hanging="391"/>
        <w:jc w:val="both"/>
        <w:rPr>
          <w:bCs/>
        </w:rPr>
      </w:pPr>
      <w:r w:rsidRPr="00861EE0">
        <w:rPr>
          <w:bCs/>
          <w:bdr w:val="none" w:sz="0" w:space="0" w:color="auto" w:frame="1"/>
          <w:shd w:val="clear" w:color="auto" w:fill="FFFFFF"/>
        </w:rPr>
        <w:t xml:space="preserve">nariadenie </w:t>
      </w:r>
      <w:r w:rsidRPr="00861EE0">
        <w:t>Európskeho parlamentu a Rady (EÚ) č. </w:t>
      </w:r>
      <w:r w:rsidRPr="00861EE0">
        <w:rPr>
          <w:u w:val="single"/>
        </w:rPr>
        <w:t>1233/2011</w:t>
      </w:r>
      <w:r w:rsidRPr="00861EE0">
        <w:t xml:space="preserve"> zo 16. novembra 2011 o uplatňovaní určitých usmernení v oblasti štátom podporovaných vývozných úverov a o zrušení rozhodnutí Rady 2001/76/ES a 2001/77/ES</w:t>
      </w:r>
      <w:r w:rsidRPr="00861EE0">
        <w:rPr>
          <w:iCs/>
        </w:rPr>
        <w:t>, (Ú. v. EÚ L 326, 8.12.2011) v platnom znení, gestor: Ministerstvo financií SR.</w:t>
      </w:r>
    </w:p>
    <w:p w:rsidR="00861EE0" w:rsidRPr="00861EE0" w:rsidRDefault="00861EE0" w:rsidP="00861EE0">
      <w:pPr>
        <w:numPr>
          <w:ilvl w:val="1"/>
          <w:numId w:val="16"/>
        </w:numPr>
        <w:spacing w:after="120"/>
        <w:jc w:val="both"/>
        <w:rPr>
          <w:b/>
          <w:lang w:eastAsia="cs-CZ"/>
        </w:rPr>
      </w:pPr>
      <w:r w:rsidRPr="00861EE0">
        <w:rPr>
          <w:b/>
          <w:lang w:eastAsia="cs-CZ"/>
        </w:rPr>
        <w:t>Nie je obsiahnutá v judikatúre Súdneho dvora Európskej únie.</w:t>
      </w:r>
    </w:p>
    <w:p w:rsidR="00861EE0" w:rsidRPr="00861EE0" w:rsidRDefault="00861EE0" w:rsidP="00861EE0">
      <w:pPr>
        <w:spacing w:after="120"/>
        <w:ind w:left="870"/>
        <w:jc w:val="both"/>
        <w:rPr>
          <w:lang w:eastAsia="cs-CZ"/>
        </w:rPr>
      </w:pPr>
    </w:p>
    <w:p w:rsidR="00861EE0" w:rsidRPr="00861EE0" w:rsidRDefault="00861EE0" w:rsidP="00861EE0">
      <w:pPr>
        <w:numPr>
          <w:ilvl w:val="0"/>
          <w:numId w:val="16"/>
        </w:numPr>
        <w:spacing w:after="120"/>
        <w:jc w:val="both"/>
        <w:rPr>
          <w:b/>
          <w:bCs/>
        </w:rPr>
      </w:pPr>
      <w:r w:rsidRPr="00861EE0">
        <w:rPr>
          <w:b/>
          <w:bCs/>
        </w:rPr>
        <w:t>Záväzky Slovenskej republiky vo vzťahu k Európskej únii:</w:t>
      </w:r>
    </w:p>
    <w:p w:rsidR="00861EE0" w:rsidRPr="00861EE0" w:rsidRDefault="00861EE0" w:rsidP="00861EE0">
      <w:pPr>
        <w:numPr>
          <w:ilvl w:val="0"/>
          <w:numId w:val="18"/>
        </w:numPr>
        <w:tabs>
          <w:tab w:val="left" w:pos="425"/>
        </w:tabs>
        <w:spacing w:after="120"/>
        <w:ind w:left="425" w:hanging="425"/>
        <w:jc w:val="both"/>
        <w:rPr>
          <w:lang w:eastAsia="cs-CZ"/>
        </w:rPr>
      </w:pPr>
      <w:r w:rsidRPr="00861EE0">
        <w:lastRenderedPageBreak/>
        <w:t>Lehota na prebratie smernice 2014/49/EÚ bola stanovená do 3.7.2015, s výnimkou čl. 8 ods. 4, kde bola  lehota stanovená do 31.5.2016</w:t>
      </w:r>
      <w:r w:rsidRPr="00861EE0">
        <w:rPr>
          <w:lang w:eastAsia="cs-CZ"/>
        </w:rPr>
        <w:t>.</w:t>
      </w:r>
    </w:p>
    <w:p w:rsidR="00861EE0" w:rsidRPr="00861EE0" w:rsidRDefault="00861EE0" w:rsidP="00861EE0">
      <w:pPr>
        <w:numPr>
          <w:ilvl w:val="0"/>
          <w:numId w:val="18"/>
        </w:numPr>
        <w:tabs>
          <w:tab w:val="left" w:pos="425"/>
        </w:tabs>
        <w:spacing w:after="120"/>
        <w:ind w:left="425" w:hanging="425"/>
        <w:jc w:val="both"/>
        <w:rPr>
          <w:lang w:eastAsia="cs-CZ"/>
        </w:rPr>
      </w:pPr>
      <w:r w:rsidRPr="00861EE0">
        <w:rPr>
          <w:lang w:eastAsia="cs-CZ"/>
        </w:rPr>
        <w:t xml:space="preserve">Proti SR nebolo </w:t>
      </w:r>
      <w:r w:rsidRPr="00861EE0">
        <w:t xml:space="preserve">začaté konanie v rámci „EÚ Pilot“, ani nebol začatý postup EK ako aj nebolo </w:t>
      </w:r>
      <w:r w:rsidRPr="00861EE0">
        <w:rPr>
          <w:lang w:eastAsia="cs-CZ"/>
        </w:rPr>
        <w:t>začaté konanie o porušení Zmluvy o fungovaní Európskej únie podľa čl. 258 až 260.</w:t>
      </w:r>
    </w:p>
    <w:p w:rsidR="00861EE0" w:rsidRPr="00861EE0" w:rsidRDefault="00861EE0" w:rsidP="00861EE0">
      <w:pPr>
        <w:numPr>
          <w:ilvl w:val="0"/>
          <w:numId w:val="18"/>
        </w:numPr>
        <w:tabs>
          <w:tab w:val="left" w:pos="425"/>
        </w:tabs>
        <w:spacing w:after="360" w:line="252" w:lineRule="auto"/>
        <w:ind w:left="426" w:hanging="426"/>
        <w:jc w:val="both"/>
        <w:rPr>
          <w:lang w:eastAsia="cs-CZ"/>
        </w:rPr>
      </w:pPr>
      <w:r w:rsidRPr="00861EE0">
        <w:rPr>
          <w:bCs/>
        </w:rPr>
        <w:t>Smernica 2014/49/EÚ bola prebratá do zákona č. 118/1996 Z. z. o ochrane vkladov a o zmene a doplnení niektorých zákonov v znení neskorších predpisov, do zákona č. 483/2001 Z. z. o bankách a o zmene a doplnení niektorých zákonov v znení neskorších predpisov a do zákona č. 384/2011 Z. z. o osobitnom odvode vybraných finančných inštitúcií a o doplnení niektorých zákonov v znení neskorších predpisov.</w:t>
      </w:r>
    </w:p>
    <w:p w:rsidR="00861EE0" w:rsidRPr="00861EE0" w:rsidRDefault="00861EE0" w:rsidP="00861EE0">
      <w:pPr>
        <w:numPr>
          <w:ilvl w:val="0"/>
          <w:numId w:val="16"/>
        </w:numPr>
        <w:spacing w:after="120"/>
        <w:jc w:val="both"/>
        <w:rPr>
          <w:b/>
          <w:bCs/>
        </w:rPr>
      </w:pPr>
      <w:r w:rsidRPr="00861EE0">
        <w:rPr>
          <w:b/>
          <w:bCs/>
        </w:rPr>
        <w:t>Návrh zákona je zlučiteľný s právom Európskej únie:</w:t>
      </w:r>
    </w:p>
    <w:p w:rsidR="00861EE0" w:rsidRPr="00861EE0" w:rsidRDefault="00861EE0" w:rsidP="00861EE0">
      <w:pPr>
        <w:spacing w:after="120"/>
        <w:ind w:left="425"/>
        <w:jc w:val="both"/>
      </w:pPr>
      <w:r w:rsidRPr="00861EE0">
        <w:t>Úplne.</w:t>
      </w:r>
    </w:p>
    <w:p w:rsidR="00861EE0" w:rsidRPr="00861EE0" w:rsidRDefault="00861EE0" w:rsidP="00861EE0">
      <w:pPr>
        <w:spacing w:after="120"/>
        <w:jc w:val="both"/>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Default="00861EE0" w:rsidP="00861EE0">
      <w:pPr>
        <w:jc w:val="center"/>
        <w:rPr>
          <w:b/>
          <w:bCs/>
        </w:rPr>
      </w:pPr>
    </w:p>
    <w:p w:rsidR="00861EE0" w:rsidRPr="00861EE0" w:rsidRDefault="00861EE0" w:rsidP="00861EE0">
      <w:pPr>
        <w:jc w:val="center"/>
        <w:rPr>
          <w:b/>
          <w:bCs/>
        </w:rPr>
      </w:pPr>
      <w:r w:rsidRPr="00861EE0">
        <w:rPr>
          <w:b/>
          <w:bCs/>
        </w:rPr>
        <w:t>Doložka vybraných vplyvov</w:t>
      </w:r>
    </w:p>
    <w:p w:rsidR="00861EE0" w:rsidRPr="00861EE0" w:rsidRDefault="00861EE0" w:rsidP="00861EE0">
      <w:pPr>
        <w:jc w:val="center"/>
        <w:rPr>
          <w:b/>
          <w:bCs/>
        </w:rPr>
      </w:pPr>
    </w:p>
    <w:p w:rsidR="00861EE0" w:rsidRPr="00861EE0" w:rsidRDefault="00861EE0" w:rsidP="00861EE0">
      <w:pPr>
        <w:pStyle w:val="Odsekzoznamu"/>
        <w:ind w:left="426"/>
        <w:rPr>
          <w:b/>
        </w:rPr>
      </w:pPr>
    </w:p>
    <w:tbl>
      <w:tblPr>
        <w:tblStyle w:val="Mriekatabuky"/>
        <w:tblW w:w="9185" w:type="dxa"/>
        <w:tblInd w:w="-5" w:type="dxa"/>
        <w:tblLayout w:type="fixed"/>
        <w:tblLook w:val="04A0" w:firstRow="1" w:lastRow="0" w:firstColumn="1" w:lastColumn="0" w:noHBand="0" w:noVBand="1"/>
      </w:tblPr>
      <w:tblGrid>
        <w:gridCol w:w="3817"/>
        <w:gridCol w:w="400"/>
        <w:gridCol w:w="141"/>
        <w:gridCol w:w="564"/>
        <w:gridCol w:w="717"/>
        <w:gridCol w:w="569"/>
        <w:gridCol w:w="1133"/>
        <w:gridCol w:w="284"/>
        <w:gridCol w:w="263"/>
        <w:gridCol w:w="1297"/>
      </w:tblGrid>
      <w:tr w:rsidR="00861EE0" w:rsidRPr="00861EE0" w:rsidTr="008D7C4C">
        <w:tc>
          <w:tcPr>
            <w:tcW w:w="9185" w:type="dxa"/>
            <w:gridSpan w:val="10"/>
            <w:tcBorders>
              <w:bottom w:val="single" w:sz="4" w:space="0" w:color="FFFFFF" w:themeColor="background1"/>
            </w:tcBorders>
            <w:shd w:val="clear" w:color="auto" w:fill="E2E2E2"/>
          </w:tcPr>
          <w:p w:rsidR="00861EE0" w:rsidRPr="00861EE0" w:rsidRDefault="00861EE0" w:rsidP="00861EE0">
            <w:pPr>
              <w:pStyle w:val="Odsekzoznamu"/>
              <w:numPr>
                <w:ilvl w:val="0"/>
                <w:numId w:val="19"/>
              </w:numPr>
              <w:ind w:left="426"/>
              <w:rPr>
                <w:rFonts w:ascii="Times New Roman" w:hAnsi="Times New Roman"/>
                <w:b/>
              </w:rPr>
            </w:pPr>
            <w:r w:rsidRPr="00861EE0">
              <w:rPr>
                <w:rFonts w:ascii="Times New Roman" w:hAnsi="Times New Roman"/>
                <w:b/>
              </w:rPr>
              <w:t>Základné údaje</w:t>
            </w:r>
          </w:p>
        </w:tc>
      </w:tr>
      <w:tr w:rsidR="00861EE0" w:rsidRPr="00861EE0" w:rsidTr="008D7C4C">
        <w:tc>
          <w:tcPr>
            <w:tcW w:w="9185" w:type="dxa"/>
            <w:gridSpan w:val="10"/>
            <w:tcBorders>
              <w:bottom w:val="single" w:sz="4" w:space="0" w:color="FFFFFF" w:themeColor="background1"/>
            </w:tcBorders>
            <w:shd w:val="clear" w:color="auto" w:fill="E2E2E2"/>
          </w:tcPr>
          <w:p w:rsidR="00861EE0" w:rsidRPr="00861EE0" w:rsidRDefault="00861EE0" w:rsidP="008D7C4C">
            <w:pPr>
              <w:pStyle w:val="Odsekzoznamu"/>
              <w:ind w:left="142"/>
              <w:rPr>
                <w:rFonts w:ascii="Times New Roman" w:hAnsi="Times New Roman"/>
                <w:b/>
              </w:rPr>
            </w:pPr>
          </w:p>
          <w:p w:rsidR="00861EE0" w:rsidRPr="00861EE0" w:rsidRDefault="00861EE0" w:rsidP="008D7C4C">
            <w:pPr>
              <w:pStyle w:val="Odsekzoznamu"/>
              <w:ind w:left="142"/>
              <w:rPr>
                <w:rFonts w:ascii="Times New Roman" w:hAnsi="Times New Roman"/>
                <w:b/>
              </w:rPr>
            </w:pPr>
            <w:r w:rsidRPr="00861EE0">
              <w:rPr>
                <w:rFonts w:ascii="Times New Roman" w:hAnsi="Times New Roman"/>
                <w:b/>
              </w:rPr>
              <w:t>Názov materiálu</w:t>
            </w:r>
          </w:p>
        </w:tc>
      </w:tr>
      <w:tr w:rsidR="00861EE0" w:rsidRPr="00861EE0" w:rsidTr="008D7C4C">
        <w:tc>
          <w:tcPr>
            <w:tcW w:w="9185" w:type="dxa"/>
            <w:gridSpan w:val="10"/>
            <w:tcBorders>
              <w:top w:val="single" w:sz="4" w:space="0" w:color="FFFFFF" w:themeColor="background1"/>
            </w:tcBorders>
          </w:tcPr>
          <w:p w:rsidR="00861EE0" w:rsidRPr="00861EE0" w:rsidRDefault="00861EE0" w:rsidP="008D7C4C">
            <w:pPr>
              <w:pStyle w:val="Zarkazkladnhotextu"/>
              <w:spacing w:after="0"/>
              <w:jc w:val="both"/>
              <w:rPr>
                <w:rFonts w:ascii="Times New Roman" w:hAnsi="Times New Roman"/>
              </w:rPr>
            </w:pPr>
            <w:r w:rsidRPr="00861EE0">
              <w:rPr>
                <w:rFonts w:ascii="Times New Roman" w:hAnsi="Times New Roman"/>
                <w:b/>
                <w:bCs/>
              </w:rPr>
              <w:t xml:space="preserve">Návrh zákona, ktorým sa mení a dopĺňa </w:t>
            </w:r>
            <w:r w:rsidRPr="00861EE0">
              <w:rPr>
                <w:rFonts w:ascii="Times New Roman" w:hAnsi="Times New Roman"/>
                <w:b/>
              </w:rPr>
              <w:t>zákon č. 80/1997 Z. z. o Exportno-importnej banke Slovenskej republiky v znení neskorších predpisov</w:t>
            </w:r>
            <w:r w:rsidRPr="00861EE0">
              <w:rPr>
                <w:rFonts w:ascii="Times New Roman" w:hAnsi="Times New Roman"/>
                <w:b/>
                <w:bCs/>
              </w:rPr>
              <w:t xml:space="preserve"> </w:t>
            </w:r>
            <w:r w:rsidRPr="00861EE0">
              <w:rPr>
                <w:rFonts w:ascii="Times New Roman" w:hAnsi="Times New Roman"/>
                <w:b/>
              </w:rPr>
              <w:t xml:space="preserve">a ktorým sa menia a dopĺňajú niektoré </w:t>
            </w:r>
            <w:r w:rsidRPr="00861EE0">
              <w:rPr>
                <w:rFonts w:ascii="Times New Roman" w:hAnsi="Times New Roman"/>
                <w:b/>
                <w:bCs/>
              </w:rPr>
              <w:t>z</w:t>
            </w:r>
            <w:r w:rsidRPr="00861EE0">
              <w:rPr>
                <w:rFonts w:ascii="Times New Roman" w:hAnsi="Times New Roman"/>
                <w:b/>
              </w:rPr>
              <w:t xml:space="preserve">ákony </w:t>
            </w:r>
          </w:p>
          <w:p w:rsidR="00861EE0" w:rsidRPr="00861EE0" w:rsidRDefault="00861EE0" w:rsidP="008D7C4C">
            <w:pPr>
              <w:rPr>
                <w:rFonts w:ascii="Times New Roman" w:hAnsi="Times New Roman"/>
              </w:rPr>
            </w:pPr>
          </w:p>
        </w:tc>
      </w:tr>
      <w:tr w:rsidR="00861EE0" w:rsidRPr="00861EE0" w:rsidTr="008D7C4C">
        <w:tc>
          <w:tcPr>
            <w:tcW w:w="9185" w:type="dxa"/>
            <w:gridSpan w:val="10"/>
            <w:tcBorders>
              <w:bottom w:val="single" w:sz="4" w:space="0" w:color="FFFFFF" w:themeColor="background1"/>
            </w:tcBorders>
            <w:shd w:val="clear" w:color="auto" w:fill="E2E2E2"/>
          </w:tcPr>
          <w:p w:rsidR="00861EE0" w:rsidRPr="00861EE0" w:rsidRDefault="00861EE0" w:rsidP="008D7C4C">
            <w:pPr>
              <w:pStyle w:val="Odsekzoznamu"/>
              <w:ind w:left="142"/>
              <w:rPr>
                <w:rFonts w:ascii="Times New Roman" w:hAnsi="Times New Roman"/>
                <w:b/>
              </w:rPr>
            </w:pPr>
            <w:r w:rsidRPr="00861EE0">
              <w:rPr>
                <w:rFonts w:ascii="Times New Roman" w:hAnsi="Times New Roman"/>
                <w:b/>
              </w:rPr>
              <w:t>Predkladateľ (a spolupredkladateľ)</w:t>
            </w:r>
          </w:p>
        </w:tc>
      </w:tr>
      <w:tr w:rsidR="00861EE0" w:rsidRPr="00861EE0" w:rsidTr="008D7C4C">
        <w:tc>
          <w:tcPr>
            <w:tcW w:w="9185" w:type="dxa"/>
            <w:gridSpan w:val="10"/>
            <w:tcBorders>
              <w:top w:val="single" w:sz="4" w:space="0" w:color="FFFFFF" w:themeColor="background1"/>
            </w:tcBorders>
            <w:shd w:val="clear" w:color="auto" w:fill="FFFFFF" w:themeFill="background1"/>
          </w:tcPr>
          <w:p w:rsidR="00861EE0" w:rsidRPr="00861EE0" w:rsidRDefault="00861EE0" w:rsidP="008D7C4C">
            <w:pPr>
              <w:rPr>
                <w:rFonts w:ascii="Times New Roman" w:hAnsi="Times New Roman"/>
              </w:rPr>
            </w:pPr>
            <w:r w:rsidRPr="00861EE0">
              <w:rPr>
                <w:rFonts w:ascii="Times New Roman" w:hAnsi="Times New Roman"/>
              </w:rPr>
              <w:t>Ministerstvo financií SR</w:t>
            </w:r>
          </w:p>
        </w:tc>
      </w:tr>
      <w:tr w:rsidR="00861EE0" w:rsidRPr="00861EE0" w:rsidTr="008D7C4C">
        <w:tc>
          <w:tcPr>
            <w:tcW w:w="4217" w:type="dxa"/>
            <w:gridSpan w:val="2"/>
            <w:vMerge w:val="restart"/>
            <w:tcBorders>
              <w:bottom w:val="single" w:sz="4" w:space="0" w:color="FFFFFF" w:themeColor="background1"/>
            </w:tcBorders>
            <w:shd w:val="clear" w:color="auto" w:fill="E2E2E2"/>
            <w:vAlign w:val="center"/>
          </w:tcPr>
          <w:p w:rsidR="00861EE0" w:rsidRPr="00861EE0" w:rsidRDefault="00861EE0" w:rsidP="008D7C4C">
            <w:pPr>
              <w:pStyle w:val="Odsekzoznamu"/>
              <w:ind w:left="142"/>
              <w:rPr>
                <w:rFonts w:ascii="Times New Roman" w:hAnsi="Times New Roman"/>
                <w:b/>
              </w:rPr>
            </w:pPr>
            <w:r w:rsidRPr="00861EE0">
              <w:rPr>
                <w:rFonts w:ascii="Times New Roman" w:hAnsi="Times New Roman"/>
                <w:b/>
              </w:rPr>
              <w:t>Charakter predkladaného materiálu</w:t>
            </w:r>
          </w:p>
        </w:tc>
        <w:tc>
          <w:tcPr>
            <w:tcW w:w="705" w:type="dxa"/>
            <w:gridSpan w:val="2"/>
            <w:tcBorders>
              <w:right w:val="nil"/>
            </w:tcBorders>
            <w:shd w:val="clear" w:color="auto" w:fill="FFFFFF" w:themeFill="background1"/>
          </w:tcPr>
          <w:p w:rsidR="00861EE0" w:rsidRPr="00861EE0" w:rsidRDefault="00861EE0" w:rsidP="008D7C4C">
            <w:pPr>
              <w:jc w:val="center"/>
              <w:rPr>
                <w:rFonts w:ascii="Times New Roman" w:hAnsi="Times New Roman"/>
              </w:rPr>
            </w:pPr>
            <w:r w:rsidRPr="00861EE0">
              <w:rPr>
                <w:rFonts w:ascii="Segoe UI Symbol" w:eastAsia="MS Mincho" w:hAnsi="Segoe UI Symbol" w:cs="Segoe UI Symbol"/>
              </w:rPr>
              <w:t>☐</w:t>
            </w:r>
          </w:p>
        </w:tc>
        <w:tc>
          <w:tcPr>
            <w:tcW w:w="4263" w:type="dxa"/>
            <w:gridSpan w:val="6"/>
            <w:tcBorders>
              <w:left w:val="nil"/>
            </w:tcBorders>
            <w:shd w:val="clear" w:color="auto" w:fill="FFFFFF" w:themeFill="background1"/>
          </w:tcPr>
          <w:p w:rsidR="00861EE0" w:rsidRPr="00861EE0" w:rsidRDefault="00861EE0" w:rsidP="008D7C4C">
            <w:pPr>
              <w:rPr>
                <w:rFonts w:ascii="Times New Roman" w:hAnsi="Times New Roman"/>
              </w:rPr>
            </w:pPr>
            <w:r w:rsidRPr="00861EE0">
              <w:rPr>
                <w:rFonts w:ascii="Times New Roman" w:hAnsi="Times New Roman"/>
              </w:rPr>
              <w:t>Materiál nelegislatívnej povahy</w:t>
            </w:r>
          </w:p>
        </w:tc>
      </w:tr>
      <w:tr w:rsidR="00861EE0" w:rsidRPr="00861EE0" w:rsidTr="008D7C4C">
        <w:tc>
          <w:tcPr>
            <w:tcW w:w="4217" w:type="dxa"/>
            <w:gridSpan w:val="2"/>
            <w:vMerge/>
            <w:tcBorders>
              <w:top w:val="nil"/>
              <w:bottom w:val="single" w:sz="4" w:space="0" w:color="FFFFFF" w:themeColor="background1"/>
            </w:tcBorders>
            <w:shd w:val="clear" w:color="auto" w:fill="E2E2E2"/>
          </w:tcPr>
          <w:p w:rsidR="00861EE0" w:rsidRPr="00861EE0" w:rsidRDefault="00861EE0" w:rsidP="008D7C4C">
            <w:pPr>
              <w:rPr>
                <w:rFonts w:ascii="Times New Roman" w:hAnsi="Times New Roman"/>
              </w:rPr>
            </w:pPr>
          </w:p>
        </w:tc>
        <w:tc>
          <w:tcPr>
            <w:tcW w:w="705" w:type="dxa"/>
            <w:gridSpan w:val="2"/>
            <w:tcBorders>
              <w:right w:val="nil"/>
            </w:tcBorders>
            <w:shd w:val="clear" w:color="auto" w:fill="FFFFFF" w:themeFill="background1"/>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p>
        </w:tc>
        <w:tc>
          <w:tcPr>
            <w:tcW w:w="4263" w:type="dxa"/>
            <w:gridSpan w:val="6"/>
            <w:tcBorders>
              <w:left w:val="nil"/>
            </w:tcBorders>
            <w:shd w:val="clear" w:color="auto" w:fill="FFFFFF" w:themeFill="background1"/>
          </w:tcPr>
          <w:p w:rsidR="00861EE0" w:rsidRPr="00861EE0" w:rsidRDefault="00861EE0" w:rsidP="008D7C4C">
            <w:pPr>
              <w:ind w:left="175" w:hanging="175"/>
              <w:rPr>
                <w:rFonts w:ascii="Times New Roman" w:hAnsi="Times New Roman"/>
              </w:rPr>
            </w:pPr>
            <w:r w:rsidRPr="00861EE0">
              <w:rPr>
                <w:rFonts w:ascii="Times New Roman" w:hAnsi="Times New Roman"/>
              </w:rPr>
              <w:t>Materiál legislatívnej povahy</w:t>
            </w:r>
          </w:p>
        </w:tc>
      </w:tr>
      <w:tr w:rsidR="00861EE0" w:rsidRPr="00861EE0" w:rsidTr="008D7C4C">
        <w:tc>
          <w:tcPr>
            <w:tcW w:w="4217" w:type="dxa"/>
            <w:gridSpan w:val="2"/>
            <w:vMerge/>
            <w:tcBorders>
              <w:top w:val="nil"/>
            </w:tcBorders>
            <w:shd w:val="clear" w:color="auto" w:fill="E2E2E2"/>
          </w:tcPr>
          <w:p w:rsidR="00861EE0" w:rsidRPr="00861EE0" w:rsidRDefault="00861EE0" w:rsidP="008D7C4C">
            <w:pPr>
              <w:rPr>
                <w:rFonts w:ascii="Times New Roman" w:hAnsi="Times New Roman"/>
              </w:rPr>
            </w:pPr>
          </w:p>
        </w:tc>
        <w:tc>
          <w:tcPr>
            <w:tcW w:w="705" w:type="dxa"/>
            <w:gridSpan w:val="2"/>
            <w:tcBorders>
              <w:right w:val="nil"/>
            </w:tcBorders>
            <w:shd w:val="clear" w:color="auto" w:fill="FFFFFF" w:themeFill="background1"/>
          </w:tcPr>
          <w:p w:rsidR="00861EE0" w:rsidRPr="00861EE0" w:rsidRDefault="00861EE0" w:rsidP="008D7C4C">
            <w:pPr>
              <w:jc w:val="center"/>
              <w:rPr>
                <w:rFonts w:ascii="Times New Roman" w:hAnsi="Times New Roman"/>
              </w:rPr>
            </w:pPr>
            <w:r w:rsidRPr="00861EE0">
              <w:rPr>
                <w:rFonts w:ascii="Segoe UI Symbol" w:eastAsia="MS Mincho" w:hAnsi="Segoe UI Symbol" w:cs="Segoe UI Symbol"/>
              </w:rPr>
              <w:t>☐</w:t>
            </w:r>
          </w:p>
        </w:tc>
        <w:tc>
          <w:tcPr>
            <w:tcW w:w="4263" w:type="dxa"/>
            <w:gridSpan w:val="6"/>
            <w:tcBorders>
              <w:left w:val="nil"/>
            </w:tcBorders>
            <w:shd w:val="clear" w:color="auto" w:fill="FFFFFF" w:themeFill="background1"/>
          </w:tcPr>
          <w:p w:rsidR="00861EE0" w:rsidRPr="00861EE0" w:rsidRDefault="00861EE0" w:rsidP="008D7C4C">
            <w:pPr>
              <w:rPr>
                <w:rFonts w:ascii="Times New Roman" w:hAnsi="Times New Roman"/>
              </w:rPr>
            </w:pPr>
            <w:r w:rsidRPr="00861EE0">
              <w:rPr>
                <w:rFonts w:ascii="Times New Roman" w:hAnsi="Times New Roman"/>
              </w:rPr>
              <w:t>Transpozícia práva EÚ</w:t>
            </w:r>
          </w:p>
        </w:tc>
      </w:tr>
      <w:tr w:rsidR="00861EE0" w:rsidRPr="00861EE0" w:rsidTr="008D7C4C">
        <w:tc>
          <w:tcPr>
            <w:tcW w:w="9185" w:type="dxa"/>
            <w:gridSpan w:val="10"/>
            <w:tcBorders>
              <w:bottom w:val="single" w:sz="4" w:space="0" w:color="FFFFFF" w:themeColor="background1"/>
            </w:tcBorders>
            <w:shd w:val="clear" w:color="auto" w:fill="FFFFFF" w:themeFill="background1"/>
          </w:tcPr>
          <w:p w:rsidR="00861EE0" w:rsidRPr="00861EE0" w:rsidRDefault="00861EE0" w:rsidP="008D7C4C">
            <w:pPr>
              <w:rPr>
                <w:rFonts w:ascii="Times New Roman" w:hAnsi="Times New Roman"/>
              </w:rPr>
            </w:pPr>
          </w:p>
          <w:p w:rsidR="00861EE0" w:rsidRPr="00861EE0" w:rsidRDefault="00861EE0" w:rsidP="008D7C4C">
            <w:pPr>
              <w:rPr>
                <w:rFonts w:ascii="Times New Roman" w:hAnsi="Times New Roman"/>
              </w:rPr>
            </w:pPr>
          </w:p>
        </w:tc>
      </w:tr>
      <w:tr w:rsidR="00861EE0" w:rsidRPr="00861EE0" w:rsidTr="008D7C4C">
        <w:tc>
          <w:tcPr>
            <w:tcW w:w="5639" w:type="dxa"/>
            <w:gridSpan w:val="5"/>
            <w:tcBorders>
              <w:top w:val="single" w:sz="4" w:space="0" w:color="000000" w:themeColor="text1"/>
              <w:bottom w:val="single" w:sz="4" w:space="0" w:color="FFFFFF" w:themeColor="background1"/>
            </w:tcBorders>
            <w:shd w:val="clear" w:color="auto" w:fill="E2E2E2"/>
          </w:tcPr>
          <w:p w:rsidR="00861EE0" w:rsidRPr="00861EE0" w:rsidRDefault="00861EE0" w:rsidP="008D7C4C">
            <w:pPr>
              <w:pStyle w:val="Odsekzoznamu"/>
              <w:ind w:left="142"/>
              <w:rPr>
                <w:rFonts w:ascii="Times New Roman" w:hAnsi="Times New Roman"/>
                <w:b/>
              </w:rPr>
            </w:pPr>
            <w:r w:rsidRPr="00861EE0">
              <w:rPr>
                <w:rFonts w:ascii="Times New Roman" w:hAnsi="Times New Roman"/>
                <w:b/>
              </w:rPr>
              <w:t>Termín začiatku a ukončenia PPK</w:t>
            </w:r>
          </w:p>
        </w:tc>
        <w:tc>
          <w:tcPr>
            <w:tcW w:w="3546" w:type="dxa"/>
            <w:gridSpan w:val="5"/>
            <w:tcBorders>
              <w:top w:val="single" w:sz="4" w:space="0" w:color="000000" w:themeColor="text1"/>
            </w:tcBorders>
          </w:tcPr>
          <w:p w:rsidR="00861EE0" w:rsidRPr="00861EE0" w:rsidRDefault="00861EE0" w:rsidP="008D7C4C">
            <w:pPr>
              <w:rPr>
                <w:rFonts w:ascii="Times New Roman" w:hAnsi="Times New Roman"/>
                <w:i/>
              </w:rPr>
            </w:pPr>
            <w:r w:rsidRPr="00861EE0">
              <w:rPr>
                <w:rFonts w:ascii="Times New Roman" w:hAnsi="Times New Roman"/>
                <w:i/>
              </w:rPr>
              <w:t xml:space="preserve">25. marec 2019 - 5. apríl 2019 </w:t>
            </w:r>
          </w:p>
        </w:tc>
      </w:tr>
      <w:tr w:rsidR="00861EE0" w:rsidRPr="00861EE0" w:rsidTr="008D7C4C">
        <w:tc>
          <w:tcPr>
            <w:tcW w:w="5639" w:type="dxa"/>
            <w:gridSpan w:val="5"/>
            <w:tcBorders>
              <w:bottom w:val="single" w:sz="4" w:space="0" w:color="FFFFFF" w:themeColor="background1"/>
            </w:tcBorders>
            <w:shd w:val="clear" w:color="auto" w:fill="E2E2E2"/>
          </w:tcPr>
          <w:p w:rsidR="00861EE0" w:rsidRPr="00861EE0" w:rsidRDefault="00861EE0" w:rsidP="008D7C4C">
            <w:pPr>
              <w:pStyle w:val="Odsekzoznamu"/>
              <w:ind w:left="142"/>
              <w:rPr>
                <w:rFonts w:ascii="Times New Roman" w:hAnsi="Times New Roman"/>
                <w:b/>
              </w:rPr>
            </w:pPr>
            <w:r w:rsidRPr="00861EE0">
              <w:rPr>
                <w:rFonts w:ascii="Times New Roman" w:hAnsi="Times New Roman"/>
                <w:b/>
              </w:rPr>
              <w:t>Predpokladaný termín predloženia na MPK*</w:t>
            </w:r>
          </w:p>
        </w:tc>
        <w:tc>
          <w:tcPr>
            <w:tcW w:w="3546" w:type="dxa"/>
            <w:gridSpan w:val="5"/>
          </w:tcPr>
          <w:p w:rsidR="00861EE0" w:rsidRPr="00861EE0" w:rsidRDefault="00861EE0" w:rsidP="008D7C4C">
            <w:pPr>
              <w:rPr>
                <w:rFonts w:ascii="Times New Roman" w:hAnsi="Times New Roman"/>
                <w:i/>
              </w:rPr>
            </w:pPr>
            <w:r w:rsidRPr="00861EE0">
              <w:rPr>
                <w:rFonts w:ascii="Times New Roman" w:hAnsi="Times New Roman"/>
                <w:i/>
              </w:rPr>
              <w:t>apríl 2019</w:t>
            </w:r>
          </w:p>
        </w:tc>
      </w:tr>
      <w:tr w:rsidR="00861EE0" w:rsidRPr="00861EE0" w:rsidTr="008D7C4C">
        <w:tc>
          <w:tcPr>
            <w:tcW w:w="5639" w:type="dxa"/>
            <w:gridSpan w:val="5"/>
            <w:tcBorders>
              <w:bottom w:val="single" w:sz="4" w:space="0" w:color="FFFFFF" w:themeColor="background1"/>
            </w:tcBorders>
            <w:shd w:val="clear" w:color="auto" w:fill="E2E2E2"/>
          </w:tcPr>
          <w:p w:rsidR="00861EE0" w:rsidRPr="00861EE0" w:rsidRDefault="00861EE0" w:rsidP="008D7C4C">
            <w:pPr>
              <w:pStyle w:val="Odsekzoznamu"/>
              <w:ind w:left="142"/>
              <w:rPr>
                <w:rFonts w:ascii="Times New Roman" w:hAnsi="Times New Roman"/>
                <w:b/>
              </w:rPr>
            </w:pPr>
            <w:r w:rsidRPr="00861EE0">
              <w:rPr>
                <w:rFonts w:ascii="Times New Roman" w:hAnsi="Times New Roman"/>
                <w:b/>
              </w:rPr>
              <w:t>Predpokladaný termín predloženia na Rokovanie vlády SR*</w:t>
            </w:r>
          </w:p>
        </w:tc>
        <w:tc>
          <w:tcPr>
            <w:tcW w:w="3546" w:type="dxa"/>
            <w:gridSpan w:val="5"/>
          </w:tcPr>
          <w:p w:rsidR="00861EE0" w:rsidRPr="00861EE0" w:rsidRDefault="00861EE0" w:rsidP="008D7C4C">
            <w:pPr>
              <w:rPr>
                <w:rFonts w:ascii="Times New Roman" w:hAnsi="Times New Roman"/>
                <w:i/>
              </w:rPr>
            </w:pPr>
            <w:r w:rsidRPr="00861EE0">
              <w:rPr>
                <w:rFonts w:ascii="Times New Roman" w:hAnsi="Times New Roman"/>
                <w:i/>
              </w:rPr>
              <w:t>máj 2019</w:t>
            </w:r>
          </w:p>
        </w:tc>
      </w:tr>
      <w:tr w:rsidR="00861EE0" w:rsidRPr="00861EE0" w:rsidTr="008D7C4C">
        <w:tc>
          <w:tcPr>
            <w:tcW w:w="9185" w:type="dxa"/>
            <w:gridSpan w:val="10"/>
            <w:tcBorders>
              <w:left w:val="nil"/>
              <w:right w:val="nil"/>
            </w:tcBorders>
            <w:shd w:val="clear" w:color="auto" w:fill="FFFFFF" w:themeFill="background1"/>
          </w:tcPr>
          <w:p w:rsidR="00861EE0" w:rsidRPr="00861EE0" w:rsidRDefault="00861EE0" w:rsidP="008D7C4C">
            <w:pPr>
              <w:rPr>
                <w:rFonts w:ascii="Times New Roman" w:hAnsi="Times New Roman"/>
              </w:rPr>
            </w:pPr>
          </w:p>
        </w:tc>
      </w:tr>
      <w:tr w:rsidR="00861EE0" w:rsidRPr="00861EE0" w:rsidTr="008D7C4C">
        <w:tc>
          <w:tcPr>
            <w:tcW w:w="9185" w:type="dxa"/>
            <w:gridSpan w:val="10"/>
            <w:tcBorders>
              <w:bottom w:val="single" w:sz="4" w:space="0" w:color="FFFFFF" w:themeColor="background1"/>
            </w:tcBorders>
            <w:shd w:val="clear" w:color="auto" w:fill="E2E2E2"/>
          </w:tcPr>
          <w:p w:rsidR="00861EE0" w:rsidRPr="00861EE0" w:rsidRDefault="00861EE0" w:rsidP="00861EE0">
            <w:pPr>
              <w:pStyle w:val="Odsekzoznamu"/>
              <w:numPr>
                <w:ilvl w:val="0"/>
                <w:numId w:val="19"/>
              </w:numPr>
              <w:ind w:left="426"/>
              <w:rPr>
                <w:rFonts w:ascii="Times New Roman" w:hAnsi="Times New Roman"/>
                <w:b/>
              </w:rPr>
            </w:pPr>
            <w:r w:rsidRPr="00861EE0">
              <w:rPr>
                <w:rFonts w:ascii="Times New Roman" w:hAnsi="Times New Roman"/>
                <w:b/>
              </w:rPr>
              <w:t>Definovanie problému</w:t>
            </w:r>
          </w:p>
        </w:tc>
      </w:tr>
      <w:tr w:rsidR="00861EE0" w:rsidRPr="00861EE0" w:rsidTr="008D7C4C">
        <w:trPr>
          <w:trHeight w:val="718"/>
        </w:trPr>
        <w:tc>
          <w:tcPr>
            <w:tcW w:w="9185" w:type="dxa"/>
            <w:gridSpan w:val="10"/>
            <w:tcBorders>
              <w:top w:val="single" w:sz="4" w:space="0" w:color="FFFFFF" w:themeColor="background1"/>
            </w:tcBorders>
            <w:shd w:val="clear" w:color="auto" w:fill="FFFFFF" w:themeFill="background1"/>
          </w:tcPr>
          <w:p w:rsidR="00861EE0" w:rsidRPr="00861EE0" w:rsidRDefault="00861EE0" w:rsidP="008D7C4C">
            <w:pPr>
              <w:pStyle w:val="Zarkazkladnhotextu"/>
              <w:spacing w:after="0"/>
              <w:jc w:val="both"/>
              <w:rPr>
                <w:rFonts w:ascii="Times New Roman" w:hAnsi="Times New Roman"/>
              </w:rPr>
            </w:pPr>
            <w:r w:rsidRPr="00861EE0">
              <w:rPr>
                <w:rFonts w:ascii="Times New Roman" w:hAnsi="Times New Roman"/>
              </w:rPr>
              <w:t xml:space="preserve">V rámci zefektívnenia činností Eximbanky navrhovaná právna úprava v súlade s medzinárodnými záväzkami Slovenskej republiky v oblasti rozvojovej spolupráce a napĺňania cieľov udržateľného rozvoja reaguje na potrebu udelenia rozvojového mandátu pre Eximbanku a na potrebu umožniť Eximbanke priamo financovať a spolufinancovať zvýhodnené vývozné úvery. Súvisiaca právna úprava rozvojovej spolupráce si preto vyžaduje rozšírenie nástrojov rozvojovej spolupráce vrátane využívania zdrojov EÚ určených na tento účel, čim reaguje aj na potrebu výraznejšieho zapájania slovenského súkromného sektora do rozvojovej spolupráce. Významnou príležitosťou je práve realizácia väčších investičných projektov v rozvojových krajinách. Tieto projekty sú však finančne náročné a obvykle vyžadujú uplatnenie tzv. </w:t>
            </w:r>
            <w:proofErr w:type="spellStart"/>
            <w:r w:rsidRPr="00861EE0">
              <w:rPr>
                <w:rFonts w:ascii="Times New Roman" w:hAnsi="Times New Roman"/>
              </w:rPr>
              <w:t>blendingu</w:t>
            </w:r>
            <w:proofErr w:type="spellEnd"/>
            <w:r w:rsidRPr="00861EE0">
              <w:rPr>
                <w:rFonts w:ascii="Times New Roman" w:hAnsi="Times New Roman"/>
              </w:rPr>
              <w:t xml:space="preserve"> (kombinovaného financovania). Európska komisia na tento účel alokovala zdroje do tzv. Externého investičného plánu, Slovenská republika však aktuálne nedisponuje inštitúciou, ktorá by mohla prijímať tieto zdroje EÚ určené na rozvojovú spoluprácu. Predkladaný návrh zákona legislatívne tento nedostatok odstráni a umožní Eximbanke vykonávať finančné nástroje EÚ určené na rozvojovú spoluprácu so zámerom financovania projektov rozvojovej spolupráce v partnerských krajinách s využitím prostriedkov Európskeho fondu pre udržateľný rozvoj (EFSD) a iných zdrojov EÚ.</w:t>
            </w:r>
          </w:p>
          <w:p w:rsidR="00861EE0" w:rsidRPr="00861EE0" w:rsidRDefault="00861EE0" w:rsidP="008D7C4C">
            <w:pPr>
              <w:pStyle w:val="Zarkazkladnhotextu"/>
              <w:spacing w:after="0"/>
              <w:jc w:val="both"/>
              <w:rPr>
                <w:rFonts w:ascii="Times New Roman" w:hAnsi="Times New Roman"/>
              </w:rPr>
            </w:pPr>
            <w:r w:rsidRPr="00861EE0">
              <w:rPr>
                <w:rFonts w:ascii="Times New Roman" w:hAnsi="Times New Roman"/>
              </w:rPr>
              <w:t>Skúsenosti z doterajšej aplikácie právnej úpravy poskytovania zvýhodnených vývozných úverov ako ďalšieho nástroja rozvojovej spolupráce indikovali aj nevyhnutnosť zlepšenia podmienok ich poskytovania v prospech subjektov v partnerských krajinách. Požiadavky z rozvojových krajín zadefinovali aj potrebu zavedenia nového nástroja rozvojovej spolupráce, ktorým je poskytovanie vedomostí a skúseností týmto krajinám. Aplikačná prax si vyžiadala aj procesnú úpravu iných, už existujúcich nástrojov rozvojovej spolupráce, ktorými sú poskytovanie finančného príspevku a poskytovanie vládneho štipendia.</w:t>
            </w:r>
          </w:p>
          <w:p w:rsidR="00861EE0" w:rsidRPr="00861EE0" w:rsidRDefault="00861EE0" w:rsidP="008D7C4C">
            <w:pPr>
              <w:jc w:val="both"/>
              <w:rPr>
                <w:rFonts w:ascii="Times New Roman" w:hAnsi="Times New Roman"/>
              </w:rPr>
            </w:pPr>
            <w:r w:rsidRPr="00861EE0">
              <w:rPr>
                <w:rFonts w:ascii="Times New Roman" w:hAnsi="Times New Roman"/>
              </w:rPr>
              <w:lastRenderedPageBreak/>
              <w:t xml:space="preserve">V rámci zefektívnenia činností Fondu ochrany vkladov a Národného fondu pre riešenie krízových situácií na finančnom trhu (ďalej len „Národný fond“) predkladaná právna úprava reaguje na nové usmernenie Európskej centrálnej banky (EÚ) 2019/671 (ECB/2019/7) o domácich operáciách riadenia aktív a pasív zo strany národných centrálnych bánk (Ú. v. EÚ L 113, 29.4.2019), podľa ktorého aj peňažné prostriedky uložené v národných centrálnych bankách budú od 1. októbra 2019 podliehať zápornej úrokovej sadzbe. Preto je potrebné zaviesť alternatívu pre takéto nepriaznivé prechodné obdobia, aby nedochádzalo k znižovaniu objemu resp. hodnoty finančných prostriedkov Fondu ochrany vkladov ako aj Národného fondu uložených na účtoch v Národnej banke Slovenska.      </w:t>
            </w:r>
          </w:p>
          <w:p w:rsidR="00861EE0" w:rsidRPr="00861EE0" w:rsidRDefault="00861EE0" w:rsidP="008D7C4C">
            <w:pPr>
              <w:jc w:val="both"/>
              <w:rPr>
                <w:rFonts w:ascii="Times New Roman" w:hAnsi="Times New Roman"/>
              </w:rPr>
            </w:pPr>
            <w:r w:rsidRPr="00861EE0">
              <w:rPr>
                <w:rFonts w:ascii="Times New Roman" w:hAnsi="Times New Roman"/>
              </w:rPr>
              <w:t xml:space="preserve"> </w:t>
            </w:r>
          </w:p>
        </w:tc>
      </w:tr>
      <w:tr w:rsidR="00861EE0" w:rsidRPr="00861EE0" w:rsidTr="008D7C4C">
        <w:tc>
          <w:tcPr>
            <w:tcW w:w="9185" w:type="dxa"/>
            <w:gridSpan w:val="10"/>
            <w:tcBorders>
              <w:bottom w:val="nil"/>
            </w:tcBorders>
            <w:shd w:val="clear" w:color="auto" w:fill="E2E2E2"/>
          </w:tcPr>
          <w:p w:rsidR="00861EE0" w:rsidRPr="00861EE0" w:rsidRDefault="00861EE0" w:rsidP="00861EE0">
            <w:pPr>
              <w:pStyle w:val="Odsekzoznamu"/>
              <w:numPr>
                <w:ilvl w:val="0"/>
                <w:numId w:val="19"/>
              </w:numPr>
              <w:ind w:left="426"/>
              <w:rPr>
                <w:rFonts w:ascii="Times New Roman" w:hAnsi="Times New Roman"/>
                <w:b/>
              </w:rPr>
            </w:pPr>
            <w:r w:rsidRPr="00861EE0">
              <w:rPr>
                <w:rFonts w:ascii="Times New Roman" w:hAnsi="Times New Roman"/>
                <w:b/>
              </w:rPr>
              <w:lastRenderedPageBreak/>
              <w:t>Ciele a výsledný stav</w:t>
            </w:r>
          </w:p>
        </w:tc>
      </w:tr>
      <w:tr w:rsidR="00861EE0" w:rsidRPr="00861EE0" w:rsidTr="008D7C4C">
        <w:trPr>
          <w:trHeight w:val="741"/>
        </w:trPr>
        <w:tc>
          <w:tcPr>
            <w:tcW w:w="9185" w:type="dxa"/>
            <w:gridSpan w:val="10"/>
            <w:tcBorders>
              <w:top w:val="nil"/>
            </w:tcBorders>
            <w:shd w:val="clear" w:color="auto" w:fill="FFFFFF" w:themeFill="background1"/>
          </w:tcPr>
          <w:p w:rsidR="00861EE0" w:rsidRPr="00861EE0" w:rsidRDefault="00861EE0" w:rsidP="008D7C4C">
            <w:pPr>
              <w:jc w:val="both"/>
              <w:rPr>
                <w:rFonts w:ascii="Times New Roman" w:hAnsi="Times New Roman"/>
              </w:rPr>
            </w:pPr>
            <w:r w:rsidRPr="00861EE0">
              <w:rPr>
                <w:rFonts w:ascii="Times New Roman" w:hAnsi="Times New Roman"/>
              </w:rPr>
              <w:t>Rozšírenie predmetu činností Eximbanky o vykonávanie finančných nástrojov EÚ určených na rozvojovú spoluprácu a o prijímanie zdrojov EÚ na tieto účely umožní Eximbanke získavať ďalšie zdroje financovania projektov, nad rámec vlastných zdrojov/zdrojov štátneho rozpočtu. Rozvojový mandát vytvára pre Eximbanku na jednej strane podmienky pre zefektívnenie jej činností, na strane druhej priestor na pôsobenie v oblasti rozvojového financovania v partnerských krajinách. Synergicky so schémou zvýhodnených vývozných úverov dokáže Eximbanka podporiť slovenské podnikateľské subjekty pri ich prieniku na trhy rozvojových krajín či v obstarávacích procesoch EÚ. Vytvorením porovnateľných podmienok, za akých vedia podporiť svojich exportérov rozvojové inštitúcie z okolitých krajín, sa významne zvýši konkurencieschopnosť slovenských firiem, ktoré v rámci subdodávok môžu zapojiť do realizácie rozvojových projektov aj malé a stredné podniky (MSP), pričom menšie projekty môžu realizovať samotné MSP. Slovensko bude podporovať projekty s pozitívnymi ekonomickými a sociálnymi dopadmi v rozvojových krajinách, pričom zároveň zabezpečí čiastočnú návratnosť zdrojov alokovaných v EFSD. Do využívania zdrojov EÚ na rozvojovú spoluprácu sa navrhuje zapojiť aj Slovenskú agentúru pre medzinárodnú rozvojovú spoluprácu, ktorá bude môcť tiež vykonávať finančné nástroje EÚ určené na rozvojovú spoluprácu.</w:t>
            </w:r>
          </w:p>
          <w:p w:rsidR="00861EE0" w:rsidRPr="00861EE0" w:rsidRDefault="00861EE0" w:rsidP="008D7C4C">
            <w:pPr>
              <w:jc w:val="both"/>
              <w:rPr>
                <w:rFonts w:ascii="Times New Roman" w:hAnsi="Times New Roman"/>
              </w:rPr>
            </w:pPr>
            <w:r w:rsidRPr="00861EE0">
              <w:rPr>
                <w:rFonts w:ascii="Times New Roman" w:hAnsi="Times New Roman"/>
              </w:rPr>
              <w:t xml:space="preserve">Umožnenie viesť peňažné prostriedky Fondu ochrany vkladov a Národného fondu nielen na účtoch Národnej banky Slovenska, ale aj na účtoch Štátnej pokladnice vytvorí bezpečnú alternatívu pre zhodnocovanie týchto prostriedkov.      </w:t>
            </w:r>
          </w:p>
          <w:p w:rsidR="00861EE0" w:rsidRPr="00861EE0" w:rsidRDefault="00861EE0" w:rsidP="008D7C4C">
            <w:pPr>
              <w:jc w:val="both"/>
              <w:rPr>
                <w:rFonts w:ascii="Times New Roman" w:hAnsi="Times New Roman"/>
              </w:rPr>
            </w:pPr>
          </w:p>
        </w:tc>
      </w:tr>
      <w:tr w:rsidR="00861EE0" w:rsidRPr="00861EE0" w:rsidTr="008D7C4C">
        <w:tc>
          <w:tcPr>
            <w:tcW w:w="9185" w:type="dxa"/>
            <w:gridSpan w:val="10"/>
            <w:tcBorders>
              <w:bottom w:val="nil"/>
            </w:tcBorders>
            <w:shd w:val="clear" w:color="auto" w:fill="E2E2E2"/>
          </w:tcPr>
          <w:p w:rsidR="00861EE0" w:rsidRPr="00861EE0" w:rsidRDefault="00861EE0" w:rsidP="00861EE0">
            <w:pPr>
              <w:pStyle w:val="Odsekzoznamu"/>
              <w:numPr>
                <w:ilvl w:val="0"/>
                <w:numId w:val="19"/>
              </w:numPr>
              <w:ind w:left="426"/>
              <w:rPr>
                <w:rFonts w:ascii="Times New Roman" w:hAnsi="Times New Roman"/>
                <w:b/>
              </w:rPr>
            </w:pPr>
            <w:r w:rsidRPr="00861EE0">
              <w:rPr>
                <w:rFonts w:ascii="Times New Roman" w:hAnsi="Times New Roman"/>
                <w:b/>
              </w:rPr>
              <w:t>Dotknuté subjekty</w:t>
            </w:r>
          </w:p>
        </w:tc>
      </w:tr>
      <w:tr w:rsidR="00861EE0" w:rsidRPr="00861EE0" w:rsidTr="008D7C4C">
        <w:tc>
          <w:tcPr>
            <w:tcW w:w="9185" w:type="dxa"/>
            <w:gridSpan w:val="10"/>
            <w:tcBorders>
              <w:top w:val="nil"/>
            </w:tcBorders>
            <w:shd w:val="clear" w:color="auto" w:fill="FFFFFF" w:themeFill="background1"/>
          </w:tcPr>
          <w:p w:rsidR="00861EE0" w:rsidRPr="00861EE0" w:rsidRDefault="00861EE0" w:rsidP="008D7C4C">
            <w:pPr>
              <w:rPr>
                <w:rFonts w:ascii="Times New Roman" w:hAnsi="Times New Roman"/>
              </w:rPr>
            </w:pPr>
            <w:r w:rsidRPr="00861EE0">
              <w:rPr>
                <w:rFonts w:ascii="Times New Roman" w:hAnsi="Times New Roman"/>
              </w:rPr>
              <w:t>Podnikatelia, vývozcovia.</w:t>
            </w:r>
          </w:p>
          <w:p w:rsidR="00861EE0" w:rsidRPr="00861EE0" w:rsidRDefault="00861EE0" w:rsidP="008D7C4C">
            <w:pPr>
              <w:rPr>
                <w:rFonts w:ascii="Times New Roman" w:hAnsi="Times New Roman"/>
              </w:rPr>
            </w:pPr>
          </w:p>
        </w:tc>
      </w:tr>
      <w:tr w:rsidR="00861EE0" w:rsidRPr="00861EE0" w:rsidTr="008D7C4C">
        <w:tc>
          <w:tcPr>
            <w:tcW w:w="9185" w:type="dxa"/>
            <w:gridSpan w:val="10"/>
            <w:tcBorders>
              <w:bottom w:val="nil"/>
            </w:tcBorders>
            <w:shd w:val="clear" w:color="auto" w:fill="E2E2E2"/>
          </w:tcPr>
          <w:p w:rsidR="00861EE0" w:rsidRPr="00861EE0" w:rsidRDefault="00861EE0" w:rsidP="00861EE0">
            <w:pPr>
              <w:pStyle w:val="Odsekzoznamu"/>
              <w:numPr>
                <w:ilvl w:val="0"/>
                <w:numId w:val="19"/>
              </w:numPr>
              <w:ind w:left="426"/>
              <w:rPr>
                <w:rFonts w:ascii="Times New Roman" w:hAnsi="Times New Roman"/>
                <w:b/>
              </w:rPr>
            </w:pPr>
            <w:r w:rsidRPr="00861EE0">
              <w:rPr>
                <w:rFonts w:ascii="Times New Roman" w:hAnsi="Times New Roman"/>
                <w:b/>
              </w:rPr>
              <w:t>Alternatívne riešenia</w:t>
            </w:r>
          </w:p>
        </w:tc>
      </w:tr>
      <w:tr w:rsidR="00861EE0" w:rsidRPr="00861EE0" w:rsidTr="008D7C4C">
        <w:trPr>
          <w:trHeight w:val="422"/>
        </w:trPr>
        <w:tc>
          <w:tcPr>
            <w:tcW w:w="9185" w:type="dxa"/>
            <w:gridSpan w:val="10"/>
            <w:tcBorders>
              <w:top w:val="nil"/>
            </w:tcBorders>
            <w:shd w:val="clear" w:color="auto" w:fill="FFFFFF" w:themeFill="background1"/>
          </w:tcPr>
          <w:p w:rsidR="00861EE0" w:rsidRPr="00861EE0" w:rsidRDefault="00861EE0" w:rsidP="008D7C4C">
            <w:pPr>
              <w:rPr>
                <w:rFonts w:ascii="Times New Roman" w:hAnsi="Times New Roman"/>
              </w:rPr>
            </w:pPr>
            <w:r w:rsidRPr="00861EE0">
              <w:rPr>
                <w:rFonts w:ascii="Times New Roman" w:hAnsi="Times New Roman"/>
              </w:rPr>
              <w:t>Iné alternatívne riešenia neboli posudzované.</w:t>
            </w:r>
          </w:p>
        </w:tc>
      </w:tr>
      <w:tr w:rsidR="00861EE0" w:rsidRPr="00861EE0" w:rsidTr="008D7C4C">
        <w:tc>
          <w:tcPr>
            <w:tcW w:w="9185" w:type="dxa"/>
            <w:gridSpan w:val="10"/>
            <w:tcBorders>
              <w:bottom w:val="single" w:sz="4" w:space="0" w:color="FFFFFF" w:themeColor="background1"/>
            </w:tcBorders>
            <w:shd w:val="clear" w:color="auto" w:fill="E2E2E2"/>
          </w:tcPr>
          <w:p w:rsidR="00861EE0" w:rsidRPr="00861EE0" w:rsidRDefault="00861EE0" w:rsidP="00861EE0">
            <w:pPr>
              <w:pStyle w:val="Odsekzoznamu"/>
              <w:numPr>
                <w:ilvl w:val="0"/>
                <w:numId w:val="19"/>
              </w:numPr>
              <w:ind w:left="426"/>
              <w:rPr>
                <w:rFonts w:ascii="Times New Roman" w:hAnsi="Times New Roman"/>
                <w:b/>
              </w:rPr>
            </w:pPr>
            <w:r w:rsidRPr="00861EE0">
              <w:rPr>
                <w:rFonts w:ascii="Times New Roman" w:hAnsi="Times New Roman"/>
                <w:b/>
              </w:rPr>
              <w:t>Vykonávacie predpisy</w:t>
            </w:r>
          </w:p>
        </w:tc>
      </w:tr>
      <w:tr w:rsidR="00861EE0" w:rsidRPr="00861EE0" w:rsidTr="008D7C4C">
        <w:trPr>
          <w:trHeight w:val="440"/>
        </w:trPr>
        <w:tc>
          <w:tcPr>
            <w:tcW w:w="6208" w:type="dxa"/>
            <w:gridSpan w:val="6"/>
            <w:tcBorders>
              <w:top w:val="single" w:sz="4" w:space="0" w:color="FFFFFF" w:themeColor="background1"/>
              <w:bottom w:val="nil"/>
              <w:right w:val="nil"/>
            </w:tcBorders>
            <w:shd w:val="clear" w:color="auto" w:fill="FFFFFF" w:themeFill="background1"/>
          </w:tcPr>
          <w:p w:rsidR="00861EE0" w:rsidRPr="00861EE0" w:rsidRDefault="00861EE0" w:rsidP="008D7C4C">
            <w:pPr>
              <w:rPr>
                <w:rFonts w:ascii="Times New Roman" w:hAnsi="Times New Roman"/>
              </w:rPr>
            </w:pPr>
            <w:r w:rsidRPr="00861EE0">
              <w:rPr>
                <w:rFonts w:ascii="Times New Roman" w:hAnsi="Times New Roman"/>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r w:rsidRPr="00861EE0">
              <w:rPr>
                <w:rFonts w:ascii="Times New Roman" w:hAnsi="Times New Roman"/>
              </w:rPr>
              <w:t xml:space="preserve">  Áno</w:t>
            </w:r>
          </w:p>
        </w:tc>
        <w:tc>
          <w:tcPr>
            <w:tcW w:w="1560" w:type="dxa"/>
            <w:gridSpan w:val="2"/>
            <w:tcBorders>
              <w:top w:val="single" w:sz="4" w:space="0" w:color="FFFFFF" w:themeColor="background1"/>
              <w:left w:val="nil"/>
              <w:bottom w:val="nil"/>
            </w:tcBorders>
            <w:shd w:val="clear" w:color="auto" w:fill="FFFFFF" w:themeFill="background1"/>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r w:rsidRPr="00861EE0">
              <w:rPr>
                <w:rFonts w:ascii="Times New Roman" w:hAnsi="Times New Roman"/>
              </w:rPr>
              <w:t xml:space="preserve">  Nie</w:t>
            </w:r>
          </w:p>
          <w:p w:rsidR="00861EE0" w:rsidRPr="00861EE0" w:rsidRDefault="00861EE0" w:rsidP="008D7C4C">
            <w:pPr>
              <w:jc w:val="center"/>
              <w:rPr>
                <w:rFonts w:ascii="Times New Roman" w:hAnsi="Times New Roman"/>
              </w:rPr>
            </w:pPr>
          </w:p>
        </w:tc>
      </w:tr>
      <w:tr w:rsidR="00861EE0" w:rsidRPr="00861EE0" w:rsidTr="008D7C4C">
        <w:trPr>
          <w:trHeight w:val="80"/>
        </w:trPr>
        <w:tc>
          <w:tcPr>
            <w:tcW w:w="9185" w:type="dxa"/>
            <w:gridSpan w:val="10"/>
            <w:tcBorders>
              <w:top w:val="nil"/>
            </w:tcBorders>
            <w:shd w:val="clear" w:color="auto" w:fill="FFFFFF" w:themeFill="background1"/>
          </w:tcPr>
          <w:p w:rsidR="00861EE0" w:rsidRPr="00861EE0" w:rsidRDefault="00861EE0" w:rsidP="008D7C4C">
            <w:pPr>
              <w:rPr>
                <w:rFonts w:ascii="Times New Roman" w:hAnsi="Times New Roman"/>
              </w:rPr>
            </w:pPr>
          </w:p>
        </w:tc>
      </w:tr>
      <w:tr w:rsidR="00861EE0" w:rsidRPr="00861EE0" w:rsidTr="008D7C4C">
        <w:trPr>
          <w:trHeight w:val="463"/>
        </w:trPr>
        <w:tc>
          <w:tcPr>
            <w:tcW w:w="9185" w:type="dxa"/>
            <w:gridSpan w:val="10"/>
            <w:tcBorders>
              <w:bottom w:val="single" w:sz="4" w:space="0" w:color="FFFFFF" w:themeColor="background1"/>
            </w:tcBorders>
            <w:shd w:val="clear" w:color="auto" w:fill="E2E2E2"/>
          </w:tcPr>
          <w:p w:rsidR="00861EE0" w:rsidRPr="00861EE0" w:rsidRDefault="00861EE0" w:rsidP="00861EE0">
            <w:pPr>
              <w:pStyle w:val="Odsekzoznamu"/>
              <w:numPr>
                <w:ilvl w:val="0"/>
                <w:numId w:val="19"/>
              </w:numPr>
              <w:ind w:left="426"/>
              <w:rPr>
                <w:rFonts w:ascii="Times New Roman" w:hAnsi="Times New Roman"/>
                <w:b/>
              </w:rPr>
            </w:pPr>
            <w:r w:rsidRPr="00861EE0">
              <w:rPr>
                <w:rFonts w:ascii="Times New Roman" w:hAnsi="Times New Roman"/>
                <w:b/>
              </w:rPr>
              <w:t xml:space="preserve">Transpozícia práva EÚ </w:t>
            </w:r>
          </w:p>
        </w:tc>
      </w:tr>
      <w:tr w:rsidR="00861EE0" w:rsidRPr="00861EE0" w:rsidTr="008D7C4C">
        <w:trPr>
          <w:trHeight w:val="157"/>
        </w:trPr>
        <w:tc>
          <w:tcPr>
            <w:tcW w:w="9185" w:type="dxa"/>
            <w:gridSpan w:val="10"/>
            <w:tcBorders>
              <w:top w:val="nil"/>
              <w:left w:val="single" w:sz="4" w:space="0" w:color="000000" w:themeColor="text1"/>
              <w:bottom w:val="nil"/>
            </w:tcBorders>
            <w:shd w:val="clear" w:color="auto" w:fill="FFFFFF" w:themeFill="background1"/>
          </w:tcPr>
          <w:p w:rsidR="00861EE0" w:rsidRPr="00861EE0" w:rsidRDefault="00861EE0" w:rsidP="008D7C4C">
            <w:pPr>
              <w:rPr>
                <w:rFonts w:ascii="Times New Roman" w:hAnsi="Times New Roman"/>
              </w:rPr>
            </w:pPr>
            <w:r w:rsidRPr="00861EE0">
              <w:rPr>
                <w:rFonts w:ascii="Times New Roman" w:hAnsi="Times New Roman"/>
              </w:rPr>
              <w:t>Nie je.</w:t>
            </w:r>
          </w:p>
        </w:tc>
      </w:tr>
      <w:tr w:rsidR="00861EE0" w:rsidRPr="00861EE0" w:rsidTr="008D7C4C">
        <w:trPr>
          <w:trHeight w:val="248"/>
        </w:trPr>
        <w:tc>
          <w:tcPr>
            <w:tcW w:w="9185" w:type="dxa"/>
            <w:gridSpan w:val="10"/>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rsidR="00861EE0" w:rsidRPr="00861EE0" w:rsidRDefault="00861EE0" w:rsidP="008D7C4C">
            <w:pPr>
              <w:jc w:val="center"/>
              <w:rPr>
                <w:rFonts w:ascii="Times New Roman" w:hAnsi="Times New Roman"/>
              </w:rPr>
            </w:pPr>
          </w:p>
        </w:tc>
      </w:tr>
      <w:tr w:rsidR="00861EE0" w:rsidRPr="00861EE0" w:rsidTr="008D7C4C">
        <w:tc>
          <w:tcPr>
            <w:tcW w:w="9185" w:type="dxa"/>
            <w:gridSpan w:val="10"/>
            <w:tcBorders>
              <w:bottom w:val="single" w:sz="4" w:space="0" w:color="FFFFFF" w:themeColor="background1"/>
            </w:tcBorders>
            <w:shd w:val="clear" w:color="auto" w:fill="E2E2E2"/>
          </w:tcPr>
          <w:p w:rsidR="00861EE0" w:rsidRPr="00861EE0" w:rsidRDefault="00861EE0" w:rsidP="00861EE0">
            <w:pPr>
              <w:pStyle w:val="Odsekzoznamu"/>
              <w:numPr>
                <w:ilvl w:val="0"/>
                <w:numId w:val="19"/>
              </w:numPr>
              <w:ind w:left="426"/>
              <w:rPr>
                <w:rFonts w:ascii="Times New Roman" w:hAnsi="Times New Roman"/>
                <w:b/>
              </w:rPr>
            </w:pPr>
            <w:r w:rsidRPr="00861EE0">
              <w:rPr>
                <w:rFonts w:ascii="Times New Roman" w:hAnsi="Times New Roman"/>
                <w:b/>
              </w:rPr>
              <w:t>Preskúmanie účelnosti**</w:t>
            </w:r>
          </w:p>
        </w:tc>
      </w:tr>
      <w:tr w:rsidR="00861EE0" w:rsidRPr="00861EE0" w:rsidTr="008D7C4C">
        <w:tc>
          <w:tcPr>
            <w:tcW w:w="9185" w:type="dxa"/>
            <w:gridSpan w:val="10"/>
            <w:tcBorders>
              <w:top w:val="single" w:sz="4" w:space="0" w:color="FFFFFF" w:themeColor="background1"/>
            </w:tcBorders>
            <w:shd w:val="clear" w:color="auto" w:fill="FFFFFF" w:themeFill="background1"/>
          </w:tcPr>
          <w:p w:rsidR="00861EE0" w:rsidRPr="00861EE0" w:rsidRDefault="00861EE0" w:rsidP="008D7C4C">
            <w:pPr>
              <w:rPr>
                <w:rFonts w:ascii="Times New Roman" w:hAnsi="Times New Roman"/>
              </w:rPr>
            </w:pPr>
            <w:r w:rsidRPr="00861EE0">
              <w:rPr>
                <w:rFonts w:ascii="Times New Roman" w:hAnsi="Times New Roman"/>
              </w:rPr>
              <w:t>Nie je.</w:t>
            </w:r>
          </w:p>
          <w:p w:rsidR="00861EE0" w:rsidRPr="00861EE0" w:rsidRDefault="00861EE0" w:rsidP="008D7C4C">
            <w:pPr>
              <w:rPr>
                <w:rFonts w:ascii="Times New Roman" w:hAnsi="Times New Roman"/>
                <w:i/>
              </w:rPr>
            </w:pPr>
          </w:p>
        </w:tc>
      </w:tr>
      <w:tr w:rsidR="00861EE0" w:rsidRPr="00861EE0" w:rsidTr="008D7C4C">
        <w:trPr>
          <w:trHeight w:val="715"/>
        </w:trPr>
        <w:tc>
          <w:tcPr>
            <w:tcW w:w="9185" w:type="dxa"/>
            <w:gridSpan w:val="10"/>
            <w:tcBorders>
              <w:left w:val="nil"/>
              <w:bottom w:val="nil"/>
              <w:right w:val="nil"/>
            </w:tcBorders>
            <w:shd w:val="clear" w:color="auto" w:fill="FFFFFF" w:themeFill="background1"/>
          </w:tcPr>
          <w:p w:rsidR="00861EE0" w:rsidRPr="00861EE0" w:rsidRDefault="00861EE0" w:rsidP="008D7C4C">
            <w:pPr>
              <w:ind w:left="142" w:hanging="142"/>
              <w:rPr>
                <w:rFonts w:ascii="Times New Roman" w:hAnsi="Times New Roman"/>
              </w:rPr>
            </w:pPr>
            <w:r w:rsidRPr="00861EE0">
              <w:rPr>
                <w:rFonts w:ascii="Times New Roman" w:hAnsi="Times New Roman"/>
              </w:rPr>
              <w:lastRenderedPageBreak/>
              <w:t xml:space="preserve">* vyplniť iba v prípade, ak materiál nie je zahrnutý do Plánu práce vlády Slovenskej republiky alebo Plánu        legislatívnych úloh vlády Slovenskej republiky. </w:t>
            </w:r>
          </w:p>
          <w:p w:rsidR="00861EE0" w:rsidRPr="00861EE0" w:rsidRDefault="00861EE0" w:rsidP="008D7C4C">
            <w:pPr>
              <w:rPr>
                <w:rFonts w:ascii="Times New Roman" w:hAnsi="Times New Roman"/>
              </w:rPr>
            </w:pPr>
            <w:r w:rsidRPr="00861EE0">
              <w:rPr>
                <w:rFonts w:ascii="Times New Roman" w:hAnsi="Times New Roman"/>
              </w:rPr>
              <w:t>** nepovinné</w:t>
            </w:r>
          </w:p>
        </w:tc>
      </w:tr>
      <w:tr w:rsidR="00861EE0" w:rsidRPr="00861EE0" w:rsidTr="008D7C4C">
        <w:tc>
          <w:tcPr>
            <w:tcW w:w="9185" w:type="dxa"/>
            <w:gridSpan w:val="10"/>
            <w:tcBorders>
              <w:top w:val="nil"/>
              <w:left w:val="nil"/>
              <w:right w:val="nil"/>
            </w:tcBorders>
            <w:shd w:val="clear" w:color="auto" w:fill="FFFFFF" w:themeFill="background1"/>
          </w:tcPr>
          <w:p w:rsidR="00861EE0" w:rsidRPr="00861EE0" w:rsidRDefault="00861EE0" w:rsidP="008D7C4C">
            <w:pPr>
              <w:rPr>
                <w:rFonts w:ascii="Times New Roman" w:hAnsi="Times New Roman"/>
                <w:b/>
              </w:rPr>
            </w:pPr>
          </w:p>
        </w:tc>
      </w:tr>
      <w:tr w:rsidR="00861EE0" w:rsidRPr="00861EE0" w:rsidTr="008D7C4C">
        <w:trPr>
          <w:trHeight w:val="577"/>
        </w:trPr>
        <w:tc>
          <w:tcPr>
            <w:tcW w:w="9185" w:type="dxa"/>
            <w:gridSpan w:val="10"/>
            <w:tcBorders>
              <w:bottom w:val="single" w:sz="4" w:space="0" w:color="FFFFFF" w:themeColor="background1"/>
            </w:tcBorders>
            <w:shd w:val="clear" w:color="auto" w:fill="E2E2E2"/>
            <w:vAlign w:val="center"/>
          </w:tcPr>
          <w:p w:rsidR="00861EE0" w:rsidRPr="00861EE0" w:rsidRDefault="00861EE0" w:rsidP="00861EE0">
            <w:pPr>
              <w:pStyle w:val="Odsekzoznamu"/>
              <w:numPr>
                <w:ilvl w:val="0"/>
                <w:numId w:val="19"/>
              </w:numPr>
              <w:ind w:left="426"/>
              <w:rPr>
                <w:rFonts w:ascii="Times New Roman" w:hAnsi="Times New Roman"/>
                <w:b/>
              </w:rPr>
            </w:pPr>
            <w:r w:rsidRPr="00861EE0">
              <w:rPr>
                <w:rFonts w:ascii="Times New Roman" w:hAnsi="Times New Roman"/>
                <w:b/>
              </w:rPr>
              <w:t>Vplyvy navrhovaného materiálu</w:t>
            </w:r>
          </w:p>
        </w:tc>
      </w:tr>
      <w:tr w:rsidR="00861EE0" w:rsidRPr="00861EE0" w:rsidTr="008D7C4C">
        <w:tc>
          <w:tcPr>
            <w:tcW w:w="3817" w:type="dxa"/>
            <w:tcBorders>
              <w:bottom w:val="nil"/>
            </w:tcBorders>
            <w:shd w:val="clear" w:color="auto" w:fill="E2E2E2"/>
          </w:tcPr>
          <w:p w:rsidR="00861EE0" w:rsidRPr="00861EE0" w:rsidRDefault="00861EE0" w:rsidP="008D7C4C">
            <w:pPr>
              <w:rPr>
                <w:rFonts w:ascii="Times New Roman" w:hAnsi="Times New Roman"/>
                <w:b/>
              </w:rPr>
            </w:pPr>
            <w:r w:rsidRPr="00861EE0">
              <w:rPr>
                <w:rFonts w:ascii="Times New Roman" w:hAnsi="Times New Roman"/>
                <w:b/>
              </w:rPr>
              <w:t>Vplyvy na rozpočet verejnej správy</w:t>
            </w:r>
          </w:p>
        </w:tc>
        <w:tc>
          <w:tcPr>
            <w:tcW w:w="541" w:type="dxa"/>
            <w:gridSpan w:val="2"/>
            <w:tcBorders>
              <w:right w:val="nil"/>
            </w:tcBorders>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p>
        </w:tc>
        <w:tc>
          <w:tcPr>
            <w:tcW w:w="1281" w:type="dxa"/>
            <w:gridSpan w:val="2"/>
            <w:tcBorders>
              <w:left w:val="nil"/>
              <w:right w:val="nil"/>
            </w:tcBorders>
          </w:tcPr>
          <w:p w:rsidR="00861EE0" w:rsidRPr="00861EE0" w:rsidRDefault="00861EE0" w:rsidP="008D7C4C">
            <w:pPr>
              <w:rPr>
                <w:rFonts w:ascii="Times New Roman" w:hAnsi="Times New Roman"/>
              </w:rPr>
            </w:pPr>
            <w:r w:rsidRPr="00861EE0">
              <w:rPr>
                <w:rFonts w:ascii="Times New Roman" w:hAnsi="Times New Roman"/>
              </w:rPr>
              <w:t>Pozitívne</w:t>
            </w:r>
          </w:p>
        </w:tc>
        <w:tc>
          <w:tcPr>
            <w:tcW w:w="569" w:type="dxa"/>
            <w:tcBorders>
              <w:left w:val="nil"/>
              <w:right w:val="nil"/>
            </w:tcBorders>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p>
        </w:tc>
        <w:tc>
          <w:tcPr>
            <w:tcW w:w="1133" w:type="dxa"/>
            <w:tcBorders>
              <w:left w:val="nil"/>
              <w:right w:val="nil"/>
            </w:tcBorders>
          </w:tcPr>
          <w:p w:rsidR="00861EE0" w:rsidRPr="00861EE0" w:rsidRDefault="00861EE0" w:rsidP="008D7C4C">
            <w:pPr>
              <w:rPr>
                <w:rFonts w:ascii="Times New Roman" w:hAnsi="Times New Roman"/>
              </w:rPr>
            </w:pPr>
            <w:r w:rsidRPr="00861EE0">
              <w:rPr>
                <w:rFonts w:ascii="Times New Roman" w:hAnsi="Times New Roman"/>
              </w:rPr>
              <w:t>Žiadne</w:t>
            </w:r>
          </w:p>
        </w:tc>
        <w:tc>
          <w:tcPr>
            <w:tcW w:w="547" w:type="dxa"/>
            <w:gridSpan w:val="2"/>
            <w:tcBorders>
              <w:left w:val="nil"/>
              <w:right w:val="nil"/>
            </w:tcBorders>
          </w:tcPr>
          <w:p w:rsidR="00861EE0" w:rsidRPr="00861EE0" w:rsidRDefault="00861EE0" w:rsidP="008D7C4C">
            <w:pPr>
              <w:ind w:left="-107" w:right="-108"/>
              <w:jc w:val="center"/>
              <w:rPr>
                <w:rFonts w:ascii="Times New Roman" w:hAnsi="Times New Roman"/>
              </w:rPr>
            </w:pPr>
            <w:r w:rsidRPr="00861EE0">
              <w:rPr>
                <w:rFonts w:ascii="Segoe UI Symbol" w:eastAsia="MS Gothic" w:hAnsi="Segoe UI Symbol" w:cs="Segoe UI Symbol"/>
              </w:rPr>
              <w:t>☒</w:t>
            </w:r>
          </w:p>
        </w:tc>
        <w:tc>
          <w:tcPr>
            <w:tcW w:w="1297" w:type="dxa"/>
            <w:tcBorders>
              <w:left w:val="nil"/>
            </w:tcBorders>
          </w:tcPr>
          <w:p w:rsidR="00861EE0" w:rsidRPr="00861EE0" w:rsidRDefault="00861EE0" w:rsidP="008D7C4C">
            <w:pPr>
              <w:ind w:left="34"/>
              <w:rPr>
                <w:rFonts w:ascii="Times New Roman" w:hAnsi="Times New Roman"/>
              </w:rPr>
            </w:pPr>
            <w:r w:rsidRPr="00861EE0">
              <w:rPr>
                <w:rFonts w:ascii="Times New Roman" w:hAnsi="Times New Roman"/>
              </w:rPr>
              <w:t>Negatívne</w:t>
            </w:r>
          </w:p>
        </w:tc>
      </w:tr>
      <w:tr w:rsidR="00861EE0" w:rsidRPr="00861EE0" w:rsidTr="008D7C4C">
        <w:tc>
          <w:tcPr>
            <w:tcW w:w="3817" w:type="dxa"/>
            <w:tcBorders>
              <w:top w:val="nil"/>
              <w:bottom w:val="single" w:sz="4" w:space="0" w:color="000000" w:themeColor="text1"/>
            </w:tcBorders>
            <w:shd w:val="clear" w:color="auto" w:fill="E2E2E2"/>
          </w:tcPr>
          <w:p w:rsidR="00861EE0" w:rsidRPr="00861EE0" w:rsidRDefault="00861EE0" w:rsidP="008D7C4C">
            <w:pPr>
              <w:rPr>
                <w:rFonts w:ascii="Times New Roman" w:hAnsi="Times New Roman"/>
              </w:rPr>
            </w:pPr>
            <w:r w:rsidRPr="00861EE0">
              <w:rPr>
                <w:rFonts w:ascii="Times New Roman" w:hAnsi="Times New Roman"/>
              </w:rPr>
              <w:t xml:space="preserve">    z toho rozpočtovo zabezpečené vplyvy</w:t>
            </w:r>
          </w:p>
        </w:tc>
        <w:tc>
          <w:tcPr>
            <w:tcW w:w="541" w:type="dxa"/>
            <w:gridSpan w:val="2"/>
            <w:tcBorders>
              <w:right w:val="nil"/>
            </w:tcBorders>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p>
        </w:tc>
        <w:tc>
          <w:tcPr>
            <w:tcW w:w="1281" w:type="dxa"/>
            <w:gridSpan w:val="2"/>
            <w:tcBorders>
              <w:left w:val="nil"/>
              <w:right w:val="nil"/>
            </w:tcBorders>
          </w:tcPr>
          <w:p w:rsidR="00861EE0" w:rsidRPr="00861EE0" w:rsidRDefault="00861EE0" w:rsidP="008D7C4C">
            <w:pPr>
              <w:rPr>
                <w:rFonts w:ascii="Times New Roman" w:hAnsi="Times New Roman"/>
              </w:rPr>
            </w:pPr>
            <w:r w:rsidRPr="00861EE0">
              <w:rPr>
                <w:rFonts w:ascii="Times New Roman" w:hAnsi="Times New Roman"/>
              </w:rPr>
              <w:t>Áno</w:t>
            </w:r>
          </w:p>
        </w:tc>
        <w:tc>
          <w:tcPr>
            <w:tcW w:w="569" w:type="dxa"/>
            <w:tcBorders>
              <w:left w:val="nil"/>
              <w:right w:val="nil"/>
            </w:tcBorders>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p>
        </w:tc>
        <w:tc>
          <w:tcPr>
            <w:tcW w:w="1133" w:type="dxa"/>
            <w:tcBorders>
              <w:left w:val="nil"/>
              <w:right w:val="nil"/>
            </w:tcBorders>
          </w:tcPr>
          <w:p w:rsidR="00861EE0" w:rsidRPr="00861EE0" w:rsidRDefault="00861EE0" w:rsidP="008D7C4C">
            <w:pPr>
              <w:rPr>
                <w:rFonts w:ascii="Times New Roman" w:hAnsi="Times New Roman"/>
              </w:rPr>
            </w:pPr>
            <w:r w:rsidRPr="00861EE0">
              <w:rPr>
                <w:rFonts w:ascii="Times New Roman" w:hAnsi="Times New Roman"/>
              </w:rPr>
              <w:t>Nie</w:t>
            </w:r>
          </w:p>
        </w:tc>
        <w:tc>
          <w:tcPr>
            <w:tcW w:w="547" w:type="dxa"/>
            <w:gridSpan w:val="2"/>
            <w:tcBorders>
              <w:left w:val="nil"/>
              <w:right w:val="nil"/>
            </w:tcBorders>
          </w:tcPr>
          <w:p w:rsidR="00861EE0" w:rsidRPr="00861EE0" w:rsidRDefault="00861EE0" w:rsidP="008D7C4C">
            <w:pPr>
              <w:ind w:left="-107" w:right="-108"/>
              <w:jc w:val="center"/>
              <w:rPr>
                <w:rFonts w:ascii="Times New Roman" w:hAnsi="Times New Roman"/>
              </w:rPr>
            </w:pPr>
            <w:r w:rsidRPr="00861EE0">
              <w:rPr>
                <w:rFonts w:ascii="Segoe UI Symbol" w:eastAsia="MS Mincho" w:hAnsi="Segoe UI Symbol" w:cs="Segoe UI Symbol"/>
              </w:rPr>
              <w:t>☐</w:t>
            </w:r>
          </w:p>
        </w:tc>
        <w:tc>
          <w:tcPr>
            <w:tcW w:w="1297" w:type="dxa"/>
            <w:tcBorders>
              <w:left w:val="nil"/>
            </w:tcBorders>
          </w:tcPr>
          <w:p w:rsidR="00861EE0" w:rsidRPr="00861EE0" w:rsidRDefault="00861EE0" w:rsidP="008D7C4C">
            <w:pPr>
              <w:ind w:left="34"/>
              <w:rPr>
                <w:rFonts w:ascii="Times New Roman" w:hAnsi="Times New Roman"/>
              </w:rPr>
            </w:pPr>
            <w:r w:rsidRPr="00861EE0">
              <w:rPr>
                <w:rFonts w:ascii="Times New Roman" w:hAnsi="Times New Roman"/>
              </w:rPr>
              <w:t>Čiastočne</w:t>
            </w:r>
          </w:p>
        </w:tc>
      </w:tr>
      <w:tr w:rsidR="00861EE0" w:rsidRPr="00861EE0" w:rsidTr="008D7C4C">
        <w:tc>
          <w:tcPr>
            <w:tcW w:w="3817" w:type="dxa"/>
            <w:tcBorders>
              <w:top w:val="nil"/>
              <w:bottom w:val="single" w:sz="4" w:space="0" w:color="000000" w:themeColor="text1"/>
            </w:tcBorders>
            <w:shd w:val="clear" w:color="auto" w:fill="E2E2E2"/>
          </w:tcPr>
          <w:p w:rsidR="00861EE0" w:rsidRPr="00861EE0" w:rsidRDefault="00861EE0" w:rsidP="008D7C4C">
            <w:pPr>
              <w:rPr>
                <w:rFonts w:ascii="Times New Roman" w:hAnsi="Times New Roman"/>
                <w:b/>
              </w:rPr>
            </w:pPr>
            <w:r w:rsidRPr="00861EE0">
              <w:rPr>
                <w:rFonts w:ascii="Times New Roman" w:hAnsi="Times New Roman"/>
                <w:b/>
              </w:rPr>
              <w:t>Vplyvy na manželstvo, rodičovstvo a rodinu</w:t>
            </w:r>
          </w:p>
        </w:tc>
        <w:tc>
          <w:tcPr>
            <w:tcW w:w="541" w:type="dxa"/>
            <w:gridSpan w:val="2"/>
            <w:tcBorders>
              <w:right w:val="nil"/>
            </w:tcBorders>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p>
        </w:tc>
        <w:tc>
          <w:tcPr>
            <w:tcW w:w="1281" w:type="dxa"/>
            <w:gridSpan w:val="2"/>
            <w:tcBorders>
              <w:left w:val="nil"/>
              <w:right w:val="nil"/>
            </w:tcBorders>
          </w:tcPr>
          <w:p w:rsidR="00861EE0" w:rsidRPr="00861EE0" w:rsidRDefault="00861EE0" w:rsidP="008D7C4C">
            <w:pPr>
              <w:rPr>
                <w:rFonts w:ascii="Times New Roman" w:hAnsi="Times New Roman"/>
              </w:rPr>
            </w:pPr>
            <w:r w:rsidRPr="00861EE0">
              <w:rPr>
                <w:rFonts w:ascii="Times New Roman" w:hAnsi="Times New Roman"/>
              </w:rPr>
              <w:t>Pozitívne</w:t>
            </w:r>
          </w:p>
        </w:tc>
        <w:tc>
          <w:tcPr>
            <w:tcW w:w="569" w:type="dxa"/>
            <w:tcBorders>
              <w:left w:val="nil"/>
              <w:right w:val="nil"/>
            </w:tcBorders>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p>
        </w:tc>
        <w:tc>
          <w:tcPr>
            <w:tcW w:w="1133" w:type="dxa"/>
            <w:tcBorders>
              <w:left w:val="nil"/>
              <w:right w:val="nil"/>
            </w:tcBorders>
          </w:tcPr>
          <w:p w:rsidR="00861EE0" w:rsidRPr="00861EE0" w:rsidRDefault="00861EE0" w:rsidP="008D7C4C">
            <w:pPr>
              <w:rPr>
                <w:rFonts w:ascii="Times New Roman" w:hAnsi="Times New Roman"/>
              </w:rPr>
            </w:pPr>
            <w:r w:rsidRPr="00861EE0">
              <w:rPr>
                <w:rFonts w:ascii="Times New Roman" w:hAnsi="Times New Roman"/>
              </w:rPr>
              <w:t>Žiadne</w:t>
            </w:r>
          </w:p>
        </w:tc>
        <w:tc>
          <w:tcPr>
            <w:tcW w:w="547" w:type="dxa"/>
            <w:gridSpan w:val="2"/>
            <w:tcBorders>
              <w:left w:val="nil"/>
              <w:right w:val="nil"/>
            </w:tcBorders>
          </w:tcPr>
          <w:p w:rsidR="00861EE0" w:rsidRPr="00861EE0" w:rsidRDefault="00861EE0" w:rsidP="008D7C4C">
            <w:pPr>
              <w:ind w:left="-107" w:right="-108"/>
              <w:jc w:val="center"/>
              <w:rPr>
                <w:rFonts w:ascii="Times New Roman" w:hAnsi="Times New Roman"/>
              </w:rPr>
            </w:pPr>
            <w:r w:rsidRPr="00861EE0">
              <w:rPr>
                <w:rFonts w:ascii="Segoe UI Symbol" w:eastAsia="MS Mincho" w:hAnsi="Segoe UI Symbol" w:cs="Segoe UI Symbol"/>
              </w:rPr>
              <w:t>☐</w:t>
            </w:r>
          </w:p>
        </w:tc>
        <w:tc>
          <w:tcPr>
            <w:tcW w:w="1297" w:type="dxa"/>
            <w:tcBorders>
              <w:left w:val="nil"/>
            </w:tcBorders>
          </w:tcPr>
          <w:p w:rsidR="00861EE0" w:rsidRPr="00861EE0" w:rsidRDefault="00861EE0" w:rsidP="008D7C4C">
            <w:pPr>
              <w:ind w:left="34"/>
              <w:rPr>
                <w:rFonts w:ascii="Times New Roman" w:hAnsi="Times New Roman"/>
              </w:rPr>
            </w:pPr>
            <w:r w:rsidRPr="00861EE0">
              <w:rPr>
                <w:rFonts w:ascii="Times New Roman" w:hAnsi="Times New Roman"/>
              </w:rPr>
              <w:t>Negatívne</w:t>
            </w:r>
          </w:p>
        </w:tc>
      </w:tr>
      <w:tr w:rsidR="00861EE0" w:rsidRPr="00861EE0" w:rsidTr="008D7C4C">
        <w:tc>
          <w:tcPr>
            <w:tcW w:w="3817" w:type="dxa"/>
            <w:tcBorders>
              <w:top w:val="single" w:sz="4" w:space="0" w:color="000000" w:themeColor="text1"/>
              <w:bottom w:val="nil"/>
            </w:tcBorders>
            <w:shd w:val="clear" w:color="auto" w:fill="E2E2E2"/>
          </w:tcPr>
          <w:p w:rsidR="00861EE0" w:rsidRPr="00861EE0" w:rsidRDefault="00861EE0" w:rsidP="008D7C4C">
            <w:pPr>
              <w:rPr>
                <w:rFonts w:ascii="Times New Roman" w:hAnsi="Times New Roman"/>
                <w:b/>
              </w:rPr>
            </w:pPr>
            <w:r w:rsidRPr="00861EE0">
              <w:rPr>
                <w:rFonts w:ascii="Times New Roman" w:hAnsi="Times New Roman"/>
                <w:b/>
              </w:rPr>
              <w:t>Vplyvy na podnikateľské prostredie</w:t>
            </w:r>
          </w:p>
        </w:tc>
        <w:tc>
          <w:tcPr>
            <w:tcW w:w="541" w:type="dxa"/>
            <w:gridSpan w:val="2"/>
            <w:tcBorders>
              <w:right w:val="nil"/>
            </w:tcBorders>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p>
        </w:tc>
        <w:tc>
          <w:tcPr>
            <w:tcW w:w="1281" w:type="dxa"/>
            <w:gridSpan w:val="2"/>
            <w:tcBorders>
              <w:left w:val="nil"/>
              <w:right w:val="nil"/>
            </w:tcBorders>
          </w:tcPr>
          <w:p w:rsidR="00861EE0" w:rsidRPr="00861EE0" w:rsidRDefault="00861EE0" w:rsidP="008D7C4C">
            <w:pPr>
              <w:ind w:right="-108"/>
              <w:rPr>
                <w:rFonts w:ascii="Times New Roman" w:hAnsi="Times New Roman"/>
              </w:rPr>
            </w:pPr>
            <w:r w:rsidRPr="00861EE0">
              <w:rPr>
                <w:rFonts w:ascii="Times New Roman" w:hAnsi="Times New Roman"/>
              </w:rPr>
              <w:t>Pozitívne</w:t>
            </w:r>
          </w:p>
        </w:tc>
        <w:tc>
          <w:tcPr>
            <w:tcW w:w="569" w:type="dxa"/>
            <w:tcBorders>
              <w:left w:val="nil"/>
              <w:right w:val="nil"/>
            </w:tcBorders>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p>
        </w:tc>
        <w:tc>
          <w:tcPr>
            <w:tcW w:w="1133" w:type="dxa"/>
            <w:tcBorders>
              <w:left w:val="nil"/>
              <w:right w:val="nil"/>
            </w:tcBorders>
          </w:tcPr>
          <w:p w:rsidR="00861EE0" w:rsidRPr="00861EE0" w:rsidRDefault="00861EE0" w:rsidP="008D7C4C">
            <w:pPr>
              <w:rPr>
                <w:rFonts w:ascii="Times New Roman" w:hAnsi="Times New Roman"/>
              </w:rPr>
            </w:pPr>
            <w:r w:rsidRPr="00861EE0">
              <w:rPr>
                <w:rFonts w:ascii="Times New Roman" w:hAnsi="Times New Roman"/>
              </w:rPr>
              <w:t>Žiadne</w:t>
            </w:r>
          </w:p>
        </w:tc>
        <w:tc>
          <w:tcPr>
            <w:tcW w:w="547" w:type="dxa"/>
            <w:gridSpan w:val="2"/>
            <w:tcBorders>
              <w:left w:val="nil"/>
              <w:right w:val="nil"/>
            </w:tcBorders>
          </w:tcPr>
          <w:p w:rsidR="00861EE0" w:rsidRPr="00861EE0" w:rsidRDefault="00861EE0" w:rsidP="008D7C4C">
            <w:pPr>
              <w:jc w:val="center"/>
              <w:rPr>
                <w:rFonts w:ascii="Times New Roman" w:hAnsi="Times New Roman"/>
              </w:rPr>
            </w:pPr>
            <w:r w:rsidRPr="00861EE0">
              <w:rPr>
                <w:rFonts w:ascii="Segoe UI Symbol" w:eastAsia="MS Mincho" w:hAnsi="Segoe UI Symbol" w:cs="Segoe UI Symbol"/>
              </w:rPr>
              <w:t>☐</w:t>
            </w:r>
          </w:p>
        </w:tc>
        <w:tc>
          <w:tcPr>
            <w:tcW w:w="1297" w:type="dxa"/>
            <w:tcBorders>
              <w:left w:val="nil"/>
            </w:tcBorders>
          </w:tcPr>
          <w:p w:rsidR="00861EE0" w:rsidRPr="00861EE0" w:rsidRDefault="00861EE0" w:rsidP="008D7C4C">
            <w:pPr>
              <w:ind w:left="54"/>
              <w:rPr>
                <w:rFonts w:ascii="Times New Roman" w:hAnsi="Times New Roman"/>
              </w:rPr>
            </w:pPr>
            <w:r w:rsidRPr="00861EE0">
              <w:rPr>
                <w:rFonts w:ascii="Times New Roman" w:hAnsi="Times New Roman"/>
              </w:rPr>
              <w:t>Negatívne</w:t>
            </w:r>
          </w:p>
        </w:tc>
      </w:tr>
      <w:tr w:rsidR="00861EE0" w:rsidRPr="00861EE0" w:rsidTr="008D7C4C">
        <w:tc>
          <w:tcPr>
            <w:tcW w:w="3817" w:type="dxa"/>
            <w:tcBorders>
              <w:top w:val="nil"/>
              <w:left w:val="single" w:sz="4" w:space="0" w:color="000000" w:themeColor="text1"/>
              <w:bottom w:val="single" w:sz="4" w:space="0" w:color="000000" w:themeColor="text1"/>
              <w:right w:val="single" w:sz="4" w:space="0" w:color="000000" w:themeColor="text1"/>
            </w:tcBorders>
            <w:shd w:val="clear" w:color="auto" w:fill="E2E2E2"/>
          </w:tcPr>
          <w:p w:rsidR="00861EE0" w:rsidRPr="00861EE0" w:rsidRDefault="00861EE0" w:rsidP="008D7C4C">
            <w:pPr>
              <w:rPr>
                <w:rFonts w:ascii="Times New Roman" w:hAnsi="Times New Roman"/>
              </w:rPr>
            </w:pPr>
            <w:r w:rsidRPr="00861EE0">
              <w:rPr>
                <w:rFonts w:ascii="Times New Roman" w:hAnsi="Times New Roman"/>
              </w:rPr>
              <w:t xml:space="preserve">    z toho vplyvy na MSP</w:t>
            </w:r>
          </w:p>
        </w:tc>
        <w:tc>
          <w:tcPr>
            <w:tcW w:w="541" w:type="dxa"/>
            <w:gridSpan w:val="2"/>
            <w:tcBorders>
              <w:left w:val="single" w:sz="4" w:space="0" w:color="000000" w:themeColor="text1"/>
              <w:right w:val="nil"/>
            </w:tcBorders>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p>
        </w:tc>
        <w:tc>
          <w:tcPr>
            <w:tcW w:w="1281" w:type="dxa"/>
            <w:gridSpan w:val="2"/>
            <w:tcBorders>
              <w:left w:val="nil"/>
              <w:right w:val="nil"/>
            </w:tcBorders>
          </w:tcPr>
          <w:p w:rsidR="00861EE0" w:rsidRPr="00861EE0" w:rsidRDefault="00861EE0" w:rsidP="008D7C4C">
            <w:pPr>
              <w:ind w:right="-108"/>
              <w:rPr>
                <w:rFonts w:ascii="Times New Roman" w:hAnsi="Times New Roman"/>
              </w:rPr>
            </w:pPr>
            <w:r w:rsidRPr="00861EE0">
              <w:rPr>
                <w:rFonts w:ascii="Times New Roman" w:hAnsi="Times New Roman"/>
              </w:rPr>
              <w:t>Pozitívne</w:t>
            </w:r>
          </w:p>
        </w:tc>
        <w:tc>
          <w:tcPr>
            <w:tcW w:w="569" w:type="dxa"/>
            <w:tcBorders>
              <w:left w:val="nil"/>
              <w:right w:val="nil"/>
            </w:tcBorders>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p>
        </w:tc>
        <w:tc>
          <w:tcPr>
            <w:tcW w:w="1133" w:type="dxa"/>
            <w:tcBorders>
              <w:left w:val="nil"/>
              <w:right w:val="nil"/>
            </w:tcBorders>
          </w:tcPr>
          <w:p w:rsidR="00861EE0" w:rsidRPr="00861EE0" w:rsidRDefault="00861EE0" w:rsidP="008D7C4C">
            <w:pPr>
              <w:rPr>
                <w:rFonts w:ascii="Times New Roman" w:hAnsi="Times New Roman"/>
              </w:rPr>
            </w:pPr>
            <w:r w:rsidRPr="00861EE0">
              <w:rPr>
                <w:rFonts w:ascii="Times New Roman" w:hAnsi="Times New Roman"/>
              </w:rPr>
              <w:t>Žiadne</w:t>
            </w:r>
          </w:p>
        </w:tc>
        <w:tc>
          <w:tcPr>
            <w:tcW w:w="547" w:type="dxa"/>
            <w:gridSpan w:val="2"/>
            <w:tcBorders>
              <w:left w:val="nil"/>
              <w:right w:val="nil"/>
            </w:tcBorders>
          </w:tcPr>
          <w:p w:rsidR="00861EE0" w:rsidRPr="00861EE0" w:rsidRDefault="00861EE0" w:rsidP="008D7C4C">
            <w:pPr>
              <w:jc w:val="center"/>
              <w:rPr>
                <w:rFonts w:ascii="Times New Roman" w:hAnsi="Times New Roman"/>
              </w:rPr>
            </w:pPr>
            <w:r w:rsidRPr="00861EE0">
              <w:rPr>
                <w:rFonts w:ascii="Segoe UI Symbol" w:eastAsia="MS Mincho" w:hAnsi="Segoe UI Symbol" w:cs="Segoe UI Symbol"/>
              </w:rPr>
              <w:t>☐</w:t>
            </w:r>
          </w:p>
        </w:tc>
        <w:tc>
          <w:tcPr>
            <w:tcW w:w="1297" w:type="dxa"/>
            <w:tcBorders>
              <w:left w:val="nil"/>
            </w:tcBorders>
          </w:tcPr>
          <w:p w:rsidR="00861EE0" w:rsidRPr="00861EE0" w:rsidRDefault="00861EE0" w:rsidP="008D7C4C">
            <w:pPr>
              <w:ind w:left="54"/>
              <w:rPr>
                <w:rFonts w:ascii="Times New Roman" w:hAnsi="Times New Roman"/>
              </w:rPr>
            </w:pPr>
            <w:r w:rsidRPr="00861EE0">
              <w:rPr>
                <w:rFonts w:ascii="Times New Roman" w:hAnsi="Times New Roman"/>
              </w:rPr>
              <w:t>Negatívne</w:t>
            </w:r>
          </w:p>
        </w:tc>
      </w:tr>
      <w:tr w:rsidR="00861EE0" w:rsidRPr="00861EE0" w:rsidTr="008D7C4C">
        <w:tc>
          <w:tcPr>
            <w:tcW w:w="3817" w:type="dxa"/>
            <w:tcBorders>
              <w:top w:val="single" w:sz="4" w:space="0" w:color="000000" w:themeColor="text1"/>
            </w:tcBorders>
            <w:shd w:val="clear" w:color="auto" w:fill="E2E2E2"/>
          </w:tcPr>
          <w:p w:rsidR="00861EE0" w:rsidRPr="00861EE0" w:rsidRDefault="00861EE0" w:rsidP="008D7C4C">
            <w:pPr>
              <w:rPr>
                <w:rFonts w:ascii="Times New Roman" w:hAnsi="Times New Roman"/>
                <w:b/>
              </w:rPr>
            </w:pPr>
            <w:r w:rsidRPr="00861EE0">
              <w:rPr>
                <w:rFonts w:ascii="Times New Roman" w:hAnsi="Times New Roman"/>
                <w:b/>
              </w:rPr>
              <w:t>Sociálne vplyvy</w:t>
            </w:r>
          </w:p>
        </w:tc>
        <w:tc>
          <w:tcPr>
            <w:tcW w:w="541" w:type="dxa"/>
            <w:gridSpan w:val="2"/>
            <w:tcBorders>
              <w:right w:val="nil"/>
            </w:tcBorders>
          </w:tcPr>
          <w:p w:rsidR="00861EE0" w:rsidRPr="00861EE0" w:rsidRDefault="00861EE0" w:rsidP="008D7C4C">
            <w:pPr>
              <w:jc w:val="center"/>
              <w:rPr>
                <w:rFonts w:ascii="Times New Roman" w:hAnsi="Times New Roman"/>
              </w:rPr>
            </w:pPr>
            <w:r w:rsidRPr="00861EE0">
              <w:rPr>
                <w:rFonts w:ascii="Segoe UI Symbol" w:eastAsia="MS Mincho" w:hAnsi="Segoe UI Symbol" w:cs="Segoe UI Symbol"/>
              </w:rPr>
              <w:t>☐</w:t>
            </w:r>
          </w:p>
        </w:tc>
        <w:tc>
          <w:tcPr>
            <w:tcW w:w="1281" w:type="dxa"/>
            <w:gridSpan w:val="2"/>
            <w:tcBorders>
              <w:left w:val="nil"/>
              <w:right w:val="nil"/>
            </w:tcBorders>
          </w:tcPr>
          <w:p w:rsidR="00861EE0" w:rsidRPr="00861EE0" w:rsidRDefault="00861EE0" w:rsidP="008D7C4C">
            <w:pPr>
              <w:ind w:right="-108"/>
              <w:rPr>
                <w:rFonts w:ascii="Times New Roman" w:hAnsi="Times New Roman"/>
              </w:rPr>
            </w:pPr>
            <w:r w:rsidRPr="00861EE0">
              <w:rPr>
                <w:rFonts w:ascii="Times New Roman" w:hAnsi="Times New Roman"/>
              </w:rPr>
              <w:t>Pozitívne</w:t>
            </w:r>
          </w:p>
        </w:tc>
        <w:tc>
          <w:tcPr>
            <w:tcW w:w="569" w:type="dxa"/>
            <w:tcBorders>
              <w:left w:val="nil"/>
              <w:right w:val="nil"/>
            </w:tcBorders>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p>
        </w:tc>
        <w:tc>
          <w:tcPr>
            <w:tcW w:w="1133" w:type="dxa"/>
            <w:tcBorders>
              <w:left w:val="nil"/>
              <w:right w:val="nil"/>
            </w:tcBorders>
          </w:tcPr>
          <w:p w:rsidR="00861EE0" w:rsidRPr="00861EE0" w:rsidRDefault="00861EE0" w:rsidP="008D7C4C">
            <w:pPr>
              <w:rPr>
                <w:rFonts w:ascii="Times New Roman" w:hAnsi="Times New Roman"/>
              </w:rPr>
            </w:pPr>
            <w:r w:rsidRPr="00861EE0">
              <w:rPr>
                <w:rFonts w:ascii="Times New Roman" w:hAnsi="Times New Roman"/>
              </w:rPr>
              <w:t>Žiadne</w:t>
            </w:r>
          </w:p>
        </w:tc>
        <w:tc>
          <w:tcPr>
            <w:tcW w:w="547" w:type="dxa"/>
            <w:gridSpan w:val="2"/>
            <w:tcBorders>
              <w:left w:val="nil"/>
              <w:right w:val="nil"/>
            </w:tcBorders>
          </w:tcPr>
          <w:p w:rsidR="00861EE0" w:rsidRPr="00861EE0" w:rsidRDefault="00861EE0" w:rsidP="008D7C4C">
            <w:pPr>
              <w:jc w:val="center"/>
              <w:rPr>
                <w:rFonts w:ascii="Times New Roman" w:hAnsi="Times New Roman"/>
              </w:rPr>
            </w:pPr>
            <w:r w:rsidRPr="00861EE0">
              <w:rPr>
                <w:rFonts w:ascii="Segoe UI Symbol" w:eastAsia="MS Mincho" w:hAnsi="Segoe UI Symbol" w:cs="Segoe UI Symbol"/>
              </w:rPr>
              <w:t>☐</w:t>
            </w:r>
          </w:p>
        </w:tc>
        <w:tc>
          <w:tcPr>
            <w:tcW w:w="1297" w:type="dxa"/>
            <w:tcBorders>
              <w:left w:val="nil"/>
            </w:tcBorders>
          </w:tcPr>
          <w:p w:rsidR="00861EE0" w:rsidRPr="00861EE0" w:rsidRDefault="00861EE0" w:rsidP="008D7C4C">
            <w:pPr>
              <w:ind w:left="54"/>
              <w:rPr>
                <w:rFonts w:ascii="Times New Roman" w:hAnsi="Times New Roman"/>
              </w:rPr>
            </w:pPr>
            <w:r w:rsidRPr="00861EE0">
              <w:rPr>
                <w:rFonts w:ascii="Times New Roman" w:hAnsi="Times New Roman"/>
              </w:rPr>
              <w:t>Negatívne</w:t>
            </w:r>
          </w:p>
        </w:tc>
      </w:tr>
      <w:tr w:rsidR="00861EE0" w:rsidRPr="00861EE0" w:rsidTr="008D7C4C">
        <w:tc>
          <w:tcPr>
            <w:tcW w:w="3817" w:type="dxa"/>
            <w:shd w:val="clear" w:color="auto" w:fill="E2E2E2"/>
          </w:tcPr>
          <w:p w:rsidR="00861EE0" w:rsidRPr="00861EE0" w:rsidRDefault="00861EE0" w:rsidP="008D7C4C">
            <w:pPr>
              <w:rPr>
                <w:rFonts w:ascii="Times New Roman" w:hAnsi="Times New Roman"/>
                <w:b/>
              </w:rPr>
            </w:pPr>
            <w:r w:rsidRPr="00861EE0">
              <w:rPr>
                <w:rFonts w:ascii="Times New Roman" w:hAnsi="Times New Roman"/>
                <w:b/>
              </w:rPr>
              <w:t>Vplyvy na životné prostredie</w:t>
            </w:r>
          </w:p>
        </w:tc>
        <w:tc>
          <w:tcPr>
            <w:tcW w:w="541" w:type="dxa"/>
            <w:gridSpan w:val="2"/>
            <w:tcBorders>
              <w:right w:val="nil"/>
            </w:tcBorders>
          </w:tcPr>
          <w:p w:rsidR="00861EE0" w:rsidRPr="00861EE0" w:rsidRDefault="00861EE0" w:rsidP="008D7C4C">
            <w:pPr>
              <w:jc w:val="center"/>
              <w:rPr>
                <w:rFonts w:ascii="Times New Roman" w:hAnsi="Times New Roman"/>
              </w:rPr>
            </w:pPr>
            <w:r w:rsidRPr="00861EE0">
              <w:rPr>
                <w:rFonts w:ascii="Segoe UI Symbol" w:eastAsia="MS Mincho" w:hAnsi="Segoe UI Symbol" w:cs="Segoe UI Symbol"/>
              </w:rPr>
              <w:t>☐</w:t>
            </w:r>
          </w:p>
        </w:tc>
        <w:tc>
          <w:tcPr>
            <w:tcW w:w="1281" w:type="dxa"/>
            <w:gridSpan w:val="2"/>
            <w:tcBorders>
              <w:left w:val="nil"/>
              <w:right w:val="nil"/>
            </w:tcBorders>
          </w:tcPr>
          <w:p w:rsidR="00861EE0" w:rsidRPr="00861EE0" w:rsidRDefault="00861EE0" w:rsidP="008D7C4C">
            <w:pPr>
              <w:ind w:right="-108"/>
              <w:rPr>
                <w:rFonts w:ascii="Times New Roman" w:hAnsi="Times New Roman"/>
              </w:rPr>
            </w:pPr>
            <w:r w:rsidRPr="00861EE0">
              <w:rPr>
                <w:rFonts w:ascii="Times New Roman" w:hAnsi="Times New Roman"/>
              </w:rPr>
              <w:t>Pozitívne</w:t>
            </w:r>
          </w:p>
        </w:tc>
        <w:tc>
          <w:tcPr>
            <w:tcW w:w="569" w:type="dxa"/>
            <w:tcBorders>
              <w:left w:val="nil"/>
              <w:right w:val="nil"/>
            </w:tcBorders>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p>
        </w:tc>
        <w:tc>
          <w:tcPr>
            <w:tcW w:w="1133" w:type="dxa"/>
            <w:tcBorders>
              <w:left w:val="nil"/>
              <w:right w:val="nil"/>
            </w:tcBorders>
          </w:tcPr>
          <w:p w:rsidR="00861EE0" w:rsidRPr="00861EE0" w:rsidRDefault="00861EE0" w:rsidP="008D7C4C">
            <w:pPr>
              <w:rPr>
                <w:rFonts w:ascii="Times New Roman" w:hAnsi="Times New Roman"/>
              </w:rPr>
            </w:pPr>
            <w:r w:rsidRPr="00861EE0">
              <w:rPr>
                <w:rFonts w:ascii="Times New Roman" w:hAnsi="Times New Roman"/>
              </w:rPr>
              <w:t>Žiadne</w:t>
            </w:r>
          </w:p>
        </w:tc>
        <w:tc>
          <w:tcPr>
            <w:tcW w:w="547" w:type="dxa"/>
            <w:gridSpan w:val="2"/>
            <w:tcBorders>
              <w:left w:val="nil"/>
              <w:right w:val="nil"/>
            </w:tcBorders>
          </w:tcPr>
          <w:p w:rsidR="00861EE0" w:rsidRPr="00861EE0" w:rsidRDefault="00861EE0" w:rsidP="008D7C4C">
            <w:pPr>
              <w:jc w:val="center"/>
              <w:rPr>
                <w:rFonts w:ascii="Times New Roman" w:hAnsi="Times New Roman"/>
              </w:rPr>
            </w:pPr>
            <w:r w:rsidRPr="00861EE0">
              <w:rPr>
                <w:rFonts w:ascii="Segoe UI Symbol" w:eastAsia="MS Mincho" w:hAnsi="Segoe UI Symbol" w:cs="Segoe UI Symbol"/>
              </w:rPr>
              <w:t>☐</w:t>
            </w:r>
          </w:p>
        </w:tc>
        <w:tc>
          <w:tcPr>
            <w:tcW w:w="1297" w:type="dxa"/>
            <w:tcBorders>
              <w:left w:val="nil"/>
            </w:tcBorders>
          </w:tcPr>
          <w:p w:rsidR="00861EE0" w:rsidRPr="00861EE0" w:rsidRDefault="00861EE0" w:rsidP="008D7C4C">
            <w:pPr>
              <w:ind w:left="54"/>
              <w:rPr>
                <w:rFonts w:ascii="Times New Roman" w:hAnsi="Times New Roman"/>
              </w:rPr>
            </w:pPr>
            <w:r w:rsidRPr="00861EE0">
              <w:rPr>
                <w:rFonts w:ascii="Times New Roman" w:hAnsi="Times New Roman"/>
              </w:rPr>
              <w:t>Negatívne</w:t>
            </w:r>
          </w:p>
        </w:tc>
      </w:tr>
      <w:tr w:rsidR="00861EE0" w:rsidRPr="00861EE0" w:rsidTr="008D7C4C">
        <w:tc>
          <w:tcPr>
            <w:tcW w:w="3817" w:type="dxa"/>
            <w:shd w:val="clear" w:color="auto" w:fill="E2E2E2"/>
          </w:tcPr>
          <w:p w:rsidR="00861EE0" w:rsidRPr="00861EE0" w:rsidRDefault="00861EE0" w:rsidP="008D7C4C">
            <w:pPr>
              <w:rPr>
                <w:rFonts w:ascii="Times New Roman" w:hAnsi="Times New Roman"/>
                <w:b/>
              </w:rPr>
            </w:pPr>
            <w:r w:rsidRPr="00861EE0">
              <w:rPr>
                <w:rFonts w:ascii="Times New Roman" w:hAnsi="Times New Roman"/>
                <w:b/>
              </w:rPr>
              <w:t>Vplyvy na informatizáciu</w:t>
            </w:r>
          </w:p>
        </w:tc>
        <w:tc>
          <w:tcPr>
            <w:tcW w:w="541" w:type="dxa"/>
            <w:gridSpan w:val="2"/>
            <w:tcBorders>
              <w:right w:val="nil"/>
            </w:tcBorders>
          </w:tcPr>
          <w:p w:rsidR="00861EE0" w:rsidRPr="00861EE0" w:rsidRDefault="00861EE0" w:rsidP="008D7C4C">
            <w:pPr>
              <w:jc w:val="center"/>
              <w:rPr>
                <w:rFonts w:ascii="Times New Roman" w:hAnsi="Times New Roman"/>
              </w:rPr>
            </w:pPr>
            <w:r w:rsidRPr="00861EE0">
              <w:rPr>
                <w:rFonts w:ascii="Segoe UI Symbol" w:eastAsia="MS Mincho" w:hAnsi="Segoe UI Symbol" w:cs="Segoe UI Symbol"/>
              </w:rPr>
              <w:t>☐</w:t>
            </w:r>
          </w:p>
        </w:tc>
        <w:tc>
          <w:tcPr>
            <w:tcW w:w="1281" w:type="dxa"/>
            <w:gridSpan w:val="2"/>
            <w:tcBorders>
              <w:left w:val="nil"/>
              <w:right w:val="nil"/>
            </w:tcBorders>
          </w:tcPr>
          <w:p w:rsidR="00861EE0" w:rsidRPr="00861EE0" w:rsidRDefault="00861EE0" w:rsidP="008D7C4C">
            <w:pPr>
              <w:ind w:right="-108"/>
              <w:rPr>
                <w:rFonts w:ascii="Times New Roman" w:hAnsi="Times New Roman"/>
              </w:rPr>
            </w:pPr>
            <w:r w:rsidRPr="00861EE0">
              <w:rPr>
                <w:rFonts w:ascii="Times New Roman" w:hAnsi="Times New Roman"/>
              </w:rPr>
              <w:t>Pozitívne</w:t>
            </w:r>
          </w:p>
        </w:tc>
        <w:tc>
          <w:tcPr>
            <w:tcW w:w="569" w:type="dxa"/>
            <w:tcBorders>
              <w:left w:val="nil"/>
              <w:right w:val="nil"/>
            </w:tcBorders>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p>
        </w:tc>
        <w:tc>
          <w:tcPr>
            <w:tcW w:w="1133" w:type="dxa"/>
            <w:tcBorders>
              <w:left w:val="nil"/>
              <w:right w:val="nil"/>
            </w:tcBorders>
          </w:tcPr>
          <w:p w:rsidR="00861EE0" w:rsidRPr="00861EE0" w:rsidRDefault="00861EE0" w:rsidP="008D7C4C">
            <w:pPr>
              <w:rPr>
                <w:rFonts w:ascii="Times New Roman" w:hAnsi="Times New Roman"/>
              </w:rPr>
            </w:pPr>
            <w:r w:rsidRPr="00861EE0">
              <w:rPr>
                <w:rFonts w:ascii="Times New Roman" w:hAnsi="Times New Roman"/>
              </w:rPr>
              <w:t>Žiadne</w:t>
            </w:r>
          </w:p>
        </w:tc>
        <w:tc>
          <w:tcPr>
            <w:tcW w:w="547" w:type="dxa"/>
            <w:gridSpan w:val="2"/>
            <w:tcBorders>
              <w:left w:val="nil"/>
              <w:right w:val="nil"/>
            </w:tcBorders>
          </w:tcPr>
          <w:p w:rsidR="00861EE0" w:rsidRPr="00861EE0" w:rsidRDefault="00861EE0" w:rsidP="008D7C4C">
            <w:pPr>
              <w:jc w:val="center"/>
              <w:rPr>
                <w:rFonts w:ascii="Times New Roman" w:hAnsi="Times New Roman"/>
              </w:rPr>
            </w:pPr>
            <w:r w:rsidRPr="00861EE0">
              <w:rPr>
                <w:rFonts w:ascii="Segoe UI Symbol" w:eastAsia="MS Mincho" w:hAnsi="Segoe UI Symbol" w:cs="Segoe UI Symbol"/>
              </w:rPr>
              <w:t>☐</w:t>
            </w:r>
          </w:p>
        </w:tc>
        <w:tc>
          <w:tcPr>
            <w:tcW w:w="1297" w:type="dxa"/>
            <w:tcBorders>
              <w:left w:val="nil"/>
            </w:tcBorders>
          </w:tcPr>
          <w:p w:rsidR="00861EE0" w:rsidRPr="00861EE0" w:rsidRDefault="00861EE0" w:rsidP="008D7C4C">
            <w:pPr>
              <w:ind w:left="54"/>
              <w:rPr>
                <w:rFonts w:ascii="Times New Roman" w:hAnsi="Times New Roman"/>
              </w:rPr>
            </w:pPr>
            <w:r w:rsidRPr="00861EE0">
              <w:rPr>
                <w:rFonts w:ascii="Times New Roman" w:hAnsi="Times New Roman"/>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861EE0" w:rsidRPr="00861EE0" w:rsidTr="008D7C4C">
        <w:tc>
          <w:tcPr>
            <w:tcW w:w="3812" w:type="dxa"/>
            <w:tcBorders>
              <w:bottom w:val="nil"/>
            </w:tcBorders>
            <w:shd w:val="clear" w:color="auto" w:fill="E2E2E2"/>
          </w:tcPr>
          <w:p w:rsidR="00861EE0" w:rsidRPr="00861EE0" w:rsidRDefault="00861EE0" w:rsidP="008D7C4C">
            <w:pPr>
              <w:rPr>
                <w:b/>
              </w:rPr>
            </w:pPr>
            <w:r w:rsidRPr="00861EE0">
              <w:rPr>
                <w:b/>
                <w:lang w:eastAsia="en-US"/>
              </w:rPr>
              <w:t>Vplyvy na služby verejnej správy pre občana, z toho</w:t>
            </w:r>
          </w:p>
        </w:tc>
        <w:tc>
          <w:tcPr>
            <w:tcW w:w="541" w:type="dxa"/>
            <w:tcBorders>
              <w:bottom w:val="nil"/>
              <w:right w:val="nil"/>
            </w:tcBorders>
          </w:tcPr>
          <w:p w:rsidR="00861EE0" w:rsidRPr="00861EE0" w:rsidRDefault="00861EE0" w:rsidP="008D7C4C">
            <w:pPr>
              <w:jc w:val="center"/>
              <w:rPr>
                <w:rFonts w:eastAsia="MS Mincho"/>
                <w:b/>
              </w:rPr>
            </w:pPr>
          </w:p>
        </w:tc>
        <w:tc>
          <w:tcPr>
            <w:tcW w:w="1281" w:type="dxa"/>
            <w:tcBorders>
              <w:left w:val="nil"/>
              <w:bottom w:val="nil"/>
              <w:right w:val="nil"/>
            </w:tcBorders>
          </w:tcPr>
          <w:p w:rsidR="00861EE0" w:rsidRPr="00861EE0" w:rsidRDefault="00861EE0" w:rsidP="008D7C4C">
            <w:pPr>
              <w:ind w:right="-108"/>
              <w:rPr>
                <w:b/>
              </w:rPr>
            </w:pPr>
          </w:p>
        </w:tc>
        <w:tc>
          <w:tcPr>
            <w:tcW w:w="569" w:type="dxa"/>
            <w:tcBorders>
              <w:left w:val="nil"/>
              <w:bottom w:val="nil"/>
              <w:right w:val="nil"/>
            </w:tcBorders>
          </w:tcPr>
          <w:p w:rsidR="00861EE0" w:rsidRPr="00861EE0" w:rsidRDefault="00861EE0" w:rsidP="008D7C4C">
            <w:pPr>
              <w:jc w:val="center"/>
              <w:rPr>
                <w:rFonts w:eastAsia="MS Mincho"/>
                <w:b/>
              </w:rPr>
            </w:pPr>
          </w:p>
        </w:tc>
        <w:tc>
          <w:tcPr>
            <w:tcW w:w="1133" w:type="dxa"/>
            <w:tcBorders>
              <w:left w:val="nil"/>
              <w:bottom w:val="nil"/>
              <w:right w:val="nil"/>
            </w:tcBorders>
          </w:tcPr>
          <w:p w:rsidR="00861EE0" w:rsidRPr="00861EE0" w:rsidRDefault="00861EE0" w:rsidP="008D7C4C">
            <w:pPr>
              <w:rPr>
                <w:b/>
              </w:rPr>
            </w:pPr>
          </w:p>
        </w:tc>
        <w:tc>
          <w:tcPr>
            <w:tcW w:w="547" w:type="dxa"/>
            <w:tcBorders>
              <w:left w:val="nil"/>
              <w:bottom w:val="nil"/>
              <w:right w:val="nil"/>
            </w:tcBorders>
          </w:tcPr>
          <w:p w:rsidR="00861EE0" w:rsidRPr="00861EE0" w:rsidRDefault="00861EE0" w:rsidP="008D7C4C">
            <w:pPr>
              <w:jc w:val="center"/>
              <w:rPr>
                <w:rFonts w:eastAsia="MS Mincho"/>
                <w:b/>
              </w:rPr>
            </w:pPr>
          </w:p>
        </w:tc>
        <w:tc>
          <w:tcPr>
            <w:tcW w:w="1297" w:type="dxa"/>
            <w:tcBorders>
              <w:left w:val="nil"/>
              <w:bottom w:val="nil"/>
            </w:tcBorders>
          </w:tcPr>
          <w:p w:rsidR="00861EE0" w:rsidRPr="00861EE0" w:rsidRDefault="00861EE0" w:rsidP="008D7C4C">
            <w:pPr>
              <w:ind w:left="54"/>
              <w:rPr>
                <w:b/>
              </w:rPr>
            </w:pPr>
          </w:p>
        </w:tc>
      </w:tr>
      <w:tr w:rsidR="00861EE0" w:rsidRPr="00861EE0" w:rsidTr="008D7C4C">
        <w:tc>
          <w:tcPr>
            <w:tcW w:w="3812" w:type="dxa"/>
            <w:tcBorders>
              <w:top w:val="nil"/>
              <w:bottom w:val="nil"/>
            </w:tcBorders>
            <w:shd w:val="clear" w:color="auto" w:fill="E2E2E2"/>
          </w:tcPr>
          <w:p w:rsidR="00861EE0" w:rsidRPr="00861EE0" w:rsidRDefault="00861EE0" w:rsidP="008D7C4C">
            <w:pPr>
              <w:ind w:left="196" w:hanging="196"/>
              <w:rPr>
                <w:b/>
                <w:lang w:eastAsia="en-US"/>
              </w:rPr>
            </w:pPr>
            <w:r w:rsidRPr="00861EE0">
              <w:rPr>
                <w:b/>
                <w:lang w:eastAsia="en-US"/>
              </w:rPr>
              <w:t xml:space="preserve">    vplyvy služieb verejnej správy na občana</w:t>
            </w:r>
          </w:p>
        </w:tc>
        <w:tc>
          <w:tcPr>
            <w:tcW w:w="541" w:type="dxa"/>
            <w:tcBorders>
              <w:top w:val="nil"/>
              <w:bottom w:val="nil"/>
              <w:right w:val="nil"/>
            </w:tcBorders>
          </w:tcPr>
          <w:p w:rsidR="00861EE0" w:rsidRPr="00861EE0" w:rsidRDefault="00861EE0" w:rsidP="008D7C4C">
            <w:pPr>
              <w:jc w:val="center"/>
              <w:rPr>
                <w:rFonts w:eastAsia="MS Mincho"/>
                <w:lang w:eastAsia="en-US"/>
              </w:rPr>
            </w:pPr>
            <w:r w:rsidRPr="00861EE0">
              <w:rPr>
                <w:rFonts w:ascii="Segoe UI Symbol" w:eastAsia="MS Mincho" w:hAnsi="Segoe UI Symbol" w:cs="Segoe UI Symbol"/>
                <w:lang w:eastAsia="en-US"/>
              </w:rPr>
              <w:t>☐</w:t>
            </w:r>
          </w:p>
        </w:tc>
        <w:tc>
          <w:tcPr>
            <w:tcW w:w="1281" w:type="dxa"/>
            <w:tcBorders>
              <w:top w:val="nil"/>
              <w:left w:val="nil"/>
              <w:bottom w:val="nil"/>
              <w:right w:val="nil"/>
            </w:tcBorders>
          </w:tcPr>
          <w:p w:rsidR="00861EE0" w:rsidRPr="00861EE0" w:rsidRDefault="00861EE0" w:rsidP="008D7C4C">
            <w:pPr>
              <w:ind w:right="-108"/>
              <w:rPr>
                <w:lang w:eastAsia="en-US"/>
              </w:rPr>
            </w:pPr>
            <w:r w:rsidRPr="00861EE0">
              <w:rPr>
                <w:lang w:eastAsia="en-US"/>
              </w:rPr>
              <w:t>Pozitívne</w:t>
            </w:r>
          </w:p>
        </w:tc>
        <w:tc>
          <w:tcPr>
            <w:tcW w:w="569" w:type="dxa"/>
            <w:tcBorders>
              <w:top w:val="nil"/>
              <w:left w:val="nil"/>
              <w:bottom w:val="nil"/>
              <w:right w:val="nil"/>
            </w:tcBorders>
          </w:tcPr>
          <w:p w:rsidR="00861EE0" w:rsidRPr="00861EE0" w:rsidRDefault="00861EE0" w:rsidP="008D7C4C">
            <w:pPr>
              <w:jc w:val="center"/>
            </w:pPr>
            <w:r w:rsidRPr="00861EE0">
              <w:rPr>
                <w:rFonts w:ascii="Segoe UI Symbol" w:eastAsia="MS Gothic" w:hAnsi="Segoe UI Symbol" w:cs="Segoe UI Symbol"/>
              </w:rPr>
              <w:t>☒</w:t>
            </w:r>
          </w:p>
        </w:tc>
        <w:tc>
          <w:tcPr>
            <w:tcW w:w="1133" w:type="dxa"/>
            <w:tcBorders>
              <w:top w:val="nil"/>
              <w:left w:val="nil"/>
              <w:bottom w:val="nil"/>
              <w:right w:val="nil"/>
            </w:tcBorders>
          </w:tcPr>
          <w:p w:rsidR="00861EE0" w:rsidRPr="00861EE0" w:rsidRDefault="00861EE0" w:rsidP="008D7C4C">
            <w:pPr>
              <w:rPr>
                <w:lang w:eastAsia="en-US"/>
              </w:rPr>
            </w:pPr>
            <w:r w:rsidRPr="00861EE0">
              <w:rPr>
                <w:lang w:eastAsia="en-US"/>
              </w:rPr>
              <w:t>Žiadne</w:t>
            </w:r>
          </w:p>
        </w:tc>
        <w:tc>
          <w:tcPr>
            <w:tcW w:w="547" w:type="dxa"/>
            <w:tcBorders>
              <w:top w:val="nil"/>
              <w:left w:val="nil"/>
              <w:bottom w:val="nil"/>
              <w:right w:val="nil"/>
            </w:tcBorders>
          </w:tcPr>
          <w:p w:rsidR="00861EE0" w:rsidRPr="00861EE0" w:rsidRDefault="00861EE0" w:rsidP="008D7C4C">
            <w:pPr>
              <w:jc w:val="center"/>
              <w:rPr>
                <w:rFonts w:eastAsia="MS Mincho"/>
                <w:lang w:eastAsia="en-US"/>
              </w:rPr>
            </w:pPr>
            <w:r w:rsidRPr="00861EE0">
              <w:rPr>
                <w:rFonts w:ascii="Segoe UI Symbol" w:eastAsia="MS Mincho" w:hAnsi="Segoe UI Symbol" w:cs="Segoe UI Symbol"/>
                <w:lang w:eastAsia="en-US"/>
              </w:rPr>
              <w:t>☐</w:t>
            </w:r>
          </w:p>
        </w:tc>
        <w:tc>
          <w:tcPr>
            <w:tcW w:w="1297" w:type="dxa"/>
            <w:tcBorders>
              <w:top w:val="nil"/>
              <w:left w:val="nil"/>
              <w:bottom w:val="nil"/>
            </w:tcBorders>
          </w:tcPr>
          <w:p w:rsidR="00861EE0" w:rsidRPr="00861EE0" w:rsidRDefault="00861EE0" w:rsidP="008D7C4C">
            <w:pPr>
              <w:ind w:left="54"/>
              <w:rPr>
                <w:lang w:eastAsia="en-US"/>
              </w:rPr>
            </w:pPr>
            <w:r w:rsidRPr="00861EE0">
              <w:rPr>
                <w:lang w:eastAsia="en-US"/>
              </w:rPr>
              <w:t>Negatívne</w:t>
            </w:r>
          </w:p>
        </w:tc>
      </w:tr>
      <w:tr w:rsidR="00861EE0" w:rsidRPr="00861EE0" w:rsidTr="008D7C4C">
        <w:tc>
          <w:tcPr>
            <w:tcW w:w="3812" w:type="dxa"/>
            <w:tcBorders>
              <w:top w:val="nil"/>
            </w:tcBorders>
            <w:shd w:val="clear" w:color="auto" w:fill="E2E2E2"/>
          </w:tcPr>
          <w:p w:rsidR="00861EE0" w:rsidRPr="00861EE0" w:rsidRDefault="00861EE0" w:rsidP="008D7C4C">
            <w:pPr>
              <w:ind w:left="168" w:hanging="168"/>
              <w:rPr>
                <w:b/>
                <w:lang w:eastAsia="en-US"/>
              </w:rPr>
            </w:pPr>
            <w:r w:rsidRPr="00861EE0">
              <w:rPr>
                <w:b/>
                <w:lang w:eastAsia="en-US"/>
              </w:rPr>
              <w:t xml:space="preserve">    vplyvy na procesy služieb vo verejnej správe</w:t>
            </w:r>
          </w:p>
        </w:tc>
        <w:tc>
          <w:tcPr>
            <w:tcW w:w="541" w:type="dxa"/>
            <w:tcBorders>
              <w:top w:val="nil"/>
              <w:right w:val="nil"/>
            </w:tcBorders>
          </w:tcPr>
          <w:p w:rsidR="00861EE0" w:rsidRPr="00861EE0" w:rsidRDefault="00861EE0" w:rsidP="008D7C4C">
            <w:pPr>
              <w:jc w:val="center"/>
              <w:rPr>
                <w:rFonts w:eastAsia="MS Mincho"/>
                <w:lang w:eastAsia="en-US"/>
              </w:rPr>
            </w:pPr>
            <w:r w:rsidRPr="00861EE0">
              <w:rPr>
                <w:rFonts w:ascii="Segoe UI Symbol" w:eastAsia="MS Mincho" w:hAnsi="Segoe UI Symbol" w:cs="Segoe UI Symbol"/>
                <w:lang w:eastAsia="en-US"/>
              </w:rPr>
              <w:t>☐</w:t>
            </w:r>
          </w:p>
        </w:tc>
        <w:tc>
          <w:tcPr>
            <w:tcW w:w="1281" w:type="dxa"/>
            <w:tcBorders>
              <w:top w:val="nil"/>
              <w:left w:val="nil"/>
              <w:right w:val="nil"/>
            </w:tcBorders>
          </w:tcPr>
          <w:p w:rsidR="00861EE0" w:rsidRPr="00861EE0" w:rsidRDefault="00861EE0" w:rsidP="008D7C4C">
            <w:pPr>
              <w:ind w:right="-108"/>
              <w:rPr>
                <w:lang w:eastAsia="en-US"/>
              </w:rPr>
            </w:pPr>
            <w:r w:rsidRPr="00861EE0">
              <w:rPr>
                <w:lang w:eastAsia="en-US"/>
              </w:rPr>
              <w:t>Pozitívne</w:t>
            </w:r>
          </w:p>
        </w:tc>
        <w:tc>
          <w:tcPr>
            <w:tcW w:w="569" w:type="dxa"/>
            <w:tcBorders>
              <w:top w:val="nil"/>
              <w:left w:val="nil"/>
              <w:right w:val="nil"/>
            </w:tcBorders>
          </w:tcPr>
          <w:p w:rsidR="00861EE0" w:rsidRPr="00861EE0" w:rsidRDefault="00861EE0" w:rsidP="008D7C4C">
            <w:pPr>
              <w:jc w:val="center"/>
            </w:pPr>
            <w:r w:rsidRPr="00861EE0">
              <w:rPr>
                <w:rFonts w:ascii="Segoe UI Symbol" w:eastAsia="MS Gothic" w:hAnsi="Segoe UI Symbol" w:cs="Segoe UI Symbol"/>
              </w:rPr>
              <w:t>☒</w:t>
            </w:r>
          </w:p>
        </w:tc>
        <w:tc>
          <w:tcPr>
            <w:tcW w:w="1133" w:type="dxa"/>
            <w:tcBorders>
              <w:top w:val="nil"/>
              <w:left w:val="nil"/>
              <w:right w:val="nil"/>
            </w:tcBorders>
          </w:tcPr>
          <w:p w:rsidR="00861EE0" w:rsidRPr="00861EE0" w:rsidRDefault="00861EE0" w:rsidP="008D7C4C">
            <w:pPr>
              <w:rPr>
                <w:lang w:eastAsia="en-US"/>
              </w:rPr>
            </w:pPr>
            <w:r w:rsidRPr="00861EE0">
              <w:rPr>
                <w:lang w:eastAsia="en-US"/>
              </w:rPr>
              <w:t>Žiadne</w:t>
            </w:r>
          </w:p>
        </w:tc>
        <w:tc>
          <w:tcPr>
            <w:tcW w:w="547" w:type="dxa"/>
            <w:tcBorders>
              <w:top w:val="nil"/>
              <w:left w:val="nil"/>
              <w:right w:val="nil"/>
            </w:tcBorders>
          </w:tcPr>
          <w:p w:rsidR="00861EE0" w:rsidRPr="00861EE0" w:rsidRDefault="00861EE0" w:rsidP="008D7C4C">
            <w:pPr>
              <w:jc w:val="center"/>
              <w:rPr>
                <w:rFonts w:eastAsia="MS Mincho"/>
                <w:lang w:eastAsia="en-US"/>
              </w:rPr>
            </w:pPr>
            <w:r w:rsidRPr="00861EE0">
              <w:rPr>
                <w:rFonts w:ascii="Segoe UI Symbol" w:eastAsia="MS Mincho" w:hAnsi="Segoe UI Symbol" w:cs="Segoe UI Symbol"/>
                <w:lang w:eastAsia="en-US"/>
              </w:rPr>
              <w:t>☐</w:t>
            </w:r>
          </w:p>
        </w:tc>
        <w:tc>
          <w:tcPr>
            <w:tcW w:w="1297" w:type="dxa"/>
            <w:tcBorders>
              <w:top w:val="nil"/>
              <w:left w:val="nil"/>
            </w:tcBorders>
          </w:tcPr>
          <w:p w:rsidR="00861EE0" w:rsidRPr="00861EE0" w:rsidRDefault="00861EE0" w:rsidP="008D7C4C">
            <w:pPr>
              <w:ind w:left="54"/>
              <w:rPr>
                <w:lang w:eastAsia="en-US"/>
              </w:rPr>
            </w:pPr>
            <w:r w:rsidRPr="00861EE0">
              <w:rPr>
                <w:lang w:eastAsia="en-US"/>
              </w:rPr>
              <w:t>Negatívne</w:t>
            </w:r>
          </w:p>
        </w:tc>
      </w:tr>
    </w:tbl>
    <w:p w:rsidR="00861EE0" w:rsidRPr="00861EE0" w:rsidRDefault="00861EE0" w:rsidP="00861EE0">
      <w:pPr>
        <w:ind w:right="141"/>
        <w:rPr>
          <w:b/>
        </w:rPr>
      </w:pPr>
    </w:p>
    <w:tbl>
      <w:tblPr>
        <w:tblStyle w:val="Mriekatabuky"/>
        <w:tblW w:w="9176" w:type="dxa"/>
        <w:tblLayout w:type="fixed"/>
        <w:tblLook w:val="04A0" w:firstRow="1" w:lastRow="0" w:firstColumn="1" w:lastColumn="0" w:noHBand="0" w:noVBand="1"/>
      </w:tblPr>
      <w:tblGrid>
        <w:gridCol w:w="9176"/>
      </w:tblGrid>
      <w:tr w:rsidR="00861EE0" w:rsidRPr="00861EE0" w:rsidTr="008D7C4C">
        <w:tc>
          <w:tcPr>
            <w:tcW w:w="9176" w:type="dxa"/>
            <w:tcBorders>
              <w:bottom w:val="nil"/>
            </w:tcBorders>
            <w:shd w:val="clear" w:color="auto" w:fill="E2E2E2"/>
          </w:tcPr>
          <w:p w:rsidR="00861EE0" w:rsidRPr="00861EE0" w:rsidRDefault="00861EE0" w:rsidP="00861EE0">
            <w:pPr>
              <w:pStyle w:val="Odsekzoznamu"/>
              <w:numPr>
                <w:ilvl w:val="0"/>
                <w:numId w:val="19"/>
              </w:numPr>
              <w:ind w:left="426"/>
              <w:rPr>
                <w:rFonts w:ascii="Times New Roman" w:hAnsi="Times New Roman"/>
                <w:b/>
              </w:rPr>
            </w:pPr>
            <w:r w:rsidRPr="00861EE0">
              <w:rPr>
                <w:rFonts w:ascii="Times New Roman" w:hAnsi="Times New Roman"/>
                <w:b/>
              </w:rPr>
              <w:t>Poznámky</w:t>
            </w:r>
          </w:p>
        </w:tc>
      </w:tr>
      <w:tr w:rsidR="00861EE0" w:rsidRPr="00861EE0" w:rsidTr="008D7C4C">
        <w:trPr>
          <w:trHeight w:val="713"/>
        </w:trPr>
        <w:tc>
          <w:tcPr>
            <w:tcW w:w="9176" w:type="dxa"/>
            <w:tcBorders>
              <w:top w:val="nil"/>
              <w:bottom w:val="single" w:sz="4" w:space="0" w:color="FFFFFF" w:themeColor="background1"/>
            </w:tcBorders>
          </w:tcPr>
          <w:p w:rsidR="00861EE0" w:rsidRPr="00861EE0" w:rsidRDefault="00861EE0" w:rsidP="008D7C4C">
            <w:pPr>
              <w:autoSpaceDE w:val="0"/>
              <w:autoSpaceDN w:val="0"/>
              <w:spacing w:line="240" w:lineRule="atLeast"/>
              <w:jc w:val="both"/>
              <w:rPr>
                <w:rFonts w:ascii="Times New Roman" w:hAnsi="Times New Roman"/>
                <w:bCs/>
              </w:rPr>
            </w:pPr>
            <w:r w:rsidRPr="00861EE0">
              <w:rPr>
                <w:rFonts w:ascii="Times New Roman" w:hAnsi="Times New Roman"/>
              </w:rPr>
              <w:t xml:space="preserve">Od roku 2016 MF SR aktívne participuje v spolupráci s </w:t>
            </w:r>
            <w:proofErr w:type="spellStart"/>
            <w:r w:rsidRPr="00861EE0">
              <w:rPr>
                <w:rFonts w:ascii="Times New Roman" w:hAnsi="Times New Roman"/>
              </w:rPr>
              <w:t>MZVaEZ</w:t>
            </w:r>
            <w:proofErr w:type="spellEnd"/>
            <w:r w:rsidRPr="00861EE0">
              <w:rPr>
                <w:rFonts w:ascii="Times New Roman" w:hAnsi="Times New Roman"/>
              </w:rPr>
              <w:t xml:space="preserve"> SR a s Eximbankou na aplikácii nového nástroja, ktorým sú </w:t>
            </w:r>
            <w:r w:rsidRPr="00861EE0">
              <w:rPr>
                <w:rFonts w:ascii="Times New Roman" w:hAnsi="Times New Roman"/>
                <w:bCs/>
              </w:rPr>
              <w:t>zvýhodnené vývozné úvery.</w:t>
            </w:r>
            <w:r w:rsidRPr="00861EE0">
              <w:rPr>
                <w:rFonts w:ascii="Times New Roman" w:hAnsi="Times New Roman"/>
              </w:rPr>
              <w:t xml:space="preserve"> Ide o financovanie grantovej zložky vývozných úverov poskytnutých verejným dlžníkom z krajín s nízkymi príjmami. Grantovú zložku, ktorá sa pohybuje v minimálnej výške 35 %, je možné vykázať ako ODA. Uvedený nástroj predstavuje aj jednu z mála príležitostí pre slovenský súkromný sektor preniknúť a uplatniť sa na rozvojových trhoch. Z tohto dôvodu sú zvýhodnené vývozné úvery súčasťou programového vyhlásenia vlády SR. Na túto činnosť sú zabezpečené v kapitole Všeobecné pokladničná správa pre Eximbanku na podporu exportu (zvýhodnené vývozné úvery)  v rámci výdavkového titulu Zahraničná ekonomická pomoc finančné prostriedky na rok 2019 vo výške 1 mil. EUR, na rok 2020 vo výške 1 mil. EUR a na rok 2021 vo výške 1,5 mil. EUR; pre rok 2022 sa uvažuje so sumou 2,0 mil. EUR (</w:t>
            </w:r>
            <w:r w:rsidRPr="00861EE0">
              <w:rPr>
                <w:rFonts w:ascii="Times New Roman" w:hAnsi="Times New Roman"/>
                <w:i/>
                <w:iCs/>
              </w:rPr>
              <w:t>FK: 01.2.1, EK: 649003</w:t>
            </w:r>
            <w:r w:rsidRPr="00861EE0">
              <w:rPr>
                <w:rFonts w:ascii="Times New Roman" w:hAnsi="Times New Roman"/>
                <w:iCs/>
              </w:rPr>
              <w:t xml:space="preserve">). </w:t>
            </w:r>
            <w:r w:rsidRPr="00861EE0">
              <w:rPr>
                <w:rFonts w:ascii="Times New Roman" w:hAnsi="Times New Roman"/>
                <w:bCs/>
              </w:rPr>
              <w:t xml:space="preserve">Zdrojové krytie výdavkov agentúry SAMRS na realizáciu nástroja rozvojovej spolupráce, ktorým je poskytovanie vedomostí a skúseností, je na roky 2019 až 2021 zabezpečené v kapitole Ministerstva zahraničných vecí a európskych záležitostí SR v rámci programu </w:t>
            </w:r>
            <w:r w:rsidRPr="00861EE0">
              <w:rPr>
                <w:rFonts w:ascii="Times New Roman" w:hAnsi="Times New Roman"/>
                <w:bCs/>
                <w:i/>
              </w:rPr>
              <w:t>05T0A</w:t>
            </w:r>
            <w:r w:rsidRPr="00861EE0">
              <w:rPr>
                <w:rFonts w:ascii="Times New Roman" w:hAnsi="Times New Roman"/>
                <w:bCs/>
              </w:rPr>
              <w:t xml:space="preserve"> – Rozvojová spolupráca – </w:t>
            </w:r>
            <w:proofErr w:type="spellStart"/>
            <w:r w:rsidRPr="00861EE0">
              <w:rPr>
                <w:rFonts w:ascii="Times New Roman" w:hAnsi="Times New Roman"/>
                <w:bCs/>
              </w:rPr>
              <w:t>MZVaEZ</w:t>
            </w:r>
            <w:proofErr w:type="spellEnd"/>
            <w:r w:rsidRPr="00861EE0">
              <w:rPr>
                <w:rFonts w:ascii="Times New Roman" w:hAnsi="Times New Roman"/>
                <w:bCs/>
              </w:rPr>
              <w:t xml:space="preserve"> SR, ktorého financovanie bolo schválené v materiáli „</w:t>
            </w:r>
            <w:r w:rsidRPr="00861EE0">
              <w:rPr>
                <w:rFonts w:ascii="Times New Roman" w:hAnsi="Times New Roman"/>
                <w:bCs/>
                <w:i/>
              </w:rPr>
              <w:t>Strednodobá stratégia rozvojovej spolupráce na roky 2019 až 2023</w:t>
            </w:r>
            <w:r w:rsidRPr="00861EE0">
              <w:rPr>
                <w:rFonts w:ascii="Times New Roman" w:hAnsi="Times New Roman"/>
                <w:bCs/>
              </w:rPr>
              <w:t xml:space="preserve">“ (uznesenie vlády SR č. 40 z 30. januára 2019). Zdrojové krytie výdavkov pre verejné vysoké školy na personálne a materiálne zabezpečenie vzdelávania študentov z partnerských krajín v rámci jazykovej prípravy alebo vysokoškolského štúdia (štipendistov) na roky 2019 až 2021 je zabezpečené v kapitole Ministerstva školstva, vedy, výskumu a športu SR v rámci programu </w:t>
            </w:r>
            <w:r w:rsidRPr="00861EE0">
              <w:rPr>
                <w:rFonts w:ascii="Times New Roman" w:hAnsi="Times New Roman"/>
                <w:bCs/>
                <w:i/>
              </w:rPr>
              <w:t>05T08</w:t>
            </w:r>
            <w:r w:rsidRPr="00861EE0">
              <w:rPr>
                <w:rFonts w:ascii="Times New Roman" w:hAnsi="Times New Roman"/>
                <w:bCs/>
              </w:rPr>
              <w:t xml:space="preserve"> – Oficiálna rozvojová pomoc – MŠVVaŠ SR, ktorého financovanie bolo tiež schválené v predmetnom vládnom materiáli. Zdrojové krytie vykonávania finančných </w:t>
            </w:r>
            <w:r w:rsidRPr="00861EE0">
              <w:rPr>
                <w:rFonts w:ascii="Times New Roman" w:hAnsi="Times New Roman"/>
                <w:bCs/>
              </w:rPr>
              <w:lastRenderedPageBreak/>
              <w:t>nástrojov EÚ určených na rozvojovú spoluprácu ako aj podpory vykonávania týchto nástrojov je zabezpečené v rámci príslušných fondov EÚ určených na tejto účel.</w:t>
            </w:r>
          </w:p>
          <w:p w:rsidR="00861EE0" w:rsidRPr="00861EE0" w:rsidRDefault="00861EE0" w:rsidP="008D7C4C">
            <w:pPr>
              <w:autoSpaceDE w:val="0"/>
              <w:autoSpaceDN w:val="0"/>
              <w:spacing w:line="240" w:lineRule="atLeast"/>
              <w:jc w:val="both"/>
              <w:rPr>
                <w:rFonts w:ascii="Times New Roman" w:hAnsi="Times New Roman"/>
                <w:i/>
                <w:iCs/>
              </w:rPr>
            </w:pPr>
          </w:p>
        </w:tc>
      </w:tr>
      <w:tr w:rsidR="00861EE0" w:rsidRPr="00861EE0" w:rsidTr="008D7C4C">
        <w:tc>
          <w:tcPr>
            <w:tcW w:w="9176" w:type="dxa"/>
            <w:tcBorders>
              <w:bottom w:val="single" w:sz="4" w:space="0" w:color="FFFFFF" w:themeColor="background1"/>
            </w:tcBorders>
            <w:shd w:val="clear" w:color="auto" w:fill="E2E2E2"/>
          </w:tcPr>
          <w:p w:rsidR="00861EE0" w:rsidRPr="00861EE0" w:rsidRDefault="00861EE0" w:rsidP="00861EE0">
            <w:pPr>
              <w:pStyle w:val="Odsekzoznamu"/>
              <w:numPr>
                <w:ilvl w:val="0"/>
                <w:numId w:val="19"/>
              </w:numPr>
              <w:ind w:left="426"/>
              <w:rPr>
                <w:rFonts w:ascii="Times New Roman" w:hAnsi="Times New Roman"/>
                <w:b/>
              </w:rPr>
            </w:pPr>
            <w:r w:rsidRPr="00861EE0">
              <w:rPr>
                <w:rFonts w:ascii="Times New Roman" w:hAnsi="Times New Roman"/>
                <w:b/>
              </w:rPr>
              <w:lastRenderedPageBreak/>
              <w:t>Kontakt na spracovateľa</w:t>
            </w:r>
          </w:p>
        </w:tc>
      </w:tr>
      <w:tr w:rsidR="00861EE0" w:rsidRPr="00861EE0" w:rsidTr="008D7C4C">
        <w:trPr>
          <w:trHeight w:val="586"/>
        </w:trPr>
        <w:tc>
          <w:tcPr>
            <w:tcW w:w="9176" w:type="dxa"/>
            <w:tcBorders>
              <w:top w:val="single" w:sz="4" w:space="0" w:color="FFFFFF" w:themeColor="background1"/>
            </w:tcBorders>
            <w:shd w:val="clear" w:color="auto" w:fill="FFFFFF" w:themeFill="background1"/>
          </w:tcPr>
          <w:p w:rsidR="00861EE0" w:rsidRPr="00861EE0" w:rsidRDefault="00861EE0" w:rsidP="008D7C4C">
            <w:pPr>
              <w:rPr>
                <w:rFonts w:ascii="Times New Roman" w:hAnsi="Times New Roman"/>
              </w:rPr>
            </w:pPr>
            <w:r w:rsidRPr="00861EE0">
              <w:rPr>
                <w:rFonts w:ascii="Times New Roman" w:hAnsi="Times New Roman"/>
              </w:rPr>
              <w:t>Ministerstvo financií SR</w:t>
            </w:r>
          </w:p>
          <w:p w:rsidR="00861EE0" w:rsidRPr="00861EE0" w:rsidRDefault="00861EE0" w:rsidP="008D7C4C">
            <w:pPr>
              <w:rPr>
                <w:rFonts w:ascii="Times New Roman" w:hAnsi="Times New Roman"/>
              </w:rPr>
            </w:pPr>
            <w:r w:rsidRPr="00861EE0">
              <w:rPr>
                <w:rFonts w:ascii="Times New Roman" w:hAnsi="Times New Roman"/>
              </w:rPr>
              <w:t xml:space="preserve">Ing. Marián </w:t>
            </w:r>
            <w:proofErr w:type="spellStart"/>
            <w:r w:rsidRPr="00861EE0">
              <w:rPr>
                <w:rFonts w:ascii="Times New Roman" w:hAnsi="Times New Roman"/>
              </w:rPr>
              <w:t>Podolák</w:t>
            </w:r>
            <w:proofErr w:type="spellEnd"/>
            <w:r w:rsidRPr="00861EE0">
              <w:rPr>
                <w:rFonts w:ascii="Times New Roman" w:hAnsi="Times New Roman"/>
              </w:rPr>
              <w:t xml:space="preserve">, sekcia finančného trhu, tel. č. 02/59582527, e-mail: </w:t>
            </w:r>
            <w:hyperlink r:id="rId8" w:history="1">
              <w:r w:rsidRPr="00861EE0">
                <w:rPr>
                  <w:rStyle w:val="Hypertextovprepojenie"/>
                  <w:rFonts w:ascii="Times New Roman" w:hAnsi="Times New Roman"/>
                </w:rPr>
                <w:t>marian.podolak@mfsr.sk</w:t>
              </w:r>
            </w:hyperlink>
          </w:p>
          <w:p w:rsidR="00861EE0" w:rsidRPr="00861EE0" w:rsidRDefault="00861EE0" w:rsidP="008D7C4C">
            <w:pPr>
              <w:rPr>
                <w:rFonts w:ascii="Times New Roman" w:hAnsi="Times New Roman"/>
              </w:rPr>
            </w:pPr>
            <w:r w:rsidRPr="00861EE0">
              <w:rPr>
                <w:rFonts w:ascii="Times New Roman" w:hAnsi="Times New Roman"/>
              </w:rPr>
              <w:t xml:space="preserve">Ing. Soňa </w:t>
            </w:r>
            <w:proofErr w:type="spellStart"/>
            <w:r w:rsidRPr="00861EE0">
              <w:rPr>
                <w:rFonts w:ascii="Times New Roman" w:hAnsi="Times New Roman"/>
              </w:rPr>
              <w:t>Gabčová</w:t>
            </w:r>
            <w:proofErr w:type="spellEnd"/>
            <w:r w:rsidRPr="00861EE0">
              <w:rPr>
                <w:rFonts w:ascii="Times New Roman" w:hAnsi="Times New Roman"/>
              </w:rPr>
              <w:t xml:space="preserve">, sekcia medzinárodných vzťahov, tel. č. 02/59583416, e-mail: </w:t>
            </w:r>
            <w:hyperlink r:id="rId9" w:history="1">
              <w:r w:rsidRPr="00861EE0">
                <w:rPr>
                  <w:rStyle w:val="Hypertextovprepojenie"/>
                  <w:rFonts w:ascii="Times New Roman" w:hAnsi="Times New Roman"/>
                </w:rPr>
                <w:t>sona.gabcova@mfsr.sk</w:t>
              </w:r>
            </w:hyperlink>
          </w:p>
          <w:p w:rsidR="00861EE0" w:rsidRPr="00861EE0" w:rsidRDefault="00861EE0" w:rsidP="008D7C4C">
            <w:pPr>
              <w:rPr>
                <w:rFonts w:ascii="Times New Roman" w:hAnsi="Times New Roman"/>
              </w:rPr>
            </w:pPr>
            <w:r w:rsidRPr="00861EE0">
              <w:rPr>
                <w:rFonts w:ascii="Times New Roman" w:hAnsi="Times New Roman"/>
              </w:rPr>
              <w:t xml:space="preserve">Ing. Jana </w:t>
            </w:r>
            <w:proofErr w:type="spellStart"/>
            <w:r w:rsidRPr="00861EE0">
              <w:rPr>
                <w:rFonts w:ascii="Times New Roman" w:hAnsi="Times New Roman"/>
              </w:rPr>
              <w:t>Horvátová</w:t>
            </w:r>
            <w:proofErr w:type="spellEnd"/>
            <w:r w:rsidRPr="00861EE0">
              <w:rPr>
                <w:rFonts w:ascii="Times New Roman" w:hAnsi="Times New Roman"/>
              </w:rPr>
              <w:t xml:space="preserve">, sekcia finančného trhu, tel. č. 02/59582509, e-mail: </w:t>
            </w:r>
            <w:hyperlink r:id="rId10" w:history="1">
              <w:r w:rsidRPr="00861EE0">
                <w:rPr>
                  <w:rStyle w:val="Hypertextovprepojenie"/>
                  <w:rFonts w:ascii="Times New Roman" w:hAnsi="Times New Roman"/>
                </w:rPr>
                <w:t>jana.horvatova@mfsr.sk</w:t>
              </w:r>
            </w:hyperlink>
            <w:r w:rsidRPr="00861EE0">
              <w:rPr>
                <w:rFonts w:ascii="Times New Roman" w:hAnsi="Times New Roman"/>
              </w:rPr>
              <w:t xml:space="preserve"> </w:t>
            </w:r>
          </w:p>
        </w:tc>
      </w:tr>
      <w:tr w:rsidR="00861EE0" w:rsidRPr="00861EE0" w:rsidTr="008D7C4C">
        <w:tc>
          <w:tcPr>
            <w:tcW w:w="9176" w:type="dxa"/>
            <w:tcBorders>
              <w:bottom w:val="single" w:sz="4" w:space="0" w:color="FFFFFF" w:themeColor="background1"/>
            </w:tcBorders>
            <w:shd w:val="clear" w:color="auto" w:fill="E2E2E2"/>
          </w:tcPr>
          <w:p w:rsidR="00861EE0" w:rsidRPr="00861EE0" w:rsidRDefault="00861EE0" w:rsidP="00861EE0">
            <w:pPr>
              <w:pStyle w:val="Odsekzoznamu"/>
              <w:numPr>
                <w:ilvl w:val="0"/>
                <w:numId w:val="19"/>
              </w:numPr>
              <w:ind w:left="426"/>
              <w:rPr>
                <w:rFonts w:ascii="Times New Roman" w:hAnsi="Times New Roman"/>
                <w:b/>
              </w:rPr>
            </w:pPr>
            <w:r w:rsidRPr="00861EE0">
              <w:rPr>
                <w:rFonts w:ascii="Times New Roman" w:hAnsi="Times New Roman"/>
                <w:b/>
              </w:rPr>
              <w:t>Zdroje</w:t>
            </w:r>
          </w:p>
        </w:tc>
      </w:tr>
      <w:tr w:rsidR="00861EE0" w:rsidRPr="00861EE0" w:rsidTr="008D7C4C">
        <w:trPr>
          <w:trHeight w:val="401"/>
        </w:trPr>
        <w:tc>
          <w:tcPr>
            <w:tcW w:w="9176" w:type="dxa"/>
            <w:tcBorders>
              <w:top w:val="single" w:sz="4" w:space="0" w:color="FFFFFF" w:themeColor="background1"/>
            </w:tcBorders>
            <w:shd w:val="clear" w:color="auto" w:fill="FFFFFF" w:themeFill="background1"/>
          </w:tcPr>
          <w:p w:rsidR="00861EE0" w:rsidRPr="00861EE0" w:rsidRDefault="00861EE0" w:rsidP="008D7C4C">
            <w:pPr>
              <w:rPr>
                <w:rFonts w:ascii="Times New Roman" w:hAnsi="Times New Roman"/>
                <w:i/>
              </w:rPr>
            </w:pPr>
            <w:r w:rsidRPr="00861EE0">
              <w:rPr>
                <w:rFonts w:ascii="Times New Roman" w:hAnsi="Times New Roman"/>
                <w:i/>
              </w:rPr>
              <w:t>Uveďte zdroje (štatistiky, prieskumy, spoluprácu s odborníkmi a iné), z ktorých ste pri vypracovávaní doložky, príp. analýz vplyvov vychádzali.</w:t>
            </w:r>
          </w:p>
          <w:p w:rsidR="00861EE0" w:rsidRPr="00861EE0" w:rsidRDefault="00861EE0" w:rsidP="008D7C4C">
            <w:pPr>
              <w:jc w:val="both"/>
              <w:rPr>
                <w:rFonts w:ascii="Times New Roman" w:hAnsi="Times New Roman"/>
              </w:rPr>
            </w:pPr>
            <w:r w:rsidRPr="00861EE0">
              <w:rPr>
                <w:rFonts w:ascii="Times New Roman" w:hAnsi="Times New Roman"/>
              </w:rPr>
              <w:t xml:space="preserve">Konzultácie s Európskou úniou, diskusie s Exportno-importnou bankou Slovenskej republiky o nerealizovateľných projektoch z dôvodu </w:t>
            </w:r>
            <w:proofErr w:type="spellStart"/>
            <w:r w:rsidRPr="00861EE0">
              <w:rPr>
                <w:rFonts w:ascii="Times New Roman" w:hAnsi="Times New Roman"/>
              </w:rPr>
              <w:t>handicapu</w:t>
            </w:r>
            <w:proofErr w:type="spellEnd"/>
            <w:r w:rsidRPr="00861EE0">
              <w:rPr>
                <w:rFonts w:ascii="Times New Roman" w:hAnsi="Times New Roman"/>
              </w:rPr>
              <w:t xml:space="preserve"> financovania.</w:t>
            </w:r>
          </w:p>
          <w:p w:rsidR="00861EE0" w:rsidRPr="00861EE0" w:rsidRDefault="00861EE0" w:rsidP="008D7C4C">
            <w:pPr>
              <w:jc w:val="both"/>
              <w:rPr>
                <w:rFonts w:ascii="Times New Roman" w:hAnsi="Times New Roman"/>
              </w:rPr>
            </w:pPr>
          </w:p>
        </w:tc>
      </w:tr>
      <w:tr w:rsidR="00861EE0" w:rsidRPr="00861EE0" w:rsidTr="008D7C4C">
        <w:tc>
          <w:tcPr>
            <w:tcW w:w="9176" w:type="dxa"/>
            <w:tcBorders>
              <w:bottom w:val="single" w:sz="4" w:space="0" w:color="FFFFFF" w:themeColor="background1"/>
            </w:tcBorders>
            <w:shd w:val="clear" w:color="auto" w:fill="E2E2E2"/>
          </w:tcPr>
          <w:p w:rsidR="00861EE0" w:rsidRPr="00861EE0" w:rsidRDefault="00861EE0" w:rsidP="00861EE0">
            <w:pPr>
              <w:pStyle w:val="Odsekzoznamu"/>
              <w:numPr>
                <w:ilvl w:val="0"/>
                <w:numId w:val="19"/>
              </w:numPr>
              <w:ind w:left="426"/>
              <w:rPr>
                <w:rFonts w:ascii="Times New Roman" w:hAnsi="Times New Roman"/>
                <w:b/>
              </w:rPr>
            </w:pPr>
            <w:r w:rsidRPr="00861EE0">
              <w:rPr>
                <w:rFonts w:ascii="Times New Roman" w:hAnsi="Times New Roman"/>
                <w:b/>
              </w:rPr>
              <w:t>Stanovisko Komisie pre posudzovanie vybraných vplyvov z PPK</w:t>
            </w:r>
          </w:p>
        </w:tc>
      </w:tr>
      <w:tr w:rsidR="00861EE0" w:rsidRPr="00861EE0" w:rsidTr="008D7C4C">
        <w:tc>
          <w:tcPr>
            <w:tcW w:w="9176" w:type="dxa"/>
            <w:tcBorders>
              <w:top w:val="single" w:sz="4" w:space="0" w:color="FFFFFF" w:themeColor="background1"/>
            </w:tcBorders>
            <w:shd w:val="clear" w:color="auto" w:fill="FFFFFF" w:themeFill="background1"/>
          </w:tcPr>
          <w:p w:rsidR="00861EE0" w:rsidRPr="00861EE0" w:rsidRDefault="00861EE0" w:rsidP="008D7C4C">
            <w:pPr>
              <w:rPr>
                <w:rFonts w:ascii="Times New Roman" w:hAnsi="Times New Roman"/>
              </w:rPr>
            </w:pPr>
            <w:r w:rsidRPr="00861EE0">
              <w:rPr>
                <w:rFonts w:ascii="Times New Roman" w:hAnsi="Times New Roman"/>
              </w:rPr>
              <w:t>Stála pracovná komisia Legislatívnej rady vlády Slovenskej republiky na posudzovanie vybraných vplyvov vo svojom stanovisku zo dňa 5.4.2019 č. 066/2019 neuplatnila k materiálu žiadne pripomienky ani odporúčania a vyjadrila súhlasné stanovisko s materiálom predloženým na predbežné pripomienkové konanie.</w:t>
            </w:r>
          </w:p>
        </w:tc>
      </w:tr>
    </w:tbl>
    <w:p w:rsidR="00861EE0" w:rsidRPr="00861EE0" w:rsidRDefault="00861EE0" w:rsidP="00861EE0"/>
    <w:p w:rsidR="00861EE0" w:rsidRPr="00861EE0" w:rsidRDefault="00861EE0" w:rsidP="00861EE0"/>
    <w:p w:rsidR="00861EE0" w:rsidRP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Pr="00861EE0" w:rsidRDefault="00861EE0" w:rsidP="00861EE0"/>
    <w:p w:rsidR="00861EE0" w:rsidRPr="00861EE0" w:rsidRDefault="00861EE0" w:rsidP="00861EE0">
      <w:pPr>
        <w:jc w:val="center"/>
        <w:rPr>
          <w:b/>
          <w:bCs/>
        </w:rPr>
      </w:pPr>
      <w:r w:rsidRPr="00861EE0">
        <w:rPr>
          <w:b/>
          <w:bCs/>
        </w:rPr>
        <w:t>Analýza vplyvov na rozpočet verejnej správy,</w:t>
      </w:r>
    </w:p>
    <w:p w:rsidR="00861EE0" w:rsidRPr="00861EE0" w:rsidRDefault="00861EE0" w:rsidP="00861EE0">
      <w:pPr>
        <w:jc w:val="center"/>
        <w:rPr>
          <w:b/>
          <w:bCs/>
        </w:rPr>
      </w:pPr>
      <w:r w:rsidRPr="00861EE0">
        <w:rPr>
          <w:b/>
          <w:bCs/>
        </w:rPr>
        <w:t>na zamestnanosť vo verejnej správe a financovanie návrhu</w:t>
      </w:r>
    </w:p>
    <w:p w:rsidR="00861EE0" w:rsidRPr="00861EE0" w:rsidRDefault="00861EE0" w:rsidP="00861EE0">
      <w:pPr>
        <w:jc w:val="right"/>
        <w:rPr>
          <w:b/>
          <w:bCs/>
        </w:rPr>
      </w:pPr>
    </w:p>
    <w:p w:rsidR="00861EE0" w:rsidRPr="00861EE0" w:rsidRDefault="00861EE0" w:rsidP="00861EE0">
      <w:pPr>
        <w:rPr>
          <w:b/>
          <w:bCs/>
        </w:rPr>
      </w:pPr>
    </w:p>
    <w:p w:rsidR="00861EE0" w:rsidRPr="00861EE0" w:rsidRDefault="00861EE0" w:rsidP="00861EE0">
      <w:pPr>
        <w:rPr>
          <w:b/>
          <w:bCs/>
        </w:rPr>
      </w:pPr>
      <w:r w:rsidRPr="00861EE0">
        <w:rPr>
          <w:b/>
          <w:bCs/>
        </w:rPr>
        <w:t>2.1 Zhrnutie vplyvov na rozpočet verejnej správy v návrhu</w:t>
      </w:r>
    </w:p>
    <w:p w:rsidR="00861EE0" w:rsidRPr="00861EE0" w:rsidRDefault="00861EE0" w:rsidP="00861EE0">
      <w:pPr>
        <w:jc w:val="right"/>
      </w:pPr>
    </w:p>
    <w:p w:rsidR="00861EE0" w:rsidRPr="00861EE0" w:rsidRDefault="00861EE0" w:rsidP="00861EE0">
      <w:pPr>
        <w:jc w:val="right"/>
      </w:pPr>
      <w:r w:rsidRPr="00861EE0">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861EE0" w:rsidRPr="00861EE0" w:rsidTr="008D7C4C">
        <w:trPr>
          <w:cantSplit/>
          <w:trHeight w:val="194"/>
          <w:jc w:val="center"/>
        </w:trPr>
        <w:tc>
          <w:tcPr>
            <w:tcW w:w="4661" w:type="dxa"/>
            <w:vMerge w:val="restart"/>
            <w:shd w:val="clear" w:color="auto" w:fill="BFBFBF" w:themeFill="background1" w:themeFillShade="BF"/>
            <w:vAlign w:val="center"/>
          </w:tcPr>
          <w:p w:rsidR="00861EE0" w:rsidRPr="00861EE0" w:rsidRDefault="00861EE0" w:rsidP="008D7C4C">
            <w:pPr>
              <w:jc w:val="center"/>
              <w:rPr>
                <w:b/>
                <w:bCs/>
              </w:rPr>
            </w:pPr>
            <w:bookmarkStart w:id="1" w:name="OLE_LINK1"/>
            <w:r w:rsidRPr="00861EE0">
              <w:rPr>
                <w:b/>
                <w:bCs/>
              </w:rPr>
              <w:t>Vplyvy na rozpočet verejnej správy</w:t>
            </w:r>
          </w:p>
        </w:tc>
        <w:tc>
          <w:tcPr>
            <w:tcW w:w="5068" w:type="dxa"/>
            <w:gridSpan w:val="4"/>
            <w:shd w:val="clear" w:color="auto" w:fill="BFBFBF" w:themeFill="background1" w:themeFillShade="BF"/>
            <w:vAlign w:val="center"/>
          </w:tcPr>
          <w:p w:rsidR="00861EE0" w:rsidRPr="00861EE0" w:rsidRDefault="00861EE0" w:rsidP="008D7C4C">
            <w:pPr>
              <w:jc w:val="center"/>
              <w:rPr>
                <w:b/>
                <w:bCs/>
              </w:rPr>
            </w:pPr>
            <w:r w:rsidRPr="00861EE0">
              <w:rPr>
                <w:b/>
                <w:bCs/>
              </w:rPr>
              <w:t>Vplyv na rozpočet verejnej správy (v eurách)</w:t>
            </w:r>
          </w:p>
        </w:tc>
      </w:tr>
      <w:tr w:rsidR="00861EE0" w:rsidRPr="00861EE0" w:rsidTr="008D7C4C">
        <w:trPr>
          <w:cantSplit/>
          <w:trHeight w:val="70"/>
          <w:jc w:val="center"/>
        </w:trPr>
        <w:tc>
          <w:tcPr>
            <w:tcW w:w="4661" w:type="dxa"/>
            <w:vMerge/>
            <w:shd w:val="clear" w:color="auto" w:fill="BFBFBF" w:themeFill="background1" w:themeFillShade="BF"/>
            <w:vAlign w:val="center"/>
          </w:tcPr>
          <w:p w:rsidR="00861EE0" w:rsidRPr="00861EE0" w:rsidRDefault="00861EE0" w:rsidP="008D7C4C">
            <w:pPr>
              <w:jc w:val="center"/>
              <w:rPr>
                <w:b/>
                <w:bCs/>
              </w:rPr>
            </w:pPr>
          </w:p>
        </w:tc>
        <w:tc>
          <w:tcPr>
            <w:tcW w:w="1267" w:type="dxa"/>
            <w:shd w:val="clear" w:color="auto" w:fill="BFBFBF" w:themeFill="background1" w:themeFillShade="BF"/>
            <w:vAlign w:val="center"/>
          </w:tcPr>
          <w:p w:rsidR="00861EE0" w:rsidRPr="00861EE0" w:rsidRDefault="00861EE0" w:rsidP="008D7C4C">
            <w:pPr>
              <w:jc w:val="center"/>
              <w:rPr>
                <w:b/>
                <w:bCs/>
              </w:rPr>
            </w:pPr>
            <w:r w:rsidRPr="00861EE0">
              <w:rPr>
                <w:b/>
                <w:bCs/>
              </w:rPr>
              <w:t>2019</w:t>
            </w:r>
          </w:p>
        </w:tc>
        <w:tc>
          <w:tcPr>
            <w:tcW w:w="1267" w:type="dxa"/>
            <w:shd w:val="clear" w:color="auto" w:fill="BFBFBF" w:themeFill="background1" w:themeFillShade="BF"/>
            <w:vAlign w:val="center"/>
          </w:tcPr>
          <w:p w:rsidR="00861EE0" w:rsidRPr="00861EE0" w:rsidRDefault="00861EE0" w:rsidP="008D7C4C">
            <w:pPr>
              <w:jc w:val="center"/>
              <w:rPr>
                <w:b/>
                <w:bCs/>
              </w:rPr>
            </w:pPr>
            <w:r w:rsidRPr="00861EE0">
              <w:rPr>
                <w:b/>
                <w:bCs/>
              </w:rPr>
              <w:t>2020</w:t>
            </w:r>
          </w:p>
        </w:tc>
        <w:tc>
          <w:tcPr>
            <w:tcW w:w="1267" w:type="dxa"/>
            <w:shd w:val="clear" w:color="auto" w:fill="BFBFBF" w:themeFill="background1" w:themeFillShade="BF"/>
            <w:vAlign w:val="center"/>
          </w:tcPr>
          <w:p w:rsidR="00861EE0" w:rsidRPr="00861EE0" w:rsidRDefault="00861EE0" w:rsidP="008D7C4C">
            <w:pPr>
              <w:jc w:val="center"/>
              <w:rPr>
                <w:b/>
                <w:bCs/>
              </w:rPr>
            </w:pPr>
            <w:r w:rsidRPr="00861EE0">
              <w:rPr>
                <w:b/>
                <w:bCs/>
              </w:rPr>
              <w:t>2021</w:t>
            </w:r>
          </w:p>
        </w:tc>
        <w:tc>
          <w:tcPr>
            <w:tcW w:w="1267" w:type="dxa"/>
            <w:shd w:val="clear" w:color="auto" w:fill="BFBFBF" w:themeFill="background1" w:themeFillShade="BF"/>
            <w:vAlign w:val="center"/>
          </w:tcPr>
          <w:p w:rsidR="00861EE0" w:rsidRPr="00861EE0" w:rsidRDefault="00861EE0" w:rsidP="008D7C4C">
            <w:pPr>
              <w:jc w:val="center"/>
              <w:rPr>
                <w:b/>
                <w:bCs/>
              </w:rPr>
            </w:pPr>
            <w:r w:rsidRPr="00861EE0">
              <w:rPr>
                <w:b/>
                <w:bCs/>
              </w:rPr>
              <w:t>2022</w:t>
            </w:r>
          </w:p>
        </w:tc>
      </w:tr>
      <w:tr w:rsidR="00861EE0" w:rsidRPr="00861EE0" w:rsidTr="008D7C4C">
        <w:trPr>
          <w:trHeight w:val="70"/>
          <w:jc w:val="center"/>
        </w:trPr>
        <w:tc>
          <w:tcPr>
            <w:tcW w:w="4661" w:type="dxa"/>
            <w:shd w:val="clear" w:color="auto" w:fill="C0C0C0"/>
            <w:noWrap/>
            <w:vAlign w:val="center"/>
          </w:tcPr>
          <w:p w:rsidR="00861EE0" w:rsidRPr="00861EE0" w:rsidRDefault="00861EE0" w:rsidP="008D7C4C">
            <w:r w:rsidRPr="00861EE0">
              <w:rPr>
                <w:b/>
                <w:bCs/>
              </w:rPr>
              <w:t>Príjmy verejnej správy celkom</w:t>
            </w:r>
          </w:p>
        </w:tc>
        <w:tc>
          <w:tcPr>
            <w:tcW w:w="1267" w:type="dxa"/>
            <w:shd w:val="clear" w:color="auto" w:fill="C0C0C0"/>
            <w:vAlign w:val="center"/>
          </w:tcPr>
          <w:p w:rsidR="00861EE0" w:rsidRPr="00861EE0" w:rsidRDefault="00861EE0" w:rsidP="008D7C4C">
            <w:pPr>
              <w:jc w:val="right"/>
              <w:rPr>
                <w:b/>
                <w:bCs/>
              </w:rPr>
            </w:pPr>
            <w:r w:rsidRPr="00861EE0">
              <w:rPr>
                <w:b/>
                <w:bCs/>
              </w:rPr>
              <w:t>0</w:t>
            </w:r>
          </w:p>
        </w:tc>
        <w:tc>
          <w:tcPr>
            <w:tcW w:w="1267" w:type="dxa"/>
            <w:shd w:val="clear" w:color="auto" w:fill="C0C0C0"/>
            <w:vAlign w:val="center"/>
          </w:tcPr>
          <w:p w:rsidR="00861EE0" w:rsidRPr="00861EE0" w:rsidRDefault="00861EE0" w:rsidP="008D7C4C">
            <w:pPr>
              <w:jc w:val="right"/>
              <w:rPr>
                <w:b/>
                <w:bCs/>
              </w:rPr>
            </w:pPr>
            <w:r w:rsidRPr="00861EE0">
              <w:rPr>
                <w:b/>
                <w:bCs/>
              </w:rPr>
              <w:t>0</w:t>
            </w:r>
          </w:p>
        </w:tc>
        <w:tc>
          <w:tcPr>
            <w:tcW w:w="1267" w:type="dxa"/>
            <w:shd w:val="clear" w:color="auto" w:fill="C0C0C0"/>
            <w:vAlign w:val="center"/>
          </w:tcPr>
          <w:p w:rsidR="00861EE0" w:rsidRPr="00861EE0" w:rsidRDefault="00861EE0" w:rsidP="008D7C4C">
            <w:pPr>
              <w:jc w:val="right"/>
              <w:rPr>
                <w:b/>
                <w:bCs/>
              </w:rPr>
            </w:pPr>
            <w:r w:rsidRPr="00861EE0">
              <w:rPr>
                <w:b/>
                <w:bCs/>
              </w:rPr>
              <w:t>0</w:t>
            </w:r>
          </w:p>
        </w:tc>
        <w:tc>
          <w:tcPr>
            <w:tcW w:w="1267" w:type="dxa"/>
            <w:shd w:val="clear" w:color="auto" w:fill="C0C0C0"/>
            <w:vAlign w:val="center"/>
          </w:tcPr>
          <w:p w:rsidR="00861EE0" w:rsidRPr="00861EE0" w:rsidRDefault="00861EE0" w:rsidP="008D7C4C">
            <w:pPr>
              <w:jc w:val="right"/>
              <w:rPr>
                <w:b/>
                <w:bCs/>
              </w:rPr>
            </w:pPr>
            <w:r w:rsidRPr="00861EE0">
              <w:rPr>
                <w:b/>
                <w:bCs/>
              </w:rPr>
              <w:t>0</w:t>
            </w:r>
          </w:p>
        </w:tc>
      </w:tr>
      <w:tr w:rsidR="00861EE0" w:rsidRPr="00861EE0" w:rsidTr="008D7C4C">
        <w:trPr>
          <w:trHeight w:val="132"/>
          <w:jc w:val="center"/>
        </w:trPr>
        <w:tc>
          <w:tcPr>
            <w:tcW w:w="4661" w:type="dxa"/>
            <w:noWrap/>
            <w:vAlign w:val="center"/>
          </w:tcPr>
          <w:p w:rsidR="00861EE0" w:rsidRPr="00861EE0" w:rsidRDefault="00861EE0" w:rsidP="008D7C4C">
            <w:r w:rsidRPr="00861EE0">
              <w:t>v tom: za každý subjekt verejnej správy zvlášť</w:t>
            </w:r>
          </w:p>
        </w:tc>
        <w:tc>
          <w:tcPr>
            <w:tcW w:w="1267" w:type="dxa"/>
            <w:noWrap/>
            <w:vAlign w:val="center"/>
          </w:tcPr>
          <w:p w:rsidR="00861EE0" w:rsidRPr="00861EE0" w:rsidRDefault="00861EE0" w:rsidP="008D7C4C">
            <w:pPr>
              <w:jc w:val="right"/>
            </w:pPr>
            <w:r w:rsidRPr="00861EE0">
              <w:t>0</w:t>
            </w:r>
          </w:p>
        </w:tc>
        <w:tc>
          <w:tcPr>
            <w:tcW w:w="1267" w:type="dxa"/>
            <w:noWrap/>
            <w:vAlign w:val="center"/>
          </w:tcPr>
          <w:p w:rsidR="00861EE0" w:rsidRPr="00861EE0" w:rsidRDefault="00861EE0" w:rsidP="008D7C4C">
            <w:pPr>
              <w:jc w:val="right"/>
            </w:pPr>
            <w:r w:rsidRPr="00861EE0">
              <w:t>0</w:t>
            </w:r>
          </w:p>
        </w:tc>
        <w:tc>
          <w:tcPr>
            <w:tcW w:w="1267" w:type="dxa"/>
            <w:noWrap/>
            <w:vAlign w:val="center"/>
          </w:tcPr>
          <w:p w:rsidR="00861EE0" w:rsidRPr="00861EE0" w:rsidRDefault="00861EE0" w:rsidP="008D7C4C">
            <w:pPr>
              <w:jc w:val="right"/>
            </w:pPr>
            <w:r w:rsidRPr="00861EE0">
              <w:t>0</w:t>
            </w:r>
          </w:p>
        </w:tc>
        <w:tc>
          <w:tcPr>
            <w:tcW w:w="1267" w:type="dxa"/>
            <w:noWrap/>
            <w:vAlign w:val="center"/>
          </w:tcPr>
          <w:p w:rsidR="00861EE0" w:rsidRPr="00861EE0" w:rsidRDefault="00861EE0" w:rsidP="008D7C4C">
            <w:pPr>
              <w:jc w:val="right"/>
            </w:pPr>
            <w:r w:rsidRPr="00861EE0">
              <w:t>0</w:t>
            </w:r>
          </w:p>
        </w:tc>
      </w:tr>
      <w:tr w:rsidR="00861EE0" w:rsidRPr="00861EE0" w:rsidTr="008D7C4C">
        <w:trPr>
          <w:trHeight w:val="70"/>
          <w:jc w:val="center"/>
        </w:trPr>
        <w:tc>
          <w:tcPr>
            <w:tcW w:w="4661" w:type="dxa"/>
            <w:noWrap/>
            <w:vAlign w:val="center"/>
          </w:tcPr>
          <w:p w:rsidR="00861EE0" w:rsidRPr="00861EE0" w:rsidRDefault="00861EE0" w:rsidP="008D7C4C">
            <w:pPr>
              <w:rPr>
                <w:b/>
                <w:bCs/>
                <w:i/>
                <w:iCs/>
              </w:rPr>
            </w:pPr>
            <w:r w:rsidRPr="00861EE0">
              <w:rPr>
                <w:b/>
                <w:bCs/>
                <w:i/>
                <w:iCs/>
              </w:rPr>
              <w:t xml:space="preserve">z toho:  </w:t>
            </w:r>
          </w:p>
        </w:tc>
        <w:tc>
          <w:tcPr>
            <w:tcW w:w="1267" w:type="dxa"/>
            <w:noWrap/>
            <w:vAlign w:val="center"/>
          </w:tcPr>
          <w:p w:rsidR="00861EE0" w:rsidRPr="00861EE0" w:rsidRDefault="00861EE0" w:rsidP="008D7C4C">
            <w:pPr>
              <w:jc w:val="right"/>
              <w:rPr>
                <w:b/>
                <w:bCs/>
                <w:iCs/>
              </w:rPr>
            </w:pPr>
          </w:p>
        </w:tc>
        <w:tc>
          <w:tcPr>
            <w:tcW w:w="1267" w:type="dxa"/>
            <w:noWrap/>
            <w:vAlign w:val="center"/>
          </w:tcPr>
          <w:p w:rsidR="00861EE0" w:rsidRPr="00861EE0" w:rsidRDefault="00861EE0" w:rsidP="008D7C4C">
            <w:pPr>
              <w:jc w:val="right"/>
              <w:rPr>
                <w:b/>
                <w:bCs/>
                <w:iCs/>
              </w:rPr>
            </w:pPr>
          </w:p>
        </w:tc>
        <w:tc>
          <w:tcPr>
            <w:tcW w:w="1267" w:type="dxa"/>
            <w:noWrap/>
            <w:vAlign w:val="center"/>
          </w:tcPr>
          <w:p w:rsidR="00861EE0" w:rsidRPr="00861EE0" w:rsidRDefault="00861EE0" w:rsidP="008D7C4C">
            <w:pPr>
              <w:jc w:val="right"/>
              <w:rPr>
                <w:b/>
                <w:bCs/>
                <w:iCs/>
              </w:rPr>
            </w:pPr>
          </w:p>
        </w:tc>
        <w:tc>
          <w:tcPr>
            <w:tcW w:w="1267" w:type="dxa"/>
            <w:noWrap/>
            <w:vAlign w:val="center"/>
          </w:tcPr>
          <w:p w:rsidR="00861EE0" w:rsidRPr="00861EE0" w:rsidRDefault="00861EE0" w:rsidP="008D7C4C">
            <w:pPr>
              <w:jc w:val="right"/>
              <w:rPr>
                <w:b/>
                <w:bCs/>
                <w:iCs/>
              </w:rPr>
            </w:pPr>
          </w:p>
        </w:tc>
      </w:tr>
      <w:tr w:rsidR="00861EE0" w:rsidRPr="00861EE0" w:rsidTr="008D7C4C">
        <w:trPr>
          <w:trHeight w:val="125"/>
          <w:jc w:val="center"/>
        </w:trPr>
        <w:tc>
          <w:tcPr>
            <w:tcW w:w="4661" w:type="dxa"/>
            <w:noWrap/>
            <w:vAlign w:val="center"/>
          </w:tcPr>
          <w:p w:rsidR="00861EE0" w:rsidRPr="00861EE0" w:rsidRDefault="00861EE0" w:rsidP="008D7C4C">
            <w:pPr>
              <w:rPr>
                <w:b/>
                <w:bCs/>
                <w:i/>
                <w:iCs/>
              </w:rPr>
            </w:pPr>
            <w:r w:rsidRPr="00861EE0">
              <w:rPr>
                <w:b/>
                <w:bCs/>
                <w:i/>
                <w:iCs/>
              </w:rPr>
              <w:t>- vplyv na ŠR</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125"/>
          <w:jc w:val="center"/>
        </w:trPr>
        <w:tc>
          <w:tcPr>
            <w:tcW w:w="4661" w:type="dxa"/>
            <w:noWrap/>
            <w:vAlign w:val="center"/>
          </w:tcPr>
          <w:p w:rsidR="00861EE0" w:rsidRPr="00861EE0" w:rsidRDefault="00861EE0" w:rsidP="008D7C4C">
            <w:pPr>
              <w:ind w:left="259"/>
              <w:rPr>
                <w:b/>
                <w:bCs/>
                <w:i/>
                <w:iCs/>
              </w:rPr>
            </w:pPr>
            <w:r w:rsidRPr="00861EE0">
              <w:rPr>
                <w:bCs/>
                <w:i/>
                <w:iCs/>
              </w:rPr>
              <w:t>Rozpočtové prostriedky</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125"/>
          <w:jc w:val="center"/>
        </w:trPr>
        <w:tc>
          <w:tcPr>
            <w:tcW w:w="4661" w:type="dxa"/>
            <w:noWrap/>
            <w:vAlign w:val="center"/>
          </w:tcPr>
          <w:p w:rsidR="00861EE0" w:rsidRPr="00861EE0" w:rsidRDefault="00861EE0" w:rsidP="008D7C4C">
            <w:pPr>
              <w:ind w:left="259"/>
              <w:rPr>
                <w:bCs/>
                <w:i/>
                <w:iCs/>
              </w:rPr>
            </w:pPr>
            <w:r w:rsidRPr="00861EE0">
              <w:rPr>
                <w:bCs/>
                <w:i/>
                <w:iCs/>
              </w:rPr>
              <w:t>EÚ zdroje</w:t>
            </w:r>
          </w:p>
        </w:tc>
        <w:tc>
          <w:tcPr>
            <w:tcW w:w="1267" w:type="dxa"/>
            <w:noWrap/>
            <w:vAlign w:val="center"/>
          </w:tcPr>
          <w:p w:rsidR="00861EE0" w:rsidRPr="00861EE0" w:rsidRDefault="00861EE0" w:rsidP="008D7C4C">
            <w:pPr>
              <w:jc w:val="right"/>
            </w:pPr>
            <w:r w:rsidRPr="00861EE0">
              <w:t>0</w:t>
            </w:r>
          </w:p>
        </w:tc>
        <w:tc>
          <w:tcPr>
            <w:tcW w:w="1267" w:type="dxa"/>
            <w:noWrap/>
            <w:vAlign w:val="center"/>
          </w:tcPr>
          <w:p w:rsidR="00861EE0" w:rsidRPr="00861EE0" w:rsidRDefault="00861EE0" w:rsidP="008D7C4C">
            <w:pPr>
              <w:jc w:val="right"/>
            </w:pPr>
            <w:r w:rsidRPr="00861EE0">
              <w:t>0</w:t>
            </w:r>
          </w:p>
        </w:tc>
        <w:tc>
          <w:tcPr>
            <w:tcW w:w="1267" w:type="dxa"/>
            <w:noWrap/>
            <w:vAlign w:val="center"/>
          </w:tcPr>
          <w:p w:rsidR="00861EE0" w:rsidRPr="00861EE0" w:rsidRDefault="00861EE0" w:rsidP="008D7C4C">
            <w:pPr>
              <w:jc w:val="right"/>
            </w:pPr>
            <w:r w:rsidRPr="00861EE0">
              <w:t>0</w:t>
            </w:r>
          </w:p>
        </w:tc>
        <w:tc>
          <w:tcPr>
            <w:tcW w:w="1267" w:type="dxa"/>
            <w:noWrap/>
            <w:vAlign w:val="center"/>
          </w:tcPr>
          <w:p w:rsidR="00861EE0" w:rsidRPr="00861EE0" w:rsidRDefault="00861EE0" w:rsidP="008D7C4C">
            <w:pPr>
              <w:jc w:val="right"/>
            </w:pPr>
            <w:r w:rsidRPr="00861EE0">
              <w:t>0</w:t>
            </w:r>
          </w:p>
        </w:tc>
      </w:tr>
      <w:tr w:rsidR="00861EE0" w:rsidRPr="00861EE0" w:rsidTr="008D7C4C">
        <w:trPr>
          <w:trHeight w:val="125"/>
          <w:jc w:val="center"/>
        </w:trPr>
        <w:tc>
          <w:tcPr>
            <w:tcW w:w="4661" w:type="dxa"/>
            <w:noWrap/>
            <w:vAlign w:val="center"/>
          </w:tcPr>
          <w:p w:rsidR="00861EE0" w:rsidRPr="00861EE0" w:rsidRDefault="00861EE0" w:rsidP="008D7C4C">
            <w:pPr>
              <w:rPr>
                <w:b/>
                <w:bCs/>
                <w:i/>
                <w:iCs/>
              </w:rPr>
            </w:pPr>
            <w:r w:rsidRPr="00861EE0">
              <w:rPr>
                <w:b/>
                <w:bCs/>
                <w:i/>
                <w:iCs/>
              </w:rPr>
              <w:t>- vplyv na obce</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125"/>
          <w:jc w:val="center"/>
        </w:trPr>
        <w:tc>
          <w:tcPr>
            <w:tcW w:w="4661" w:type="dxa"/>
            <w:noWrap/>
            <w:vAlign w:val="center"/>
          </w:tcPr>
          <w:p w:rsidR="00861EE0" w:rsidRPr="00861EE0" w:rsidRDefault="00861EE0" w:rsidP="008D7C4C">
            <w:pPr>
              <w:rPr>
                <w:b/>
                <w:bCs/>
                <w:i/>
                <w:iCs/>
              </w:rPr>
            </w:pPr>
            <w:r w:rsidRPr="00861EE0">
              <w:rPr>
                <w:b/>
                <w:bCs/>
                <w:i/>
                <w:iCs/>
              </w:rPr>
              <w:t>- vplyv na vyššie územné celky</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125"/>
          <w:jc w:val="center"/>
        </w:trPr>
        <w:tc>
          <w:tcPr>
            <w:tcW w:w="4661" w:type="dxa"/>
            <w:noWrap/>
            <w:vAlign w:val="center"/>
          </w:tcPr>
          <w:p w:rsidR="00861EE0" w:rsidRPr="00861EE0" w:rsidRDefault="00861EE0" w:rsidP="008D7C4C">
            <w:pPr>
              <w:rPr>
                <w:b/>
                <w:bCs/>
                <w:i/>
                <w:iCs/>
              </w:rPr>
            </w:pPr>
            <w:r w:rsidRPr="00861EE0">
              <w:rPr>
                <w:b/>
                <w:bCs/>
                <w:i/>
                <w:iCs/>
              </w:rPr>
              <w:t>- vplyv na ostatné subjekty verejnej správy</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125"/>
          <w:jc w:val="center"/>
        </w:trPr>
        <w:tc>
          <w:tcPr>
            <w:tcW w:w="4661" w:type="dxa"/>
            <w:shd w:val="clear" w:color="auto" w:fill="C0C0C0"/>
            <w:noWrap/>
            <w:vAlign w:val="center"/>
          </w:tcPr>
          <w:p w:rsidR="00861EE0" w:rsidRPr="00861EE0" w:rsidRDefault="00861EE0" w:rsidP="008D7C4C">
            <w:pPr>
              <w:rPr>
                <w:b/>
                <w:bCs/>
              </w:rPr>
            </w:pPr>
            <w:r w:rsidRPr="00861EE0">
              <w:rPr>
                <w:b/>
                <w:bCs/>
              </w:rPr>
              <w:t>Výdavky verejnej správy celkom</w:t>
            </w:r>
          </w:p>
        </w:tc>
        <w:tc>
          <w:tcPr>
            <w:tcW w:w="1267" w:type="dxa"/>
            <w:shd w:val="clear" w:color="auto" w:fill="C0C0C0"/>
            <w:noWrap/>
            <w:vAlign w:val="center"/>
          </w:tcPr>
          <w:p w:rsidR="00861EE0" w:rsidRPr="00861EE0" w:rsidRDefault="00861EE0" w:rsidP="008D7C4C">
            <w:pPr>
              <w:jc w:val="right"/>
              <w:rPr>
                <w:b/>
                <w:bCs/>
              </w:rPr>
            </w:pPr>
            <w:r w:rsidRPr="00861EE0">
              <w:rPr>
                <w:b/>
                <w:bCs/>
              </w:rPr>
              <w:t>1 000 000</w:t>
            </w:r>
          </w:p>
        </w:tc>
        <w:tc>
          <w:tcPr>
            <w:tcW w:w="1267" w:type="dxa"/>
            <w:shd w:val="clear" w:color="auto" w:fill="C0C0C0"/>
            <w:noWrap/>
            <w:vAlign w:val="center"/>
          </w:tcPr>
          <w:p w:rsidR="00861EE0" w:rsidRPr="00861EE0" w:rsidRDefault="00861EE0" w:rsidP="008D7C4C">
            <w:pPr>
              <w:jc w:val="right"/>
              <w:rPr>
                <w:b/>
                <w:bCs/>
              </w:rPr>
            </w:pPr>
            <w:r w:rsidRPr="00861EE0">
              <w:rPr>
                <w:b/>
                <w:bCs/>
              </w:rPr>
              <w:t>1 000 000</w:t>
            </w:r>
          </w:p>
        </w:tc>
        <w:tc>
          <w:tcPr>
            <w:tcW w:w="1267" w:type="dxa"/>
            <w:shd w:val="clear" w:color="auto" w:fill="C0C0C0"/>
            <w:noWrap/>
            <w:vAlign w:val="center"/>
          </w:tcPr>
          <w:p w:rsidR="00861EE0" w:rsidRPr="00861EE0" w:rsidRDefault="00861EE0" w:rsidP="008D7C4C">
            <w:pPr>
              <w:jc w:val="right"/>
              <w:rPr>
                <w:b/>
                <w:bCs/>
              </w:rPr>
            </w:pPr>
            <w:r w:rsidRPr="00861EE0">
              <w:rPr>
                <w:b/>
                <w:bCs/>
              </w:rPr>
              <w:t>1 500 000</w:t>
            </w:r>
          </w:p>
        </w:tc>
        <w:tc>
          <w:tcPr>
            <w:tcW w:w="1267" w:type="dxa"/>
            <w:shd w:val="clear" w:color="auto" w:fill="C0C0C0"/>
            <w:noWrap/>
            <w:vAlign w:val="center"/>
          </w:tcPr>
          <w:p w:rsidR="00861EE0" w:rsidRPr="00861EE0" w:rsidRDefault="00861EE0" w:rsidP="008D7C4C">
            <w:pPr>
              <w:jc w:val="right"/>
              <w:rPr>
                <w:b/>
                <w:bCs/>
              </w:rPr>
            </w:pPr>
            <w:r w:rsidRPr="00861EE0">
              <w:rPr>
                <w:b/>
                <w:bCs/>
              </w:rPr>
              <w:t>2 000 000</w:t>
            </w:r>
          </w:p>
        </w:tc>
      </w:tr>
      <w:tr w:rsidR="00861EE0" w:rsidRPr="00861EE0" w:rsidTr="008D7C4C">
        <w:trPr>
          <w:trHeight w:val="70"/>
          <w:jc w:val="center"/>
        </w:trPr>
        <w:tc>
          <w:tcPr>
            <w:tcW w:w="4661" w:type="dxa"/>
            <w:noWrap/>
            <w:vAlign w:val="center"/>
          </w:tcPr>
          <w:p w:rsidR="00861EE0" w:rsidRPr="00861EE0" w:rsidRDefault="00861EE0" w:rsidP="008D7C4C">
            <w:r w:rsidRPr="00861EE0">
              <w:t>Kapitola: Všeobecná pokladničná správa</w:t>
            </w:r>
          </w:p>
          <w:p w:rsidR="00861EE0" w:rsidRPr="00861EE0" w:rsidRDefault="00861EE0" w:rsidP="008D7C4C">
            <w:r w:rsidRPr="00861EE0">
              <w:t>Výdavkový titul: Zahraničná ekonomická pomoc, EXIMBANKA SR</w:t>
            </w:r>
          </w:p>
          <w:p w:rsidR="00861EE0" w:rsidRPr="00861EE0" w:rsidRDefault="00861EE0" w:rsidP="008D7C4C">
            <w:r w:rsidRPr="00861EE0">
              <w:t>FK: 01.2.1., EK: 649003</w:t>
            </w:r>
          </w:p>
        </w:tc>
        <w:tc>
          <w:tcPr>
            <w:tcW w:w="1267" w:type="dxa"/>
            <w:noWrap/>
            <w:vAlign w:val="center"/>
          </w:tcPr>
          <w:p w:rsidR="00861EE0" w:rsidRPr="00861EE0" w:rsidRDefault="00861EE0" w:rsidP="008D7C4C">
            <w:pPr>
              <w:jc w:val="right"/>
              <w:rPr>
                <w:b/>
                <w:bCs/>
              </w:rPr>
            </w:pPr>
            <w:r w:rsidRPr="00861EE0">
              <w:rPr>
                <w:b/>
                <w:bCs/>
              </w:rPr>
              <w:t>1 000 000</w:t>
            </w:r>
          </w:p>
        </w:tc>
        <w:tc>
          <w:tcPr>
            <w:tcW w:w="1267" w:type="dxa"/>
            <w:noWrap/>
            <w:vAlign w:val="center"/>
          </w:tcPr>
          <w:p w:rsidR="00861EE0" w:rsidRPr="00861EE0" w:rsidRDefault="00861EE0" w:rsidP="008D7C4C">
            <w:pPr>
              <w:jc w:val="right"/>
              <w:rPr>
                <w:b/>
                <w:bCs/>
              </w:rPr>
            </w:pPr>
            <w:r w:rsidRPr="00861EE0">
              <w:rPr>
                <w:b/>
                <w:bCs/>
              </w:rPr>
              <w:t>1 000 000</w:t>
            </w:r>
          </w:p>
        </w:tc>
        <w:tc>
          <w:tcPr>
            <w:tcW w:w="1267" w:type="dxa"/>
            <w:noWrap/>
            <w:vAlign w:val="center"/>
          </w:tcPr>
          <w:p w:rsidR="00861EE0" w:rsidRPr="00861EE0" w:rsidRDefault="00861EE0" w:rsidP="008D7C4C">
            <w:pPr>
              <w:jc w:val="right"/>
              <w:rPr>
                <w:b/>
                <w:bCs/>
              </w:rPr>
            </w:pPr>
            <w:r w:rsidRPr="00861EE0">
              <w:rPr>
                <w:b/>
                <w:bCs/>
              </w:rPr>
              <w:t>1 500 000</w:t>
            </w:r>
          </w:p>
        </w:tc>
        <w:tc>
          <w:tcPr>
            <w:tcW w:w="1267" w:type="dxa"/>
            <w:noWrap/>
            <w:vAlign w:val="center"/>
          </w:tcPr>
          <w:p w:rsidR="00861EE0" w:rsidRPr="00861EE0" w:rsidRDefault="00861EE0" w:rsidP="008D7C4C">
            <w:pPr>
              <w:jc w:val="right"/>
              <w:rPr>
                <w:b/>
                <w:bCs/>
              </w:rPr>
            </w:pPr>
            <w:r w:rsidRPr="00861EE0">
              <w:rPr>
                <w:b/>
                <w:bCs/>
              </w:rPr>
              <w:t>2 000 000</w:t>
            </w:r>
          </w:p>
        </w:tc>
      </w:tr>
      <w:tr w:rsidR="00861EE0" w:rsidRPr="00861EE0" w:rsidTr="008D7C4C">
        <w:trPr>
          <w:trHeight w:val="70"/>
          <w:jc w:val="center"/>
        </w:trPr>
        <w:tc>
          <w:tcPr>
            <w:tcW w:w="4661" w:type="dxa"/>
            <w:noWrap/>
            <w:vAlign w:val="center"/>
          </w:tcPr>
          <w:p w:rsidR="00861EE0" w:rsidRPr="00861EE0" w:rsidRDefault="00861EE0" w:rsidP="008D7C4C">
            <w:pPr>
              <w:rPr>
                <w:b/>
                <w:bCs/>
                <w:i/>
                <w:iCs/>
              </w:rPr>
            </w:pPr>
            <w:r w:rsidRPr="00861EE0">
              <w:rPr>
                <w:b/>
                <w:bCs/>
                <w:i/>
                <w:iCs/>
              </w:rPr>
              <w:t xml:space="preserve">z toho: </w:t>
            </w:r>
          </w:p>
        </w:tc>
        <w:tc>
          <w:tcPr>
            <w:tcW w:w="1267" w:type="dxa"/>
            <w:noWrap/>
            <w:vAlign w:val="center"/>
          </w:tcPr>
          <w:p w:rsidR="00861EE0" w:rsidRPr="00861EE0" w:rsidRDefault="00861EE0" w:rsidP="008D7C4C">
            <w:pPr>
              <w:jc w:val="right"/>
              <w:rPr>
                <w:b/>
                <w:bCs/>
                <w:iCs/>
              </w:rPr>
            </w:pPr>
          </w:p>
        </w:tc>
        <w:tc>
          <w:tcPr>
            <w:tcW w:w="1267" w:type="dxa"/>
            <w:noWrap/>
            <w:vAlign w:val="center"/>
          </w:tcPr>
          <w:p w:rsidR="00861EE0" w:rsidRPr="00861EE0" w:rsidRDefault="00861EE0" w:rsidP="008D7C4C">
            <w:pPr>
              <w:jc w:val="right"/>
              <w:rPr>
                <w:b/>
                <w:bCs/>
                <w:iCs/>
              </w:rPr>
            </w:pPr>
          </w:p>
        </w:tc>
        <w:tc>
          <w:tcPr>
            <w:tcW w:w="1267" w:type="dxa"/>
            <w:noWrap/>
            <w:vAlign w:val="center"/>
          </w:tcPr>
          <w:p w:rsidR="00861EE0" w:rsidRPr="00861EE0" w:rsidRDefault="00861EE0" w:rsidP="008D7C4C">
            <w:pPr>
              <w:jc w:val="right"/>
              <w:rPr>
                <w:b/>
                <w:bCs/>
                <w:iCs/>
              </w:rPr>
            </w:pPr>
          </w:p>
        </w:tc>
        <w:tc>
          <w:tcPr>
            <w:tcW w:w="1267" w:type="dxa"/>
            <w:noWrap/>
            <w:vAlign w:val="center"/>
          </w:tcPr>
          <w:p w:rsidR="00861EE0" w:rsidRPr="00861EE0" w:rsidRDefault="00861EE0" w:rsidP="008D7C4C">
            <w:pPr>
              <w:jc w:val="right"/>
              <w:rPr>
                <w:b/>
                <w:bCs/>
                <w:iCs/>
              </w:rPr>
            </w:pPr>
          </w:p>
        </w:tc>
      </w:tr>
      <w:tr w:rsidR="00861EE0" w:rsidRPr="00861EE0" w:rsidTr="008D7C4C">
        <w:trPr>
          <w:trHeight w:val="70"/>
          <w:jc w:val="center"/>
        </w:trPr>
        <w:tc>
          <w:tcPr>
            <w:tcW w:w="4661" w:type="dxa"/>
            <w:noWrap/>
            <w:vAlign w:val="center"/>
          </w:tcPr>
          <w:p w:rsidR="00861EE0" w:rsidRPr="00861EE0" w:rsidRDefault="00861EE0" w:rsidP="008D7C4C">
            <w:pPr>
              <w:rPr>
                <w:b/>
                <w:bCs/>
                <w:i/>
                <w:iCs/>
              </w:rPr>
            </w:pPr>
            <w:r w:rsidRPr="00861EE0">
              <w:rPr>
                <w:b/>
                <w:bCs/>
                <w:i/>
                <w:iCs/>
              </w:rPr>
              <w:t>- vplyv na ŠR</w:t>
            </w:r>
          </w:p>
        </w:tc>
        <w:tc>
          <w:tcPr>
            <w:tcW w:w="1267" w:type="dxa"/>
            <w:noWrap/>
            <w:vAlign w:val="center"/>
          </w:tcPr>
          <w:p w:rsidR="00861EE0" w:rsidRPr="00861EE0" w:rsidRDefault="00861EE0" w:rsidP="008D7C4C">
            <w:pPr>
              <w:jc w:val="right"/>
              <w:rPr>
                <w:b/>
                <w:bCs/>
              </w:rPr>
            </w:pPr>
            <w:r w:rsidRPr="00861EE0">
              <w:rPr>
                <w:b/>
                <w:bCs/>
              </w:rPr>
              <w:t>1 000 000</w:t>
            </w:r>
          </w:p>
        </w:tc>
        <w:tc>
          <w:tcPr>
            <w:tcW w:w="1267" w:type="dxa"/>
            <w:noWrap/>
            <w:vAlign w:val="center"/>
          </w:tcPr>
          <w:p w:rsidR="00861EE0" w:rsidRPr="00861EE0" w:rsidRDefault="00861EE0" w:rsidP="008D7C4C">
            <w:pPr>
              <w:jc w:val="right"/>
              <w:rPr>
                <w:b/>
                <w:bCs/>
              </w:rPr>
            </w:pPr>
            <w:r w:rsidRPr="00861EE0">
              <w:rPr>
                <w:b/>
                <w:bCs/>
              </w:rPr>
              <w:t>1 000 000</w:t>
            </w:r>
          </w:p>
        </w:tc>
        <w:tc>
          <w:tcPr>
            <w:tcW w:w="1267" w:type="dxa"/>
            <w:noWrap/>
            <w:vAlign w:val="center"/>
          </w:tcPr>
          <w:p w:rsidR="00861EE0" w:rsidRPr="00861EE0" w:rsidRDefault="00861EE0" w:rsidP="008D7C4C">
            <w:pPr>
              <w:jc w:val="right"/>
              <w:rPr>
                <w:b/>
                <w:bCs/>
              </w:rPr>
            </w:pPr>
            <w:r w:rsidRPr="00861EE0">
              <w:rPr>
                <w:b/>
                <w:bCs/>
              </w:rPr>
              <w:t>1 500 000</w:t>
            </w:r>
          </w:p>
        </w:tc>
        <w:tc>
          <w:tcPr>
            <w:tcW w:w="1267" w:type="dxa"/>
            <w:noWrap/>
            <w:vAlign w:val="center"/>
          </w:tcPr>
          <w:p w:rsidR="00861EE0" w:rsidRPr="00861EE0" w:rsidRDefault="00861EE0" w:rsidP="008D7C4C">
            <w:pPr>
              <w:jc w:val="right"/>
              <w:rPr>
                <w:b/>
                <w:bCs/>
              </w:rPr>
            </w:pPr>
            <w:r w:rsidRPr="00861EE0">
              <w:rPr>
                <w:b/>
                <w:bCs/>
              </w:rPr>
              <w:t>2 000 000</w:t>
            </w:r>
          </w:p>
        </w:tc>
      </w:tr>
      <w:tr w:rsidR="00861EE0" w:rsidRPr="00861EE0" w:rsidTr="008D7C4C">
        <w:trPr>
          <w:trHeight w:val="70"/>
          <w:jc w:val="center"/>
        </w:trPr>
        <w:tc>
          <w:tcPr>
            <w:tcW w:w="4661" w:type="dxa"/>
            <w:noWrap/>
            <w:vAlign w:val="center"/>
          </w:tcPr>
          <w:p w:rsidR="00861EE0" w:rsidRPr="00861EE0" w:rsidRDefault="00861EE0" w:rsidP="008D7C4C">
            <w:pPr>
              <w:ind w:left="259"/>
              <w:rPr>
                <w:b/>
                <w:bCs/>
                <w:i/>
                <w:iCs/>
              </w:rPr>
            </w:pPr>
            <w:r w:rsidRPr="00861EE0">
              <w:rPr>
                <w:bCs/>
                <w:i/>
                <w:iCs/>
              </w:rPr>
              <w:t>Rozpočtové prostriedky</w:t>
            </w:r>
          </w:p>
        </w:tc>
        <w:tc>
          <w:tcPr>
            <w:tcW w:w="1267" w:type="dxa"/>
            <w:noWrap/>
            <w:vAlign w:val="center"/>
          </w:tcPr>
          <w:p w:rsidR="00861EE0" w:rsidRPr="00861EE0" w:rsidRDefault="00861EE0" w:rsidP="008D7C4C">
            <w:pPr>
              <w:jc w:val="right"/>
              <w:rPr>
                <w:b/>
                <w:bCs/>
              </w:rPr>
            </w:pPr>
            <w:r w:rsidRPr="00861EE0">
              <w:rPr>
                <w:b/>
                <w:bCs/>
              </w:rPr>
              <w:t>1 000 000</w:t>
            </w:r>
          </w:p>
        </w:tc>
        <w:tc>
          <w:tcPr>
            <w:tcW w:w="1267" w:type="dxa"/>
            <w:noWrap/>
            <w:vAlign w:val="center"/>
          </w:tcPr>
          <w:p w:rsidR="00861EE0" w:rsidRPr="00861EE0" w:rsidRDefault="00861EE0" w:rsidP="008D7C4C">
            <w:pPr>
              <w:jc w:val="right"/>
              <w:rPr>
                <w:b/>
                <w:bCs/>
              </w:rPr>
            </w:pPr>
            <w:r w:rsidRPr="00861EE0">
              <w:rPr>
                <w:b/>
                <w:bCs/>
              </w:rPr>
              <w:t>1 000 000</w:t>
            </w:r>
          </w:p>
        </w:tc>
        <w:tc>
          <w:tcPr>
            <w:tcW w:w="1267" w:type="dxa"/>
            <w:noWrap/>
            <w:vAlign w:val="center"/>
          </w:tcPr>
          <w:p w:rsidR="00861EE0" w:rsidRPr="00861EE0" w:rsidRDefault="00861EE0" w:rsidP="008D7C4C">
            <w:pPr>
              <w:jc w:val="right"/>
              <w:rPr>
                <w:b/>
                <w:bCs/>
              </w:rPr>
            </w:pPr>
            <w:r w:rsidRPr="00861EE0">
              <w:rPr>
                <w:b/>
                <w:bCs/>
              </w:rPr>
              <w:t>1 500 000</w:t>
            </w:r>
          </w:p>
        </w:tc>
        <w:tc>
          <w:tcPr>
            <w:tcW w:w="1267" w:type="dxa"/>
            <w:noWrap/>
            <w:vAlign w:val="center"/>
          </w:tcPr>
          <w:p w:rsidR="00861EE0" w:rsidRPr="00861EE0" w:rsidRDefault="00861EE0" w:rsidP="008D7C4C">
            <w:pPr>
              <w:jc w:val="right"/>
              <w:rPr>
                <w:b/>
                <w:bCs/>
              </w:rPr>
            </w:pPr>
            <w:r w:rsidRPr="00861EE0">
              <w:rPr>
                <w:b/>
                <w:bCs/>
              </w:rPr>
              <w:t>2 000 000</w:t>
            </w:r>
          </w:p>
        </w:tc>
      </w:tr>
      <w:tr w:rsidR="00861EE0" w:rsidRPr="00861EE0" w:rsidTr="008D7C4C">
        <w:trPr>
          <w:trHeight w:val="70"/>
          <w:jc w:val="center"/>
        </w:trPr>
        <w:tc>
          <w:tcPr>
            <w:tcW w:w="4661" w:type="dxa"/>
            <w:noWrap/>
            <w:vAlign w:val="center"/>
          </w:tcPr>
          <w:p w:rsidR="00861EE0" w:rsidRPr="00861EE0" w:rsidRDefault="00861EE0" w:rsidP="008D7C4C">
            <w:pPr>
              <w:rPr>
                <w:bCs/>
                <w:i/>
                <w:iCs/>
              </w:rPr>
            </w:pPr>
            <w:r w:rsidRPr="00861EE0">
              <w:rPr>
                <w:bCs/>
                <w:i/>
                <w:iCs/>
              </w:rPr>
              <w:t xml:space="preserve">    EÚ zdroje</w:t>
            </w:r>
          </w:p>
        </w:tc>
        <w:tc>
          <w:tcPr>
            <w:tcW w:w="1267" w:type="dxa"/>
            <w:noWrap/>
            <w:vAlign w:val="center"/>
          </w:tcPr>
          <w:p w:rsidR="00861EE0" w:rsidRPr="00861EE0" w:rsidRDefault="00861EE0" w:rsidP="008D7C4C">
            <w:pPr>
              <w:jc w:val="right"/>
            </w:pPr>
            <w:r w:rsidRPr="00861EE0">
              <w:t>0</w:t>
            </w:r>
          </w:p>
        </w:tc>
        <w:tc>
          <w:tcPr>
            <w:tcW w:w="1267" w:type="dxa"/>
            <w:noWrap/>
            <w:vAlign w:val="center"/>
          </w:tcPr>
          <w:p w:rsidR="00861EE0" w:rsidRPr="00861EE0" w:rsidRDefault="00861EE0" w:rsidP="008D7C4C">
            <w:pPr>
              <w:jc w:val="right"/>
            </w:pPr>
            <w:r w:rsidRPr="00861EE0">
              <w:t>0</w:t>
            </w:r>
          </w:p>
        </w:tc>
        <w:tc>
          <w:tcPr>
            <w:tcW w:w="1267" w:type="dxa"/>
            <w:noWrap/>
            <w:vAlign w:val="center"/>
          </w:tcPr>
          <w:p w:rsidR="00861EE0" w:rsidRPr="00861EE0" w:rsidRDefault="00861EE0" w:rsidP="008D7C4C">
            <w:pPr>
              <w:jc w:val="right"/>
            </w:pPr>
            <w:r w:rsidRPr="00861EE0">
              <w:t>0</w:t>
            </w:r>
          </w:p>
        </w:tc>
        <w:tc>
          <w:tcPr>
            <w:tcW w:w="1267" w:type="dxa"/>
            <w:noWrap/>
            <w:vAlign w:val="center"/>
          </w:tcPr>
          <w:p w:rsidR="00861EE0" w:rsidRPr="00861EE0" w:rsidRDefault="00861EE0" w:rsidP="008D7C4C">
            <w:pPr>
              <w:jc w:val="right"/>
            </w:pPr>
            <w:r w:rsidRPr="00861EE0">
              <w:t>0</w:t>
            </w:r>
          </w:p>
        </w:tc>
      </w:tr>
      <w:tr w:rsidR="00861EE0" w:rsidRPr="00861EE0" w:rsidTr="008D7C4C">
        <w:trPr>
          <w:trHeight w:val="70"/>
          <w:jc w:val="center"/>
        </w:trPr>
        <w:tc>
          <w:tcPr>
            <w:tcW w:w="4661" w:type="dxa"/>
            <w:noWrap/>
            <w:vAlign w:val="center"/>
          </w:tcPr>
          <w:p w:rsidR="00861EE0" w:rsidRPr="00861EE0" w:rsidRDefault="00861EE0" w:rsidP="008D7C4C">
            <w:pPr>
              <w:rPr>
                <w:bCs/>
                <w:i/>
                <w:iCs/>
              </w:rPr>
            </w:pPr>
            <w:r w:rsidRPr="00861EE0">
              <w:rPr>
                <w:bCs/>
                <w:i/>
                <w:iCs/>
              </w:rPr>
              <w:t xml:space="preserve">    spolufinancovanie</w:t>
            </w:r>
          </w:p>
        </w:tc>
        <w:tc>
          <w:tcPr>
            <w:tcW w:w="1267" w:type="dxa"/>
            <w:noWrap/>
            <w:vAlign w:val="center"/>
          </w:tcPr>
          <w:p w:rsidR="00861EE0" w:rsidRPr="00861EE0" w:rsidRDefault="00861EE0" w:rsidP="008D7C4C">
            <w:pPr>
              <w:jc w:val="right"/>
            </w:pPr>
            <w:r w:rsidRPr="00861EE0">
              <w:t>0</w:t>
            </w:r>
          </w:p>
        </w:tc>
        <w:tc>
          <w:tcPr>
            <w:tcW w:w="1267" w:type="dxa"/>
            <w:noWrap/>
            <w:vAlign w:val="center"/>
          </w:tcPr>
          <w:p w:rsidR="00861EE0" w:rsidRPr="00861EE0" w:rsidRDefault="00861EE0" w:rsidP="008D7C4C">
            <w:pPr>
              <w:jc w:val="right"/>
            </w:pPr>
            <w:r w:rsidRPr="00861EE0">
              <w:t>0</w:t>
            </w:r>
          </w:p>
        </w:tc>
        <w:tc>
          <w:tcPr>
            <w:tcW w:w="1267" w:type="dxa"/>
            <w:noWrap/>
            <w:vAlign w:val="center"/>
          </w:tcPr>
          <w:p w:rsidR="00861EE0" w:rsidRPr="00861EE0" w:rsidRDefault="00861EE0" w:rsidP="008D7C4C">
            <w:pPr>
              <w:jc w:val="right"/>
            </w:pPr>
            <w:r w:rsidRPr="00861EE0">
              <w:t>0</w:t>
            </w:r>
          </w:p>
        </w:tc>
        <w:tc>
          <w:tcPr>
            <w:tcW w:w="1267" w:type="dxa"/>
            <w:noWrap/>
            <w:vAlign w:val="center"/>
          </w:tcPr>
          <w:p w:rsidR="00861EE0" w:rsidRPr="00861EE0" w:rsidRDefault="00861EE0" w:rsidP="008D7C4C">
            <w:pPr>
              <w:jc w:val="right"/>
            </w:pPr>
            <w:r w:rsidRPr="00861EE0">
              <w:t>0</w:t>
            </w:r>
          </w:p>
        </w:tc>
      </w:tr>
      <w:tr w:rsidR="00861EE0" w:rsidRPr="00861EE0" w:rsidTr="008D7C4C">
        <w:trPr>
          <w:trHeight w:val="125"/>
          <w:jc w:val="center"/>
        </w:trPr>
        <w:tc>
          <w:tcPr>
            <w:tcW w:w="4661" w:type="dxa"/>
            <w:noWrap/>
            <w:vAlign w:val="center"/>
          </w:tcPr>
          <w:p w:rsidR="00861EE0" w:rsidRPr="00861EE0" w:rsidRDefault="00861EE0" w:rsidP="008D7C4C">
            <w:pPr>
              <w:rPr>
                <w:b/>
                <w:bCs/>
                <w:i/>
                <w:iCs/>
              </w:rPr>
            </w:pPr>
            <w:r w:rsidRPr="00861EE0">
              <w:rPr>
                <w:b/>
                <w:bCs/>
                <w:i/>
                <w:iCs/>
              </w:rPr>
              <w:t>- vplyv na obce</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125"/>
          <w:jc w:val="center"/>
        </w:trPr>
        <w:tc>
          <w:tcPr>
            <w:tcW w:w="4661" w:type="dxa"/>
            <w:noWrap/>
            <w:vAlign w:val="center"/>
          </w:tcPr>
          <w:p w:rsidR="00861EE0" w:rsidRPr="00861EE0" w:rsidRDefault="00861EE0" w:rsidP="008D7C4C">
            <w:pPr>
              <w:rPr>
                <w:b/>
                <w:bCs/>
                <w:i/>
                <w:iCs/>
              </w:rPr>
            </w:pPr>
            <w:r w:rsidRPr="00861EE0">
              <w:rPr>
                <w:b/>
                <w:bCs/>
                <w:i/>
                <w:iCs/>
              </w:rPr>
              <w:t>- vplyv na vyššie územné celky</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70"/>
          <w:jc w:val="center"/>
        </w:trPr>
        <w:tc>
          <w:tcPr>
            <w:tcW w:w="4661" w:type="dxa"/>
            <w:noWrap/>
            <w:vAlign w:val="center"/>
          </w:tcPr>
          <w:p w:rsidR="00861EE0" w:rsidRPr="00861EE0" w:rsidRDefault="00861EE0" w:rsidP="008D7C4C">
            <w:pPr>
              <w:rPr>
                <w:b/>
                <w:bCs/>
              </w:rPr>
            </w:pPr>
            <w:r w:rsidRPr="00861EE0">
              <w:rPr>
                <w:b/>
                <w:bCs/>
                <w:i/>
                <w:iCs/>
              </w:rPr>
              <w:t>- vplyv na ostatné subjekty verejnej správy</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70"/>
          <w:jc w:val="center"/>
        </w:trPr>
        <w:tc>
          <w:tcPr>
            <w:tcW w:w="4661" w:type="dxa"/>
            <w:shd w:val="clear" w:color="auto" w:fill="BFBFBF" w:themeFill="background1" w:themeFillShade="BF"/>
            <w:noWrap/>
            <w:vAlign w:val="center"/>
          </w:tcPr>
          <w:p w:rsidR="00861EE0" w:rsidRPr="00861EE0" w:rsidRDefault="00861EE0" w:rsidP="008D7C4C">
            <w:pPr>
              <w:rPr>
                <w:b/>
                <w:bCs/>
              </w:rPr>
            </w:pPr>
            <w:r w:rsidRPr="00861EE0">
              <w:rPr>
                <w:b/>
                <w:bCs/>
              </w:rPr>
              <w:t xml:space="preserve">Vplyv na počet zamestnancov </w:t>
            </w:r>
          </w:p>
        </w:tc>
        <w:tc>
          <w:tcPr>
            <w:tcW w:w="1267" w:type="dxa"/>
            <w:shd w:val="clear" w:color="auto" w:fill="BFBFBF" w:themeFill="background1" w:themeFillShade="BF"/>
            <w:noWrap/>
            <w:vAlign w:val="center"/>
          </w:tcPr>
          <w:p w:rsidR="00861EE0" w:rsidRPr="00861EE0" w:rsidRDefault="00861EE0" w:rsidP="008D7C4C">
            <w:pPr>
              <w:jc w:val="right"/>
              <w:rPr>
                <w:b/>
                <w:bCs/>
              </w:rPr>
            </w:pPr>
            <w:r w:rsidRPr="00861EE0">
              <w:rPr>
                <w:b/>
                <w:bCs/>
              </w:rPr>
              <w:t>0</w:t>
            </w:r>
          </w:p>
        </w:tc>
        <w:tc>
          <w:tcPr>
            <w:tcW w:w="1267" w:type="dxa"/>
            <w:shd w:val="clear" w:color="auto" w:fill="BFBFBF" w:themeFill="background1" w:themeFillShade="BF"/>
            <w:noWrap/>
            <w:vAlign w:val="center"/>
          </w:tcPr>
          <w:p w:rsidR="00861EE0" w:rsidRPr="00861EE0" w:rsidRDefault="00861EE0" w:rsidP="008D7C4C">
            <w:pPr>
              <w:jc w:val="right"/>
              <w:rPr>
                <w:b/>
                <w:bCs/>
              </w:rPr>
            </w:pPr>
            <w:r w:rsidRPr="00861EE0">
              <w:rPr>
                <w:b/>
                <w:bCs/>
              </w:rPr>
              <w:t>0</w:t>
            </w:r>
          </w:p>
        </w:tc>
        <w:tc>
          <w:tcPr>
            <w:tcW w:w="1267" w:type="dxa"/>
            <w:shd w:val="clear" w:color="auto" w:fill="BFBFBF" w:themeFill="background1" w:themeFillShade="BF"/>
            <w:noWrap/>
            <w:vAlign w:val="center"/>
          </w:tcPr>
          <w:p w:rsidR="00861EE0" w:rsidRPr="00861EE0" w:rsidRDefault="00861EE0" w:rsidP="008D7C4C">
            <w:pPr>
              <w:jc w:val="right"/>
              <w:rPr>
                <w:b/>
                <w:bCs/>
              </w:rPr>
            </w:pPr>
            <w:r w:rsidRPr="00861EE0">
              <w:rPr>
                <w:b/>
                <w:bCs/>
              </w:rPr>
              <w:t>0</w:t>
            </w:r>
          </w:p>
        </w:tc>
        <w:tc>
          <w:tcPr>
            <w:tcW w:w="1267" w:type="dxa"/>
            <w:shd w:val="clear" w:color="auto" w:fill="BFBFBF" w:themeFill="background1" w:themeFillShade="BF"/>
            <w:noWrap/>
            <w:vAlign w:val="center"/>
          </w:tcPr>
          <w:p w:rsidR="00861EE0" w:rsidRPr="00861EE0" w:rsidRDefault="00861EE0" w:rsidP="008D7C4C">
            <w:pPr>
              <w:jc w:val="right"/>
              <w:rPr>
                <w:b/>
                <w:bCs/>
              </w:rPr>
            </w:pPr>
            <w:r w:rsidRPr="00861EE0">
              <w:rPr>
                <w:b/>
                <w:bCs/>
              </w:rPr>
              <w:t>0</w:t>
            </w:r>
          </w:p>
        </w:tc>
      </w:tr>
      <w:tr w:rsidR="00861EE0" w:rsidRPr="00861EE0" w:rsidTr="008D7C4C">
        <w:trPr>
          <w:trHeight w:val="70"/>
          <w:jc w:val="center"/>
        </w:trPr>
        <w:tc>
          <w:tcPr>
            <w:tcW w:w="4661" w:type="dxa"/>
            <w:noWrap/>
            <w:vAlign w:val="center"/>
          </w:tcPr>
          <w:p w:rsidR="00861EE0" w:rsidRPr="00861EE0" w:rsidRDefault="00861EE0" w:rsidP="008D7C4C">
            <w:pPr>
              <w:rPr>
                <w:b/>
                <w:bCs/>
                <w:i/>
                <w:iCs/>
              </w:rPr>
            </w:pPr>
            <w:r w:rsidRPr="00861EE0">
              <w:rPr>
                <w:b/>
                <w:bCs/>
                <w:i/>
                <w:iCs/>
              </w:rPr>
              <w:t>- vplyv na ŠR</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70"/>
          <w:jc w:val="center"/>
        </w:trPr>
        <w:tc>
          <w:tcPr>
            <w:tcW w:w="4661" w:type="dxa"/>
            <w:noWrap/>
            <w:vAlign w:val="center"/>
          </w:tcPr>
          <w:p w:rsidR="00861EE0" w:rsidRPr="00861EE0" w:rsidRDefault="00861EE0" w:rsidP="008D7C4C">
            <w:pPr>
              <w:rPr>
                <w:b/>
                <w:bCs/>
                <w:i/>
                <w:iCs/>
              </w:rPr>
            </w:pPr>
            <w:r w:rsidRPr="00861EE0">
              <w:rPr>
                <w:b/>
                <w:bCs/>
                <w:i/>
                <w:iCs/>
              </w:rPr>
              <w:t>- vplyv na obce</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70"/>
          <w:jc w:val="center"/>
        </w:trPr>
        <w:tc>
          <w:tcPr>
            <w:tcW w:w="4661" w:type="dxa"/>
            <w:noWrap/>
            <w:vAlign w:val="center"/>
          </w:tcPr>
          <w:p w:rsidR="00861EE0" w:rsidRPr="00861EE0" w:rsidRDefault="00861EE0" w:rsidP="008D7C4C">
            <w:pPr>
              <w:rPr>
                <w:b/>
                <w:bCs/>
                <w:i/>
                <w:iCs/>
              </w:rPr>
            </w:pPr>
            <w:r w:rsidRPr="00861EE0">
              <w:rPr>
                <w:b/>
                <w:bCs/>
                <w:i/>
                <w:iCs/>
              </w:rPr>
              <w:t>- vplyv na vyššie územné celky</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70"/>
          <w:jc w:val="center"/>
        </w:trPr>
        <w:tc>
          <w:tcPr>
            <w:tcW w:w="4661" w:type="dxa"/>
            <w:noWrap/>
            <w:vAlign w:val="center"/>
          </w:tcPr>
          <w:p w:rsidR="00861EE0" w:rsidRPr="00861EE0" w:rsidRDefault="00861EE0" w:rsidP="008D7C4C">
            <w:pPr>
              <w:rPr>
                <w:b/>
                <w:bCs/>
                <w:i/>
                <w:iCs/>
              </w:rPr>
            </w:pPr>
            <w:r w:rsidRPr="00861EE0">
              <w:rPr>
                <w:b/>
                <w:bCs/>
                <w:i/>
                <w:iCs/>
              </w:rPr>
              <w:t>- vplyv na ostatné subjekty verejnej správy</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70"/>
          <w:jc w:val="center"/>
        </w:trPr>
        <w:tc>
          <w:tcPr>
            <w:tcW w:w="4661" w:type="dxa"/>
            <w:shd w:val="clear" w:color="auto" w:fill="BFBFBF" w:themeFill="background1" w:themeFillShade="BF"/>
            <w:noWrap/>
            <w:vAlign w:val="center"/>
          </w:tcPr>
          <w:p w:rsidR="00861EE0" w:rsidRPr="00861EE0" w:rsidRDefault="00861EE0" w:rsidP="008D7C4C">
            <w:pPr>
              <w:rPr>
                <w:b/>
              </w:rPr>
            </w:pPr>
            <w:r w:rsidRPr="00861EE0">
              <w:rPr>
                <w:b/>
              </w:rPr>
              <w:t>Vplyv na mzdové výdavky</w:t>
            </w:r>
          </w:p>
        </w:tc>
        <w:tc>
          <w:tcPr>
            <w:tcW w:w="1267" w:type="dxa"/>
            <w:shd w:val="clear" w:color="auto" w:fill="BFBFBF" w:themeFill="background1" w:themeFillShade="BF"/>
            <w:noWrap/>
            <w:vAlign w:val="center"/>
          </w:tcPr>
          <w:p w:rsidR="00861EE0" w:rsidRPr="00861EE0" w:rsidRDefault="00861EE0" w:rsidP="008D7C4C">
            <w:pPr>
              <w:jc w:val="right"/>
              <w:rPr>
                <w:b/>
              </w:rPr>
            </w:pPr>
            <w:r w:rsidRPr="00861EE0">
              <w:rPr>
                <w:b/>
              </w:rPr>
              <w:t>0</w:t>
            </w:r>
          </w:p>
        </w:tc>
        <w:tc>
          <w:tcPr>
            <w:tcW w:w="1267" w:type="dxa"/>
            <w:shd w:val="clear" w:color="auto" w:fill="BFBFBF" w:themeFill="background1" w:themeFillShade="BF"/>
            <w:noWrap/>
            <w:vAlign w:val="center"/>
          </w:tcPr>
          <w:p w:rsidR="00861EE0" w:rsidRPr="00861EE0" w:rsidRDefault="00861EE0" w:rsidP="008D7C4C">
            <w:pPr>
              <w:jc w:val="right"/>
              <w:rPr>
                <w:b/>
              </w:rPr>
            </w:pPr>
            <w:r w:rsidRPr="00861EE0">
              <w:rPr>
                <w:b/>
              </w:rPr>
              <w:t>0</w:t>
            </w:r>
          </w:p>
        </w:tc>
        <w:tc>
          <w:tcPr>
            <w:tcW w:w="1267" w:type="dxa"/>
            <w:shd w:val="clear" w:color="auto" w:fill="BFBFBF" w:themeFill="background1" w:themeFillShade="BF"/>
            <w:noWrap/>
            <w:vAlign w:val="center"/>
          </w:tcPr>
          <w:p w:rsidR="00861EE0" w:rsidRPr="00861EE0" w:rsidRDefault="00861EE0" w:rsidP="008D7C4C">
            <w:pPr>
              <w:jc w:val="right"/>
              <w:rPr>
                <w:b/>
              </w:rPr>
            </w:pPr>
            <w:r w:rsidRPr="00861EE0">
              <w:rPr>
                <w:b/>
              </w:rPr>
              <w:t>0</w:t>
            </w:r>
          </w:p>
        </w:tc>
        <w:tc>
          <w:tcPr>
            <w:tcW w:w="1267" w:type="dxa"/>
            <w:shd w:val="clear" w:color="auto" w:fill="BFBFBF" w:themeFill="background1" w:themeFillShade="BF"/>
            <w:noWrap/>
            <w:vAlign w:val="center"/>
          </w:tcPr>
          <w:p w:rsidR="00861EE0" w:rsidRPr="00861EE0" w:rsidRDefault="00861EE0" w:rsidP="008D7C4C">
            <w:pPr>
              <w:jc w:val="right"/>
              <w:rPr>
                <w:b/>
              </w:rPr>
            </w:pPr>
            <w:r w:rsidRPr="00861EE0">
              <w:rPr>
                <w:b/>
              </w:rPr>
              <w:t>0</w:t>
            </w:r>
          </w:p>
        </w:tc>
      </w:tr>
      <w:tr w:rsidR="00861EE0" w:rsidRPr="00861EE0" w:rsidTr="008D7C4C">
        <w:trPr>
          <w:trHeight w:val="70"/>
          <w:jc w:val="center"/>
        </w:trPr>
        <w:tc>
          <w:tcPr>
            <w:tcW w:w="4661" w:type="dxa"/>
            <w:noWrap/>
            <w:vAlign w:val="center"/>
          </w:tcPr>
          <w:p w:rsidR="00861EE0" w:rsidRPr="00861EE0" w:rsidRDefault="00861EE0" w:rsidP="008D7C4C">
            <w:pPr>
              <w:rPr>
                <w:b/>
                <w:bCs/>
                <w:i/>
                <w:iCs/>
              </w:rPr>
            </w:pPr>
            <w:r w:rsidRPr="00861EE0">
              <w:rPr>
                <w:b/>
                <w:bCs/>
                <w:i/>
                <w:iCs/>
              </w:rPr>
              <w:t>- vplyv na ŠR</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70"/>
          <w:jc w:val="center"/>
        </w:trPr>
        <w:tc>
          <w:tcPr>
            <w:tcW w:w="4661" w:type="dxa"/>
            <w:noWrap/>
            <w:vAlign w:val="center"/>
          </w:tcPr>
          <w:p w:rsidR="00861EE0" w:rsidRPr="00861EE0" w:rsidRDefault="00861EE0" w:rsidP="008D7C4C">
            <w:pPr>
              <w:rPr>
                <w:b/>
                <w:bCs/>
                <w:i/>
                <w:iCs/>
              </w:rPr>
            </w:pPr>
            <w:r w:rsidRPr="00861EE0">
              <w:rPr>
                <w:b/>
                <w:bCs/>
                <w:i/>
                <w:iCs/>
              </w:rPr>
              <w:t>- vplyv na obce</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70"/>
          <w:jc w:val="center"/>
        </w:trPr>
        <w:tc>
          <w:tcPr>
            <w:tcW w:w="4661" w:type="dxa"/>
            <w:noWrap/>
            <w:vAlign w:val="center"/>
          </w:tcPr>
          <w:p w:rsidR="00861EE0" w:rsidRPr="00861EE0" w:rsidRDefault="00861EE0" w:rsidP="008D7C4C">
            <w:pPr>
              <w:rPr>
                <w:b/>
                <w:bCs/>
                <w:i/>
                <w:iCs/>
              </w:rPr>
            </w:pPr>
            <w:r w:rsidRPr="00861EE0">
              <w:rPr>
                <w:b/>
                <w:bCs/>
                <w:i/>
                <w:iCs/>
              </w:rPr>
              <w:t>- vplyv na vyššie územné celky</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70"/>
          <w:jc w:val="center"/>
        </w:trPr>
        <w:tc>
          <w:tcPr>
            <w:tcW w:w="4661" w:type="dxa"/>
            <w:noWrap/>
            <w:vAlign w:val="center"/>
          </w:tcPr>
          <w:p w:rsidR="00861EE0" w:rsidRPr="00861EE0" w:rsidRDefault="00861EE0" w:rsidP="008D7C4C">
            <w:pPr>
              <w:rPr>
                <w:b/>
                <w:bCs/>
              </w:rPr>
            </w:pPr>
            <w:r w:rsidRPr="00861EE0">
              <w:rPr>
                <w:b/>
                <w:bCs/>
                <w:i/>
                <w:iCs/>
              </w:rPr>
              <w:t>- vplyv na ostatné subjekty verejnej správy</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c>
          <w:tcPr>
            <w:tcW w:w="1267" w:type="dxa"/>
            <w:noWrap/>
            <w:vAlign w:val="center"/>
          </w:tcPr>
          <w:p w:rsidR="00861EE0" w:rsidRPr="00861EE0" w:rsidRDefault="00861EE0" w:rsidP="008D7C4C">
            <w:pPr>
              <w:jc w:val="right"/>
              <w:rPr>
                <w:b/>
                <w:bCs/>
                <w:iCs/>
              </w:rPr>
            </w:pPr>
            <w:r w:rsidRPr="00861EE0">
              <w:rPr>
                <w:b/>
                <w:bCs/>
                <w:iCs/>
              </w:rPr>
              <w:t>0</w:t>
            </w:r>
          </w:p>
        </w:tc>
      </w:tr>
      <w:tr w:rsidR="00861EE0" w:rsidRPr="00861EE0" w:rsidTr="008D7C4C">
        <w:trPr>
          <w:trHeight w:val="70"/>
          <w:jc w:val="center"/>
        </w:trPr>
        <w:tc>
          <w:tcPr>
            <w:tcW w:w="4661" w:type="dxa"/>
            <w:shd w:val="clear" w:color="auto" w:fill="C0C0C0"/>
            <w:noWrap/>
            <w:vAlign w:val="center"/>
          </w:tcPr>
          <w:p w:rsidR="00861EE0" w:rsidRPr="00861EE0" w:rsidRDefault="00861EE0" w:rsidP="008D7C4C">
            <w:pPr>
              <w:rPr>
                <w:b/>
                <w:bCs/>
              </w:rPr>
            </w:pPr>
            <w:r w:rsidRPr="00861EE0">
              <w:rPr>
                <w:b/>
                <w:bCs/>
              </w:rPr>
              <w:t>Financovanie zabezpečené v rozpočte</w:t>
            </w:r>
          </w:p>
        </w:tc>
        <w:tc>
          <w:tcPr>
            <w:tcW w:w="1267" w:type="dxa"/>
            <w:shd w:val="clear" w:color="auto" w:fill="C0C0C0"/>
            <w:noWrap/>
            <w:vAlign w:val="center"/>
          </w:tcPr>
          <w:p w:rsidR="00861EE0" w:rsidRPr="00861EE0" w:rsidRDefault="00861EE0" w:rsidP="008D7C4C">
            <w:pPr>
              <w:jc w:val="right"/>
              <w:rPr>
                <w:b/>
                <w:bCs/>
              </w:rPr>
            </w:pPr>
            <w:r w:rsidRPr="00861EE0">
              <w:rPr>
                <w:b/>
                <w:bCs/>
              </w:rPr>
              <w:t>1 000 000</w:t>
            </w:r>
          </w:p>
        </w:tc>
        <w:tc>
          <w:tcPr>
            <w:tcW w:w="1267" w:type="dxa"/>
            <w:shd w:val="clear" w:color="auto" w:fill="C0C0C0"/>
            <w:noWrap/>
            <w:vAlign w:val="center"/>
          </w:tcPr>
          <w:p w:rsidR="00861EE0" w:rsidRPr="00861EE0" w:rsidRDefault="00861EE0" w:rsidP="008D7C4C">
            <w:pPr>
              <w:jc w:val="right"/>
              <w:rPr>
                <w:b/>
                <w:bCs/>
              </w:rPr>
            </w:pPr>
            <w:r w:rsidRPr="00861EE0">
              <w:rPr>
                <w:b/>
                <w:bCs/>
              </w:rPr>
              <w:t>1 000 000</w:t>
            </w:r>
          </w:p>
        </w:tc>
        <w:tc>
          <w:tcPr>
            <w:tcW w:w="1267" w:type="dxa"/>
            <w:shd w:val="clear" w:color="auto" w:fill="C0C0C0"/>
            <w:noWrap/>
            <w:vAlign w:val="center"/>
          </w:tcPr>
          <w:p w:rsidR="00861EE0" w:rsidRPr="00861EE0" w:rsidRDefault="00861EE0" w:rsidP="008D7C4C">
            <w:pPr>
              <w:jc w:val="right"/>
              <w:rPr>
                <w:b/>
                <w:bCs/>
              </w:rPr>
            </w:pPr>
            <w:r w:rsidRPr="00861EE0">
              <w:rPr>
                <w:b/>
                <w:bCs/>
              </w:rPr>
              <w:t>1 500 000</w:t>
            </w:r>
          </w:p>
        </w:tc>
        <w:tc>
          <w:tcPr>
            <w:tcW w:w="1267" w:type="dxa"/>
            <w:shd w:val="clear" w:color="auto" w:fill="C0C0C0"/>
            <w:noWrap/>
            <w:vAlign w:val="center"/>
          </w:tcPr>
          <w:p w:rsidR="00861EE0" w:rsidRPr="00861EE0" w:rsidRDefault="00861EE0" w:rsidP="008D7C4C">
            <w:pPr>
              <w:jc w:val="right"/>
              <w:rPr>
                <w:b/>
                <w:bCs/>
              </w:rPr>
            </w:pPr>
            <w:r w:rsidRPr="00861EE0">
              <w:rPr>
                <w:b/>
                <w:bCs/>
              </w:rPr>
              <w:t>2 000 000</w:t>
            </w:r>
          </w:p>
        </w:tc>
      </w:tr>
      <w:tr w:rsidR="00861EE0" w:rsidRPr="00861EE0" w:rsidTr="008D7C4C">
        <w:trPr>
          <w:trHeight w:val="70"/>
          <w:jc w:val="center"/>
        </w:trPr>
        <w:tc>
          <w:tcPr>
            <w:tcW w:w="4661" w:type="dxa"/>
            <w:noWrap/>
            <w:vAlign w:val="center"/>
          </w:tcPr>
          <w:p w:rsidR="00861EE0" w:rsidRPr="00861EE0" w:rsidRDefault="00861EE0" w:rsidP="008D7C4C">
            <w:r w:rsidRPr="00861EE0">
              <w:t>Kapitola: Všeobecná pokladničná správa</w:t>
            </w:r>
          </w:p>
          <w:p w:rsidR="00861EE0" w:rsidRPr="00861EE0" w:rsidRDefault="00861EE0" w:rsidP="008D7C4C">
            <w:r w:rsidRPr="00861EE0">
              <w:t>Výdavkový titul: Zahraničná ekonomická pomoc, EXIMBANKA SR</w:t>
            </w:r>
          </w:p>
          <w:p w:rsidR="00861EE0" w:rsidRPr="00861EE0" w:rsidRDefault="00861EE0" w:rsidP="008D7C4C">
            <w:r w:rsidRPr="00861EE0">
              <w:t>FK: 01.2.1., EK: 649003</w:t>
            </w:r>
          </w:p>
        </w:tc>
        <w:tc>
          <w:tcPr>
            <w:tcW w:w="1267" w:type="dxa"/>
            <w:noWrap/>
            <w:vAlign w:val="center"/>
          </w:tcPr>
          <w:p w:rsidR="00861EE0" w:rsidRPr="00861EE0" w:rsidRDefault="00861EE0" w:rsidP="008D7C4C">
            <w:pPr>
              <w:jc w:val="right"/>
              <w:rPr>
                <w:b/>
                <w:bCs/>
              </w:rPr>
            </w:pPr>
            <w:r w:rsidRPr="00861EE0">
              <w:rPr>
                <w:b/>
                <w:bCs/>
              </w:rPr>
              <w:t>1 000 000</w:t>
            </w:r>
          </w:p>
        </w:tc>
        <w:tc>
          <w:tcPr>
            <w:tcW w:w="1267" w:type="dxa"/>
            <w:noWrap/>
            <w:vAlign w:val="center"/>
          </w:tcPr>
          <w:p w:rsidR="00861EE0" w:rsidRPr="00861EE0" w:rsidRDefault="00861EE0" w:rsidP="008D7C4C">
            <w:pPr>
              <w:jc w:val="right"/>
              <w:rPr>
                <w:b/>
                <w:bCs/>
              </w:rPr>
            </w:pPr>
            <w:r w:rsidRPr="00861EE0">
              <w:rPr>
                <w:b/>
                <w:bCs/>
              </w:rPr>
              <w:t>1 000 000</w:t>
            </w:r>
          </w:p>
        </w:tc>
        <w:tc>
          <w:tcPr>
            <w:tcW w:w="1267" w:type="dxa"/>
            <w:noWrap/>
            <w:vAlign w:val="center"/>
          </w:tcPr>
          <w:p w:rsidR="00861EE0" w:rsidRPr="00861EE0" w:rsidRDefault="00861EE0" w:rsidP="008D7C4C">
            <w:pPr>
              <w:jc w:val="right"/>
              <w:rPr>
                <w:b/>
                <w:bCs/>
              </w:rPr>
            </w:pPr>
            <w:r w:rsidRPr="00861EE0">
              <w:rPr>
                <w:b/>
                <w:bCs/>
              </w:rPr>
              <w:t>1 500 000</w:t>
            </w:r>
          </w:p>
        </w:tc>
        <w:tc>
          <w:tcPr>
            <w:tcW w:w="1267" w:type="dxa"/>
            <w:noWrap/>
            <w:vAlign w:val="center"/>
          </w:tcPr>
          <w:p w:rsidR="00861EE0" w:rsidRPr="00861EE0" w:rsidRDefault="00861EE0" w:rsidP="008D7C4C">
            <w:pPr>
              <w:jc w:val="right"/>
              <w:rPr>
                <w:b/>
                <w:bCs/>
              </w:rPr>
            </w:pPr>
            <w:r w:rsidRPr="00861EE0">
              <w:rPr>
                <w:b/>
                <w:bCs/>
              </w:rPr>
              <w:t>2 000 000</w:t>
            </w:r>
          </w:p>
        </w:tc>
      </w:tr>
      <w:tr w:rsidR="00861EE0" w:rsidRPr="00861EE0" w:rsidTr="008D7C4C">
        <w:trPr>
          <w:trHeight w:val="70"/>
          <w:jc w:val="center"/>
        </w:trPr>
        <w:tc>
          <w:tcPr>
            <w:tcW w:w="4661" w:type="dxa"/>
            <w:shd w:val="clear" w:color="auto" w:fill="BFBFBF" w:themeFill="background1" w:themeFillShade="BF"/>
            <w:noWrap/>
            <w:vAlign w:val="center"/>
          </w:tcPr>
          <w:p w:rsidR="00861EE0" w:rsidRPr="00861EE0" w:rsidRDefault="00861EE0" w:rsidP="008D7C4C">
            <w:pPr>
              <w:rPr>
                <w:b/>
              </w:rPr>
            </w:pPr>
            <w:r w:rsidRPr="00861EE0">
              <w:rPr>
                <w:b/>
              </w:rPr>
              <w:lastRenderedPageBreak/>
              <w:t>Iné ako rozpočtové zdroje</w:t>
            </w:r>
          </w:p>
        </w:tc>
        <w:tc>
          <w:tcPr>
            <w:tcW w:w="1267" w:type="dxa"/>
            <w:shd w:val="clear" w:color="auto" w:fill="BFBFBF" w:themeFill="background1" w:themeFillShade="BF"/>
            <w:noWrap/>
            <w:vAlign w:val="center"/>
          </w:tcPr>
          <w:p w:rsidR="00861EE0" w:rsidRPr="00861EE0" w:rsidRDefault="00861EE0" w:rsidP="008D7C4C">
            <w:pPr>
              <w:jc w:val="right"/>
              <w:rPr>
                <w:b/>
                <w:bCs/>
              </w:rPr>
            </w:pPr>
            <w:r w:rsidRPr="00861EE0">
              <w:rPr>
                <w:b/>
                <w:bCs/>
              </w:rPr>
              <w:t>0</w:t>
            </w:r>
          </w:p>
        </w:tc>
        <w:tc>
          <w:tcPr>
            <w:tcW w:w="1267" w:type="dxa"/>
            <w:shd w:val="clear" w:color="auto" w:fill="BFBFBF" w:themeFill="background1" w:themeFillShade="BF"/>
            <w:noWrap/>
            <w:vAlign w:val="center"/>
          </w:tcPr>
          <w:p w:rsidR="00861EE0" w:rsidRPr="00861EE0" w:rsidRDefault="00861EE0" w:rsidP="008D7C4C">
            <w:pPr>
              <w:jc w:val="right"/>
              <w:rPr>
                <w:b/>
                <w:bCs/>
              </w:rPr>
            </w:pPr>
            <w:r w:rsidRPr="00861EE0">
              <w:rPr>
                <w:b/>
                <w:bCs/>
              </w:rPr>
              <w:t>0</w:t>
            </w:r>
          </w:p>
        </w:tc>
        <w:tc>
          <w:tcPr>
            <w:tcW w:w="1267" w:type="dxa"/>
            <w:shd w:val="clear" w:color="auto" w:fill="BFBFBF" w:themeFill="background1" w:themeFillShade="BF"/>
            <w:noWrap/>
            <w:vAlign w:val="center"/>
          </w:tcPr>
          <w:p w:rsidR="00861EE0" w:rsidRPr="00861EE0" w:rsidRDefault="00861EE0" w:rsidP="008D7C4C">
            <w:pPr>
              <w:jc w:val="right"/>
              <w:rPr>
                <w:b/>
                <w:bCs/>
              </w:rPr>
            </w:pPr>
            <w:r w:rsidRPr="00861EE0">
              <w:rPr>
                <w:b/>
                <w:bCs/>
              </w:rPr>
              <w:t>0</w:t>
            </w:r>
          </w:p>
        </w:tc>
        <w:tc>
          <w:tcPr>
            <w:tcW w:w="1267" w:type="dxa"/>
            <w:shd w:val="clear" w:color="auto" w:fill="BFBFBF" w:themeFill="background1" w:themeFillShade="BF"/>
            <w:noWrap/>
            <w:vAlign w:val="center"/>
          </w:tcPr>
          <w:p w:rsidR="00861EE0" w:rsidRPr="00861EE0" w:rsidRDefault="00861EE0" w:rsidP="008D7C4C">
            <w:pPr>
              <w:jc w:val="right"/>
              <w:rPr>
                <w:b/>
                <w:bCs/>
              </w:rPr>
            </w:pPr>
            <w:r w:rsidRPr="00861EE0">
              <w:rPr>
                <w:b/>
                <w:bCs/>
              </w:rPr>
              <w:t>0</w:t>
            </w:r>
          </w:p>
        </w:tc>
      </w:tr>
      <w:tr w:rsidR="00861EE0" w:rsidRPr="00861EE0" w:rsidTr="008D7C4C">
        <w:trPr>
          <w:trHeight w:val="70"/>
          <w:jc w:val="center"/>
        </w:trPr>
        <w:tc>
          <w:tcPr>
            <w:tcW w:w="4661" w:type="dxa"/>
            <w:shd w:val="clear" w:color="auto" w:fill="A6A6A6" w:themeFill="background1" w:themeFillShade="A6"/>
            <w:noWrap/>
            <w:vAlign w:val="center"/>
          </w:tcPr>
          <w:p w:rsidR="00861EE0" w:rsidRPr="00861EE0" w:rsidRDefault="00861EE0" w:rsidP="008D7C4C">
            <w:pPr>
              <w:rPr>
                <w:b/>
                <w:bCs/>
              </w:rPr>
            </w:pPr>
            <w:r w:rsidRPr="00861EE0">
              <w:rPr>
                <w:b/>
                <w:bCs/>
              </w:rPr>
              <w:t>Rozpočtovo nekrytý vplyv / úspora</w:t>
            </w:r>
          </w:p>
        </w:tc>
        <w:tc>
          <w:tcPr>
            <w:tcW w:w="1267" w:type="dxa"/>
            <w:shd w:val="clear" w:color="auto" w:fill="A6A6A6" w:themeFill="background1" w:themeFillShade="A6"/>
            <w:noWrap/>
            <w:vAlign w:val="center"/>
          </w:tcPr>
          <w:p w:rsidR="00861EE0" w:rsidRPr="00861EE0" w:rsidRDefault="00861EE0" w:rsidP="008D7C4C">
            <w:pPr>
              <w:jc w:val="right"/>
              <w:rPr>
                <w:b/>
                <w:bCs/>
              </w:rPr>
            </w:pPr>
            <w:r w:rsidRPr="00861EE0">
              <w:rPr>
                <w:b/>
                <w:bCs/>
              </w:rPr>
              <w:t>0</w:t>
            </w:r>
          </w:p>
        </w:tc>
        <w:tc>
          <w:tcPr>
            <w:tcW w:w="1267" w:type="dxa"/>
            <w:shd w:val="clear" w:color="auto" w:fill="A6A6A6" w:themeFill="background1" w:themeFillShade="A6"/>
            <w:noWrap/>
            <w:vAlign w:val="center"/>
          </w:tcPr>
          <w:p w:rsidR="00861EE0" w:rsidRPr="00861EE0" w:rsidRDefault="00861EE0" w:rsidP="008D7C4C">
            <w:pPr>
              <w:jc w:val="right"/>
              <w:rPr>
                <w:b/>
                <w:bCs/>
              </w:rPr>
            </w:pPr>
            <w:r w:rsidRPr="00861EE0">
              <w:rPr>
                <w:b/>
                <w:bCs/>
              </w:rPr>
              <w:t>0</w:t>
            </w:r>
          </w:p>
        </w:tc>
        <w:tc>
          <w:tcPr>
            <w:tcW w:w="1267" w:type="dxa"/>
            <w:shd w:val="clear" w:color="auto" w:fill="A6A6A6" w:themeFill="background1" w:themeFillShade="A6"/>
            <w:noWrap/>
            <w:vAlign w:val="center"/>
          </w:tcPr>
          <w:p w:rsidR="00861EE0" w:rsidRPr="00861EE0" w:rsidRDefault="00861EE0" w:rsidP="008D7C4C">
            <w:pPr>
              <w:jc w:val="right"/>
              <w:rPr>
                <w:b/>
                <w:bCs/>
              </w:rPr>
            </w:pPr>
            <w:r w:rsidRPr="00861EE0">
              <w:rPr>
                <w:b/>
                <w:bCs/>
              </w:rPr>
              <w:t>0</w:t>
            </w:r>
          </w:p>
        </w:tc>
        <w:tc>
          <w:tcPr>
            <w:tcW w:w="1267" w:type="dxa"/>
            <w:shd w:val="clear" w:color="auto" w:fill="A6A6A6" w:themeFill="background1" w:themeFillShade="A6"/>
            <w:noWrap/>
            <w:vAlign w:val="center"/>
          </w:tcPr>
          <w:p w:rsidR="00861EE0" w:rsidRPr="00861EE0" w:rsidRDefault="00861EE0" w:rsidP="008D7C4C">
            <w:pPr>
              <w:jc w:val="right"/>
              <w:rPr>
                <w:b/>
                <w:bCs/>
              </w:rPr>
            </w:pPr>
            <w:r w:rsidRPr="00861EE0">
              <w:rPr>
                <w:b/>
                <w:bCs/>
              </w:rPr>
              <w:t>0</w:t>
            </w:r>
          </w:p>
        </w:tc>
      </w:tr>
      <w:bookmarkEnd w:id="1"/>
    </w:tbl>
    <w:p w:rsidR="00861EE0" w:rsidRPr="00861EE0" w:rsidRDefault="00861EE0" w:rsidP="00861EE0">
      <w:pPr>
        <w:rPr>
          <w:b/>
          <w:bCs/>
        </w:rPr>
      </w:pPr>
    </w:p>
    <w:p w:rsidR="00861EE0" w:rsidRPr="00861EE0" w:rsidRDefault="00861EE0" w:rsidP="00861EE0">
      <w:pPr>
        <w:jc w:val="both"/>
        <w:rPr>
          <w:b/>
          <w:bCs/>
        </w:rPr>
      </w:pPr>
      <w:r w:rsidRPr="00861EE0">
        <w:rPr>
          <w:b/>
          <w:bCs/>
        </w:rPr>
        <w:t>2.1.1. Financovanie návrhu - Návrh na riešenie úbytku príjmov alebo zvýšených výdavkov podľa § 33 ods. 1 zákona č. 523/2004 Z. z. o rozpočtových pravidlách verejnej správy:</w:t>
      </w:r>
    </w:p>
    <w:p w:rsidR="00861EE0" w:rsidRPr="00861EE0" w:rsidRDefault="00861EE0" w:rsidP="00861EE0">
      <w:pPr>
        <w:jc w:val="both"/>
        <w:rPr>
          <w:b/>
          <w:bCs/>
        </w:rPr>
      </w:pPr>
    </w:p>
    <w:p w:rsidR="00861EE0" w:rsidRPr="00861EE0" w:rsidRDefault="00861EE0" w:rsidP="00861EE0">
      <w:pPr>
        <w:pBdr>
          <w:top w:val="single" w:sz="4" w:space="1" w:color="auto"/>
          <w:left w:val="single" w:sz="4" w:space="4" w:color="auto"/>
          <w:bottom w:val="single" w:sz="4" w:space="0" w:color="auto"/>
          <w:right w:val="single" w:sz="4" w:space="4" w:color="auto"/>
        </w:pBdr>
        <w:jc w:val="both"/>
        <w:rPr>
          <w:bCs/>
        </w:rPr>
      </w:pPr>
      <w:r w:rsidRPr="00861EE0">
        <w:rPr>
          <w:bCs/>
        </w:rPr>
        <w:t>Zabezpečenie finančného krytia poskytovania príspevkov na splatenie časti úrokov a príspevkov na splatenie časti istiny k zvýhodneným vývozným úverom na roky 2019 až 2022 je uvedené v tabuľke č. 1. Z tohto dôvodu návrh zákona v tejto záležitosti nevyžaduje ďalšie rozpočtové zdroje.</w:t>
      </w:r>
    </w:p>
    <w:p w:rsidR="00861EE0" w:rsidRPr="00861EE0" w:rsidRDefault="00861EE0" w:rsidP="00861EE0">
      <w:pPr>
        <w:pBdr>
          <w:top w:val="single" w:sz="4" w:space="1" w:color="auto"/>
          <w:left w:val="single" w:sz="4" w:space="4" w:color="auto"/>
          <w:bottom w:val="single" w:sz="4" w:space="0" w:color="auto"/>
          <w:right w:val="single" w:sz="4" w:space="4" w:color="auto"/>
        </w:pBdr>
        <w:jc w:val="both"/>
        <w:rPr>
          <w:b/>
          <w:bCs/>
        </w:rPr>
      </w:pPr>
      <w:r w:rsidRPr="00861EE0">
        <w:rPr>
          <w:bCs/>
        </w:rPr>
        <w:t xml:space="preserve">       </w:t>
      </w:r>
      <w:r w:rsidRPr="00861EE0">
        <w:rPr>
          <w:b/>
          <w:bCs/>
        </w:rPr>
        <w:t xml:space="preserve">  </w:t>
      </w:r>
    </w:p>
    <w:p w:rsidR="00861EE0" w:rsidRPr="00861EE0" w:rsidRDefault="00861EE0" w:rsidP="00861EE0">
      <w:pPr>
        <w:pBdr>
          <w:top w:val="single" w:sz="4" w:space="1" w:color="auto"/>
          <w:left w:val="single" w:sz="4" w:space="4" w:color="auto"/>
          <w:bottom w:val="single" w:sz="4" w:space="0" w:color="auto"/>
          <w:right w:val="single" w:sz="4" w:space="4" w:color="auto"/>
        </w:pBdr>
        <w:jc w:val="both"/>
        <w:rPr>
          <w:bCs/>
        </w:rPr>
      </w:pPr>
      <w:r w:rsidRPr="00861EE0">
        <w:rPr>
          <w:bCs/>
        </w:rPr>
        <w:t xml:space="preserve">Výdavky agentúry SAMRS na realizáciu nástroja rozvojovej spolupráce, ktorým je poskytovanie vedomostí a skúseností, sa predpokladajú v roku 2019 vo výške 100 tis. EUR, v roku 2020 vo výške 110 tis. EUR a v roku 2021 vo výške 120 tis. EUR, pričom ich zdrojové krytie na tieto rozpočtové roky je zabezpečené v kapitole Ministerstva zahraničných vecí a európskych záležitostí SR v rámci programu 05T0A – Rozvojová spolupráca – </w:t>
      </w:r>
      <w:proofErr w:type="spellStart"/>
      <w:r w:rsidRPr="00861EE0">
        <w:rPr>
          <w:bCs/>
        </w:rPr>
        <w:t>MZVaEZ</w:t>
      </w:r>
      <w:proofErr w:type="spellEnd"/>
      <w:r w:rsidRPr="00861EE0">
        <w:rPr>
          <w:bCs/>
        </w:rPr>
        <w:t xml:space="preserve"> SR. Financovanie tohto programu je tiež kvantifikované v materiáli „</w:t>
      </w:r>
      <w:r w:rsidRPr="00861EE0">
        <w:rPr>
          <w:bCs/>
          <w:i/>
        </w:rPr>
        <w:t>Strednodobá stratégia rozvojovej spolupráce na roky 2019 až 2023</w:t>
      </w:r>
      <w:r w:rsidRPr="00861EE0">
        <w:rPr>
          <w:bCs/>
        </w:rPr>
        <w:t>“. Z tohto dôvodu návrh zákona v tejto záležitosti nevyžaduje dodatočné rozpočtové zdroje.</w:t>
      </w:r>
    </w:p>
    <w:p w:rsidR="00861EE0" w:rsidRPr="00861EE0" w:rsidRDefault="00861EE0" w:rsidP="00861EE0">
      <w:pPr>
        <w:pBdr>
          <w:top w:val="single" w:sz="4" w:space="1" w:color="auto"/>
          <w:left w:val="single" w:sz="4" w:space="4" w:color="auto"/>
          <w:bottom w:val="single" w:sz="4" w:space="0" w:color="auto"/>
          <w:right w:val="single" w:sz="4" w:space="4" w:color="auto"/>
        </w:pBdr>
        <w:jc w:val="both"/>
        <w:rPr>
          <w:bCs/>
        </w:rPr>
      </w:pPr>
    </w:p>
    <w:p w:rsidR="00861EE0" w:rsidRPr="00861EE0" w:rsidRDefault="00861EE0" w:rsidP="00861EE0">
      <w:pPr>
        <w:pBdr>
          <w:top w:val="single" w:sz="4" w:space="1" w:color="auto"/>
          <w:left w:val="single" w:sz="4" w:space="4" w:color="auto"/>
          <w:bottom w:val="single" w:sz="4" w:space="0" w:color="auto"/>
          <w:right w:val="single" w:sz="4" w:space="4" w:color="auto"/>
        </w:pBdr>
        <w:jc w:val="both"/>
        <w:rPr>
          <w:bCs/>
        </w:rPr>
      </w:pPr>
      <w:r w:rsidRPr="00861EE0">
        <w:rPr>
          <w:bCs/>
        </w:rPr>
        <w:t>Zdrojové krytie výdavkov pre verejné vysoké školy na personálne a materiálne zabezpečenie vzdelávania študentov z partnerských krajín v rámci jazykovej prípravy alebo vysokoškolského štúdia (štipendistov) na roky 2019 až 2021 je zabezpečené v kapitole Ministerstva školstva, vedy, výskumu a športu SR v rámci programu 05T08 – Oficiálna rozvojová pomoc – MŠVVaŠ SR. Celkové financovanie tohto programu je kvantifikované v materiáli „</w:t>
      </w:r>
      <w:r w:rsidRPr="00861EE0">
        <w:rPr>
          <w:bCs/>
          <w:i/>
        </w:rPr>
        <w:t>Strednodobá stratégia rozvojovej spolupráce na roky 2019 až 2023</w:t>
      </w:r>
      <w:r w:rsidRPr="00861EE0">
        <w:rPr>
          <w:bCs/>
        </w:rPr>
        <w:t xml:space="preserve">“, ktorý vláda SR schválila uznesením č. 40 z 30. januára 2019. Z tohto dôvodu návrh zákona v tejto záležitosti tiež nevyžaduje dodatočné rozpočtové zdroje. Tieto výdavky však vzhľadom na ich charakter nie je možné exaktne samostatne vyčísliť, keďže nie je možné odhadnúť počet budúcich študentov z partnerských krajín.   </w:t>
      </w:r>
    </w:p>
    <w:p w:rsidR="00861EE0" w:rsidRPr="00861EE0" w:rsidRDefault="00861EE0" w:rsidP="00861EE0">
      <w:pPr>
        <w:pBdr>
          <w:top w:val="single" w:sz="4" w:space="1" w:color="auto"/>
          <w:left w:val="single" w:sz="4" w:space="4" w:color="auto"/>
          <w:bottom w:val="single" w:sz="4" w:space="0" w:color="auto"/>
          <w:right w:val="single" w:sz="4" w:space="4" w:color="auto"/>
        </w:pBdr>
        <w:jc w:val="both"/>
        <w:rPr>
          <w:bCs/>
        </w:rPr>
      </w:pPr>
    </w:p>
    <w:p w:rsidR="00861EE0" w:rsidRPr="00861EE0" w:rsidRDefault="00861EE0" w:rsidP="00861EE0">
      <w:pPr>
        <w:pBdr>
          <w:top w:val="single" w:sz="4" w:space="1" w:color="auto"/>
          <w:left w:val="single" w:sz="4" w:space="4" w:color="auto"/>
          <w:bottom w:val="single" w:sz="4" w:space="0" w:color="auto"/>
          <w:right w:val="single" w:sz="4" w:space="4" w:color="auto"/>
        </w:pBdr>
        <w:jc w:val="both"/>
        <w:rPr>
          <w:b/>
          <w:bCs/>
        </w:rPr>
      </w:pPr>
      <w:r w:rsidRPr="00861EE0">
        <w:rPr>
          <w:bCs/>
        </w:rPr>
        <w:t xml:space="preserve">Zdrojové krytie vykonávania finančných nástrojov EÚ určených na rozvojovú spoluprácu ako aj podpory vykonávania týchto nástrojov je zabezpečené v rámci príslušných fondov EÚ určených na tento účel. Konkrétnu kvantifikáciu EÚ zdrojov nie je možné v súčasnosti špecifikovať, pretože bude známa až na základe schválených projektov; spolufinancovanie zo štátneho rozpočtu SR sa nevyžaduje. Z tohto dôvodu návrh zákona v tejto záležitosti rovnako nevyžaduje dodatočné rozpočtové zdroje.    </w:t>
      </w:r>
    </w:p>
    <w:p w:rsidR="00861EE0" w:rsidRPr="00861EE0" w:rsidRDefault="00861EE0" w:rsidP="00861EE0">
      <w:pPr>
        <w:rPr>
          <w:b/>
          <w:bCs/>
        </w:rPr>
      </w:pPr>
    </w:p>
    <w:p w:rsidR="00861EE0" w:rsidRPr="00861EE0" w:rsidRDefault="00861EE0" w:rsidP="00861EE0">
      <w:pPr>
        <w:rPr>
          <w:b/>
          <w:bCs/>
        </w:rPr>
      </w:pPr>
      <w:r w:rsidRPr="00861EE0">
        <w:rPr>
          <w:b/>
          <w:bCs/>
        </w:rPr>
        <w:t>2.2. Popis a charakteristika návrhu</w:t>
      </w:r>
    </w:p>
    <w:p w:rsidR="00861EE0" w:rsidRPr="00861EE0" w:rsidRDefault="00861EE0" w:rsidP="00861EE0"/>
    <w:p w:rsidR="00861EE0" w:rsidRPr="00861EE0" w:rsidRDefault="00861EE0" w:rsidP="00861EE0">
      <w:pPr>
        <w:jc w:val="both"/>
        <w:rPr>
          <w:b/>
          <w:bCs/>
        </w:rPr>
      </w:pPr>
      <w:r w:rsidRPr="00861EE0">
        <w:rPr>
          <w:b/>
          <w:bCs/>
        </w:rPr>
        <w:t>2.2.1. Popis návrhu:</w:t>
      </w:r>
    </w:p>
    <w:p w:rsidR="00861EE0" w:rsidRPr="00861EE0" w:rsidRDefault="00861EE0" w:rsidP="00861EE0">
      <w:pPr>
        <w:jc w:val="both"/>
        <w:rPr>
          <w:b/>
          <w:bCs/>
        </w:rPr>
      </w:pPr>
    </w:p>
    <w:p w:rsidR="00861EE0" w:rsidRPr="00861EE0" w:rsidRDefault="00861EE0" w:rsidP="00861EE0">
      <w:pPr>
        <w:jc w:val="both"/>
      </w:pPr>
      <w:r w:rsidRPr="00861EE0">
        <w:t>Cieľom predloženého návrhu zákona, ktorým sa mení a dopĺňa zákon</w:t>
      </w:r>
      <w:r w:rsidRPr="00861EE0">
        <w:br/>
        <w:t>č. 80/1997 Z. z. o Exportno-importnej banke Slovenskej republiky v znení neskorších predpisov (ďalej len „zákon o Eximbanke“) a ktorým sa menia a dopĺňajú niektoré zákony, je vytvorenie legislatívnych predpokladov pre efektívnejšie fungovanie špecializovaných finančných subjektov, ktorými sú Exportno-importná banka Slovenskej republiky (ďalej len „Eximbanka“), Fond ochrany vkladov a Národný fond pre riešenie krízových situácií na finančnom trhu (ďalej len „Národný fond“).</w:t>
      </w:r>
    </w:p>
    <w:p w:rsidR="00861EE0" w:rsidRPr="00861EE0" w:rsidRDefault="00861EE0" w:rsidP="00861EE0">
      <w:pPr>
        <w:jc w:val="both"/>
      </w:pPr>
    </w:p>
    <w:p w:rsidR="00861EE0" w:rsidRPr="00861EE0" w:rsidRDefault="00861EE0" w:rsidP="00861EE0">
      <w:pPr>
        <w:jc w:val="both"/>
      </w:pPr>
      <w:r w:rsidRPr="00861EE0">
        <w:lastRenderedPageBreak/>
        <w:t>Hlavnými dvoma dôvodmi novelizácie zákona o Eximbanke je (i) rozšírenie činností Eximbanky o vykonávanie finančných nástrojov Európskej únie (EÚ) určených na rozvojovú spoluprácu a (ii) umožnenie Eximbanke priamo financovať a spolufinancovať zvýhodnené vývozné úvery.</w:t>
      </w:r>
    </w:p>
    <w:p w:rsidR="00861EE0" w:rsidRPr="00861EE0" w:rsidRDefault="00861EE0" w:rsidP="00861EE0">
      <w:pPr>
        <w:jc w:val="both"/>
      </w:pPr>
    </w:p>
    <w:p w:rsidR="00861EE0" w:rsidRPr="00861EE0" w:rsidRDefault="00861EE0" w:rsidP="00861EE0">
      <w:pPr>
        <w:jc w:val="both"/>
      </w:pPr>
      <w:r w:rsidRPr="00861EE0">
        <w:t xml:space="preserve">K prvému dôvodu uvádzame, že Slovensko sa do väčších rozvojových projektov zapája v obmedzenej miere a uplatnenie slovenského podnikateľského sektora v rozvojovej spolupráci zaostáva za svojím potenciálom. Príčin je niekoľko, pričom jednou z nich sú aj limitované zdroje na realizáciu finančne náročnejších investičných projektov. Slovensku v súčasnosti chýba inštitúcia, ktorá by mohla využívať zdroje EIP/EFSD formou tzv. kombinovaného financovania (tzv. </w:t>
      </w:r>
      <w:proofErr w:type="spellStart"/>
      <w:r w:rsidRPr="00861EE0">
        <w:t>blending</w:t>
      </w:r>
      <w:proofErr w:type="spellEnd"/>
      <w:r w:rsidRPr="00861EE0">
        <w:t xml:space="preserve">), pri ktorom časť rozvojového projektu je financovaná napr. nenávratne zo zdrojov rozpočtu EÚ a časť návratne zo zdrojov súkromného alebo verejného sektora. Uvedená skutočnosť je prepojená s chýbajúcim tzv. rozvojovým mandátom – t. j. kompetenciou finančnej inštitúcie, resp. kvázi finančnej inštitúcie podporovať hospodársky rozvoj v rozvojových krajinách. Z tohto dôvodu sa v návrhu zákona (v rámci úpravy zákona o Eximbanke) navrhuje rozšíriť činnosti Eximbanky o vykonávanie finančných nástrojov EÚ určených na rozvojovú spoluprácu. Samotná primárna úprava možnosti využívania finančných nástrojov EÚ určených na rozvojovú spoluprácu ako ďalšieho nástroja rozvojovej spolupráce však bude obsiahnutá v zákone č. 392/2015 Z. z. o rozvojovej spolupráci a o zmene a doplnení niektorých zákonov (ďalej len „zákon o rozvojovej spolupráci“), keďže predmetom tohto zákona je okrem iného aj agregovaná úprava nástrojov rozvojovej spolupráce (pozn.: táto súvisiaca právna úprava je riešená v čl. IV návrhu zákona). Popri zabezpečení prijatia potrebného právneho rámca pre Eximbanku sa bude Eximbanka musieť podrobiť tzv. </w:t>
      </w:r>
      <w:proofErr w:type="spellStart"/>
      <w:r w:rsidRPr="00861EE0">
        <w:t>Pillar</w:t>
      </w:r>
      <w:proofErr w:type="spellEnd"/>
      <w:r w:rsidRPr="00861EE0">
        <w:t xml:space="preserve"> </w:t>
      </w:r>
      <w:proofErr w:type="spellStart"/>
      <w:r w:rsidRPr="00861EE0">
        <w:t>Assessment</w:t>
      </w:r>
      <w:proofErr w:type="spellEnd"/>
      <w:r w:rsidRPr="00861EE0">
        <w:t xml:space="preserve">-u EÚ, to znamená formy zhodnotenia spôsobilosti inštitúcie implementovať rozpočtové zdroje EÚ alokované v EIP/EFSD. V tejto súvislosti sa navrhuje, aby aj agentúra SAMRS mohla vykonávať finančné nástroje EÚ určené na rozvojovú spoluprácu, ktorá, obdobne ako Eximbanka, už oficiálne požiadala o vykonanie </w:t>
      </w:r>
      <w:proofErr w:type="spellStart"/>
      <w:r w:rsidRPr="00861EE0">
        <w:t>Pillar</w:t>
      </w:r>
      <w:proofErr w:type="spellEnd"/>
      <w:r w:rsidRPr="00861EE0">
        <w:t xml:space="preserve"> </w:t>
      </w:r>
      <w:proofErr w:type="spellStart"/>
      <w:r w:rsidRPr="00861EE0">
        <w:t>Assement</w:t>
      </w:r>
      <w:proofErr w:type="spellEnd"/>
      <w:r w:rsidRPr="00861EE0">
        <w:t xml:space="preserve">, a ktorá tým pádom bude môcť priamo realizovať napr. grantové, ale rovnako aj iné formy rozvojovej spolupráce financované zo zdrojov EÚ.  </w:t>
      </w:r>
    </w:p>
    <w:p w:rsidR="00861EE0" w:rsidRPr="00861EE0" w:rsidRDefault="00861EE0" w:rsidP="00861EE0">
      <w:pPr>
        <w:jc w:val="both"/>
      </w:pPr>
    </w:p>
    <w:p w:rsidR="00861EE0" w:rsidRPr="00861EE0" w:rsidRDefault="00861EE0" w:rsidP="00861EE0">
      <w:pPr>
        <w:jc w:val="both"/>
      </w:pPr>
      <w:r w:rsidRPr="00861EE0">
        <w:t xml:space="preserve">Druhou dôležitou úpravou zákona o Eximbanke je umožniť Eximbanke priamo financovať alebo spolufinancovať zvýhodnené vývozné úvery. Tieto boli ako nástroj rozvojovej spolupráce zavedené do slovenského právneho poriadku ešte v roku 2015, avšak doposiaľ sa nepodarilo zrealizovať ani jeden projekt viazanej pomoci formou zvýhodneného vývozného úveru. Z doterajších snáh o praktickú aplikáciu súčasnej právnej úpravy vyplýva, že jednou z príčin môže byť aj skutočnosť, že súčasná právna úprava umožňuje poskytovať zvýhodnené vývozné úvery len komerčnými bankami, ktoré objektívne z dôvodu vyššieho rizika nemusia vždy ponúknuť dlhodobý splátkový kalendár, pričom odberatelia z rozvojových krajín uprednostňujú práve dlhé financovanie. Preto sa navrhuje v novele zákona o Eximbanke umožniť Eximbanke nielen poisťovať, ale aj priamo financovať alebo spolufinancovať zvýhodnené vývozné úvery. Možnosť poskytovať zvýhodnené vývozné úvery komerčnými bankami samozrejme zostane zachovaná (s podmienkou ich poistenia Eximbankou tak ako doposiaľ), aby bolo možné aj komerčný bankový sektor zapájať do financovania rozvojovej spolupráce vrátane spolufinancovania veľkých rozvojových projektov. Primárnym dôvodom pre nižší záujem odberateľov z rozvojových krajín o „slovenské“ zvýhodnené vývozné úvery však pravdepodobne bude prísnejšie nastavenie podmienok poskytovania zvýhodnených vývozných úverov v porovnaní s tým, aké umožňuje kapitola III prílohy II nariadenia Európskeho parlamentu a Rady (EÚ) č. 1233/2011 zo 16. novembra 2011 o uplatňovaní určitých usmernení v oblasti štátom podporovaných vývozných úverov a o zrušení rozhodnutí Rady 2001/76/ES a 2001/77/ES (Ú. v. EÚ L 326, 8.12.2011) v platnom znení (ďalej len „nariadenie EÚ č. 1233/2011“), ktorá ustanovuje formy viazanej pomoci a podmienky týkajúce </w:t>
      </w:r>
      <w:r w:rsidRPr="00861EE0">
        <w:lastRenderedPageBreak/>
        <w:t xml:space="preserve">sa poskytovania viazanej pomoci. Preto sa súčasne navrhuje zlepšenie existujúcich podmienok poskytovania zvýhodnených vývozných úverov v prospech partnerských krajín. Nová komplexná úprava podmienok poskytovania zvýhodnených vývozných úverov ako jedného z nástrojov rozvojovej spolupráce je riešená v rámci novelizácie zákona o rozvojovej spolupráci.  </w:t>
      </w:r>
    </w:p>
    <w:p w:rsidR="00861EE0" w:rsidRPr="00861EE0" w:rsidRDefault="00861EE0" w:rsidP="00861EE0">
      <w:pPr>
        <w:ind w:firstLine="709"/>
        <w:jc w:val="both"/>
      </w:pPr>
    </w:p>
    <w:p w:rsidR="00861EE0" w:rsidRPr="00861EE0" w:rsidRDefault="00861EE0" w:rsidP="00861EE0">
      <w:pPr>
        <w:jc w:val="both"/>
      </w:pPr>
      <w:r w:rsidRPr="00861EE0">
        <w:t>Potreba súvisiacej novelizácie zákona o rozvojovej spolupráci sa využila aj na rozšírenie zákonnej úpravy nástrojov rozvojovej spolupráce o nový nástroj bilaterálnej rozvojovej spolupráce, ktorým je poskytnutie vedomostí a skúseností. Hlavným cieľom poskytovania vedomostí a skúseností ako jedného z nástrojov ODA je podpora partnerských krajín pri napĺňaní cieľov udržateľného rozvoja. Súčasťou návrhu zákona sú na základe skúseností z doterajšej aplikačnej praxe aj legislatívne zmeny týkajúce sa fungovania iných nástrojov rozvojovej spolupráce (poskytnutie finančného príspevku, poskytnutie vládneho štipendia).</w:t>
      </w:r>
    </w:p>
    <w:p w:rsidR="00861EE0" w:rsidRPr="00861EE0" w:rsidRDefault="00861EE0" w:rsidP="00861EE0">
      <w:pPr>
        <w:jc w:val="both"/>
      </w:pPr>
    </w:p>
    <w:p w:rsidR="00861EE0" w:rsidRPr="00861EE0" w:rsidRDefault="00861EE0" w:rsidP="00861EE0">
      <w:pPr>
        <w:jc w:val="both"/>
      </w:pPr>
      <w:r w:rsidRPr="00861EE0">
        <w:t>Dôvodom novelizácie zákona Národnej rady Slovenskej republiky č. 118/1996 Z. z. o ochrane vkladov a o zmene a doplnení niektorých zákonov v znení neskorších predpisov a zákona</w:t>
      </w:r>
      <w:r w:rsidRPr="00861EE0">
        <w:br/>
        <w:t xml:space="preserve">č. 371/2014 Z. z. o riešení krízových situácií na finančnom trhu a o zmene a doplnení niektorých zákonov v znení neskorších predpisov je vytvorenie legislatívnych predpokladov (priestoru) pre diverzifikáciu pri správe peňažných prostriedkov Fondu ochrany vkladov a Národného fondu pri súčasnom zachovaní doterajšej miery bezpečnosti pri správe peňažných prostriedkov Fondu ochrany vkladov a Národného fondu, ktoré sa vedú na účtoch Národnej banky Slovenska. Od 1. októbra 2019 sa budú peňažné prostriedky vedené na účtoch Národnej banky Slovenska úročiť zápornou úrokovou sadzbou, preto sa navrhuje umožniť viesť peňažné prostriedky Fondu ochrany vkladov a Národného fondu nielen na účtoch Národnej banky Slovenska, ale aj na účtoch Štátnej pokladnice.     </w:t>
      </w:r>
    </w:p>
    <w:p w:rsidR="00861EE0" w:rsidRPr="00861EE0" w:rsidRDefault="00861EE0" w:rsidP="00861EE0"/>
    <w:p w:rsidR="00861EE0" w:rsidRPr="00861EE0" w:rsidRDefault="00861EE0" w:rsidP="00861EE0"/>
    <w:p w:rsidR="00861EE0" w:rsidRPr="00861EE0" w:rsidRDefault="00861EE0" w:rsidP="00861EE0">
      <w:pPr>
        <w:rPr>
          <w:b/>
          <w:bCs/>
        </w:rPr>
      </w:pPr>
      <w:r w:rsidRPr="00861EE0">
        <w:rPr>
          <w:b/>
          <w:bCs/>
        </w:rPr>
        <w:t>2.2.2. Charakteristika návrhu:</w:t>
      </w:r>
    </w:p>
    <w:p w:rsidR="00861EE0" w:rsidRPr="00861EE0" w:rsidRDefault="00861EE0" w:rsidP="00861EE0"/>
    <w:p w:rsidR="00861EE0" w:rsidRPr="00861EE0" w:rsidRDefault="00861EE0" w:rsidP="00861EE0">
      <w:r w:rsidRPr="00861EE0">
        <w:rPr>
          <w:b/>
          <w:bdr w:val="single" w:sz="4" w:space="0" w:color="auto"/>
        </w:rPr>
        <w:t xml:space="preserve">     </w:t>
      </w:r>
      <w:r w:rsidRPr="00861EE0">
        <w:rPr>
          <w:b/>
        </w:rPr>
        <w:t xml:space="preserve">  </w:t>
      </w:r>
      <w:r w:rsidRPr="00861EE0">
        <w:t>zmena sadzby</w:t>
      </w:r>
    </w:p>
    <w:p w:rsidR="00861EE0" w:rsidRPr="00861EE0" w:rsidRDefault="00861EE0" w:rsidP="00861EE0">
      <w:r w:rsidRPr="00861EE0">
        <w:rPr>
          <w:bdr w:val="single" w:sz="4" w:space="0" w:color="auto"/>
        </w:rPr>
        <w:t xml:space="preserve">     </w:t>
      </w:r>
      <w:r w:rsidRPr="00861EE0">
        <w:t xml:space="preserve">  zmena v nároku</w:t>
      </w:r>
    </w:p>
    <w:p w:rsidR="00861EE0" w:rsidRPr="00861EE0" w:rsidRDefault="00861EE0" w:rsidP="00861EE0">
      <w:r w:rsidRPr="00861EE0">
        <w:rPr>
          <w:bdr w:val="single" w:sz="4" w:space="0" w:color="auto"/>
        </w:rPr>
        <w:t xml:space="preserve">     </w:t>
      </w:r>
      <w:r w:rsidRPr="00861EE0">
        <w:t xml:space="preserve">  nová služba alebo nariadenie (alebo ich zrušenie)</w:t>
      </w:r>
    </w:p>
    <w:p w:rsidR="00861EE0" w:rsidRPr="00861EE0" w:rsidRDefault="00861EE0" w:rsidP="00861EE0">
      <w:r w:rsidRPr="00861EE0">
        <w:rPr>
          <w:bdr w:val="single" w:sz="4" w:space="0" w:color="auto"/>
        </w:rPr>
        <w:t xml:space="preserve">     </w:t>
      </w:r>
      <w:r w:rsidRPr="00861EE0">
        <w:t xml:space="preserve">  kombinovaný návrh</w:t>
      </w:r>
    </w:p>
    <w:p w:rsidR="00861EE0" w:rsidRPr="00861EE0" w:rsidRDefault="00861EE0" w:rsidP="00861EE0">
      <w:r w:rsidRPr="00861EE0">
        <w:rPr>
          <w:bdr w:val="single" w:sz="4" w:space="0" w:color="auto"/>
        </w:rPr>
        <w:t xml:space="preserve"> X </w:t>
      </w:r>
      <w:r w:rsidRPr="00861EE0">
        <w:t xml:space="preserve">  iné </w:t>
      </w:r>
    </w:p>
    <w:p w:rsidR="00861EE0" w:rsidRPr="00861EE0" w:rsidRDefault="00861EE0" w:rsidP="00861EE0"/>
    <w:p w:rsidR="00861EE0" w:rsidRPr="00861EE0" w:rsidRDefault="00861EE0" w:rsidP="00861EE0"/>
    <w:p w:rsidR="00861EE0" w:rsidRPr="00861EE0" w:rsidRDefault="00861EE0" w:rsidP="00861EE0">
      <w:r w:rsidRPr="00861EE0">
        <w:rPr>
          <w:b/>
          <w:bCs/>
        </w:rPr>
        <w:t>2.2.3. Predpoklady vývoja objemu aktivít:</w:t>
      </w:r>
    </w:p>
    <w:p w:rsidR="00861EE0" w:rsidRPr="00861EE0" w:rsidRDefault="00861EE0" w:rsidP="00861EE0"/>
    <w:p w:rsidR="00861EE0" w:rsidRPr="00861EE0" w:rsidRDefault="00861EE0" w:rsidP="00861EE0">
      <w:pPr>
        <w:jc w:val="both"/>
      </w:pPr>
      <w:r w:rsidRPr="00861EE0">
        <w:t>Jasne popíšte, v prípade potreby použite nižšie uvedenú tabuľku. Uveďte aj odhady základov daní a/alebo poplatkov, ak sa ich táto zmena týka.</w:t>
      </w:r>
    </w:p>
    <w:p w:rsidR="00861EE0" w:rsidRPr="00861EE0" w:rsidRDefault="00861EE0" w:rsidP="00861EE0">
      <w:pPr>
        <w:jc w:val="right"/>
      </w:pPr>
      <w:r w:rsidRPr="00861EE0">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861EE0" w:rsidRPr="00861EE0" w:rsidTr="008D7C4C">
        <w:trPr>
          <w:cantSplit/>
          <w:trHeight w:val="70"/>
        </w:trPr>
        <w:tc>
          <w:tcPr>
            <w:tcW w:w="4530" w:type="dxa"/>
            <w:vMerge w:val="restart"/>
            <w:shd w:val="clear" w:color="auto" w:fill="BFBFBF" w:themeFill="background1" w:themeFillShade="BF"/>
            <w:vAlign w:val="center"/>
          </w:tcPr>
          <w:p w:rsidR="00861EE0" w:rsidRPr="00861EE0" w:rsidRDefault="00861EE0" w:rsidP="008D7C4C">
            <w:pPr>
              <w:autoSpaceDE w:val="0"/>
              <w:autoSpaceDN w:val="0"/>
              <w:adjustRightInd w:val="0"/>
              <w:jc w:val="center"/>
              <w:rPr>
                <w:b/>
                <w:bCs/>
              </w:rPr>
            </w:pPr>
            <w:r w:rsidRPr="00861EE0">
              <w:rPr>
                <w:b/>
                <w:bCs/>
              </w:rPr>
              <w:t>Objem aktivít</w:t>
            </w:r>
          </w:p>
        </w:tc>
        <w:tc>
          <w:tcPr>
            <w:tcW w:w="1134" w:type="dxa"/>
            <w:gridSpan w:val="4"/>
            <w:shd w:val="clear" w:color="auto" w:fill="BFBFBF" w:themeFill="background1" w:themeFillShade="BF"/>
            <w:vAlign w:val="center"/>
          </w:tcPr>
          <w:p w:rsidR="00861EE0" w:rsidRPr="00861EE0" w:rsidRDefault="00861EE0" w:rsidP="008D7C4C">
            <w:pPr>
              <w:autoSpaceDE w:val="0"/>
              <w:autoSpaceDN w:val="0"/>
              <w:adjustRightInd w:val="0"/>
              <w:jc w:val="center"/>
              <w:rPr>
                <w:b/>
                <w:bCs/>
              </w:rPr>
            </w:pPr>
            <w:r w:rsidRPr="00861EE0">
              <w:rPr>
                <w:b/>
                <w:bCs/>
              </w:rPr>
              <w:t>Odhadované objemy</w:t>
            </w:r>
          </w:p>
        </w:tc>
      </w:tr>
      <w:tr w:rsidR="00861EE0" w:rsidRPr="00861EE0" w:rsidTr="008D7C4C">
        <w:trPr>
          <w:cantSplit/>
          <w:trHeight w:val="70"/>
        </w:trPr>
        <w:tc>
          <w:tcPr>
            <w:tcW w:w="4530" w:type="dxa"/>
            <w:vMerge/>
            <w:shd w:val="clear" w:color="auto" w:fill="BFBFBF" w:themeFill="background1" w:themeFillShade="BF"/>
          </w:tcPr>
          <w:p w:rsidR="00861EE0" w:rsidRPr="00861EE0" w:rsidRDefault="00861EE0" w:rsidP="008D7C4C">
            <w:pPr>
              <w:autoSpaceDE w:val="0"/>
              <w:autoSpaceDN w:val="0"/>
              <w:adjustRightInd w:val="0"/>
              <w:jc w:val="center"/>
              <w:rPr>
                <w:b/>
                <w:bCs/>
              </w:rPr>
            </w:pPr>
          </w:p>
        </w:tc>
        <w:tc>
          <w:tcPr>
            <w:tcW w:w="1134" w:type="dxa"/>
            <w:shd w:val="clear" w:color="auto" w:fill="BFBFBF" w:themeFill="background1" w:themeFillShade="BF"/>
            <w:vAlign w:val="center"/>
          </w:tcPr>
          <w:p w:rsidR="00861EE0" w:rsidRPr="00861EE0" w:rsidRDefault="00861EE0" w:rsidP="008D7C4C">
            <w:pPr>
              <w:autoSpaceDE w:val="0"/>
              <w:autoSpaceDN w:val="0"/>
              <w:adjustRightInd w:val="0"/>
              <w:jc w:val="center"/>
              <w:rPr>
                <w:b/>
                <w:bCs/>
              </w:rPr>
            </w:pPr>
            <w:r w:rsidRPr="00861EE0">
              <w:rPr>
                <w:b/>
                <w:bCs/>
              </w:rPr>
              <w:t>2019</w:t>
            </w:r>
          </w:p>
        </w:tc>
        <w:tc>
          <w:tcPr>
            <w:tcW w:w="1134" w:type="dxa"/>
            <w:shd w:val="clear" w:color="auto" w:fill="BFBFBF" w:themeFill="background1" w:themeFillShade="BF"/>
            <w:vAlign w:val="center"/>
          </w:tcPr>
          <w:p w:rsidR="00861EE0" w:rsidRPr="00861EE0" w:rsidRDefault="00861EE0" w:rsidP="008D7C4C">
            <w:pPr>
              <w:autoSpaceDE w:val="0"/>
              <w:autoSpaceDN w:val="0"/>
              <w:adjustRightInd w:val="0"/>
              <w:jc w:val="center"/>
              <w:rPr>
                <w:b/>
                <w:bCs/>
              </w:rPr>
            </w:pPr>
            <w:r w:rsidRPr="00861EE0">
              <w:rPr>
                <w:b/>
                <w:bCs/>
              </w:rPr>
              <w:t>2020</w:t>
            </w:r>
          </w:p>
        </w:tc>
        <w:tc>
          <w:tcPr>
            <w:tcW w:w="1134" w:type="dxa"/>
            <w:shd w:val="clear" w:color="auto" w:fill="BFBFBF" w:themeFill="background1" w:themeFillShade="BF"/>
            <w:vAlign w:val="center"/>
          </w:tcPr>
          <w:p w:rsidR="00861EE0" w:rsidRPr="00861EE0" w:rsidRDefault="00861EE0" w:rsidP="008D7C4C">
            <w:pPr>
              <w:autoSpaceDE w:val="0"/>
              <w:autoSpaceDN w:val="0"/>
              <w:adjustRightInd w:val="0"/>
              <w:jc w:val="center"/>
              <w:rPr>
                <w:b/>
                <w:bCs/>
              </w:rPr>
            </w:pPr>
            <w:r w:rsidRPr="00861EE0">
              <w:rPr>
                <w:b/>
                <w:bCs/>
              </w:rPr>
              <w:t>2021</w:t>
            </w:r>
          </w:p>
        </w:tc>
        <w:tc>
          <w:tcPr>
            <w:tcW w:w="1134" w:type="dxa"/>
            <w:shd w:val="clear" w:color="auto" w:fill="BFBFBF" w:themeFill="background1" w:themeFillShade="BF"/>
            <w:vAlign w:val="center"/>
          </w:tcPr>
          <w:p w:rsidR="00861EE0" w:rsidRPr="00861EE0" w:rsidRDefault="00861EE0" w:rsidP="008D7C4C">
            <w:pPr>
              <w:autoSpaceDE w:val="0"/>
              <w:autoSpaceDN w:val="0"/>
              <w:adjustRightInd w:val="0"/>
              <w:jc w:val="center"/>
              <w:rPr>
                <w:b/>
                <w:bCs/>
              </w:rPr>
            </w:pPr>
            <w:r w:rsidRPr="00861EE0">
              <w:rPr>
                <w:b/>
                <w:bCs/>
              </w:rPr>
              <w:t>2022</w:t>
            </w:r>
          </w:p>
        </w:tc>
      </w:tr>
      <w:tr w:rsidR="00861EE0" w:rsidRPr="00861EE0" w:rsidTr="008D7C4C">
        <w:trPr>
          <w:trHeight w:val="70"/>
        </w:trPr>
        <w:tc>
          <w:tcPr>
            <w:tcW w:w="4530" w:type="dxa"/>
          </w:tcPr>
          <w:p w:rsidR="00861EE0" w:rsidRPr="00861EE0" w:rsidRDefault="00861EE0" w:rsidP="008D7C4C">
            <w:pPr>
              <w:autoSpaceDE w:val="0"/>
              <w:autoSpaceDN w:val="0"/>
              <w:adjustRightInd w:val="0"/>
              <w:rPr>
                <w:color w:val="000000"/>
              </w:rPr>
            </w:pPr>
            <w:r w:rsidRPr="00861EE0">
              <w:rPr>
                <w:color w:val="000000"/>
              </w:rPr>
              <w:t>Indikátor ABC</w:t>
            </w:r>
          </w:p>
        </w:tc>
        <w:tc>
          <w:tcPr>
            <w:tcW w:w="1134" w:type="dxa"/>
          </w:tcPr>
          <w:p w:rsidR="00861EE0" w:rsidRPr="00861EE0" w:rsidRDefault="00861EE0" w:rsidP="008D7C4C">
            <w:pPr>
              <w:autoSpaceDE w:val="0"/>
              <w:autoSpaceDN w:val="0"/>
              <w:adjustRightInd w:val="0"/>
              <w:jc w:val="right"/>
              <w:rPr>
                <w:color w:val="000000"/>
              </w:rPr>
            </w:pPr>
          </w:p>
        </w:tc>
        <w:tc>
          <w:tcPr>
            <w:tcW w:w="1134" w:type="dxa"/>
          </w:tcPr>
          <w:p w:rsidR="00861EE0" w:rsidRPr="00861EE0" w:rsidRDefault="00861EE0" w:rsidP="008D7C4C">
            <w:pPr>
              <w:autoSpaceDE w:val="0"/>
              <w:autoSpaceDN w:val="0"/>
              <w:adjustRightInd w:val="0"/>
              <w:jc w:val="right"/>
              <w:rPr>
                <w:color w:val="000000"/>
              </w:rPr>
            </w:pPr>
          </w:p>
        </w:tc>
        <w:tc>
          <w:tcPr>
            <w:tcW w:w="1134" w:type="dxa"/>
          </w:tcPr>
          <w:p w:rsidR="00861EE0" w:rsidRPr="00861EE0" w:rsidRDefault="00861EE0" w:rsidP="008D7C4C">
            <w:pPr>
              <w:autoSpaceDE w:val="0"/>
              <w:autoSpaceDN w:val="0"/>
              <w:adjustRightInd w:val="0"/>
              <w:jc w:val="right"/>
              <w:rPr>
                <w:color w:val="000000"/>
              </w:rPr>
            </w:pPr>
          </w:p>
        </w:tc>
        <w:tc>
          <w:tcPr>
            <w:tcW w:w="1134" w:type="dxa"/>
          </w:tcPr>
          <w:p w:rsidR="00861EE0" w:rsidRPr="00861EE0" w:rsidRDefault="00861EE0" w:rsidP="008D7C4C">
            <w:pPr>
              <w:autoSpaceDE w:val="0"/>
              <w:autoSpaceDN w:val="0"/>
              <w:adjustRightInd w:val="0"/>
              <w:jc w:val="right"/>
              <w:rPr>
                <w:color w:val="000000"/>
              </w:rPr>
            </w:pPr>
          </w:p>
        </w:tc>
      </w:tr>
      <w:tr w:rsidR="00861EE0" w:rsidRPr="00861EE0" w:rsidTr="008D7C4C">
        <w:trPr>
          <w:trHeight w:val="70"/>
        </w:trPr>
        <w:tc>
          <w:tcPr>
            <w:tcW w:w="4530" w:type="dxa"/>
          </w:tcPr>
          <w:p w:rsidR="00861EE0" w:rsidRPr="00861EE0" w:rsidRDefault="00861EE0" w:rsidP="008D7C4C">
            <w:pPr>
              <w:autoSpaceDE w:val="0"/>
              <w:autoSpaceDN w:val="0"/>
              <w:adjustRightInd w:val="0"/>
              <w:rPr>
                <w:color w:val="000000"/>
              </w:rPr>
            </w:pPr>
            <w:r w:rsidRPr="00861EE0">
              <w:rPr>
                <w:color w:val="000000"/>
              </w:rPr>
              <w:t>Indikátor KLM</w:t>
            </w:r>
          </w:p>
        </w:tc>
        <w:tc>
          <w:tcPr>
            <w:tcW w:w="1134" w:type="dxa"/>
          </w:tcPr>
          <w:p w:rsidR="00861EE0" w:rsidRPr="00861EE0" w:rsidRDefault="00861EE0" w:rsidP="008D7C4C">
            <w:pPr>
              <w:autoSpaceDE w:val="0"/>
              <w:autoSpaceDN w:val="0"/>
              <w:adjustRightInd w:val="0"/>
              <w:jc w:val="right"/>
              <w:rPr>
                <w:color w:val="000000"/>
              </w:rPr>
            </w:pPr>
          </w:p>
        </w:tc>
        <w:tc>
          <w:tcPr>
            <w:tcW w:w="1134" w:type="dxa"/>
          </w:tcPr>
          <w:p w:rsidR="00861EE0" w:rsidRPr="00861EE0" w:rsidRDefault="00861EE0" w:rsidP="008D7C4C">
            <w:pPr>
              <w:autoSpaceDE w:val="0"/>
              <w:autoSpaceDN w:val="0"/>
              <w:adjustRightInd w:val="0"/>
              <w:jc w:val="right"/>
              <w:rPr>
                <w:color w:val="000000"/>
              </w:rPr>
            </w:pPr>
          </w:p>
        </w:tc>
        <w:tc>
          <w:tcPr>
            <w:tcW w:w="1134" w:type="dxa"/>
          </w:tcPr>
          <w:p w:rsidR="00861EE0" w:rsidRPr="00861EE0" w:rsidRDefault="00861EE0" w:rsidP="008D7C4C">
            <w:pPr>
              <w:autoSpaceDE w:val="0"/>
              <w:autoSpaceDN w:val="0"/>
              <w:adjustRightInd w:val="0"/>
              <w:jc w:val="right"/>
              <w:rPr>
                <w:color w:val="000000"/>
              </w:rPr>
            </w:pPr>
          </w:p>
        </w:tc>
        <w:tc>
          <w:tcPr>
            <w:tcW w:w="1134" w:type="dxa"/>
          </w:tcPr>
          <w:p w:rsidR="00861EE0" w:rsidRPr="00861EE0" w:rsidRDefault="00861EE0" w:rsidP="008D7C4C">
            <w:pPr>
              <w:autoSpaceDE w:val="0"/>
              <w:autoSpaceDN w:val="0"/>
              <w:adjustRightInd w:val="0"/>
              <w:jc w:val="right"/>
              <w:rPr>
                <w:color w:val="000000"/>
              </w:rPr>
            </w:pPr>
          </w:p>
        </w:tc>
      </w:tr>
      <w:tr w:rsidR="00861EE0" w:rsidRPr="00861EE0" w:rsidTr="008D7C4C">
        <w:trPr>
          <w:trHeight w:val="70"/>
        </w:trPr>
        <w:tc>
          <w:tcPr>
            <w:tcW w:w="4530" w:type="dxa"/>
          </w:tcPr>
          <w:p w:rsidR="00861EE0" w:rsidRPr="00861EE0" w:rsidRDefault="00861EE0" w:rsidP="008D7C4C">
            <w:pPr>
              <w:autoSpaceDE w:val="0"/>
              <w:autoSpaceDN w:val="0"/>
              <w:adjustRightInd w:val="0"/>
              <w:rPr>
                <w:color w:val="000000"/>
              </w:rPr>
            </w:pPr>
            <w:r w:rsidRPr="00861EE0">
              <w:rPr>
                <w:color w:val="000000"/>
              </w:rPr>
              <w:t>Indikátor XYZ</w:t>
            </w:r>
          </w:p>
        </w:tc>
        <w:tc>
          <w:tcPr>
            <w:tcW w:w="1134" w:type="dxa"/>
          </w:tcPr>
          <w:p w:rsidR="00861EE0" w:rsidRPr="00861EE0" w:rsidRDefault="00861EE0" w:rsidP="008D7C4C">
            <w:pPr>
              <w:autoSpaceDE w:val="0"/>
              <w:autoSpaceDN w:val="0"/>
              <w:adjustRightInd w:val="0"/>
              <w:jc w:val="right"/>
              <w:rPr>
                <w:color w:val="000000"/>
              </w:rPr>
            </w:pPr>
          </w:p>
        </w:tc>
        <w:tc>
          <w:tcPr>
            <w:tcW w:w="1134" w:type="dxa"/>
          </w:tcPr>
          <w:p w:rsidR="00861EE0" w:rsidRPr="00861EE0" w:rsidRDefault="00861EE0" w:rsidP="008D7C4C">
            <w:pPr>
              <w:autoSpaceDE w:val="0"/>
              <w:autoSpaceDN w:val="0"/>
              <w:adjustRightInd w:val="0"/>
              <w:jc w:val="right"/>
              <w:rPr>
                <w:color w:val="000000"/>
              </w:rPr>
            </w:pPr>
          </w:p>
        </w:tc>
        <w:tc>
          <w:tcPr>
            <w:tcW w:w="1134" w:type="dxa"/>
          </w:tcPr>
          <w:p w:rsidR="00861EE0" w:rsidRPr="00861EE0" w:rsidRDefault="00861EE0" w:rsidP="008D7C4C">
            <w:pPr>
              <w:autoSpaceDE w:val="0"/>
              <w:autoSpaceDN w:val="0"/>
              <w:adjustRightInd w:val="0"/>
              <w:jc w:val="right"/>
              <w:rPr>
                <w:color w:val="000000"/>
              </w:rPr>
            </w:pPr>
          </w:p>
        </w:tc>
        <w:tc>
          <w:tcPr>
            <w:tcW w:w="1134" w:type="dxa"/>
          </w:tcPr>
          <w:p w:rsidR="00861EE0" w:rsidRPr="00861EE0" w:rsidRDefault="00861EE0" w:rsidP="008D7C4C">
            <w:pPr>
              <w:autoSpaceDE w:val="0"/>
              <w:autoSpaceDN w:val="0"/>
              <w:adjustRightInd w:val="0"/>
              <w:jc w:val="right"/>
              <w:rPr>
                <w:color w:val="000000"/>
              </w:rPr>
            </w:pPr>
          </w:p>
        </w:tc>
      </w:tr>
    </w:tbl>
    <w:p w:rsidR="00861EE0" w:rsidRPr="00861EE0" w:rsidRDefault="00861EE0" w:rsidP="00861EE0"/>
    <w:p w:rsidR="00861EE0" w:rsidRPr="00861EE0" w:rsidRDefault="00861EE0" w:rsidP="00861EE0"/>
    <w:p w:rsidR="00861EE0" w:rsidRPr="00861EE0" w:rsidRDefault="00861EE0" w:rsidP="00861EE0">
      <w:pPr>
        <w:rPr>
          <w:b/>
          <w:bCs/>
        </w:rPr>
      </w:pPr>
      <w:r w:rsidRPr="00861EE0">
        <w:rPr>
          <w:b/>
          <w:bCs/>
        </w:rPr>
        <w:t>2.2.4. Výpočty vplyvov na verejné financie</w:t>
      </w:r>
    </w:p>
    <w:p w:rsidR="00861EE0" w:rsidRPr="00861EE0" w:rsidRDefault="00861EE0" w:rsidP="00861EE0">
      <w:pPr>
        <w:jc w:val="both"/>
        <w:rPr>
          <w:bCs/>
        </w:rPr>
        <w:sectPr w:rsidR="00861EE0" w:rsidRPr="00861EE0" w:rsidSect="008D7C4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pgNumType w:start="1"/>
          <w:cols w:space="708"/>
          <w:docGrid w:linePitch="360"/>
        </w:sectPr>
      </w:pPr>
      <w:r w:rsidRPr="00861EE0">
        <w:lastRenderedPageBreak/>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861EE0" w:rsidRPr="00861EE0" w:rsidRDefault="00861EE0" w:rsidP="00861EE0">
      <w:pPr>
        <w:tabs>
          <w:tab w:val="num" w:pos="1080"/>
        </w:tabs>
        <w:jc w:val="right"/>
        <w:rPr>
          <w:bCs/>
        </w:rPr>
      </w:pPr>
      <w:r w:rsidRPr="00861EE0">
        <w:rPr>
          <w:bCs/>
        </w:rPr>
        <w:lastRenderedPageBreak/>
        <w:t xml:space="preserve">Tabuľka č. 3 </w:t>
      </w:r>
    </w:p>
    <w:p w:rsidR="00861EE0" w:rsidRPr="00861EE0" w:rsidRDefault="00861EE0" w:rsidP="00861EE0">
      <w:pPr>
        <w:tabs>
          <w:tab w:val="num" w:pos="1080"/>
        </w:tabs>
        <w:jc w:val="both"/>
        <w:rPr>
          <w:bCs/>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861EE0" w:rsidRPr="00861EE0" w:rsidTr="008D7C4C">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61EE0" w:rsidRPr="00861EE0" w:rsidRDefault="00861EE0" w:rsidP="008D7C4C">
            <w:pPr>
              <w:jc w:val="center"/>
              <w:rPr>
                <w:b/>
                <w:bCs/>
              </w:rPr>
            </w:pPr>
            <w:r w:rsidRPr="00861EE0">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61EE0" w:rsidRPr="00861EE0" w:rsidRDefault="00861EE0" w:rsidP="008D7C4C">
            <w:pPr>
              <w:jc w:val="center"/>
              <w:rPr>
                <w:b/>
                <w:bCs/>
              </w:rPr>
            </w:pPr>
            <w:r w:rsidRPr="00861EE0">
              <w:rPr>
                <w:b/>
                <w:bCs/>
              </w:rPr>
              <w:t>poznámka</w:t>
            </w:r>
          </w:p>
        </w:tc>
      </w:tr>
      <w:tr w:rsidR="00861EE0" w:rsidRPr="00861EE0" w:rsidTr="008D7C4C">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861EE0" w:rsidRPr="00861EE0" w:rsidRDefault="00861EE0" w:rsidP="008D7C4C">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2019</w:t>
            </w:r>
          </w:p>
        </w:tc>
        <w:tc>
          <w:tcPr>
            <w:tcW w:w="1500"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2020</w:t>
            </w:r>
          </w:p>
        </w:tc>
        <w:tc>
          <w:tcPr>
            <w:tcW w:w="1500"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2021</w:t>
            </w:r>
          </w:p>
        </w:tc>
        <w:tc>
          <w:tcPr>
            <w:tcW w:w="1500"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2022</w:t>
            </w:r>
          </w:p>
        </w:tc>
        <w:tc>
          <w:tcPr>
            <w:tcW w:w="3000" w:type="dxa"/>
            <w:vMerge/>
            <w:tcBorders>
              <w:top w:val="single" w:sz="4" w:space="0" w:color="auto"/>
              <w:left w:val="single" w:sz="4" w:space="0" w:color="auto"/>
              <w:bottom w:val="single" w:sz="4" w:space="0" w:color="auto"/>
              <w:right w:val="single" w:sz="4" w:space="0" w:color="auto"/>
            </w:tcBorders>
            <w:vAlign w:val="center"/>
          </w:tcPr>
          <w:p w:rsidR="00861EE0" w:rsidRPr="00861EE0" w:rsidRDefault="00861EE0" w:rsidP="008D7C4C">
            <w:pPr>
              <w:rPr>
                <w:b/>
                <w:bCs/>
                <w:color w:val="FFFFFF"/>
              </w:rPr>
            </w:pPr>
          </w:p>
        </w:tc>
      </w:tr>
      <w:tr w:rsidR="00861EE0" w:rsidRPr="00861EE0" w:rsidTr="008D7C4C">
        <w:trPr>
          <w:trHeight w:val="275"/>
        </w:trPr>
        <w:tc>
          <w:tcPr>
            <w:tcW w:w="4950" w:type="dxa"/>
            <w:tcBorders>
              <w:top w:val="nil"/>
              <w:left w:val="single" w:sz="4" w:space="0" w:color="auto"/>
              <w:bottom w:val="single" w:sz="4" w:space="0" w:color="auto"/>
              <w:right w:val="single" w:sz="4" w:space="0" w:color="auto"/>
            </w:tcBorders>
          </w:tcPr>
          <w:p w:rsidR="00861EE0" w:rsidRPr="00861EE0" w:rsidRDefault="00861EE0" w:rsidP="008D7C4C">
            <w:pPr>
              <w:rPr>
                <w:b/>
                <w:bCs/>
                <w:vertAlign w:val="superscript"/>
              </w:rPr>
            </w:pPr>
            <w:r w:rsidRPr="00861EE0">
              <w:rPr>
                <w:b/>
                <w:bCs/>
              </w:rPr>
              <w:t>Daňové príjmy (100)</w:t>
            </w:r>
            <w:r w:rsidRPr="00861EE0">
              <w:rPr>
                <w:b/>
                <w:bCs/>
                <w:vertAlign w:val="superscript"/>
              </w:rPr>
              <w:t>1</w:t>
            </w:r>
          </w:p>
        </w:tc>
        <w:tc>
          <w:tcPr>
            <w:tcW w:w="1500"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500"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500"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500"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3000" w:type="dxa"/>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4950" w:type="dxa"/>
            <w:tcBorders>
              <w:top w:val="nil"/>
              <w:left w:val="single" w:sz="4" w:space="0" w:color="auto"/>
              <w:bottom w:val="single" w:sz="4" w:space="0" w:color="auto"/>
              <w:right w:val="single" w:sz="4" w:space="0" w:color="auto"/>
            </w:tcBorders>
          </w:tcPr>
          <w:p w:rsidR="00861EE0" w:rsidRPr="00861EE0" w:rsidRDefault="00861EE0" w:rsidP="008D7C4C">
            <w:pPr>
              <w:rPr>
                <w:b/>
                <w:bCs/>
              </w:rPr>
            </w:pPr>
            <w:r w:rsidRPr="00861EE0">
              <w:rPr>
                <w:b/>
                <w:bCs/>
              </w:rPr>
              <w:t>Nedaňové príjmy (200)</w:t>
            </w:r>
            <w:r w:rsidRPr="00861EE0">
              <w:rPr>
                <w:b/>
                <w:bCs/>
                <w:vertAlign w:val="superscript"/>
              </w:rPr>
              <w:t>1</w:t>
            </w:r>
          </w:p>
        </w:tc>
        <w:tc>
          <w:tcPr>
            <w:tcW w:w="1500"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500"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500"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500"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3000" w:type="dxa"/>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4950" w:type="dxa"/>
            <w:tcBorders>
              <w:top w:val="nil"/>
              <w:left w:val="single" w:sz="4" w:space="0" w:color="auto"/>
              <w:bottom w:val="single" w:sz="4" w:space="0" w:color="auto"/>
              <w:right w:val="single" w:sz="4" w:space="0" w:color="auto"/>
            </w:tcBorders>
          </w:tcPr>
          <w:p w:rsidR="00861EE0" w:rsidRPr="00861EE0" w:rsidRDefault="00861EE0" w:rsidP="008D7C4C">
            <w:pPr>
              <w:rPr>
                <w:b/>
                <w:bCs/>
              </w:rPr>
            </w:pPr>
            <w:r w:rsidRPr="00861EE0">
              <w:rPr>
                <w:b/>
                <w:bCs/>
              </w:rPr>
              <w:t>Granty a transfery (300)</w:t>
            </w:r>
            <w:r w:rsidRPr="00861EE0">
              <w:rPr>
                <w:b/>
                <w:bCs/>
                <w:vertAlign w:val="superscript"/>
              </w:rPr>
              <w:t>1</w:t>
            </w:r>
          </w:p>
        </w:tc>
        <w:tc>
          <w:tcPr>
            <w:tcW w:w="1500"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500" w:type="dxa"/>
            <w:tcBorders>
              <w:top w:val="nil"/>
              <w:left w:val="nil"/>
              <w:bottom w:val="single" w:sz="4" w:space="0" w:color="auto"/>
              <w:right w:val="single" w:sz="4" w:space="0" w:color="auto"/>
            </w:tcBorders>
          </w:tcPr>
          <w:p w:rsidR="00861EE0" w:rsidRPr="00861EE0" w:rsidRDefault="00861EE0" w:rsidP="008D7C4C">
            <w:pPr>
              <w:tabs>
                <w:tab w:val="left" w:pos="180"/>
              </w:tabs>
              <w:rPr>
                <w:bCs/>
              </w:rPr>
            </w:pPr>
            <w:r w:rsidRPr="00861EE0">
              <w:rPr>
                <w:b/>
                <w:bCs/>
              </w:rPr>
              <w:tab/>
            </w:r>
          </w:p>
        </w:tc>
        <w:tc>
          <w:tcPr>
            <w:tcW w:w="1500"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500"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3000" w:type="dxa"/>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4950" w:type="dxa"/>
            <w:tcBorders>
              <w:top w:val="nil"/>
              <w:left w:val="single" w:sz="4" w:space="0" w:color="auto"/>
              <w:bottom w:val="single" w:sz="4" w:space="0" w:color="auto"/>
              <w:right w:val="single" w:sz="4" w:space="0" w:color="auto"/>
            </w:tcBorders>
          </w:tcPr>
          <w:p w:rsidR="00861EE0" w:rsidRPr="00861EE0" w:rsidRDefault="00861EE0" w:rsidP="008D7C4C">
            <w:pPr>
              <w:rPr>
                <w:b/>
                <w:bCs/>
              </w:rPr>
            </w:pPr>
            <w:r w:rsidRPr="00861EE0">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861EE0" w:rsidRPr="00861EE0" w:rsidRDefault="00861EE0" w:rsidP="008D7C4C">
            <w:pPr>
              <w:jc w:val="center"/>
              <w:rPr>
                <w:b/>
                <w:bCs/>
              </w:rPr>
            </w:pPr>
            <w:r w:rsidRPr="00861EE0">
              <w:rPr>
                <w:b/>
                <w:bCs/>
              </w:rPr>
              <w:t> </w:t>
            </w:r>
          </w:p>
        </w:tc>
        <w:tc>
          <w:tcPr>
            <w:tcW w:w="1500" w:type="dxa"/>
            <w:tcBorders>
              <w:top w:val="nil"/>
              <w:left w:val="nil"/>
              <w:bottom w:val="single" w:sz="4" w:space="0" w:color="auto"/>
              <w:right w:val="single" w:sz="4" w:space="0" w:color="auto"/>
            </w:tcBorders>
            <w:shd w:val="clear" w:color="auto" w:fill="FFFF99"/>
          </w:tcPr>
          <w:p w:rsidR="00861EE0" w:rsidRPr="00861EE0" w:rsidRDefault="00861EE0" w:rsidP="008D7C4C">
            <w:pPr>
              <w:jc w:val="center"/>
              <w:rPr>
                <w:b/>
                <w:bCs/>
              </w:rPr>
            </w:pPr>
            <w:r w:rsidRPr="00861EE0">
              <w:rPr>
                <w:b/>
                <w:bCs/>
              </w:rPr>
              <w:t> </w:t>
            </w:r>
          </w:p>
        </w:tc>
        <w:tc>
          <w:tcPr>
            <w:tcW w:w="1500" w:type="dxa"/>
            <w:tcBorders>
              <w:top w:val="nil"/>
              <w:left w:val="nil"/>
              <w:bottom w:val="single" w:sz="4" w:space="0" w:color="auto"/>
              <w:right w:val="single" w:sz="4" w:space="0" w:color="auto"/>
            </w:tcBorders>
            <w:shd w:val="clear" w:color="auto" w:fill="FFFF99"/>
          </w:tcPr>
          <w:p w:rsidR="00861EE0" w:rsidRPr="00861EE0" w:rsidRDefault="00861EE0" w:rsidP="008D7C4C">
            <w:pPr>
              <w:jc w:val="center"/>
              <w:rPr>
                <w:b/>
                <w:bCs/>
              </w:rPr>
            </w:pPr>
            <w:r w:rsidRPr="00861EE0">
              <w:rPr>
                <w:b/>
                <w:bCs/>
              </w:rPr>
              <w:t> </w:t>
            </w:r>
          </w:p>
        </w:tc>
        <w:tc>
          <w:tcPr>
            <w:tcW w:w="1500" w:type="dxa"/>
            <w:tcBorders>
              <w:top w:val="nil"/>
              <w:left w:val="nil"/>
              <w:bottom w:val="single" w:sz="4" w:space="0" w:color="auto"/>
              <w:right w:val="single" w:sz="4" w:space="0" w:color="auto"/>
            </w:tcBorders>
            <w:shd w:val="clear" w:color="auto" w:fill="FFFF99"/>
          </w:tcPr>
          <w:p w:rsidR="00861EE0" w:rsidRPr="00861EE0" w:rsidRDefault="00861EE0" w:rsidP="008D7C4C">
            <w:pPr>
              <w:jc w:val="center"/>
              <w:rPr>
                <w:b/>
                <w:bCs/>
              </w:rPr>
            </w:pPr>
            <w:r w:rsidRPr="00861EE0">
              <w:rPr>
                <w:b/>
                <w:bCs/>
              </w:rPr>
              <w:t> </w:t>
            </w:r>
          </w:p>
        </w:tc>
        <w:tc>
          <w:tcPr>
            <w:tcW w:w="3000" w:type="dxa"/>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4950" w:type="dxa"/>
            <w:tcBorders>
              <w:top w:val="nil"/>
              <w:left w:val="single" w:sz="4" w:space="0" w:color="auto"/>
              <w:bottom w:val="single" w:sz="4" w:space="0" w:color="auto"/>
              <w:right w:val="single" w:sz="4" w:space="0" w:color="auto"/>
            </w:tcBorders>
          </w:tcPr>
          <w:p w:rsidR="00861EE0" w:rsidRPr="00861EE0" w:rsidRDefault="00861EE0" w:rsidP="008D7C4C">
            <w:pPr>
              <w:rPr>
                <w:b/>
                <w:bCs/>
              </w:rPr>
            </w:pPr>
            <w:r w:rsidRPr="00861EE0">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861EE0" w:rsidRPr="00861EE0" w:rsidRDefault="00861EE0" w:rsidP="008D7C4C">
            <w:pPr>
              <w:jc w:val="center"/>
              <w:rPr>
                <w:b/>
                <w:bCs/>
              </w:rPr>
            </w:pPr>
            <w:r w:rsidRPr="00861EE0">
              <w:rPr>
                <w:b/>
                <w:bCs/>
              </w:rPr>
              <w:t> </w:t>
            </w:r>
          </w:p>
        </w:tc>
        <w:tc>
          <w:tcPr>
            <w:tcW w:w="1500" w:type="dxa"/>
            <w:tcBorders>
              <w:top w:val="nil"/>
              <w:left w:val="nil"/>
              <w:bottom w:val="single" w:sz="4" w:space="0" w:color="auto"/>
              <w:right w:val="single" w:sz="4" w:space="0" w:color="auto"/>
            </w:tcBorders>
            <w:shd w:val="clear" w:color="auto" w:fill="FFFF99"/>
          </w:tcPr>
          <w:p w:rsidR="00861EE0" w:rsidRPr="00861EE0" w:rsidRDefault="00861EE0" w:rsidP="008D7C4C">
            <w:pPr>
              <w:jc w:val="center"/>
              <w:rPr>
                <w:b/>
                <w:bCs/>
              </w:rPr>
            </w:pPr>
            <w:r w:rsidRPr="00861EE0">
              <w:rPr>
                <w:b/>
                <w:bCs/>
              </w:rPr>
              <w:t> </w:t>
            </w:r>
          </w:p>
        </w:tc>
        <w:tc>
          <w:tcPr>
            <w:tcW w:w="1500" w:type="dxa"/>
            <w:tcBorders>
              <w:top w:val="nil"/>
              <w:left w:val="nil"/>
              <w:bottom w:val="single" w:sz="4" w:space="0" w:color="auto"/>
              <w:right w:val="single" w:sz="4" w:space="0" w:color="auto"/>
            </w:tcBorders>
            <w:shd w:val="clear" w:color="auto" w:fill="FFFF99"/>
          </w:tcPr>
          <w:p w:rsidR="00861EE0" w:rsidRPr="00861EE0" w:rsidRDefault="00861EE0" w:rsidP="008D7C4C">
            <w:pPr>
              <w:jc w:val="center"/>
              <w:rPr>
                <w:b/>
                <w:bCs/>
              </w:rPr>
            </w:pPr>
            <w:r w:rsidRPr="00861EE0">
              <w:rPr>
                <w:b/>
                <w:bCs/>
              </w:rPr>
              <w:t> </w:t>
            </w:r>
          </w:p>
        </w:tc>
        <w:tc>
          <w:tcPr>
            <w:tcW w:w="1500" w:type="dxa"/>
            <w:tcBorders>
              <w:top w:val="nil"/>
              <w:left w:val="nil"/>
              <w:bottom w:val="single" w:sz="4" w:space="0" w:color="auto"/>
              <w:right w:val="single" w:sz="4" w:space="0" w:color="auto"/>
            </w:tcBorders>
            <w:shd w:val="clear" w:color="auto" w:fill="FFFF99"/>
          </w:tcPr>
          <w:p w:rsidR="00861EE0" w:rsidRPr="00861EE0" w:rsidRDefault="00861EE0" w:rsidP="008D7C4C">
            <w:pPr>
              <w:jc w:val="center"/>
              <w:rPr>
                <w:b/>
                <w:bCs/>
              </w:rPr>
            </w:pPr>
            <w:r w:rsidRPr="00861EE0">
              <w:rPr>
                <w:b/>
                <w:bCs/>
              </w:rPr>
              <w:t> </w:t>
            </w:r>
          </w:p>
        </w:tc>
        <w:tc>
          <w:tcPr>
            <w:tcW w:w="3000" w:type="dxa"/>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861EE0" w:rsidRPr="00861EE0" w:rsidRDefault="00861EE0" w:rsidP="008D7C4C">
            <w:pPr>
              <w:rPr>
                <w:b/>
                <w:bCs/>
              </w:rPr>
            </w:pPr>
            <w:r w:rsidRPr="00861EE0">
              <w:rPr>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861EE0" w:rsidRPr="00861EE0" w:rsidRDefault="00861EE0" w:rsidP="008D7C4C">
            <w:r w:rsidRPr="00861EE0">
              <w:t> </w:t>
            </w:r>
          </w:p>
        </w:tc>
      </w:tr>
    </w:tbl>
    <w:p w:rsidR="00861EE0" w:rsidRPr="00861EE0" w:rsidRDefault="00861EE0" w:rsidP="00861EE0">
      <w:pPr>
        <w:tabs>
          <w:tab w:val="num" w:pos="1080"/>
        </w:tabs>
        <w:jc w:val="both"/>
        <w:rPr>
          <w:bCs/>
        </w:rPr>
      </w:pPr>
      <w:r w:rsidRPr="00861EE0">
        <w:rPr>
          <w:bCs/>
        </w:rPr>
        <w:t>1 –  príjmy rozpísať až do položiek platnej ekonomickej klasifikácie</w:t>
      </w:r>
    </w:p>
    <w:p w:rsidR="00861EE0" w:rsidRPr="00861EE0" w:rsidRDefault="00861EE0" w:rsidP="00861EE0">
      <w:pPr>
        <w:tabs>
          <w:tab w:val="num" w:pos="1080"/>
        </w:tabs>
        <w:jc w:val="both"/>
        <w:rPr>
          <w:bCs/>
        </w:rPr>
      </w:pPr>
    </w:p>
    <w:p w:rsidR="00861EE0" w:rsidRPr="00861EE0" w:rsidRDefault="00861EE0" w:rsidP="00861EE0">
      <w:pPr>
        <w:tabs>
          <w:tab w:val="num" w:pos="1080"/>
        </w:tabs>
        <w:jc w:val="both"/>
        <w:rPr>
          <w:b/>
          <w:bCs/>
        </w:rPr>
      </w:pPr>
      <w:r w:rsidRPr="00861EE0">
        <w:rPr>
          <w:b/>
          <w:bCs/>
        </w:rPr>
        <w:t>Poznámka:</w:t>
      </w:r>
    </w:p>
    <w:p w:rsidR="00861EE0" w:rsidRPr="00861EE0" w:rsidRDefault="00861EE0" w:rsidP="00861EE0">
      <w:pPr>
        <w:tabs>
          <w:tab w:val="num" w:pos="1080"/>
        </w:tabs>
        <w:jc w:val="both"/>
        <w:rPr>
          <w:bCs/>
        </w:rPr>
      </w:pPr>
      <w:r w:rsidRPr="00861EE0">
        <w:rPr>
          <w:bCs/>
        </w:rPr>
        <w:t>Ak sa vplyv týka viacerých subjektov verejnej správy, vypĺňa sa samostatná tabuľka za každý subjekt.</w:t>
      </w:r>
    </w:p>
    <w:p w:rsidR="00861EE0" w:rsidRPr="00861EE0" w:rsidRDefault="00861EE0" w:rsidP="00861EE0">
      <w:pPr>
        <w:tabs>
          <w:tab w:val="num" w:pos="1080"/>
        </w:tabs>
        <w:ind w:right="-578"/>
        <w:jc w:val="right"/>
        <w:rPr>
          <w:bCs/>
        </w:rPr>
      </w:pPr>
      <w:r w:rsidRPr="00861EE0">
        <w:rPr>
          <w:bCs/>
        </w:rPr>
        <w:t xml:space="preserve"> </w:t>
      </w:r>
    </w:p>
    <w:p w:rsidR="00861EE0" w:rsidRPr="00861EE0" w:rsidRDefault="00861EE0" w:rsidP="00861EE0">
      <w:pPr>
        <w:tabs>
          <w:tab w:val="num" w:pos="1080"/>
        </w:tabs>
        <w:ind w:right="-578"/>
        <w:jc w:val="right"/>
        <w:rPr>
          <w:bCs/>
        </w:rPr>
      </w:pPr>
    </w:p>
    <w:p w:rsidR="00861EE0" w:rsidRPr="00861EE0" w:rsidRDefault="00861EE0" w:rsidP="00861EE0">
      <w:pPr>
        <w:tabs>
          <w:tab w:val="num" w:pos="1080"/>
        </w:tabs>
        <w:ind w:right="-578"/>
        <w:jc w:val="right"/>
        <w:rPr>
          <w:bCs/>
        </w:rPr>
      </w:pPr>
    </w:p>
    <w:p w:rsidR="00861EE0" w:rsidRPr="00861EE0" w:rsidRDefault="00861EE0" w:rsidP="00861EE0">
      <w:pPr>
        <w:tabs>
          <w:tab w:val="num" w:pos="1080"/>
        </w:tabs>
        <w:ind w:right="-578"/>
        <w:jc w:val="right"/>
        <w:rPr>
          <w:bCs/>
        </w:rPr>
      </w:pPr>
    </w:p>
    <w:p w:rsidR="00861EE0" w:rsidRPr="00861EE0" w:rsidRDefault="00861EE0" w:rsidP="00861EE0">
      <w:pPr>
        <w:tabs>
          <w:tab w:val="num" w:pos="1080"/>
        </w:tabs>
        <w:ind w:right="-578"/>
        <w:jc w:val="right"/>
        <w:rPr>
          <w:bCs/>
        </w:rPr>
      </w:pPr>
    </w:p>
    <w:p w:rsidR="00861EE0" w:rsidRPr="00861EE0" w:rsidRDefault="00861EE0" w:rsidP="00861EE0">
      <w:pPr>
        <w:tabs>
          <w:tab w:val="num" w:pos="1080"/>
        </w:tabs>
        <w:ind w:right="-578"/>
        <w:jc w:val="right"/>
        <w:rPr>
          <w:bCs/>
        </w:rPr>
      </w:pPr>
    </w:p>
    <w:p w:rsidR="00861EE0" w:rsidRPr="00861EE0" w:rsidRDefault="00861EE0" w:rsidP="00861EE0">
      <w:pPr>
        <w:tabs>
          <w:tab w:val="num" w:pos="1080"/>
        </w:tabs>
        <w:ind w:right="-578"/>
        <w:jc w:val="right"/>
        <w:rPr>
          <w:bCs/>
        </w:rPr>
      </w:pPr>
    </w:p>
    <w:p w:rsidR="00861EE0" w:rsidRPr="00861EE0" w:rsidRDefault="00861EE0" w:rsidP="00861EE0">
      <w:pPr>
        <w:tabs>
          <w:tab w:val="num" w:pos="1080"/>
        </w:tabs>
        <w:ind w:right="-578"/>
        <w:jc w:val="right"/>
        <w:rPr>
          <w:bCs/>
        </w:rPr>
      </w:pPr>
    </w:p>
    <w:p w:rsidR="00861EE0" w:rsidRPr="00861EE0" w:rsidRDefault="00861EE0" w:rsidP="00861EE0">
      <w:pPr>
        <w:tabs>
          <w:tab w:val="num" w:pos="1080"/>
        </w:tabs>
        <w:ind w:right="-578"/>
        <w:jc w:val="right"/>
        <w:rPr>
          <w:bCs/>
        </w:rPr>
      </w:pPr>
    </w:p>
    <w:p w:rsidR="00861EE0" w:rsidRPr="00861EE0" w:rsidRDefault="00861EE0" w:rsidP="00861EE0">
      <w:pPr>
        <w:tabs>
          <w:tab w:val="num" w:pos="1080"/>
        </w:tabs>
        <w:ind w:right="-578"/>
        <w:jc w:val="right"/>
        <w:rPr>
          <w:bCs/>
        </w:rPr>
      </w:pPr>
    </w:p>
    <w:p w:rsidR="00861EE0" w:rsidRPr="00861EE0" w:rsidRDefault="00861EE0" w:rsidP="00861EE0">
      <w:pPr>
        <w:tabs>
          <w:tab w:val="num" w:pos="1080"/>
        </w:tabs>
        <w:ind w:right="-578"/>
        <w:jc w:val="right"/>
        <w:rPr>
          <w:bCs/>
        </w:rPr>
      </w:pPr>
    </w:p>
    <w:p w:rsidR="00861EE0" w:rsidRPr="00861EE0" w:rsidRDefault="00861EE0" w:rsidP="00861EE0">
      <w:pPr>
        <w:tabs>
          <w:tab w:val="num" w:pos="1080"/>
        </w:tabs>
        <w:ind w:right="-578"/>
        <w:jc w:val="right"/>
        <w:rPr>
          <w:bCs/>
        </w:rPr>
      </w:pPr>
    </w:p>
    <w:p w:rsidR="00861EE0" w:rsidRPr="00861EE0" w:rsidRDefault="00861EE0" w:rsidP="00861EE0">
      <w:pPr>
        <w:tabs>
          <w:tab w:val="num" w:pos="1080"/>
        </w:tabs>
        <w:ind w:right="-578"/>
        <w:jc w:val="right"/>
        <w:rPr>
          <w:bCs/>
        </w:rPr>
      </w:pPr>
    </w:p>
    <w:p w:rsidR="00861EE0" w:rsidRPr="00861EE0" w:rsidRDefault="00861EE0" w:rsidP="00861EE0">
      <w:pPr>
        <w:tabs>
          <w:tab w:val="num" w:pos="1080"/>
        </w:tabs>
        <w:ind w:right="-578"/>
        <w:rPr>
          <w:bCs/>
        </w:rPr>
      </w:pPr>
    </w:p>
    <w:p w:rsidR="00861EE0" w:rsidRPr="00861EE0" w:rsidRDefault="00861EE0" w:rsidP="00861EE0">
      <w:pPr>
        <w:tabs>
          <w:tab w:val="num" w:pos="1080"/>
        </w:tabs>
        <w:ind w:right="-578"/>
        <w:rPr>
          <w:bCs/>
        </w:rPr>
      </w:pPr>
    </w:p>
    <w:p w:rsidR="00861EE0" w:rsidRPr="00861EE0" w:rsidRDefault="00861EE0" w:rsidP="00861EE0">
      <w:pPr>
        <w:tabs>
          <w:tab w:val="num" w:pos="1080"/>
        </w:tabs>
        <w:ind w:right="-32"/>
        <w:jc w:val="right"/>
        <w:rPr>
          <w:bCs/>
        </w:rPr>
      </w:pPr>
      <w:r w:rsidRPr="00861EE0">
        <w:rPr>
          <w:bCs/>
        </w:rPr>
        <w:lastRenderedPageBreak/>
        <w:t xml:space="preserve">Tabuľka č. 4 </w:t>
      </w:r>
    </w:p>
    <w:p w:rsidR="00861EE0" w:rsidRPr="00861EE0" w:rsidRDefault="00861EE0" w:rsidP="00861EE0">
      <w:pPr>
        <w:tabs>
          <w:tab w:val="num" w:pos="1080"/>
        </w:tabs>
        <w:ind w:right="-578"/>
        <w:jc w:val="right"/>
        <w:rPr>
          <w:bCs/>
        </w:rPr>
      </w:pPr>
    </w:p>
    <w:p w:rsidR="00861EE0" w:rsidRPr="00861EE0" w:rsidRDefault="00861EE0" w:rsidP="00861EE0">
      <w:pPr>
        <w:tabs>
          <w:tab w:val="num" w:pos="1080"/>
        </w:tabs>
        <w:ind w:right="-578"/>
        <w:jc w:val="right"/>
        <w:rPr>
          <w:bCs/>
        </w:rPr>
      </w:pPr>
    </w:p>
    <w:tbl>
      <w:tblPr>
        <w:tblpPr w:leftFromText="141" w:rightFromText="141" w:vertAnchor="text" w:horzAnchor="margin" w:tblpXSpec="center" w:tblpY="189"/>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861EE0" w:rsidRPr="00861EE0" w:rsidTr="008D7C4C">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861EE0" w:rsidRPr="00861EE0" w:rsidRDefault="00861EE0" w:rsidP="008D7C4C">
            <w:pPr>
              <w:jc w:val="center"/>
              <w:rPr>
                <w:b/>
                <w:bCs/>
              </w:rPr>
            </w:pPr>
            <w:r w:rsidRPr="00861EE0">
              <w:rPr>
                <w:b/>
                <w:bCs/>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61EE0" w:rsidRPr="00861EE0" w:rsidRDefault="00861EE0" w:rsidP="008D7C4C">
            <w:pPr>
              <w:jc w:val="center"/>
              <w:rPr>
                <w:b/>
                <w:bCs/>
              </w:rPr>
            </w:pPr>
            <w:r w:rsidRPr="00861EE0">
              <w:rPr>
                <w:b/>
                <w:bCs/>
              </w:rPr>
              <w:t>poznámka</w:t>
            </w:r>
          </w:p>
        </w:tc>
      </w:tr>
      <w:tr w:rsidR="00861EE0" w:rsidRPr="00861EE0" w:rsidTr="008D7C4C">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861EE0" w:rsidRPr="00861EE0" w:rsidRDefault="00861EE0" w:rsidP="008D7C4C">
            <w:pPr>
              <w:rPr>
                <w:b/>
                <w:bCs/>
                <w:color w:val="FFFFFF"/>
              </w:rPr>
            </w:pPr>
          </w:p>
        </w:tc>
        <w:tc>
          <w:tcPr>
            <w:tcW w:w="1540"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2019</w:t>
            </w:r>
          </w:p>
        </w:tc>
        <w:tc>
          <w:tcPr>
            <w:tcW w:w="1540"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2020</w:t>
            </w:r>
          </w:p>
        </w:tc>
        <w:tc>
          <w:tcPr>
            <w:tcW w:w="1540"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2021</w:t>
            </w:r>
          </w:p>
        </w:tc>
        <w:tc>
          <w:tcPr>
            <w:tcW w:w="1540"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2022</w:t>
            </w:r>
          </w:p>
        </w:tc>
        <w:tc>
          <w:tcPr>
            <w:tcW w:w="2220" w:type="dxa"/>
            <w:vMerge/>
            <w:tcBorders>
              <w:top w:val="single" w:sz="4" w:space="0" w:color="auto"/>
              <w:left w:val="single" w:sz="4" w:space="0" w:color="auto"/>
              <w:bottom w:val="single" w:sz="4" w:space="0" w:color="auto"/>
              <w:right w:val="single" w:sz="4" w:space="0" w:color="auto"/>
            </w:tcBorders>
            <w:vAlign w:val="center"/>
          </w:tcPr>
          <w:p w:rsidR="00861EE0" w:rsidRPr="00861EE0" w:rsidRDefault="00861EE0" w:rsidP="008D7C4C">
            <w:pPr>
              <w:rPr>
                <w:b/>
                <w:bCs/>
                <w:color w:val="FFFFFF"/>
              </w:rPr>
            </w:pPr>
          </w:p>
        </w:tc>
      </w:tr>
      <w:tr w:rsidR="00861EE0" w:rsidRPr="00861EE0" w:rsidTr="008D7C4C">
        <w:trPr>
          <w:trHeight w:val="255"/>
        </w:trPr>
        <w:tc>
          <w:tcPr>
            <w:tcW w:w="7070" w:type="dxa"/>
            <w:tcBorders>
              <w:top w:val="nil"/>
              <w:left w:val="single" w:sz="4" w:space="0" w:color="auto"/>
              <w:bottom w:val="single" w:sz="4" w:space="0" w:color="auto"/>
              <w:right w:val="single" w:sz="4" w:space="0" w:color="auto"/>
            </w:tcBorders>
          </w:tcPr>
          <w:p w:rsidR="00861EE0" w:rsidRPr="00861EE0" w:rsidRDefault="00861EE0" w:rsidP="008D7C4C">
            <w:pPr>
              <w:rPr>
                <w:b/>
                <w:bCs/>
              </w:rPr>
            </w:pPr>
            <w:r w:rsidRPr="00861EE0">
              <w:rPr>
                <w:b/>
                <w:bCs/>
              </w:rPr>
              <w:t>Bežné výdavky (600)</w:t>
            </w:r>
          </w:p>
        </w:tc>
        <w:tc>
          <w:tcPr>
            <w:tcW w:w="1540" w:type="dxa"/>
            <w:tcBorders>
              <w:top w:val="nil"/>
              <w:left w:val="nil"/>
              <w:bottom w:val="single" w:sz="4" w:space="0" w:color="auto"/>
              <w:right w:val="single" w:sz="4" w:space="0" w:color="auto"/>
            </w:tcBorders>
            <w:vAlign w:val="center"/>
          </w:tcPr>
          <w:p w:rsidR="00861EE0" w:rsidRPr="00861EE0" w:rsidRDefault="00861EE0" w:rsidP="008D7C4C">
            <w:pPr>
              <w:jc w:val="right"/>
              <w:rPr>
                <w:b/>
                <w:bCs/>
              </w:rPr>
            </w:pPr>
            <w:r w:rsidRPr="00861EE0">
              <w:rPr>
                <w:b/>
                <w:bCs/>
              </w:rPr>
              <w:t>1 000 000</w:t>
            </w:r>
          </w:p>
        </w:tc>
        <w:tc>
          <w:tcPr>
            <w:tcW w:w="1540" w:type="dxa"/>
            <w:tcBorders>
              <w:top w:val="nil"/>
              <w:left w:val="nil"/>
              <w:bottom w:val="single" w:sz="4" w:space="0" w:color="auto"/>
              <w:right w:val="single" w:sz="4" w:space="0" w:color="auto"/>
            </w:tcBorders>
            <w:vAlign w:val="center"/>
          </w:tcPr>
          <w:p w:rsidR="00861EE0" w:rsidRPr="00861EE0" w:rsidRDefault="00861EE0" w:rsidP="008D7C4C">
            <w:pPr>
              <w:jc w:val="right"/>
              <w:rPr>
                <w:b/>
                <w:bCs/>
              </w:rPr>
            </w:pPr>
            <w:r w:rsidRPr="00861EE0">
              <w:rPr>
                <w:b/>
                <w:bCs/>
              </w:rPr>
              <w:t>1 000 000</w:t>
            </w:r>
          </w:p>
        </w:tc>
        <w:tc>
          <w:tcPr>
            <w:tcW w:w="1540" w:type="dxa"/>
            <w:tcBorders>
              <w:top w:val="nil"/>
              <w:left w:val="nil"/>
              <w:bottom w:val="single" w:sz="4" w:space="0" w:color="auto"/>
              <w:right w:val="single" w:sz="4" w:space="0" w:color="auto"/>
            </w:tcBorders>
            <w:vAlign w:val="center"/>
          </w:tcPr>
          <w:p w:rsidR="00861EE0" w:rsidRPr="00861EE0" w:rsidRDefault="00861EE0" w:rsidP="008D7C4C">
            <w:pPr>
              <w:jc w:val="right"/>
              <w:rPr>
                <w:b/>
                <w:bCs/>
              </w:rPr>
            </w:pPr>
            <w:r w:rsidRPr="00861EE0">
              <w:rPr>
                <w:b/>
                <w:bCs/>
              </w:rPr>
              <w:t>1 500 000</w:t>
            </w:r>
          </w:p>
        </w:tc>
        <w:tc>
          <w:tcPr>
            <w:tcW w:w="1540" w:type="dxa"/>
            <w:tcBorders>
              <w:top w:val="nil"/>
              <w:left w:val="nil"/>
              <w:bottom w:val="single" w:sz="4" w:space="0" w:color="auto"/>
              <w:right w:val="single" w:sz="4" w:space="0" w:color="auto"/>
            </w:tcBorders>
            <w:vAlign w:val="center"/>
          </w:tcPr>
          <w:p w:rsidR="00861EE0" w:rsidRPr="00861EE0" w:rsidRDefault="00861EE0" w:rsidP="008D7C4C">
            <w:pPr>
              <w:jc w:val="right"/>
              <w:rPr>
                <w:b/>
                <w:bCs/>
              </w:rPr>
            </w:pPr>
            <w:r w:rsidRPr="00861EE0">
              <w:rPr>
                <w:b/>
                <w:bCs/>
              </w:rPr>
              <w:t>2 000 000</w:t>
            </w:r>
          </w:p>
        </w:tc>
        <w:tc>
          <w:tcPr>
            <w:tcW w:w="2220" w:type="dxa"/>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7070" w:type="dxa"/>
            <w:tcBorders>
              <w:top w:val="nil"/>
              <w:left w:val="single" w:sz="4" w:space="0" w:color="auto"/>
              <w:bottom w:val="single" w:sz="4" w:space="0" w:color="auto"/>
              <w:right w:val="single" w:sz="4" w:space="0" w:color="auto"/>
            </w:tcBorders>
          </w:tcPr>
          <w:p w:rsidR="00861EE0" w:rsidRPr="00861EE0" w:rsidRDefault="00861EE0" w:rsidP="008D7C4C">
            <w:r w:rsidRPr="00861EE0">
              <w:t xml:space="preserve">  Mzdy, platy, služobné príjmy a ostatné osobné vyrovnania (610)</w:t>
            </w: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2220" w:type="dxa"/>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7070" w:type="dxa"/>
            <w:tcBorders>
              <w:top w:val="nil"/>
              <w:left w:val="single" w:sz="4" w:space="0" w:color="auto"/>
              <w:bottom w:val="single" w:sz="4" w:space="0" w:color="auto"/>
              <w:right w:val="single" w:sz="4" w:space="0" w:color="auto"/>
            </w:tcBorders>
          </w:tcPr>
          <w:p w:rsidR="00861EE0" w:rsidRPr="00861EE0" w:rsidRDefault="00861EE0" w:rsidP="008D7C4C">
            <w:pPr>
              <w:rPr>
                <w:vertAlign w:val="superscript"/>
              </w:rPr>
            </w:pPr>
            <w:r w:rsidRPr="00861EE0">
              <w:t xml:space="preserve">  Poistné a príspevok do poisťovní (620)</w:t>
            </w: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2220" w:type="dxa"/>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7070" w:type="dxa"/>
            <w:tcBorders>
              <w:top w:val="nil"/>
              <w:left w:val="single" w:sz="4" w:space="0" w:color="auto"/>
              <w:bottom w:val="single" w:sz="4" w:space="0" w:color="auto"/>
              <w:right w:val="single" w:sz="4" w:space="0" w:color="auto"/>
            </w:tcBorders>
          </w:tcPr>
          <w:p w:rsidR="00861EE0" w:rsidRPr="00861EE0" w:rsidRDefault="00861EE0" w:rsidP="008D7C4C">
            <w:pPr>
              <w:rPr>
                <w:vertAlign w:val="superscript"/>
              </w:rPr>
            </w:pPr>
            <w:r w:rsidRPr="00861EE0">
              <w:t xml:space="preserve">  Tovary a služby (630)</w:t>
            </w:r>
            <w:r w:rsidRPr="00861EE0">
              <w:rPr>
                <w:vertAlign w:val="superscript"/>
              </w:rPr>
              <w:t>2</w:t>
            </w: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2220" w:type="dxa"/>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7070" w:type="dxa"/>
            <w:tcBorders>
              <w:top w:val="nil"/>
              <w:left w:val="single" w:sz="4" w:space="0" w:color="auto"/>
              <w:bottom w:val="single" w:sz="4" w:space="0" w:color="auto"/>
              <w:right w:val="single" w:sz="4" w:space="0" w:color="auto"/>
            </w:tcBorders>
          </w:tcPr>
          <w:p w:rsidR="00861EE0" w:rsidRPr="00861EE0" w:rsidRDefault="00861EE0" w:rsidP="008D7C4C">
            <w:r w:rsidRPr="00861EE0">
              <w:t xml:space="preserve">  Bežné transfery (640)</w:t>
            </w:r>
            <w:r w:rsidRPr="00861EE0">
              <w:rPr>
                <w:vertAlign w:val="superscript"/>
              </w:rPr>
              <w:t>2</w:t>
            </w:r>
          </w:p>
        </w:tc>
        <w:tc>
          <w:tcPr>
            <w:tcW w:w="1540" w:type="dxa"/>
            <w:tcBorders>
              <w:top w:val="nil"/>
              <w:left w:val="nil"/>
              <w:bottom w:val="single" w:sz="4" w:space="0" w:color="auto"/>
              <w:right w:val="single" w:sz="4" w:space="0" w:color="auto"/>
            </w:tcBorders>
            <w:vAlign w:val="center"/>
          </w:tcPr>
          <w:p w:rsidR="00861EE0" w:rsidRPr="00861EE0" w:rsidRDefault="00861EE0" w:rsidP="008D7C4C">
            <w:pPr>
              <w:jc w:val="right"/>
              <w:rPr>
                <w:b/>
                <w:bCs/>
              </w:rPr>
            </w:pPr>
            <w:r w:rsidRPr="00861EE0">
              <w:rPr>
                <w:b/>
                <w:bCs/>
              </w:rPr>
              <w:t>1 000 000</w:t>
            </w:r>
          </w:p>
        </w:tc>
        <w:tc>
          <w:tcPr>
            <w:tcW w:w="1540" w:type="dxa"/>
            <w:tcBorders>
              <w:top w:val="nil"/>
              <w:left w:val="nil"/>
              <w:bottom w:val="single" w:sz="4" w:space="0" w:color="auto"/>
              <w:right w:val="single" w:sz="4" w:space="0" w:color="auto"/>
            </w:tcBorders>
            <w:vAlign w:val="center"/>
          </w:tcPr>
          <w:p w:rsidR="00861EE0" w:rsidRPr="00861EE0" w:rsidRDefault="00861EE0" w:rsidP="008D7C4C">
            <w:pPr>
              <w:jc w:val="right"/>
              <w:rPr>
                <w:b/>
                <w:bCs/>
              </w:rPr>
            </w:pPr>
            <w:r w:rsidRPr="00861EE0">
              <w:rPr>
                <w:b/>
                <w:bCs/>
              </w:rPr>
              <w:t>1 000 000</w:t>
            </w:r>
          </w:p>
        </w:tc>
        <w:tc>
          <w:tcPr>
            <w:tcW w:w="1540" w:type="dxa"/>
            <w:tcBorders>
              <w:top w:val="nil"/>
              <w:left w:val="nil"/>
              <w:bottom w:val="single" w:sz="4" w:space="0" w:color="auto"/>
              <w:right w:val="single" w:sz="4" w:space="0" w:color="auto"/>
            </w:tcBorders>
            <w:vAlign w:val="center"/>
          </w:tcPr>
          <w:p w:rsidR="00861EE0" w:rsidRPr="00861EE0" w:rsidRDefault="00861EE0" w:rsidP="008D7C4C">
            <w:pPr>
              <w:jc w:val="right"/>
              <w:rPr>
                <w:b/>
                <w:bCs/>
              </w:rPr>
            </w:pPr>
            <w:r w:rsidRPr="00861EE0">
              <w:rPr>
                <w:b/>
                <w:bCs/>
              </w:rPr>
              <w:t>1 500 000</w:t>
            </w:r>
          </w:p>
        </w:tc>
        <w:tc>
          <w:tcPr>
            <w:tcW w:w="1540" w:type="dxa"/>
            <w:tcBorders>
              <w:top w:val="nil"/>
              <w:left w:val="nil"/>
              <w:bottom w:val="single" w:sz="4" w:space="0" w:color="auto"/>
              <w:right w:val="single" w:sz="4" w:space="0" w:color="auto"/>
            </w:tcBorders>
            <w:vAlign w:val="center"/>
          </w:tcPr>
          <w:p w:rsidR="00861EE0" w:rsidRPr="00861EE0" w:rsidRDefault="00861EE0" w:rsidP="008D7C4C">
            <w:pPr>
              <w:jc w:val="right"/>
              <w:rPr>
                <w:b/>
                <w:bCs/>
              </w:rPr>
            </w:pPr>
            <w:r w:rsidRPr="00861EE0">
              <w:rPr>
                <w:b/>
                <w:bCs/>
              </w:rPr>
              <w:t>2 000 000</w:t>
            </w:r>
          </w:p>
        </w:tc>
        <w:tc>
          <w:tcPr>
            <w:tcW w:w="2220" w:type="dxa"/>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7070" w:type="dxa"/>
            <w:tcBorders>
              <w:top w:val="nil"/>
              <w:left w:val="single" w:sz="4" w:space="0" w:color="auto"/>
              <w:bottom w:val="single" w:sz="4" w:space="0" w:color="auto"/>
              <w:right w:val="single" w:sz="4" w:space="0" w:color="auto"/>
            </w:tcBorders>
            <w:vAlign w:val="center"/>
          </w:tcPr>
          <w:p w:rsidR="00861EE0" w:rsidRPr="00861EE0" w:rsidRDefault="00861EE0" w:rsidP="008D7C4C">
            <w:r w:rsidRPr="00861EE0">
              <w:t xml:space="preserve">  Splácanie úrokov a ostatné platby súvisiace s  úverom, pôžičkou, návratnou finančnou výpomocou a finančným prenájmom (650)</w:t>
            </w:r>
            <w:r w:rsidRPr="00861EE0">
              <w:rPr>
                <w:vertAlign w:val="superscript"/>
              </w:rPr>
              <w:t>2</w:t>
            </w: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2220" w:type="dxa"/>
            <w:tcBorders>
              <w:top w:val="nil"/>
              <w:left w:val="nil"/>
              <w:bottom w:val="single" w:sz="4" w:space="0" w:color="auto"/>
              <w:right w:val="single" w:sz="4" w:space="0" w:color="auto"/>
            </w:tcBorders>
            <w:noWrap/>
            <w:vAlign w:val="bottom"/>
          </w:tcPr>
          <w:p w:rsidR="00861EE0" w:rsidRPr="00861EE0" w:rsidRDefault="00861EE0" w:rsidP="008D7C4C"/>
        </w:tc>
      </w:tr>
      <w:tr w:rsidR="00861EE0" w:rsidRPr="00861EE0" w:rsidTr="008D7C4C">
        <w:trPr>
          <w:trHeight w:val="255"/>
        </w:trPr>
        <w:tc>
          <w:tcPr>
            <w:tcW w:w="7070" w:type="dxa"/>
            <w:tcBorders>
              <w:top w:val="nil"/>
              <w:left w:val="single" w:sz="4" w:space="0" w:color="auto"/>
              <w:bottom w:val="single" w:sz="4" w:space="0" w:color="auto"/>
              <w:right w:val="single" w:sz="4" w:space="0" w:color="auto"/>
            </w:tcBorders>
          </w:tcPr>
          <w:p w:rsidR="00861EE0" w:rsidRPr="00861EE0" w:rsidRDefault="00861EE0" w:rsidP="008D7C4C">
            <w:pPr>
              <w:rPr>
                <w:b/>
                <w:bCs/>
              </w:rPr>
            </w:pPr>
            <w:r w:rsidRPr="00861EE0">
              <w:rPr>
                <w:b/>
                <w:bCs/>
              </w:rPr>
              <w:t>Kapitálové výdavky (700)</w:t>
            </w:r>
          </w:p>
        </w:tc>
        <w:tc>
          <w:tcPr>
            <w:tcW w:w="1540"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540"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540"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540"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2220" w:type="dxa"/>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7070" w:type="dxa"/>
            <w:tcBorders>
              <w:top w:val="nil"/>
              <w:left w:val="single" w:sz="4" w:space="0" w:color="auto"/>
              <w:bottom w:val="single" w:sz="4" w:space="0" w:color="auto"/>
              <w:right w:val="single" w:sz="4" w:space="0" w:color="auto"/>
            </w:tcBorders>
          </w:tcPr>
          <w:p w:rsidR="00861EE0" w:rsidRPr="00861EE0" w:rsidRDefault="00861EE0" w:rsidP="008D7C4C">
            <w:r w:rsidRPr="00861EE0">
              <w:t xml:space="preserve">  Obstarávanie kapitálových aktív (710)</w:t>
            </w:r>
            <w:r w:rsidRPr="00861EE0">
              <w:rPr>
                <w:vertAlign w:val="superscript"/>
              </w:rPr>
              <w:t>2</w:t>
            </w: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2220" w:type="dxa"/>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7070" w:type="dxa"/>
            <w:tcBorders>
              <w:top w:val="nil"/>
              <w:left w:val="single" w:sz="4" w:space="0" w:color="auto"/>
              <w:bottom w:val="single" w:sz="4" w:space="0" w:color="auto"/>
              <w:right w:val="single" w:sz="4" w:space="0" w:color="auto"/>
            </w:tcBorders>
          </w:tcPr>
          <w:p w:rsidR="00861EE0" w:rsidRPr="00861EE0" w:rsidRDefault="00861EE0" w:rsidP="008D7C4C">
            <w:r w:rsidRPr="00861EE0">
              <w:t xml:space="preserve">  Kapitálové transfery (720)</w:t>
            </w:r>
            <w:r w:rsidRPr="00861EE0">
              <w:rPr>
                <w:vertAlign w:val="superscript"/>
              </w:rPr>
              <w:t>2</w:t>
            </w: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1540" w:type="dxa"/>
            <w:tcBorders>
              <w:top w:val="nil"/>
              <w:left w:val="nil"/>
              <w:bottom w:val="single" w:sz="4" w:space="0" w:color="auto"/>
              <w:right w:val="single" w:sz="4" w:space="0" w:color="auto"/>
            </w:tcBorders>
          </w:tcPr>
          <w:p w:rsidR="00861EE0" w:rsidRPr="00861EE0" w:rsidRDefault="00861EE0" w:rsidP="008D7C4C">
            <w:pPr>
              <w:jc w:val="center"/>
            </w:pPr>
          </w:p>
        </w:tc>
        <w:tc>
          <w:tcPr>
            <w:tcW w:w="2220" w:type="dxa"/>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7070" w:type="dxa"/>
            <w:tcBorders>
              <w:top w:val="nil"/>
              <w:left w:val="single" w:sz="4" w:space="0" w:color="auto"/>
              <w:bottom w:val="single" w:sz="4" w:space="0" w:color="auto"/>
              <w:right w:val="single" w:sz="4" w:space="0" w:color="auto"/>
            </w:tcBorders>
          </w:tcPr>
          <w:p w:rsidR="00861EE0" w:rsidRPr="00861EE0" w:rsidRDefault="00861EE0" w:rsidP="008D7C4C">
            <w:pPr>
              <w:rPr>
                <w:b/>
                <w:bCs/>
              </w:rPr>
            </w:pPr>
            <w:r w:rsidRPr="00861EE0">
              <w:rPr>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vAlign w:val="center"/>
          </w:tcPr>
          <w:p w:rsidR="00861EE0" w:rsidRPr="00861EE0" w:rsidRDefault="00861EE0" w:rsidP="008D7C4C">
            <w:pPr>
              <w:jc w:val="right"/>
              <w:rPr>
                <w:b/>
                <w:bCs/>
              </w:rPr>
            </w:pPr>
          </w:p>
        </w:tc>
        <w:tc>
          <w:tcPr>
            <w:tcW w:w="1540" w:type="dxa"/>
            <w:tcBorders>
              <w:top w:val="nil"/>
              <w:left w:val="nil"/>
              <w:bottom w:val="single" w:sz="4" w:space="0" w:color="auto"/>
              <w:right w:val="single" w:sz="4" w:space="0" w:color="auto"/>
            </w:tcBorders>
            <w:shd w:val="clear" w:color="auto" w:fill="FFFF99"/>
            <w:vAlign w:val="center"/>
          </w:tcPr>
          <w:p w:rsidR="00861EE0" w:rsidRPr="00861EE0" w:rsidRDefault="00861EE0" w:rsidP="008D7C4C">
            <w:pPr>
              <w:jc w:val="right"/>
              <w:rPr>
                <w:b/>
                <w:bCs/>
              </w:rPr>
            </w:pPr>
          </w:p>
        </w:tc>
        <w:tc>
          <w:tcPr>
            <w:tcW w:w="1540" w:type="dxa"/>
            <w:tcBorders>
              <w:top w:val="nil"/>
              <w:left w:val="nil"/>
              <w:bottom w:val="single" w:sz="4" w:space="0" w:color="auto"/>
              <w:right w:val="single" w:sz="4" w:space="0" w:color="auto"/>
            </w:tcBorders>
            <w:shd w:val="clear" w:color="auto" w:fill="FFFF99"/>
            <w:vAlign w:val="center"/>
          </w:tcPr>
          <w:p w:rsidR="00861EE0" w:rsidRPr="00861EE0" w:rsidRDefault="00861EE0" w:rsidP="008D7C4C">
            <w:pPr>
              <w:jc w:val="right"/>
              <w:rPr>
                <w:b/>
                <w:bCs/>
              </w:rPr>
            </w:pPr>
          </w:p>
        </w:tc>
        <w:tc>
          <w:tcPr>
            <w:tcW w:w="1540" w:type="dxa"/>
            <w:tcBorders>
              <w:top w:val="nil"/>
              <w:left w:val="nil"/>
              <w:bottom w:val="single" w:sz="4" w:space="0" w:color="auto"/>
              <w:right w:val="single" w:sz="4" w:space="0" w:color="auto"/>
            </w:tcBorders>
            <w:shd w:val="clear" w:color="auto" w:fill="FFFF99"/>
            <w:vAlign w:val="center"/>
          </w:tcPr>
          <w:p w:rsidR="00861EE0" w:rsidRPr="00861EE0" w:rsidRDefault="00861EE0" w:rsidP="008D7C4C">
            <w:pPr>
              <w:jc w:val="right"/>
              <w:rPr>
                <w:b/>
                <w:bCs/>
              </w:rPr>
            </w:pPr>
          </w:p>
        </w:tc>
        <w:tc>
          <w:tcPr>
            <w:tcW w:w="2220" w:type="dxa"/>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28"/>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61EE0" w:rsidRPr="00861EE0" w:rsidRDefault="00861EE0" w:rsidP="008D7C4C">
            <w:pPr>
              <w:rPr>
                <w:b/>
                <w:bCs/>
              </w:rPr>
            </w:pPr>
            <w:r w:rsidRPr="00861EE0">
              <w:rPr>
                <w:b/>
                <w:bCs/>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61EE0" w:rsidRPr="00861EE0" w:rsidRDefault="00861EE0" w:rsidP="008D7C4C">
            <w:pPr>
              <w:jc w:val="right"/>
              <w:rPr>
                <w:b/>
                <w:bCs/>
              </w:rPr>
            </w:pPr>
            <w:r w:rsidRPr="00861EE0">
              <w:rPr>
                <w:b/>
                <w:bCs/>
              </w:rPr>
              <w:t>1 000 000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61EE0" w:rsidRPr="00861EE0" w:rsidRDefault="00861EE0" w:rsidP="008D7C4C">
            <w:pPr>
              <w:jc w:val="right"/>
              <w:rPr>
                <w:b/>
                <w:bCs/>
              </w:rPr>
            </w:pPr>
            <w:r w:rsidRPr="00861EE0">
              <w:rPr>
                <w:b/>
                <w:bCs/>
              </w:rPr>
              <w:t>1 000 000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61EE0" w:rsidRPr="00861EE0" w:rsidRDefault="00861EE0" w:rsidP="008D7C4C">
            <w:pPr>
              <w:jc w:val="right"/>
              <w:rPr>
                <w:b/>
                <w:bCs/>
              </w:rPr>
            </w:pPr>
            <w:r w:rsidRPr="00861EE0">
              <w:rPr>
                <w:b/>
                <w:bCs/>
              </w:rPr>
              <w:t>1 500 000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861EE0" w:rsidRPr="00861EE0" w:rsidRDefault="00861EE0" w:rsidP="008D7C4C">
            <w:pPr>
              <w:jc w:val="right"/>
              <w:rPr>
                <w:b/>
                <w:bCs/>
              </w:rPr>
            </w:pPr>
            <w:r w:rsidRPr="00861EE0">
              <w:rPr>
                <w:b/>
                <w:bCs/>
              </w:rPr>
              <w:t>2 000 000</w:t>
            </w: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861EE0" w:rsidRPr="00861EE0" w:rsidRDefault="00861EE0" w:rsidP="008D7C4C">
            <w:r w:rsidRPr="00861EE0">
              <w:t> </w:t>
            </w:r>
          </w:p>
        </w:tc>
      </w:tr>
    </w:tbl>
    <w:p w:rsidR="00861EE0" w:rsidRPr="00861EE0" w:rsidRDefault="00861EE0" w:rsidP="00861EE0">
      <w:pPr>
        <w:tabs>
          <w:tab w:val="num" w:pos="1080"/>
        </w:tabs>
        <w:ind w:right="-578"/>
        <w:jc w:val="right"/>
        <w:rPr>
          <w:bCs/>
        </w:rPr>
      </w:pPr>
    </w:p>
    <w:p w:rsidR="00861EE0" w:rsidRPr="00861EE0" w:rsidRDefault="00861EE0" w:rsidP="00861EE0">
      <w:pPr>
        <w:tabs>
          <w:tab w:val="num" w:pos="1080"/>
        </w:tabs>
        <w:ind w:right="-578"/>
        <w:jc w:val="right"/>
        <w:rPr>
          <w:bCs/>
        </w:rPr>
      </w:pPr>
    </w:p>
    <w:p w:rsidR="00861EE0" w:rsidRPr="00861EE0" w:rsidRDefault="00861EE0" w:rsidP="00861EE0">
      <w:pPr>
        <w:tabs>
          <w:tab w:val="num" w:pos="1080"/>
        </w:tabs>
        <w:ind w:left="-900"/>
        <w:jc w:val="both"/>
        <w:rPr>
          <w:bCs/>
        </w:rPr>
      </w:pPr>
      <w:r w:rsidRPr="00861EE0">
        <w:rPr>
          <w:bCs/>
        </w:rPr>
        <w:t>2 –  výdavky rozpísať až do položiek platnej ekonomickej klasifikácie</w:t>
      </w:r>
    </w:p>
    <w:p w:rsidR="00861EE0" w:rsidRPr="00861EE0" w:rsidRDefault="00861EE0" w:rsidP="00861EE0">
      <w:pPr>
        <w:tabs>
          <w:tab w:val="num" w:pos="1080"/>
        </w:tabs>
        <w:ind w:left="-900"/>
        <w:jc w:val="both"/>
        <w:rPr>
          <w:bCs/>
        </w:rPr>
      </w:pPr>
    </w:p>
    <w:p w:rsidR="00861EE0" w:rsidRPr="00861EE0" w:rsidRDefault="00861EE0" w:rsidP="00861EE0">
      <w:pPr>
        <w:tabs>
          <w:tab w:val="num" w:pos="1080"/>
        </w:tabs>
        <w:ind w:left="-900"/>
        <w:jc w:val="both"/>
        <w:rPr>
          <w:b/>
          <w:bCs/>
        </w:rPr>
      </w:pPr>
      <w:r w:rsidRPr="00861EE0">
        <w:rPr>
          <w:b/>
          <w:bCs/>
        </w:rPr>
        <w:t>Poznámka:</w:t>
      </w:r>
    </w:p>
    <w:p w:rsidR="00861EE0" w:rsidRPr="00861EE0" w:rsidRDefault="00861EE0" w:rsidP="00861EE0">
      <w:pPr>
        <w:tabs>
          <w:tab w:val="num" w:pos="1080"/>
        </w:tabs>
        <w:ind w:left="-900"/>
        <w:jc w:val="both"/>
        <w:rPr>
          <w:bCs/>
        </w:rPr>
      </w:pPr>
      <w:r w:rsidRPr="00861EE0">
        <w:rPr>
          <w:bCs/>
        </w:rPr>
        <w:t>Ak sa vplyv týka viacerých subjektov verejnej správy, vypĺňa sa samostatná tabuľka za každý subjekt.</w:t>
      </w:r>
    </w:p>
    <w:p w:rsidR="00861EE0" w:rsidRPr="00861EE0" w:rsidRDefault="00861EE0" w:rsidP="00861EE0">
      <w:pPr>
        <w:tabs>
          <w:tab w:val="num" w:pos="1080"/>
        </w:tabs>
        <w:ind w:left="-900"/>
        <w:jc w:val="both"/>
        <w:rPr>
          <w:bCs/>
        </w:rPr>
      </w:pPr>
    </w:p>
    <w:p w:rsidR="00861EE0" w:rsidRPr="00861EE0" w:rsidRDefault="00861EE0" w:rsidP="00861EE0">
      <w:pPr>
        <w:tabs>
          <w:tab w:val="num" w:pos="1080"/>
        </w:tabs>
        <w:ind w:left="-900"/>
        <w:jc w:val="both"/>
        <w:rPr>
          <w:bCs/>
        </w:rPr>
      </w:pPr>
    </w:p>
    <w:p w:rsidR="00861EE0" w:rsidRPr="00861EE0" w:rsidRDefault="00861EE0" w:rsidP="00861EE0">
      <w:pPr>
        <w:tabs>
          <w:tab w:val="num" w:pos="1080"/>
        </w:tabs>
        <w:ind w:left="-900"/>
        <w:jc w:val="both"/>
        <w:rPr>
          <w:bCs/>
        </w:rPr>
      </w:pPr>
    </w:p>
    <w:p w:rsidR="00861EE0" w:rsidRPr="00861EE0" w:rsidRDefault="00861EE0" w:rsidP="00861EE0">
      <w:pPr>
        <w:tabs>
          <w:tab w:val="num" w:pos="1080"/>
        </w:tabs>
        <w:ind w:left="-900"/>
        <w:jc w:val="both"/>
        <w:rPr>
          <w:bCs/>
        </w:rPr>
      </w:pPr>
    </w:p>
    <w:p w:rsidR="00861EE0" w:rsidRPr="00861EE0" w:rsidRDefault="00861EE0" w:rsidP="00861EE0">
      <w:pPr>
        <w:tabs>
          <w:tab w:val="num" w:pos="1080"/>
        </w:tabs>
        <w:ind w:left="-900"/>
        <w:jc w:val="both"/>
        <w:rPr>
          <w:bCs/>
        </w:rPr>
      </w:pPr>
    </w:p>
    <w:p w:rsidR="00861EE0" w:rsidRPr="00861EE0" w:rsidRDefault="00861EE0" w:rsidP="00861EE0">
      <w:pPr>
        <w:tabs>
          <w:tab w:val="num" w:pos="1080"/>
        </w:tabs>
        <w:ind w:left="-900"/>
        <w:jc w:val="both"/>
        <w:rPr>
          <w:bCs/>
        </w:rPr>
      </w:pPr>
    </w:p>
    <w:p w:rsidR="00861EE0" w:rsidRPr="00861EE0" w:rsidRDefault="00861EE0" w:rsidP="00861EE0">
      <w:pPr>
        <w:tabs>
          <w:tab w:val="num" w:pos="1080"/>
        </w:tabs>
        <w:jc w:val="both"/>
        <w:rPr>
          <w:bCs/>
        </w:rPr>
      </w:pPr>
    </w:p>
    <w:p w:rsidR="00861EE0" w:rsidRPr="00861EE0" w:rsidRDefault="00861EE0" w:rsidP="00861EE0">
      <w:pPr>
        <w:tabs>
          <w:tab w:val="num" w:pos="1080"/>
        </w:tabs>
        <w:ind w:left="-900"/>
        <w:jc w:val="both"/>
        <w:rPr>
          <w:bCs/>
        </w:rPr>
      </w:pPr>
    </w:p>
    <w:p w:rsidR="00861EE0" w:rsidRPr="00861EE0" w:rsidRDefault="00861EE0" w:rsidP="00861EE0">
      <w:pPr>
        <w:tabs>
          <w:tab w:val="num" w:pos="1080"/>
        </w:tabs>
        <w:ind w:left="-900"/>
        <w:jc w:val="both"/>
        <w:rPr>
          <w:bCs/>
        </w:rPr>
      </w:pPr>
    </w:p>
    <w:p w:rsidR="00861EE0" w:rsidRPr="00861EE0" w:rsidRDefault="00861EE0" w:rsidP="00861EE0">
      <w:pPr>
        <w:tabs>
          <w:tab w:val="num" w:pos="1080"/>
        </w:tabs>
        <w:ind w:left="-900"/>
        <w:jc w:val="both"/>
        <w:rPr>
          <w:bCs/>
        </w:rPr>
      </w:pPr>
    </w:p>
    <w:p w:rsidR="00861EE0" w:rsidRPr="00861EE0" w:rsidRDefault="00861EE0" w:rsidP="00861EE0">
      <w:pPr>
        <w:tabs>
          <w:tab w:val="num" w:pos="1080"/>
        </w:tabs>
        <w:ind w:left="-900"/>
        <w:jc w:val="both"/>
        <w:rPr>
          <w:bCs/>
        </w:rPr>
      </w:pPr>
    </w:p>
    <w:p w:rsidR="00861EE0" w:rsidRPr="00861EE0" w:rsidRDefault="00861EE0" w:rsidP="00861EE0">
      <w:pPr>
        <w:tabs>
          <w:tab w:val="num" w:pos="1080"/>
        </w:tabs>
        <w:jc w:val="right"/>
        <w:rPr>
          <w:bCs/>
        </w:rPr>
      </w:pPr>
      <w:r w:rsidRPr="00861EE0">
        <w:rPr>
          <w:bCs/>
        </w:rPr>
        <w:t xml:space="preserve">                 Tabuľka č. 5</w:t>
      </w:r>
    </w:p>
    <w:p w:rsidR="00861EE0" w:rsidRPr="00861EE0" w:rsidRDefault="00861EE0" w:rsidP="00861EE0">
      <w:pPr>
        <w:tabs>
          <w:tab w:val="num" w:pos="1080"/>
        </w:tabs>
        <w:jc w:val="right"/>
        <w:rPr>
          <w:bCs/>
        </w:rPr>
      </w:pPr>
      <w:r w:rsidRPr="00861EE0">
        <w:rPr>
          <w:bCs/>
        </w:rPr>
        <w:t xml:space="preserve"> </w:t>
      </w:r>
    </w:p>
    <w:p w:rsidR="00861EE0" w:rsidRPr="00861EE0" w:rsidRDefault="00861EE0" w:rsidP="00861EE0">
      <w:pPr>
        <w:tabs>
          <w:tab w:val="num" w:pos="1080"/>
        </w:tabs>
        <w:jc w:val="both"/>
        <w:rPr>
          <w:bCs/>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861EE0" w:rsidRPr="00861EE0" w:rsidTr="008D7C4C">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61EE0" w:rsidRPr="00861EE0" w:rsidRDefault="00861EE0" w:rsidP="008D7C4C">
            <w:pPr>
              <w:jc w:val="center"/>
              <w:rPr>
                <w:b/>
                <w:bCs/>
              </w:rPr>
            </w:pPr>
            <w:r w:rsidRPr="00861EE0">
              <w:rPr>
                <w:b/>
                <w:bCs/>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861EE0" w:rsidRPr="00861EE0" w:rsidRDefault="00861EE0" w:rsidP="008D7C4C">
            <w:pPr>
              <w:jc w:val="center"/>
              <w:rPr>
                <w:b/>
                <w:bCs/>
              </w:rPr>
            </w:pPr>
            <w:r w:rsidRPr="00861EE0">
              <w:rPr>
                <w:b/>
                <w:bCs/>
              </w:rPr>
              <w:t>poznámka</w:t>
            </w:r>
          </w:p>
        </w:tc>
      </w:tr>
      <w:tr w:rsidR="00861EE0" w:rsidRPr="00861EE0" w:rsidTr="008D7C4C">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61EE0" w:rsidRPr="00861EE0" w:rsidRDefault="00861EE0" w:rsidP="008D7C4C">
            <w:pPr>
              <w:rPr>
                <w:b/>
                <w:bCs/>
              </w:rPr>
            </w:pPr>
          </w:p>
        </w:tc>
        <w:tc>
          <w:tcPr>
            <w:tcW w:w="1698"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2019</w:t>
            </w:r>
          </w:p>
        </w:tc>
        <w:tc>
          <w:tcPr>
            <w:tcW w:w="1788"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2020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2021</w:t>
            </w:r>
          </w:p>
        </w:tc>
        <w:tc>
          <w:tcPr>
            <w:tcW w:w="1722"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2022</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61EE0" w:rsidRPr="00861EE0" w:rsidRDefault="00861EE0" w:rsidP="008D7C4C">
            <w:pPr>
              <w:rPr>
                <w:b/>
                <w:bCs/>
                <w:color w:val="FFFFFF"/>
              </w:rPr>
            </w:pPr>
          </w:p>
        </w:tc>
      </w:tr>
      <w:tr w:rsidR="00861EE0" w:rsidRPr="00861EE0" w:rsidTr="008D7C4C">
        <w:trPr>
          <w:trHeight w:val="255"/>
        </w:trPr>
        <w:tc>
          <w:tcPr>
            <w:tcW w:w="6188" w:type="dxa"/>
            <w:tcBorders>
              <w:top w:val="nil"/>
              <w:left w:val="single" w:sz="4" w:space="0" w:color="auto"/>
              <w:bottom w:val="single" w:sz="4" w:space="0" w:color="auto"/>
              <w:right w:val="single" w:sz="4" w:space="0" w:color="auto"/>
            </w:tcBorders>
          </w:tcPr>
          <w:p w:rsidR="00861EE0" w:rsidRPr="00861EE0" w:rsidRDefault="00861EE0" w:rsidP="008D7C4C">
            <w:pPr>
              <w:rPr>
                <w:b/>
                <w:bCs/>
              </w:rPr>
            </w:pPr>
            <w:r w:rsidRPr="00861EE0">
              <w:rPr>
                <w:b/>
                <w:bCs/>
              </w:rPr>
              <w:t>Počet zamestnancov celkom</w:t>
            </w:r>
          </w:p>
        </w:tc>
        <w:tc>
          <w:tcPr>
            <w:tcW w:w="1698"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788"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2418" w:type="dxa"/>
            <w:gridSpan w:val="2"/>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722"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620" w:type="dxa"/>
            <w:gridSpan w:val="2"/>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6188" w:type="dxa"/>
            <w:tcBorders>
              <w:top w:val="nil"/>
              <w:left w:val="single" w:sz="4" w:space="0" w:color="auto"/>
              <w:bottom w:val="single" w:sz="4" w:space="0" w:color="auto"/>
              <w:right w:val="single" w:sz="4" w:space="0" w:color="auto"/>
            </w:tcBorders>
          </w:tcPr>
          <w:p w:rsidR="00861EE0" w:rsidRPr="00861EE0" w:rsidRDefault="00861EE0" w:rsidP="008D7C4C">
            <w:pPr>
              <w:rPr>
                <w:b/>
                <w:bCs/>
              </w:rPr>
            </w:pPr>
            <w:r w:rsidRPr="00861EE0">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861EE0" w:rsidRPr="00861EE0" w:rsidRDefault="00861EE0" w:rsidP="008D7C4C">
            <w:pPr>
              <w:jc w:val="center"/>
              <w:rPr>
                <w:b/>
                <w:bCs/>
              </w:rPr>
            </w:pPr>
          </w:p>
        </w:tc>
        <w:tc>
          <w:tcPr>
            <w:tcW w:w="1788" w:type="dxa"/>
            <w:tcBorders>
              <w:top w:val="single" w:sz="4" w:space="0" w:color="auto"/>
              <w:left w:val="nil"/>
              <w:bottom w:val="single" w:sz="4" w:space="0" w:color="auto"/>
              <w:right w:val="single" w:sz="4" w:space="0" w:color="auto"/>
            </w:tcBorders>
          </w:tcPr>
          <w:p w:rsidR="00861EE0" w:rsidRPr="00861EE0" w:rsidRDefault="00861EE0" w:rsidP="008D7C4C">
            <w:pPr>
              <w:jc w:val="center"/>
              <w:rPr>
                <w:b/>
                <w:bCs/>
              </w:rPr>
            </w:pPr>
          </w:p>
        </w:tc>
        <w:tc>
          <w:tcPr>
            <w:tcW w:w="2418" w:type="dxa"/>
            <w:gridSpan w:val="2"/>
            <w:tcBorders>
              <w:top w:val="single" w:sz="4" w:space="0" w:color="auto"/>
              <w:left w:val="nil"/>
              <w:bottom w:val="single" w:sz="4" w:space="0" w:color="auto"/>
              <w:right w:val="single" w:sz="4" w:space="0" w:color="auto"/>
            </w:tcBorders>
          </w:tcPr>
          <w:p w:rsidR="00861EE0" w:rsidRPr="00861EE0" w:rsidRDefault="00861EE0" w:rsidP="008D7C4C">
            <w:pPr>
              <w:jc w:val="center"/>
              <w:rPr>
                <w:b/>
                <w:bCs/>
              </w:rPr>
            </w:pPr>
          </w:p>
        </w:tc>
        <w:tc>
          <w:tcPr>
            <w:tcW w:w="1722" w:type="dxa"/>
            <w:tcBorders>
              <w:top w:val="single" w:sz="4" w:space="0" w:color="auto"/>
              <w:left w:val="nil"/>
              <w:bottom w:val="single" w:sz="4" w:space="0" w:color="auto"/>
              <w:right w:val="single" w:sz="4" w:space="0" w:color="auto"/>
            </w:tcBorders>
          </w:tcPr>
          <w:p w:rsidR="00861EE0" w:rsidRPr="00861EE0" w:rsidRDefault="00861EE0" w:rsidP="008D7C4C">
            <w:pPr>
              <w:jc w:val="center"/>
              <w:rPr>
                <w:b/>
                <w:bCs/>
              </w:rPr>
            </w:pPr>
          </w:p>
        </w:tc>
        <w:tc>
          <w:tcPr>
            <w:tcW w:w="1620" w:type="dxa"/>
            <w:gridSpan w:val="2"/>
            <w:tcBorders>
              <w:top w:val="nil"/>
              <w:left w:val="nil"/>
              <w:bottom w:val="single" w:sz="4" w:space="0" w:color="auto"/>
              <w:right w:val="single" w:sz="4" w:space="0" w:color="auto"/>
            </w:tcBorders>
            <w:noWrap/>
            <w:vAlign w:val="bottom"/>
          </w:tcPr>
          <w:p w:rsidR="00861EE0" w:rsidRPr="00861EE0" w:rsidRDefault="00861EE0" w:rsidP="008D7C4C"/>
        </w:tc>
      </w:tr>
      <w:tr w:rsidR="00861EE0" w:rsidRPr="00861EE0" w:rsidTr="008D7C4C">
        <w:trPr>
          <w:trHeight w:val="255"/>
        </w:trPr>
        <w:tc>
          <w:tcPr>
            <w:tcW w:w="6188" w:type="dxa"/>
            <w:tcBorders>
              <w:top w:val="nil"/>
              <w:left w:val="single" w:sz="4" w:space="0" w:color="auto"/>
              <w:bottom w:val="single" w:sz="4" w:space="0" w:color="auto"/>
              <w:right w:val="single" w:sz="4" w:space="0" w:color="auto"/>
            </w:tcBorders>
          </w:tcPr>
          <w:p w:rsidR="00861EE0" w:rsidRPr="00861EE0" w:rsidRDefault="00861EE0" w:rsidP="008D7C4C">
            <w:pPr>
              <w:rPr>
                <w:b/>
                <w:bCs/>
              </w:rPr>
            </w:pPr>
            <w:r w:rsidRPr="00861EE0">
              <w:rPr>
                <w:b/>
                <w:bCs/>
              </w:rPr>
              <w:t>Priemerný mzdový výdavok (v eurách)</w:t>
            </w:r>
          </w:p>
        </w:tc>
        <w:tc>
          <w:tcPr>
            <w:tcW w:w="1698" w:type="dxa"/>
            <w:tcBorders>
              <w:top w:val="single" w:sz="4" w:space="0" w:color="auto"/>
              <w:left w:val="nil"/>
              <w:bottom w:val="single" w:sz="4" w:space="0" w:color="auto"/>
              <w:right w:val="single" w:sz="4" w:space="0" w:color="auto"/>
            </w:tcBorders>
          </w:tcPr>
          <w:p w:rsidR="00861EE0" w:rsidRPr="00861EE0" w:rsidRDefault="00861EE0" w:rsidP="008D7C4C">
            <w:pPr>
              <w:jc w:val="center"/>
              <w:rPr>
                <w:b/>
                <w:bCs/>
              </w:rPr>
            </w:pPr>
          </w:p>
        </w:tc>
        <w:tc>
          <w:tcPr>
            <w:tcW w:w="1788" w:type="dxa"/>
            <w:tcBorders>
              <w:top w:val="single" w:sz="4" w:space="0" w:color="auto"/>
              <w:left w:val="nil"/>
              <w:bottom w:val="single" w:sz="4" w:space="0" w:color="auto"/>
              <w:right w:val="single" w:sz="4" w:space="0" w:color="auto"/>
            </w:tcBorders>
          </w:tcPr>
          <w:p w:rsidR="00861EE0" w:rsidRPr="00861EE0" w:rsidRDefault="00861EE0" w:rsidP="008D7C4C">
            <w:pPr>
              <w:jc w:val="center"/>
              <w:rPr>
                <w:b/>
                <w:bCs/>
              </w:rPr>
            </w:pPr>
          </w:p>
        </w:tc>
        <w:tc>
          <w:tcPr>
            <w:tcW w:w="2418" w:type="dxa"/>
            <w:gridSpan w:val="2"/>
            <w:tcBorders>
              <w:top w:val="single" w:sz="4" w:space="0" w:color="auto"/>
              <w:left w:val="nil"/>
              <w:bottom w:val="single" w:sz="4" w:space="0" w:color="auto"/>
              <w:right w:val="single" w:sz="4" w:space="0" w:color="auto"/>
            </w:tcBorders>
          </w:tcPr>
          <w:p w:rsidR="00861EE0" w:rsidRPr="00861EE0" w:rsidRDefault="00861EE0" w:rsidP="008D7C4C">
            <w:pPr>
              <w:jc w:val="center"/>
              <w:rPr>
                <w:b/>
                <w:bCs/>
              </w:rPr>
            </w:pPr>
          </w:p>
        </w:tc>
        <w:tc>
          <w:tcPr>
            <w:tcW w:w="1722" w:type="dxa"/>
            <w:tcBorders>
              <w:top w:val="single" w:sz="4" w:space="0" w:color="auto"/>
              <w:left w:val="nil"/>
              <w:bottom w:val="single" w:sz="4" w:space="0" w:color="auto"/>
              <w:right w:val="single" w:sz="4" w:space="0" w:color="auto"/>
            </w:tcBorders>
          </w:tcPr>
          <w:p w:rsidR="00861EE0" w:rsidRPr="00861EE0" w:rsidRDefault="00861EE0" w:rsidP="008D7C4C">
            <w:pPr>
              <w:jc w:val="center"/>
              <w:rPr>
                <w:b/>
                <w:bCs/>
              </w:rPr>
            </w:pPr>
          </w:p>
        </w:tc>
        <w:tc>
          <w:tcPr>
            <w:tcW w:w="1620" w:type="dxa"/>
            <w:gridSpan w:val="2"/>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6188" w:type="dxa"/>
            <w:tcBorders>
              <w:top w:val="nil"/>
              <w:left w:val="single" w:sz="4" w:space="0" w:color="auto"/>
              <w:bottom w:val="single" w:sz="4" w:space="0" w:color="auto"/>
              <w:right w:val="single" w:sz="4" w:space="0" w:color="auto"/>
            </w:tcBorders>
          </w:tcPr>
          <w:p w:rsidR="00861EE0" w:rsidRPr="00861EE0" w:rsidRDefault="00861EE0" w:rsidP="008D7C4C">
            <w:r w:rsidRPr="00861EE0">
              <w:rPr>
                <w:b/>
                <w:bCs/>
              </w:rPr>
              <w:t xml:space="preserve">   z toho vplyv na ŠR</w:t>
            </w:r>
          </w:p>
        </w:tc>
        <w:tc>
          <w:tcPr>
            <w:tcW w:w="1698" w:type="dxa"/>
            <w:tcBorders>
              <w:top w:val="single" w:sz="4" w:space="0" w:color="auto"/>
              <w:left w:val="nil"/>
              <w:bottom w:val="single" w:sz="4" w:space="0" w:color="auto"/>
              <w:right w:val="single" w:sz="4" w:space="0" w:color="auto"/>
            </w:tcBorders>
          </w:tcPr>
          <w:p w:rsidR="00861EE0" w:rsidRPr="00861EE0" w:rsidRDefault="00861EE0" w:rsidP="008D7C4C">
            <w:pPr>
              <w:jc w:val="center"/>
            </w:pPr>
            <w:r w:rsidRPr="00861EE0">
              <w:t> </w:t>
            </w:r>
          </w:p>
        </w:tc>
        <w:tc>
          <w:tcPr>
            <w:tcW w:w="1788" w:type="dxa"/>
            <w:tcBorders>
              <w:top w:val="single" w:sz="4" w:space="0" w:color="auto"/>
              <w:left w:val="nil"/>
              <w:bottom w:val="single" w:sz="4" w:space="0" w:color="auto"/>
              <w:right w:val="single" w:sz="4" w:space="0" w:color="auto"/>
            </w:tcBorders>
          </w:tcPr>
          <w:p w:rsidR="00861EE0" w:rsidRPr="00861EE0" w:rsidRDefault="00861EE0" w:rsidP="008D7C4C">
            <w:pPr>
              <w:jc w:val="center"/>
            </w:pPr>
            <w:r w:rsidRPr="00861EE0">
              <w:t> </w:t>
            </w:r>
          </w:p>
        </w:tc>
        <w:tc>
          <w:tcPr>
            <w:tcW w:w="2418" w:type="dxa"/>
            <w:gridSpan w:val="2"/>
            <w:tcBorders>
              <w:top w:val="single" w:sz="4" w:space="0" w:color="auto"/>
              <w:left w:val="nil"/>
              <w:bottom w:val="single" w:sz="4" w:space="0" w:color="auto"/>
              <w:right w:val="single" w:sz="4" w:space="0" w:color="auto"/>
            </w:tcBorders>
          </w:tcPr>
          <w:p w:rsidR="00861EE0" w:rsidRPr="00861EE0" w:rsidRDefault="00861EE0" w:rsidP="008D7C4C">
            <w:pPr>
              <w:jc w:val="center"/>
            </w:pPr>
            <w:r w:rsidRPr="00861EE0">
              <w:t> </w:t>
            </w:r>
          </w:p>
        </w:tc>
        <w:tc>
          <w:tcPr>
            <w:tcW w:w="1722" w:type="dxa"/>
            <w:tcBorders>
              <w:top w:val="single" w:sz="4" w:space="0" w:color="auto"/>
              <w:left w:val="nil"/>
              <w:bottom w:val="single" w:sz="4" w:space="0" w:color="auto"/>
              <w:right w:val="single" w:sz="4" w:space="0" w:color="auto"/>
            </w:tcBorders>
          </w:tcPr>
          <w:p w:rsidR="00861EE0" w:rsidRPr="00861EE0" w:rsidRDefault="00861EE0" w:rsidP="008D7C4C">
            <w:pPr>
              <w:jc w:val="center"/>
            </w:pPr>
            <w:r w:rsidRPr="00861EE0">
              <w:t> </w:t>
            </w:r>
          </w:p>
        </w:tc>
        <w:tc>
          <w:tcPr>
            <w:tcW w:w="1620" w:type="dxa"/>
            <w:gridSpan w:val="2"/>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861EE0" w:rsidRPr="00861EE0" w:rsidRDefault="00861EE0" w:rsidP="008D7C4C">
            <w:pPr>
              <w:rPr>
                <w:b/>
                <w:bCs/>
              </w:rPr>
            </w:pPr>
            <w:r w:rsidRPr="00861EE0">
              <w:rPr>
                <w:b/>
                <w:bCs/>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861EE0" w:rsidRPr="00861EE0" w:rsidRDefault="00861EE0" w:rsidP="008D7C4C">
            <w:pPr>
              <w:jc w:val="center"/>
              <w:rPr>
                <w:b/>
                <w:bCs/>
              </w:rPr>
            </w:pPr>
            <w:r w:rsidRPr="00861EE0">
              <w:rPr>
                <w:b/>
                <w:bCs/>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861EE0" w:rsidRPr="00861EE0" w:rsidRDefault="00861EE0" w:rsidP="008D7C4C">
            <w:pPr>
              <w:rPr>
                <w:b/>
                <w:bCs/>
              </w:rPr>
            </w:pPr>
            <w:r w:rsidRPr="00861EE0">
              <w:rPr>
                <w:b/>
                <w:bCs/>
              </w:rPr>
              <w:t> </w:t>
            </w:r>
          </w:p>
        </w:tc>
      </w:tr>
      <w:tr w:rsidR="00861EE0" w:rsidRPr="00861EE0" w:rsidTr="008D7C4C">
        <w:trPr>
          <w:trHeight w:val="255"/>
        </w:trPr>
        <w:tc>
          <w:tcPr>
            <w:tcW w:w="6188" w:type="dxa"/>
            <w:tcBorders>
              <w:top w:val="nil"/>
              <w:left w:val="single" w:sz="4" w:space="0" w:color="auto"/>
              <w:bottom w:val="single" w:sz="4" w:space="0" w:color="auto"/>
              <w:right w:val="single" w:sz="4" w:space="0" w:color="auto"/>
            </w:tcBorders>
          </w:tcPr>
          <w:p w:rsidR="00861EE0" w:rsidRPr="00861EE0" w:rsidRDefault="00861EE0" w:rsidP="008D7C4C">
            <w:pPr>
              <w:rPr>
                <w:b/>
                <w:bCs/>
              </w:rPr>
            </w:pPr>
            <w:r w:rsidRPr="00861EE0">
              <w:rPr>
                <w:b/>
                <w:bCs/>
              </w:rPr>
              <w:t>Mzdy, platy, služobné príjmy a ostatné osobné vyrovnania (610)</w:t>
            </w:r>
          </w:p>
        </w:tc>
        <w:tc>
          <w:tcPr>
            <w:tcW w:w="1698"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788"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2418" w:type="dxa"/>
            <w:gridSpan w:val="2"/>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722"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620" w:type="dxa"/>
            <w:gridSpan w:val="2"/>
            <w:tcBorders>
              <w:top w:val="nil"/>
              <w:left w:val="nil"/>
              <w:bottom w:val="single" w:sz="4" w:space="0" w:color="auto"/>
              <w:right w:val="single" w:sz="4" w:space="0" w:color="auto"/>
            </w:tcBorders>
            <w:noWrap/>
            <w:vAlign w:val="bottom"/>
          </w:tcPr>
          <w:p w:rsidR="00861EE0" w:rsidRPr="00861EE0" w:rsidRDefault="00861EE0" w:rsidP="008D7C4C">
            <w:pPr>
              <w:rPr>
                <w:b/>
                <w:bCs/>
              </w:rPr>
            </w:pPr>
            <w:r w:rsidRPr="00861EE0">
              <w:rPr>
                <w:b/>
                <w:bCs/>
              </w:rPr>
              <w:t> </w:t>
            </w:r>
          </w:p>
        </w:tc>
      </w:tr>
      <w:tr w:rsidR="00861EE0" w:rsidRPr="00861EE0" w:rsidTr="008D7C4C">
        <w:trPr>
          <w:trHeight w:val="255"/>
        </w:trPr>
        <w:tc>
          <w:tcPr>
            <w:tcW w:w="6188" w:type="dxa"/>
            <w:tcBorders>
              <w:top w:val="nil"/>
              <w:left w:val="single" w:sz="4" w:space="0" w:color="auto"/>
              <w:bottom w:val="single" w:sz="4" w:space="0" w:color="auto"/>
              <w:right w:val="single" w:sz="4" w:space="0" w:color="auto"/>
            </w:tcBorders>
          </w:tcPr>
          <w:p w:rsidR="00861EE0" w:rsidRPr="00861EE0" w:rsidRDefault="00861EE0" w:rsidP="008D7C4C">
            <w:r w:rsidRPr="00861EE0">
              <w:rPr>
                <w:b/>
                <w:bCs/>
              </w:rPr>
              <w:t xml:space="preserve">   z toho vplyv na ŠR</w:t>
            </w:r>
          </w:p>
        </w:tc>
        <w:tc>
          <w:tcPr>
            <w:tcW w:w="1698" w:type="dxa"/>
            <w:tcBorders>
              <w:top w:val="nil"/>
              <w:left w:val="nil"/>
              <w:bottom w:val="single" w:sz="4" w:space="0" w:color="auto"/>
              <w:right w:val="single" w:sz="4" w:space="0" w:color="auto"/>
            </w:tcBorders>
          </w:tcPr>
          <w:p w:rsidR="00861EE0" w:rsidRPr="00861EE0" w:rsidRDefault="00861EE0" w:rsidP="008D7C4C">
            <w:pPr>
              <w:jc w:val="center"/>
            </w:pPr>
          </w:p>
        </w:tc>
        <w:tc>
          <w:tcPr>
            <w:tcW w:w="1788" w:type="dxa"/>
            <w:tcBorders>
              <w:top w:val="nil"/>
              <w:left w:val="nil"/>
              <w:bottom w:val="single" w:sz="4" w:space="0" w:color="auto"/>
              <w:right w:val="single" w:sz="4" w:space="0" w:color="auto"/>
            </w:tcBorders>
          </w:tcPr>
          <w:p w:rsidR="00861EE0" w:rsidRPr="00861EE0" w:rsidRDefault="00861EE0" w:rsidP="008D7C4C">
            <w:pPr>
              <w:jc w:val="center"/>
            </w:pPr>
          </w:p>
        </w:tc>
        <w:tc>
          <w:tcPr>
            <w:tcW w:w="2418" w:type="dxa"/>
            <w:gridSpan w:val="2"/>
            <w:tcBorders>
              <w:top w:val="nil"/>
              <w:left w:val="nil"/>
              <w:bottom w:val="single" w:sz="4" w:space="0" w:color="auto"/>
              <w:right w:val="single" w:sz="4" w:space="0" w:color="auto"/>
            </w:tcBorders>
          </w:tcPr>
          <w:p w:rsidR="00861EE0" w:rsidRPr="00861EE0" w:rsidRDefault="00861EE0" w:rsidP="008D7C4C">
            <w:pPr>
              <w:jc w:val="center"/>
            </w:pPr>
          </w:p>
        </w:tc>
        <w:tc>
          <w:tcPr>
            <w:tcW w:w="1722" w:type="dxa"/>
            <w:tcBorders>
              <w:top w:val="nil"/>
              <w:left w:val="nil"/>
              <w:bottom w:val="single" w:sz="4" w:space="0" w:color="auto"/>
              <w:right w:val="single" w:sz="4" w:space="0" w:color="auto"/>
            </w:tcBorders>
          </w:tcPr>
          <w:p w:rsidR="00861EE0" w:rsidRPr="00861EE0" w:rsidRDefault="00861EE0" w:rsidP="008D7C4C">
            <w:pPr>
              <w:jc w:val="center"/>
            </w:pPr>
          </w:p>
        </w:tc>
        <w:tc>
          <w:tcPr>
            <w:tcW w:w="1620" w:type="dxa"/>
            <w:gridSpan w:val="2"/>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6188" w:type="dxa"/>
            <w:tcBorders>
              <w:top w:val="nil"/>
              <w:left w:val="single" w:sz="4" w:space="0" w:color="auto"/>
              <w:bottom w:val="single" w:sz="4" w:space="0" w:color="auto"/>
              <w:right w:val="single" w:sz="4" w:space="0" w:color="auto"/>
            </w:tcBorders>
          </w:tcPr>
          <w:p w:rsidR="00861EE0" w:rsidRPr="00861EE0" w:rsidRDefault="00861EE0" w:rsidP="008D7C4C">
            <w:pPr>
              <w:rPr>
                <w:b/>
                <w:bCs/>
              </w:rPr>
            </w:pPr>
            <w:r w:rsidRPr="00861EE0">
              <w:rPr>
                <w:b/>
                <w:bCs/>
              </w:rPr>
              <w:t>Poistné a príspevok do poisťovní (620)</w:t>
            </w:r>
          </w:p>
        </w:tc>
        <w:tc>
          <w:tcPr>
            <w:tcW w:w="1698"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788"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2418" w:type="dxa"/>
            <w:gridSpan w:val="2"/>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722" w:type="dxa"/>
            <w:tcBorders>
              <w:top w:val="nil"/>
              <w:left w:val="nil"/>
              <w:bottom w:val="single" w:sz="4" w:space="0" w:color="auto"/>
              <w:right w:val="single" w:sz="4" w:space="0" w:color="auto"/>
            </w:tcBorders>
          </w:tcPr>
          <w:p w:rsidR="00861EE0" w:rsidRPr="00861EE0" w:rsidRDefault="00861EE0" w:rsidP="008D7C4C">
            <w:pPr>
              <w:jc w:val="center"/>
              <w:rPr>
                <w:b/>
                <w:bCs/>
              </w:rPr>
            </w:pPr>
          </w:p>
        </w:tc>
        <w:tc>
          <w:tcPr>
            <w:tcW w:w="1620" w:type="dxa"/>
            <w:gridSpan w:val="2"/>
            <w:tcBorders>
              <w:top w:val="nil"/>
              <w:left w:val="nil"/>
              <w:bottom w:val="single" w:sz="4" w:space="0" w:color="auto"/>
              <w:right w:val="single" w:sz="4" w:space="0" w:color="auto"/>
            </w:tcBorders>
            <w:noWrap/>
            <w:vAlign w:val="bottom"/>
          </w:tcPr>
          <w:p w:rsidR="00861EE0" w:rsidRPr="00861EE0" w:rsidRDefault="00861EE0" w:rsidP="008D7C4C">
            <w:pPr>
              <w:rPr>
                <w:b/>
                <w:bCs/>
              </w:rPr>
            </w:pPr>
            <w:r w:rsidRPr="00861EE0">
              <w:rPr>
                <w:b/>
                <w:bCs/>
              </w:rPr>
              <w:t> </w:t>
            </w:r>
          </w:p>
        </w:tc>
      </w:tr>
      <w:tr w:rsidR="00861EE0" w:rsidRPr="00861EE0" w:rsidTr="008D7C4C">
        <w:trPr>
          <w:trHeight w:val="255"/>
        </w:trPr>
        <w:tc>
          <w:tcPr>
            <w:tcW w:w="6188" w:type="dxa"/>
            <w:tcBorders>
              <w:top w:val="nil"/>
              <w:left w:val="single" w:sz="4" w:space="0" w:color="auto"/>
              <w:bottom w:val="single" w:sz="4" w:space="0" w:color="auto"/>
              <w:right w:val="single" w:sz="4" w:space="0" w:color="auto"/>
            </w:tcBorders>
          </w:tcPr>
          <w:p w:rsidR="00861EE0" w:rsidRPr="00861EE0" w:rsidRDefault="00861EE0" w:rsidP="008D7C4C">
            <w:r w:rsidRPr="00861EE0">
              <w:rPr>
                <w:b/>
                <w:bCs/>
              </w:rPr>
              <w:t xml:space="preserve">   z toho vplyv na ŠR</w:t>
            </w:r>
          </w:p>
        </w:tc>
        <w:tc>
          <w:tcPr>
            <w:tcW w:w="1698" w:type="dxa"/>
            <w:tcBorders>
              <w:top w:val="nil"/>
              <w:left w:val="nil"/>
              <w:bottom w:val="single" w:sz="4" w:space="0" w:color="auto"/>
              <w:right w:val="single" w:sz="4" w:space="0" w:color="auto"/>
            </w:tcBorders>
          </w:tcPr>
          <w:p w:rsidR="00861EE0" w:rsidRPr="00861EE0" w:rsidRDefault="00861EE0" w:rsidP="008D7C4C">
            <w:pPr>
              <w:jc w:val="center"/>
            </w:pPr>
          </w:p>
        </w:tc>
        <w:tc>
          <w:tcPr>
            <w:tcW w:w="1788" w:type="dxa"/>
            <w:tcBorders>
              <w:top w:val="nil"/>
              <w:left w:val="nil"/>
              <w:bottom w:val="single" w:sz="4" w:space="0" w:color="auto"/>
              <w:right w:val="single" w:sz="4" w:space="0" w:color="auto"/>
            </w:tcBorders>
          </w:tcPr>
          <w:p w:rsidR="00861EE0" w:rsidRPr="00861EE0" w:rsidRDefault="00861EE0" w:rsidP="008D7C4C">
            <w:pPr>
              <w:jc w:val="center"/>
            </w:pPr>
          </w:p>
        </w:tc>
        <w:tc>
          <w:tcPr>
            <w:tcW w:w="2418" w:type="dxa"/>
            <w:gridSpan w:val="2"/>
            <w:tcBorders>
              <w:top w:val="nil"/>
              <w:left w:val="nil"/>
              <w:bottom w:val="single" w:sz="4" w:space="0" w:color="auto"/>
              <w:right w:val="single" w:sz="4" w:space="0" w:color="auto"/>
            </w:tcBorders>
          </w:tcPr>
          <w:p w:rsidR="00861EE0" w:rsidRPr="00861EE0" w:rsidRDefault="00861EE0" w:rsidP="008D7C4C">
            <w:pPr>
              <w:jc w:val="center"/>
            </w:pPr>
          </w:p>
        </w:tc>
        <w:tc>
          <w:tcPr>
            <w:tcW w:w="1722" w:type="dxa"/>
            <w:tcBorders>
              <w:top w:val="nil"/>
              <w:left w:val="nil"/>
              <w:bottom w:val="single" w:sz="4" w:space="0" w:color="auto"/>
              <w:right w:val="single" w:sz="4" w:space="0" w:color="auto"/>
            </w:tcBorders>
          </w:tcPr>
          <w:p w:rsidR="00861EE0" w:rsidRPr="00861EE0" w:rsidRDefault="00861EE0" w:rsidP="008D7C4C">
            <w:pPr>
              <w:jc w:val="center"/>
            </w:pPr>
          </w:p>
        </w:tc>
        <w:tc>
          <w:tcPr>
            <w:tcW w:w="1620" w:type="dxa"/>
            <w:gridSpan w:val="2"/>
            <w:tcBorders>
              <w:top w:val="nil"/>
              <w:left w:val="nil"/>
              <w:bottom w:val="single" w:sz="4" w:space="0" w:color="auto"/>
              <w:right w:val="single" w:sz="4" w:space="0" w:color="auto"/>
            </w:tcBorders>
            <w:noWrap/>
            <w:vAlign w:val="bottom"/>
          </w:tcPr>
          <w:p w:rsidR="00861EE0" w:rsidRPr="00861EE0" w:rsidRDefault="00861EE0" w:rsidP="008D7C4C">
            <w:r w:rsidRPr="00861EE0">
              <w:t> </w:t>
            </w:r>
          </w:p>
        </w:tc>
      </w:tr>
      <w:tr w:rsidR="00861EE0" w:rsidRPr="00861EE0" w:rsidTr="008D7C4C">
        <w:trPr>
          <w:trHeight w:val="255"/>
        </w:trPr>
        <w:tc>
          <w:tcPr>
            <w:tcW w:w="6188" w:type="dxa"/>
            <w:tcBorders>
              <w:top w:val="nil"/>
              <w:left w:val="nil"/>
              <w:bottom w:val="nil"/>
              <w:right w:val="nil"/>
            </w:tcBorders>
            <w:noWrap/>
            <w:vAlign w:val="bottom"/>
          </w:tcPr>
          <w:p w:rsidR="00861EE0" w:rsidRPr="00861EE0" w:rsidRDefault="00861EE0" w:rsidP="008D7C4C"/>
        </w:tc>
        <w:tc>
          <w:tcPr>
            <w:tcW w:w="1698" w:type="dxa"/>
            <w:tcBorders>
              <w:top w:val="nil"/>
              <w:left w:val="nil"/>
              <w:bottom w:val="nil"/>
              <w:right w:val="nil"/>
            </w:tcBorders>
            <w:noWrap/>
            <w:vAlign w:val="bottom"/>
          </w:tcPr>
          <w:p w:rsidR="00861EE0" w:rsidRPr="00861EE0" w:rsidRDefault="00861EE0" w:rsidP="008D7C4C"/>
        </w:tc>
        <w:tc>
          <w:tcPr>
            <w:tcW w:w="1788" w:type="dxa"/>
            <w:tcBorders>
              <w:top w:val="nil"/>
              <w:left w:val="nil"/>
              <w:bottom w:val="nil"/>
              <w:right w:val="nil"/>
            </w:tcBorders>
            <w:noWrap/>
            <w:vAlign w:val="bottom"/>
          </w:tcPr>
          <w:p w:rsidR="00861EE0" w:rsidRPr="00861EE0" w:rsidRDefault="00861EE0" w:rsidP="008D7C4C"/>
        </w:tc>
        <w:tc>
          <w:tcPr>
            <w:tcW w:w="2418" w:type="dxa"/>
            <w:gridSpan w:val="2"/>
            <w:tcBorders>
              <w:top w:val="nil"/>
              <w:left w:val="nil"/>
              <w:bottom w:val="nil"/>
              <w:right w:val="nil"/>
            </w:tcBorders>
            <w:noWrap/>
            <w:vAlign w:val="bottom"/>
          </w:tcPr>
          <w:p w:rsidR="00861EE0" w:rsidRPr="00861EE0" w:rsidRDefault="00861EE0" w:rsidP="008D7C4C"/>
        </w:tc>
        <w:tc>
          <w:tcPr>
            <w:tcW w:w="1722" w:type="dxa"/>
            <w:tcBorders>
              <w:top w:val="nil"/>
              <w:left w:val="nil"/>
              <w:bottom w:val="nil"/>
              <w:right w:val="nil"/>
            </w:tcBorders>
            <w:noWrap/>
            <w:vAlign w:val="bottom"/>
          </w:tcPr>
          <w:p w:rsidR="00861EE0" w:rsidRPr="00861EE0" w:rsidRDefault="00861EE0" w:rsidP="008D7C4C"/>
        </w:tc>
        <w:tc>
          <w:tcPr>
            <w:tcW w:w="1620" w:type="dxa"/>
            <w:gridSpan w:val="2"/>
            <w:tcBorders>
              <w:top w:val="nil"/>
              <w:left w:val="nil"/>
              <w:bottom w:val="nil"/>
              <w:right w:val="nil"/>
            </w:tcBorders>
            <w:noWrap/>
            <w:vAlign w:val="bottom"/>
          </w:tcPr>
          <w:p w:rsidR="00861EE0" w:rsidRPr="00861EE0" w:rsidRDefault="00861EE0" w:rsidP="008D7C4C"/>
        </w:tc>
      </w:tr>
      <w:tr w:rsidR="00861EE0" w:rsidRPr="00861EE0" w:rsidTr="008D7C4C">
        <w:trPr>
          <w:trHeight w:val="255"/>
        </w:trPr>
        <w:tc>
          <w:tcPr>
            <w:tcW w:w="6188" w:type="dxa"/>
            <w:tcBorders>
              <w:top w:val="nil"/>
              <w:left w:val="nil"/>
              <w:bottom w:val="nil"/>
              <w:right w:val="nil"/>
            </w:tcBorders>
          </w:tcPr>
          <w:p w:rsidR="00861EE0" w:rsidRPr="00861EE0" w:rsidRDefault="00861EE0" w:rsidP="008D7C4C">
            <w:pPr>
              <w:rPr>
                <w:b/>
                <w:bCs/>
              </w:rPr>
            </w:pPr>
            <w:r w:rsidRPr="00861EE0">
              <w:rPr>
                <w:b/>
                <w:bCs/>
              </w:rPr>
              <w:t>Poznámky:</w:t>
            </w:r>
          </w:p>
        </w:tc>
        <w:tc>
          <w:tcPr>
            <w:tcW w:w="1698" w:type="dxa"/>
            <w:tcBorders>
              <w:top w:val="nil"/>
              <w:left w:val="nil"/>
              <w:bottom w:val="nil"/>
              <w:right w:val="nil"/>
            </w:tcBorders>
            <w:noWrap/>
            <w:vAlign w:val="bottom"/>
          </w:tcPr>
          <w:p w:rsidR="00861EE0" w:rsidRPr="00861EE0" w:rsidRDefault="00861EE0" w:rsidP="008D7C4C"/>
        </w:tc>
        <w:tc>
          <w:tcPr>
            <w:tcW w:w="1788" w:type="dxa"/>
            <w:tcBorders>
              <w:top w:val="nil"/>
              <w:left w:val="nil"/>
              <w:bottom w:val="nil"/>
              <w:right w:val="nil"/>
            </w:tcBorders>
            <w:noWrap/>
            <w:vAlign w:val="bottom"/>
          </w:tcPr>
          <w:p w:rsidR="00861EE0" w:rsidRPr="00861EE0" w:rsidRDefault="00861EE0" w:rsidP="008D7C4C"/>
        </w:tc>
        <w:tc>
          <w:tcPr>
            <w:tcW w:w="2418" w:type="dxa"/>
            <w:gridSpan w:val="2"/>
            <w:tcBorders>
              <w:top w:val="nil"/>
              <w:left w:val="nil"/>
              <w:bottom w:val="nil"/>
              <w:right w:val="nil"/>
            </w:tcBorders>
            <w:noWrap/>
            <w:vAlign w:val="bottom"/>
          </w:tcPr>
          <w:p w:rsidR="00861EE0" w:rsidRPr="00861EE0" w:rsidRDefault="00861EE0" w:rsidP="008D7C4C"/>
        </w:tc>
        <w:tc>
          <w:tcPr>
            <w:tcW w:w="1722" w:type="dxa"/>
            <w:tcBorders>
              <w:top w:val="nil"/>
              <w:left w:val="nil"/>
              <w:bottom w:val="nil"/>
              <w:right w:val="nil"/>
            </w:tcBorders>
            <w:noWrap/>
            <w:vAlign w:val="bottom"/>
          </w:tcPr>
          <w:p w:rsidR="00861EE0" w:rsidRPr="00861EE0" w:rsidRDefault="00861EE0" w:rsidP="008D7C4C"/>
        </w:tc>
        <w:tc>
          <w:tcPr>
            <w:tcW w:w="1620" w:type="dxa"/>
            <w:gridSpan w:val="2"/>
            <w:tcBorders>
              <w:top w:val="nil"/>
              <w:left w:val="nil"/>
              <w:bottom w:val="nil"/>
              <w:right w:val="nil"/>
            </w:tcBorders>
            <w:noWrap/>
            <w:vAlign w:val="bottom"/>
          </w:tcPr>
          <w:p w:rsidR="00861EE0" w:rsidRPr="00861EE0" w:rsidRDefault="00861EE0" w:rsidP="008D7C4C"/>
        </w:tc>
      </w:tr>
      <w:tr w:rsidR="00861EE0" w:rsidRPr="00861EE0" w:rsidTr="008D7C4C">
        <w:trPr>
          <w:trHeight w:val="255"/>
        </w:trPr>
        <w:tc>
          <w:tcPr>
            <w:tcW w:w="13814" w:type="dxa"/>
            <w:gridSpan w:val="6"/>
            <w:tcBorders>
              <w:top w:val="nil"/>
              <w:left w:val="nil"/>
              <w:bottom w:val="nil"/>
              <w:right w:val="nil"/>
            </w:tcBorders>
            <w:noWrap/>
          </w:tcPr>
          <w:p w:rsidR="00861EE0" w:rsidRPr="00861EE0" w:rsidRDefault="00861EE0" w:rsidP="008D7C4C">
            <w:pPr>
              <w:tabs>
                <w:tab w:val="num" w:pos="1080"/>
              </w:tabs>
              <w:jc w:val="both"/>
              <w:rPr>
                <w:bCs/>
              </w:rPr>
            </w:pPr>
            <w:r w:rsidRPr="00861EE0">
              <w:rPr>
                <w:bCs/>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861EE0" w:rsidRPr="00861EE0" w:rsidRDefault="00861EE0" w:rsidP="008D7C4C">
            <w:r w:rsidRPr="00861EE0">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861EE0" w:rsidRPr="00861EE0" w:rsidRDefault="00861EE0" w:rsidP="008D7C4C"/>
        </w:tc>
      </w:tr>
      <w:tr w:rsidR="00861EE0" w:rsidRPr="00861EE0" w:rsidTr="008D7C4C">
        <w:trPr>
          <w:trHeight w:val="255"/>
        </w:trPr>
        <w:tc>
          <w:tcPr>
            <w:tcW w:w="10394" w:type="dxa"/>
            <w:gridSpan w:val="4"/>
            <w:tcBorders>
              <w:top w:val="nil"/>
              <w:left w:val="nil"/>
              <w:bottom w:val="nil"/>
              <w:right w:val="nil"/>
            </w:tcBorders>
            <w:noWrap/>
            <w:vAlign w:val="bottom"/>
          </w:tcPr>
          <w:p w:rsidR="00861EE0" w:rsidRPr="00861EE0" w:rsidRDefault="00861EE0" w:rsidP="008D7C4C">
            <w:r w:rsidRPr="00861EE0">
              <w:t>Kategórie 610 a 620 sú z tejto prílohy prenášané do príslušných kategórií prílohy „výdavky“.</w:t>
            </w:r>
          </w:p>
        </w:tc>
        <w:tc>
          <w:tcPr>
            <w:tcW w:w="1698" w:type="dxa"/>
            <w:tcBorders>
              <w:top w:val="nil"/>
              <w:left w:val="nil"/>
              <w:bottom w:val="nil"/>
              <w:right w:val="nil"/>
            </w:tcBorders>
            <w:noWrap/>
            <w:vAlign w:val="bottom"/>
          </w:tcPr>
          <w:p w:rsidR="00861EE0" w:rsidRPr="00861EE0" w:rsidRDefault="00861EE0" w:rsidP="008D7C4C"/>
        </w:tc>
        <w:tc>
          <w:tcPr>
            <w:tcW w:w="2352" w:type="dxa"/>
            <w:gridSpan w:val="2"/>
            <w:tcBorders>
              <w:top w:val="nil"/>
              <w:left w:val="nil"/>
              <w:bottom w:val="nil"/>
              <w:right w:val="nil"/>
            </w:tcBorders>
            <w:noWrap/>
            <w:vAlign w:val="bottom"/>
          </w:tcPr>
          <w:p w:rsidR="00861EE0" w:rsidRPr="00861EE0" w:rsidRDefault="00861EE0" w:rsidP="008D7C4C"/>
        </w:tc>
        <w:tc>
          <w:tcPr>
            <w:tcW w:w="990" w:type="dxa"/>
            <w:tcBorders>
              <w:top w:val="nil"/>
              <w:left w:val="nil"/>
              <w:bottom w:val="nil"/>
              <w:right w:val="nil"/>
            </w:tcBorders>
            <w:noWrap/>
            <w:vAlign w:val="bottom"/>
          </w:tcPr>
          <w:p w:rsidR="00861EE0" w:rsidRPr="00861EE0" w:rsidRDefault="00861EE0" w:rsidP="008D7C4C"/>
        </w:tc>
      </w:tr>
    </w:tbl>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861EE0" w:rsidRDefault="00861EE0" w:rsidP="00861EE0"/>
    <w:p w:rsidR="009F0BB8" w:rsidRDefault="009F0BB8" w:rsidP="00861EE0">
      <w:pPr>
        <w:sectPr w:rsidR="009F0BB8" w:rsidSect="009F0BB8">
          <w:footerReference w:type="default" r:id="rId17"/>
          <w:pgSz w:w="16838" w:h="11906" w:orient="landscape"/>
          <w:pgMar w:top="1417" w:right="1417" w:bottom="1417" w:left="1417" w:header="708" w:footer="708" w:gutter="0"/>
          <w:cols w:space="708"/>
          <w:docGrid w:linePitch="360"/>
        </w:sectPr>
      </w:pPr>
    </w:p>
    <w:p w:rsidR="00861EE0" w:rsidRPr="00861EE0" w:rsidRDefault="00861EE0" w:rsidP="00861EE0"/>
    <w:tbl>
      <w:tblPr>
        <w:tblStyle w:val="Mriekatabuky"/>
        <w:tblW w:w="0" w:type="auto"/>
        <w:tblLook w:val="04A0" w:firstRow="1" w:lastRow="0" w:firstColumn="1" w:lastColumn="0" w:noHBand="0" w:noVBand="1"/>
      </w:tblPr>
      <w:tblGrid>
        <w:gridCol w:w="9062"/>
      </w:tblGrid>
      <w:tr w:rsidR="00861EE0" w:rsidRPr="00861EE0" w:rsidTr="008D7C4C">
        <w:trPr>
          <w:trHeight w:val="567"/>
        </w:trPr>
        <w:tc>
          <w:tcPr>
            <w:tcW w:w="9212" w:type="dxa"/>
            <w:shd w:val="clear" w:color="auto" w:fill="D9D9D9" w:themeFill="background1" w:themeFillShade="D9"/>
          </w:tcPr>
          <w:p w:rsidR="00861EE0" w:rsidRPr="00861EE0" w:rsidRDefault="00861EE0" w:rsidP="008D7C4C">
            <w:pPr>
              <w:jc w:val="center"/>
              <w:rPr>
                <w:rFonts w:ascii="Times New Roman" w:hAnsi="Times New Roman"/>
                <w:b/>
              </w:rPr>
            </w:pPr>
            <w:r w:rsidRPr="00861EE0">
              <w:rPr>
                <w:rFonts w:ascii="Times New Roman" w:hAnsi="Times New Roman"/>
                <w:b/>
              </w:rPr>
              <w:t xml:space="preserve">Analýza vplyvov na podnikateľské prostredie </w:t>
            </w:r>
          </w:p>
          <w:p w:rsidR="00861EE0" w:rsidRPr="00861EE0" w:rsidRDefault="00861EE0" w:rsidP="008D7C4C">
            <w:pPr>
              <w:jc w:val="center"/>
              <w:rPr>
                <w:rFonts w:ascii="Times New Roman" w:hAnsi="Times New Roman"/>
                <w:b/>
              </w:rPr>
            </w:pPr>
            <w:r w:rsidRPr="00861EE0">
              <w:rPr>
                <w:rFonts w:ascii="Times New Roman" w:hAnsi="Times New Roman"/>
                <w:b/>
              </w:rPr>
              <w:t>(vrátane testu MSP)</w:t>
            </w:r>
          </w:p>
        </w:tc>
      </w:tr>
      <w:tr w:rsidR="00861EE0" w:rsidRPr="00861EE0" w:rsidTr="008D7C4C">
        <w:trPr>
          <w:trHeight w:val="567"/>
        </w:trPr>
        <w:tc>
          <w:tcPr>
            <w:tcW w:w="9212" w:type="dxa"/>
            <w:shd w:val="clear" w:color="auto" w:fill="D9D9D9" w:themeFill="background1" w:themeFillShade="D9"/>
          </w:tcPr>
          <w:p w:rsidR="00861EE0" w:rsidRPr="00861EE0" w:rsidRDefault="00861EE0" w:rsidP="008D7C4C">
            <w:pPr>
              <w:rPr>
                <w:rFonts w:ascii="Times New Roman" w:hAnsi="Times New Roman"/>
                <w:b/>
              </w:rPr>
            </w:pPr>
            <w:r w:rsidRPr="00861EE0">
              <w:rPr>
                <w:rFonts w:ascii="Times New Roman" w:hAnsi="Times New Roman"/>
                <w:b/>
              </w:rPr>
              <w:t>Materiál bude mať vplyv s ohľadom na veľkostnú kategóriu podnikov:</w:t>
            </w:r>
          </w:p>
        </w:tc>
      </w:tr>
      <w:tr w:rsidR="00861EE0" w:rsidRPr="00861EE0" w:rsidTr="008D7C4C">
        <w:trPr>
          <w:trHeight w:val="567"/>
        </w:trPr>
        <w:tc>
          <w:tcPr>
            <w:tcW w:w="9212"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410"/>
            </w:tblGrid>
            <w:tr w:rsidR="00861EE0" w:rsidRPr="00861EE0" w:rsidTr="008D7C4C">
              <w:tc>
                <w:tcPr>
                  <w:tcW w:w="436" w:type="dxa"/>
                  <w:tcBorders>
                    <w:top w:val="nil"/>
                    <w:left w:val="nil"/>
                    <w:bottom w:val="nil"/>
                    <w:right w:val="nil"/>
                  </w:tcBorders>
                </w:tcPr>
                <w:p w:rsidR="00861EE0" w:rsidRPr="00861EE0" w:rsidRDefault="00861EE0" w:rsidP="008D7C4C">
                  <w:pPr>
                    <w:jc w:val="center"/>
                    <w:rPr>
                      <w:rFonts w:ascii="Times New Roman" w:hAnsi="Times New Roman"/>
                    </w:rPr>
                  </w:pPr>
                  <w:r w:rsidRPr="00861EE0">
                    <w:rPr>
                      <w:rFonts w:ascii="Segoe UI Symbol" w:eastAsia="MS Mincho" w:hAnsi="Segoe UI Symbol" w:cs="Segoe UI Symbol"/>
                    </w:rPr>
                    <w:t>☐</w:t>
                  </w:r>
                </w:p>
              </w:tc>
              <w:tc>
                <w:tcPr>
                  <w:tcW w:w="8545" w:type="dxa"/>
                  <w:tcBorders>
                    <w:top w:val="nil"/>
                    <w:left w:val="nil"/>
                    <w:bottom w:val="nil"/>
                    <w:right w:val="nil"/>
                  </w:tcBorders>
                </w:tcPr>
                <w:p w:rsidR="00861EE0" w:rsidRPr="00861EE0" w:rsidRDefault="00861EE0" w:rsidP="008D7C4C">
                  <w:pPr>
                    <w:rPr>
                      <w:rFonts w:ascii="Times New Roman" w:hAnsi="Times New Roman"/>
                      <w:b/>
                    </w:rPr>
                  </w:pPr>
                  <w:r w:rsidRPr="00861EE0">
                    <w:rPr>
                      <w:rFonts w:ascii="Times New Roman" w:hAnsi="Times New Roman"/>
                      <w:b/>
                    </w:rPr>
                    <w:t xml:space="preserve">iba na MSP (0 - 249 zamestnancov) </w:t>
                  </w:r>
                </w:p>
              </w:tc>
            </w:tr>
            <w:tr w:rsidR="00861EE0" w:rsidRPr="00861EE0" w:rsidTr="008D7C4C">
              <w:tc>
                <w:tcPr>
                  <w:tcW w:w="436" w:type="dxa"/>
                  <w:tcBorders>
                    <w:top w:val="nil"/>
                    <w:left w:val="nil"/>
                    <w:bottom w:val="nil"/>
                    <w:right w:val="nil"/>
                  </w:tcBorders>
                </w:tcPr>
                <w:p w:rsidR="00861EE0" w:rsidRPr="00861EE0" w:rsidRDefault="00861EE0" w:rsidP="008D7C4C">
                  <w:pPr>
                    <w:jc w:val="center"/>
                    <w:rPr>
                      <w:rFonts w:ascii="Times New Roman" w:hAnsi="Times New Roman"/>
                    </w:rPr>
                  </w:pPr>
                  <w:r w:rsidRPr="00861EE0">
                    <w:rPr>
                      <w:rFonts w:ascii="Segoe UI Symbol" w:eastAsia="MS Mincho" w:hAnsi="Segoe UI Symbol" w:cs="Segoe UI Symbol"/>
                    </w:rPr>
                    <w:t>☐</w:t>
                  </w:r>
                </w:p>
              </w:tc>
              <w:tc>
                <w:tcPr>
                  <w:tcW w:w="8545" w:type="dxa"/>
                  <w:tcBorders>
                    <w:top w:val="nil"/>
                    <w:left w:val="nil"/>
                    <w:bottom w:val="nil"/>
                    <w:right w:val="nil"/>
                  </w:tcBorders>
                </w:tcPr>
                <w:p w:rsidR="00861EE0" w:rsidRPr="00861EE0" w:rsidRDefault="00861EE0" w:rsidP="008D7C4C">
                  <w:pPr>
                    <w:rPr>
                      <w:rFonts w:ascii="Times New Roman" w:hAnsi="Times New Roman"/>
                      <w:b/>
                    </w:rPr>
                  </w:pPr>
                  <w:r w:rsidRPr="00861EE0">
                    <w:rPr>
                      <w:rFonts w:ascii="Times New Roman" w:hAnsi="Times New Roman"/>
                      <w:b/>
                    </w:rPr>
                    <w:t>iba na veľké podniky (250 a viac zamestnancov)</w:t>
                  </w:r>
                </w:p>
              </w:tc>
            </w:tr>
            <w:tr w:rsidR="00861EE0" w:rsidRPr="00861EE0" w:rsidTr="008D7C4C">
              <w:tc>
                <w:tcPr>
                  <w:tcW w:w="436" w:type="dxa"/>
                  <w:tcBorders>
                    <w:top w:val="nil"/>
                    <w:left w:val="nil"/>
                    <w:bottom w:val="nil"/>
                    <w:right w:val="nil"/>
                  </w:tcBorders>
                </w:tcPr>
                <w:p w:rsidR="00861EE0" w:rsidRPr="00861EE0" w:rsidRDefault="00861EE0" w:rsidP="008D7C4C">
                  <w:pPr>
                    <w:jc w:val="center"/>
                    <w:rPr>
                      <w:rFonts w:ascii="Times New Roman" w:hAnsi="Times New Roman"/>
                    </w:rPr>
                  </w:pPr>
                  <w:r w:rsidRPr="00861EE0">
                    <w:rPr>
                      <w:rFonts w:ascii="Segoe UI Symbol" w:eastAsia="MS Gothic" w:hAnsi="Segoe UI Symbol" w:cs="Segoe UI Symbol"/>
                    </w:rPr>
                    <w:t>☒</w:t>
                  </w:r>
                </w:p>
              </w:tc>
              <w:tc>
                <w:tcPr>
                  <w:tcW w:w="8545" w:type="dxa"/>
                  <w:tcBorders>
                    <w:top w:val="nil"/>
                    <w:left w:val="nil"/>
                    <w:bottom w:val="nil"/>
                    <w:right w:val="nil"/>
                  </w:tcBorders>
                </w:tcPr>
                <w:p w:rsidR="00861EE0" w:rsidRPr="00861EE0" w:rsidRDefault="00861EE0" w:rsidP="008D7C4C">
                  <w:pPr>
                    <w:rPr>
                      <w:rFonts w:ascii="Times New Roman" w:hAnsi="Times New Roman"/>
                    </w:rPr>
                  </w:pPr>
                  <w:r w:rsidRPr="00861EE0">
                    <w:rPr>
                      <w:rFonts w:ascii="Times New Roman" w:hAnsi="Times New Roman"/>
                      <w:b/>
                    </w:rPr>
                    <w:t>na všetky kategórie podnikov</w:t>
                  </w:r>
                </w:p>
              </w:tc>
            </w:tr>
          </w:tbl>
          <w:p w:rsidR="00861EE0" w:rsidRPr="00861EE0" w:rsidRDefault="00861EE0" w:rsidP="008D7C4C">
            <w:pPr>
              <w:rPr>
                <w:rFonts w:ascii="Times New Roman" w:hAnsi="Times New Roman"/>
                <w:b/>
              </w:rPr>
            </w:pPr>
          </w:p>
        </w:tc>
      </w:tr>
      <w:tr w:rsidR="00861EE0" w:rsidRPr="00861EE0" w:rsidTr="008D7C4C">
        <w:tc>
          <w:tcPr>
            <w:tcW w:w="9212" w:type="dxa"/>
            <w:shd w:val="clear" w:color="auto" w:fill="D9D9D9" w:themeFill="background1" w:themeFillShade="D9"/>
          </w:tcPr>
          <w:p w:rsidR="00861EE0" w:rsidRPr="00861EE0" w:rsidRDefault="00861EE0" w:rsidP="008D7C4C">
            <w:pPr>
              <w:rPr>
                <w:rFonts w:ascii="Times New Roman" w:hAnsi="Times New Roman"/>
                <w:b/>
              </w:rPr>
            </w:pPr>
            <w:r w:rsidRPr="00861EE0">
              <w:rPr>
                <w:rFonts w:ascii="Times New Roman" w:hAnsi="Times New Roman"/>
                <w:b/>
              </w:rPr>
              <w:t>3.1 Dotknuté podnikateľské subjekty</w:t>
            </w:r>
          </w:p>
          <w:p w:rsidR="00861EE0" w:rsidRPr="00861EE0" w:rsidRDefault="00861EE0" w:rsidP="008D7C4C">
            <w:pPr>
              <w:ind w:left="284"/>
              <w:rPr>
                <w:rFonts w:ascii="Times New Roman" w:hAnsi="Times New Roman"/>
                <w:b/>
              </w:rPr>
            </w:pPr>
            <w:r w:rsidRPr="00861EE0">
              <w:rPr>
                <w:rFonts w:ascii="Times New Roman" w:hAnsi="Times New Roman"/>
              </w:rPr>
              <w:t xml:space="preserve"> - </w:t>
            </w:r>
            <w:r w:rsidRPr="00861EE0">
              <w:rPr>
                <w:rFonts w:ascii="Times New Roman" w:hAnsi="Times New Roman"/>
                <w:b/>
              </w:rPr>
              <w:t>z toho MSP</w:t>
            </w:r>
          </w:p>
        </w:tc>
      </w:tr>
      <w:tr w:rsidR="00861EE0" w:rsidRPr="00861EE0" w:rsidTr="008D7C4C">
        <w:tc>
          <w:tcPr>
            <w:tcW w:w="9212" w:type="dxa"/>
          </w:tcPr>
          <w:tbl>
            <w:tblPr>
              <w:tblW w:w="0" w:type="auto"/>
              <w:tblLook w:val="0000" w:firstRow="0" w:lastRow="0" w:firstColumn="0" w:lastColumn="0" w:noHBand="0" w:noVBand="0"/>
            </w:tblPr>
            <w:tblGrid>
              <w:gridCol w:w="7814"/>
            </w:tblGrid>
            <w:tr w:rsidR="00861EE0" w:rsidRPr="00861EE0" w:rsidTr="008D7C4C">
              <w:trPr>
                <w:trHeight w:val="205"/>
              </w:trPr>
              <w:tc>
                <w:tcPr>
                  <w:tcW w:w="0" w:type="auto"/>
                  <w:tcBorders>
                    <w:top w:val="nil"/>
                    <w:left w:val="nil"/>
                    <w:bottom w:val="nil"/>
                    <w:right w:val="nil"/>
                  </w:tcBorders>
                </w:tcPr>
                <w:p w:rsidR="00861EE0" w:rsidRPr="00861EE0" w:rsidRDefault="00861EE0" w:rsidP="008D7C4C">
                  <w:pPr>
                    <w:pStyle w:val="Default"/>
                    <w:ind w:hanging="79"/>
                    <w:rPr>
                      <w:i/>
                      <w:iCs/>
                    </w:rPr>
                  </w:pPr>
                  <w:r w:rsidRPr="00861EE0">
                    <w:rPr>
                      <w:i/>
                      <w:iCs/>
                    </w:rPr>
                    <w:t xml:space="preserve">Uveďte, aké podnikateľské subjekty budú predkladaným návrhom ovplyvnené. </w:t>
                  </w:r>
                </w:p>
                <w:p w:rsidR="00861EE0" w:rsidRPr="00861EE0" w:rsidRDefault="00861EE0" w:rsidP="008D7C4C">
                  <w:pPr>
                    <w:pStyle w:val="Default"/>
                    <w:ind w:hanging="79"/>
                  </w:pPr>
                  <w:r w:rsidRPr="00861EE0">
                    <w:rPr>
                      <w:i/>
                      <w:iCs/>
                    </w:rPr>
                    <w:t xml:space="preserve">Aký je ich počet? </w:t>
                  </w:r>
                </w:p>
              </w:tc>
            </w:tr>
          </w:tbl>
          <w:p w:rsidR="00861EE0" w:rsidRPr="00861EE0" w:rsidRDefault="00861EE0" w:rsidP="008D7C4C">
            <w:pPr>
              <w:rPr>
                <w:rFonts w:ascii="Times New Roman" w:hAnsi="Times New Roman"/>
                <w:i/>
              </w:rPr>
            </w:pPr>
          </w:p>
        </w:tc>
      </w:tr>
      <w:tr w:rsidR="00861EE0" w:rsidRPr="00861EE0" w:rsidTr="008D7C4C">
        <w:trPr>
          <w:trHeight w:val="1440"/>
        </w:trPr>
        <w:tc>
          <w:tcPr>
            <w:tcW w:w="9212" w:type="dxa"/>
          </w:tcPr>
          <w:p w:rsidR="00861EE0" w:rsidRPr="00861EE0" w:rsidRDefault="00861EE0" w:rsidP="008D7C4C">
            <w:pPr>
              <w:rPr>
                <w:rFonts w:ascii="Times New Roman" w:hAnsi="Times New Roman"/>
              </w:rPr>
            </w:pPr>
            <w:r w:rsidRPr="00861EE0">
              <w:rPr>
                <w:rFonts w:ascii="Times New Roman" w:hAnsi="Times New Roman"/>
              </w:rPr>
              <w:t>Podnikatelia, vývozcovia.</w:t>
            </w:r>
          </w:p>
        </w:tc>
      </w:tr>
      <w:tr w:rsidR="00861EE0" w:rsidRPr="00861EE0" w:rsidTr="008D7C4C">
        <w:trPr>
          <w:trHeight w:val="339"/>
        </w:trPr>
        <w:tc>
          <w:tcPr>
            <w:tcW w:w="9212" w:type="dxa"/>
            <w:shd w:val="clear" w:color="auto" w:fill="D9D9D9" w:themeFill="background1" w:themeFillShade="D9"/>
          </w:tcPr>
          <w:p w:rsidR="00861EE0" w:rsidRPr="00861EE0" w:rsidRDefault="00861EE0" w:rsidP="008D7C4C">
            <w:pPr>
              <w:rPr>
                <w:rFonts w:ascii="Times New Roman" w:hAnsi="Times New Roman"/>
                <w:b/>
              </w:rPr>
            </w:pPr>
            <w:r w:rsidRPr="00861EE0">
              <w:rPr>
                <w:rFonts w:ascii="Times New Roman" w:hAnsi="Times New Roman"/>
                <w:b/>
              </w:rPr>
              <w:t>3.2 Vyhodnotenie konzultácií</w:t>
            </w:r>
          </w:p>
          <w:p w:rsidR="00861EE0" w:rsidRPr="00861EE0" w:rsidRDefault="00861EE0" w:rsidP="008D7C4C">
            <w:pPr>
              <w:rPr>
                <w:rFonts w:ascii="Times New Roman" w:hAnsi="Times New Roman"/>
                <w:b/>
              </w:rPr>
            </w:pPr>
            <w:r w:rsidRPr="00861EE0">
              <w:rPr>
                <w:rFonts w:ascii="Times New Roman" w:hAnsi="Times New Roman"/>
              </w:rPr>
              <w:t xml:space="preserve">       - </w:t>
            </w:r>
            <w:r w:rsidRPr="00861EE0">
              <w:rPr>
                <w:rFonts w:ascii="Times New Roman" w:hAnsi="Times New Roman"/>
                <w:b/>
              </w:rPr>
              <w:t>z toho MSP</w:t>
            </w:r>
          </w:p>
        </w:tc>
      </w:tr>
      <w:tr w:rsidR="00861EE0" w:rsidRPr="00861EE0" w:rsidTr="008D7C4C">
        <w:trPr>
          <w:trHeight w:val="557"/>
        </w:trPr>
        <w:tc>
          <w:tcPr>
            <w:tcW w:w="9212" w:type="dxa"/>
          </w:tcPr>
          <w:p w:rsidR="00861EE0" w:rsidRPr="00861EE0" w:rsidRDefault="00861EE0" w:rsidP="008D7C4C">
            <w:pPr>
              <w:rPr>
                <w:rFonts w:ascii="Times New Roman" w:hAnsi="Times New Roman"/>
                <w:i/>
              </w:rPr>
            </w:pPr>
            <w:r w:rsidRPr="00861EE0">
              <w:rPr>
                <w:rFonts w:ascii="Times New Roman" w:hAnsi="Times New Roman"/>
                <w:i/>
              </w:rPr>
              <w:t>Uveďte, akou formou (verejné alebo cielené konzultácie a prečo) a s kým bol návrh konzultovaný.</w:t>
            </w:r>
          </w:p>
          <w:p w:rsidR="00861EE0" w:rsidRPr="00861EE0" w:rsidRDefault="00861EE0" w:rsidP="008D7C4C">
            <w:pPr>
              <w:rPr>
                <w:rFonts w:ascii="Times New Roman" w:hAnsi="Times New Roman"/>
                <w:i/>
              </w:rPr>
            </w:pPr>
            <w:r w:rsidRPr="00861EE0">
              <w:rPr>
                <w:rFonts w:ascii="Times New Roman" w:hAnsi="Times New Roman"/>
                <w:i/>
              </w:rPr>
              <w:t>Ako dlho trvali konzultácie?</w:t>
            </w:r>
          </w:p>
          <w:p w:rsidR="00861EE0" w:rsidRPr="00861EE0" w:rsidRDefault="00861EE0" w:rsidP="008D7C4C">
            <w:pPr>
              <w:rPr>
                <w:rFonts w:ascii="Times New Roman" w:hAnsi="Times New Roman"/>
                <w:i/>
              </w:rPr>
            </w:pPr>
            <w:r w:rsidRPr="00861EE0">
              <w:rPr>
                <w:rFonts w:ascii="Times New Roman" w:hAnsi="Times New Roman"/>
                <w:i/>
              </w:rPr>
              <w:t xml:space="preserve">Uveďte hlavné body konzultácií a výsledky konzultácií. </w:t>
            </w:r>
          </w:p>
        </w:tc>
      </w:tr>
      <w:tr w:rsidR="00861EE0" w:rsidRPr="00861EE0" w:rsidTr="008D7C4C">
        <w:trPr>
          <w:trHeight w:val="1440"/>
        </w:trPr>
        <w:tc>
          <w:tcPr>
            <w:tcW w:w="9212" w:type="dxa"/>
          </w:tcPr>
          <w:p w:rsidR="00861EE0" w:rsidRPr="00861EE0" w:rsidRDefault="00861EE0" w:rsidP="008D7C4C">
            <w:pPr>
              <w:jc w:val="both"/>
              <w:rPr>
                <w:rFonts w:ascii="Times New Roman" w:hAnsi="Times New Roman"/>
              </w:rPr>
            </w:pPr>
            <w:r w:rsidRPr="00861EE0">
              <w:rPr>
                <w:rFonts w:ascii="Times New Roman" w:hAnsi="Times New Roman"/>
              </w:rPr>
              <w:t xml:space="preserve">K materiálu bola zverejnená predbežná informácia v zmysle Legislatívnych pravidiel vlády Slovenskej republiky; </w:t>
            </w:r>
            <w:hyperlink r:id="rId18" w:history="1">
              <w:r w:rsidRPr="00861EE0">
                <w:rPr>
                  <w:rStyle w:val="Hypertextovprepojenie"/>
                  <w:rFonts w:ascii="Times New Roman" w:hAnsi="Times New Roman"/>
                </w:rPr>
                <w:t>https://www.slov-lex.sk/legislativne-procesy/SK/PI/2018/298</w:t>
              </w:r>
            </w:hyperlink>
            <w:r w:rsidRPr="00861EE0">
              <w:rPr>
                <w:rFonts w:ascii="Times New Roman" w:hAnsi="Times New Roman"/>
              </w:rPr>
              <w:t xml:space="preserve"> (20.12.-8.1.2019). </w:t>
            </w:r>
          </w:p>
          <w:p w:rsidR="00861EE0" w:rsidRPr="00861EE0" w:rsidRDefault="00861EE0" w:rsidP="008D7C4C">
            <w:pPr>
              <w:jc w:val="both"/>
              <w:rPr>
                <w:rFonts w:ascii="Times New Roman" w:hAnsi="Times New Roman"/>
              </w:rPr>
            </w:pPr>
            <w:r w:rsidRPr="00861EE0">
              <w:rPr>
                <w:rFonts w:ascii="Times New Roman" w:hAnsi="Times New Roman"/>
              </w:rPr>
              <w:t>Konzultácie s podnikateľskými subjektmi neboli uskutočnené, nakoľko túto povinnosť má predkladateľ v zmysle Jednotnej metodiky na posudzovanie vybraných vplyvov (ďalej len „metodika“)  iba v prípade, ak bol o tejto povinnosti informovaný Ministerstvom hospodárstva Slovenskej republiky v zmysle bodu 5.5 metodiky a legislatívny materiál predpokladá významné vplyvy na podnikateľské prostredie (bod 5.4 metodiky), čo nie je tento prípad. Vzhľadom na to, že žiaden z podnikateľských subjektov, ktoré boli oslovené neprejavil záujem zúčastniť sa konzultácií, MH SR rozhodlo, že nie je potrebné vykonať konzultácie k predmetnému materiálu.</w:t>
            </w:r>
          </w:p>
        </w:tc>
      </w:tr>
      <w:tr w:rsidR="00861EE0" w:rsidRPr="00861EE0" w:rsidTr="008D7C4C">
        <w:tc>
          <w:tcPr>
            <w:tcW w:w="9212" w:type="dxa"/>
            <w:shd w:val="clear" w:color="auto" w:fill="D9D9D9" w:themeFill="background1" w:themeFillShade="D9"/>
          </w:tcPr>
          <w:p w:rsidR="00861EE0" w:rsidRPr="00861EE0" w:rsidRDefault="00861EE0" w:rsidP="008D7C4C">
            <w:pPr>
              <w:rPr>
                <w:rFonts w:ascii="Times New Roman" w:hAnsi="Times New Roman"/>
                <w:b/>
              </w:rPr>
            </w:pPr>
            <w:r w:rsidRPr="00861EE0">
              <w:rPr>
                <w:rFonts w:ascii="Times New Roman" w:hAnsi="Times New Roman"/>
                <w:b/>
              </w:rPr>
              <w:t>3.3 Náklady regulácie</w:t>
            </w:r>
          </w:p>
          <w:p w:rsidR="00861EE0" w:rsidRPr="00861EE0" w:rsidRDefault="00861EE0" w:rsidP="008D7C4C">
            <w:pPr>
              <w:rPr>
                <w:rFonts w:ascii="Times New Roman" w:hAnsi="Times New Roman"/>
                <w:b/>
              </w:rPr>
            </w:pPr>
            <w:r w:rsidRPr="00861EE0">
              <w:rPr>
                <w:rFonts w:ascii="Times New Roman" w:hAnsi="Times New Roman"/>
              </w:rPr>
              <w:t xml:space="preserve">      - </w:t>
            </w:r>
            <w:r w:rsidRPr="00861EE0">
              <w:rPr>
                <w:rFonts w:ascii="Times New Roman" w:hAnsi="Times New Roman"/>
                <w:b/>
              </w:rPr>
              <w:t>z toho MSP</w:t>
            </w:r>
          </w:p>
        </w:tc>
      </w:tr>
      <w:tr w:rsidR="00861EE0" w:rsidRPr="00861EE0" w:rsidTr="008D7C4C">
        <w:tc>
          <w:tcPr>
            <w:tcW w:w="9212" w:type="dxa"/>
          </w:tcPr>
          <w:p w:rsidR="00861EE0" w:rsidRPr="00861EE0" w:rsidRDefault="00861EE0" w:rsidP="008D7C4C">
            <w:pPr>
              <w:rPr>
                <w:rFonts w:ascii="Times New Roman" w:hAnsi="Times New Roman"/>
                <w:b/>
                <w:i/>
              </w:rPr>
            </w:pPr>
            <w:r w:rsidRPr="00861EE0">
              <w:rPr>
                <w:rFonts w:ascii="Times New Roman" w:hAnsi="Times New Roman"/>
                <w:b/>
                <w:i/>
              </w:rPr>
              <w:t>3.3.1 Priame finančné náklady</w:t>
            </w:r>
          </w:p>
          <w:p w:rsidR="00861EE0" w:rsidRPr="00861EE0" w:rsidRDefault="00861EE0" w:rsidP="008D7C4C">
            <w:pPr>
              <w:rPr>
                <w:rFonts w:ascii="Times New Roman" w:hAnsi="Times New Roman"/>
                <w:i/>
              </w:rPr>
            </w:pPr>
            <w:r w:rsidRPr="00861EE0">
              <w:rPr>
                <w:rFonts w:ascii="Times New Roman" w:hAnsi="Times New Roman"/>
                <w:i/>
              </w:rPr>
              <w:t xml:space="preserve">Dochádza k zvýšeniu/zníženiu priamych finančných nákladov (poplatky, odvody, dane clá...)? Ak áno, popíšte a vyčíslite ich. Uveďte tiež spôsob ich výpočtu. </w:t>
            </w:r>
          </w:p>
        </w:tc>
      </w:tr>
      <w:tr w:rsidR="00861EE0" w:rsidRPr="00861EE0" w:rsidTr="008D7C4C">
        <w:tc>
          <w:tcPr>
            <w:tcW w:w="9212" w:type="dxa"/>
          </w:tcPr>
          <w:p w:rsidR="00861EE0" w:rsidRPr="00861EE0" w:rsidRDefault="00861EE0" w:rsidP="008D7C4C">
            <w:pPr>
              <w:rPr>
                <w:rFonts w:ascii="Times New Roman" w:hAnsi="Times New Roman"/>
                <w:b/>
                <w:i/>
              </w:rPr>
            </w:pPr>
          </w:p>
          <w:p w:rsidR="00861EE0" w:rsidRPr="00861EE0" w:rsidRDefault="00861EE0" w:rsidP="008D7C4C">
            <w:pPr>
              <w:rPr>
                <w:rFonts w:ascii="Times New Roman" w:hAnsi="Times New Roman"/>
              </w:rPr>
            </w:pPr>
            <w:r w:rsidRPr="00861EE0">
              <w:rPr>
                <w:rFonts w:ascii="Times New Roman" w:hAnsi="Times New Roman"/>
              </w:rPr>
              <w:t>Nedochádza k zvýšeniu priamych finančných nákladov.</w:t>
            </w:r>
          </w:p>
          <w:p w:rsidR="00861EE0" w:rsidRPr="00861EE0" w:rsidRDefault="00861EE0" w:rsidP="008D7C4C">
            <w:pPr>
              <w:rPr>
                <w:rFonts w:ascii="Times New Roman" w:hAnsi="Times New Roman"/>
                <w:b/>
              </w:rPr>
            </w:pPr>
          </w:p>
          <w:p w:rsidR="00861EE0" w:rsidRPr="00861EE0" w:rsidRDefault="00861EE0" w:rsidP="008D7C4C">
            <w:pPr>
              <w:rPr>
                <w:rFonts w:ascii="Times New Roman" w:hAnsi="Times New Roman"/>
                <w:b/>
              </w:rPr>
            </w:pPr>
          </w:p>
          <w:p w:rsidR="00861EE0" w:rsidRPr="00861EE0" w:rsidRDefault="00861EE0" w:rsidP="008D7C4C">
            <w:pPr>
              <w:rPr>
                <w:rFonts w:ascii="Times New Roman" w:hAnsi="Times New Roman"/>
                <w:b/>
                <w:i/>
              </w:rPr>
            </w:pPr>
          </w:p>
        </w:tc>
      </w:tr>
      <w:tr w:rsidR="00861EE0" w:rsidRPr="00861EE0" w:rsidTr="008D7C4C">
        <w:tc>
          <w:tcPr>
            <w:tcW w:w="9212" w:type="dxa"/>
          </w:tcPr>
          <w:p w:rsidR="00861EE0" w:rsidRPr="00861EE0" w:rsidRDefault="00861EE0" w:rsidP="008D7C4C">
            <w:pPr>
              <w:rPr>
                <w:rFonts w:ascii="Times New Roman" w:hAnsi="Times New Roman"/>
                <w:b/>
                <w:i/>
              </w:rPr>
            </w:pPr>
            <w:r w:rsidRPr="00861EE0">
              <w:rPr>
                <w:rFonts w:ascii="Times New Roman" w:hAnsi="Times New Roman"/>
                <w:b/>
                <w:i/>
              </w:rPr>
              <w:t>3.3.2 Nepriame finančné náklady</w:t>
            </w:r>
          </w:p>
          <w:p w:rsidR="00861EE0" w:rsidRPr="00861EE0" w:rsidRDefault="00861EE0" w:rsidP="008D7C4C">
            <w:pPr>
              <w:rPr>
                <w:rFonts w:ascii="Times New Roman" w:hAnsi="Times New Roman"/>
                <w:i/>
              </w:rPr>
            </w:pPr>
            <w:r w:rsidRPr="00861EE0">
              <w:rPr>
                <w:rFonts w:ascii="Times New Roman" w:hAnsi="Times New Roman"/>
                <w:i/>
              </w:rPr>
              <w:t>Vyžaduje si predkladaný návrh dodatočné náklady na nákup tovarov alebo služieb? Zvyšuje predkladaný návrh náklady súvisiace so zamestnávaním? Ak áno, popíšte a vyčíslite ich. Uveďte tiež spôsob ich výpočtu.</w:t>
            </w:r>
          </w:p>
        </w:tc>
      </w:tr>
      <w:tr w:rsidR="00861EE0" w:rsidRPr="00861EE0" w:rsidTr="008D7C4C">
        <w:tc>
          <w:tcPr>
            <w:tcW w:w="9212" w:type="dxa"/>
          </w:tcPr>
          <w:p w:rsidR="00861EE0" w:rsidRPr="00861EE0" w:rsidRDefault="00861EE0" w:rsidP="008D7C4C">
            <w:pPr>
              <w:rPr>
                <w:rFonts w:ascii="Times New Roman" w:hAnsi="Times New Roman"/>
                <w:b/>
                <w:i/>
              </w:rPr>
            </w:pPr>
          </w:p>
          <w:p w:rsidR="00861EE0" w:rsidRPr="00861EE0" w:rsidRDefault="00861EE0" w:rsidP="008D7C4C">
            <w:pPr>
              <w:rPr>
                <w:rFonts w:ascii="Times New Roman" w:hAnsi="Times New Roman"/>
              </w:rPr>
            </w:pPr>
            <w:r w:rsidRPr="00861EE0">
              <w:rPr>
                <w:rFonts w:ascii="Times New Roman" w:hAnsi="Times New Roman"/>
              </w:rPr>
              <w:lastRenderedPageBreak/>
              <w:t>Nedochádza k zvýšeniu nepriamych finančných nákladov.</w:t>
            </w:r>
          </w:p>
          <w:p w:rsidR="00861EE0" w:rsidRPr="00861EE0" w:rsidRDefault="00861EE0" w:rsidP="008D7C4C">
            <w:pPr>
              <w:rPr>
                <w:rFonts w:ascii="Times New Roman" w:hAnsi="Times New Roman"/>
                <w:b/>
                <w:i/>
              </w:rPr>
            </w:pPr>
          </w:p>
          <w:p w:rsidR="00861EE0" w:rsidRPr="00861EE0" w:rsidRDefault="00861EE0" w:rsidP="008D7C4C">
            <w:pPr>
              <w:rPr>
                <w:rFonts w:ascii="Times New Roman" w:hAnsi="Times New Roman"/>
                <w:b/>
                <w:i/>
              </w:rPr>
            </w:pPr>
          </w:p>
          <w:p w:rsidR="00861EE0" w:rsidRPr="00861EE0" w:rsidRDefault="00861EE0" w:rsidP="008D7C4C">
            <w:pPr>
              <w:rPr>
                <w:rFonts w:ascii="Times New Roman" w:hAnsi="Times New Roman"/>
                <w:b/>
                <w:i/>
              </w:rPr>
            </w:pPr>
          </w:p>
        </w:tc>
      </w:tr>
      <w:tr w:rsidR="00861EE0" w:rsidRPr="00861EE0" w:rsidTr="008D7C4C">
        <w:tc>
          <w:tcPr>
            <w:tcW w:w="9212" w:type="dxa"/>
          </w:tcPr>
          <w:p w:rsidR="00861EE0" w:rsidRPr="00861EE0" w:rsidRDefault="00861EE0" w:rsidP="008D7C4C">
            <w:pPr>
              <w:rPr>
                <w:rFonts w:ascii="Times New Roman" w:hAnsi="Times New Roman"/>
                <w:b/>
                <w:i/>
              </w:rPr>
            </w:pPr>
            <w:r w:rsidRPr="00861EE0">
              <w:rPr>
                <w:rFonts w:ascii="Times New Roman" w:hAnsi="Times New Roman"/>
                <w:b/>
                <w:i/>
              </w:rPr>
              <w:lastRenderedPageBreak/>
              <w:t>3.3.3 Administratívne náklady</w:t>
            </w:r>
          </w:p>
          <w:p w:rsidR="00861EE0" w:rsidRPr="00861EE0" w:rsidRDefault="00861EE0" w:rsidP="008D7C4C">
            <w:pPr>
              <w:rPr>
                <w:rFonts w:ascii="Times New Roman" w:hAnsi="Times New Roman"/>
                <w:i/>
              </w:rPr>
            </w:pPr>
            <w:r w:rsidRPr="00861EE0">
              <w:rPr>
                <w:rFonts w:ascii="Times New Roman" w:hAnsi="Times New Roman"/>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861EE0" w:rsidRPr="00861EE0" w:rsidTr="008D7C4C">
        <w:tc>
          <w:tcPr>
            <w:tcW w:w="9212" w:type="dxa"/>
          </w:tcPr>
          <w:p w:rsidR="00861EE0" w:rsidRPr="00861EE0" w:rsidRDefault="00861EE0" w:rsidP="008D7C4C">
            <w:pPr>
              <w:rPr>
                <w:rFonts w:ascii="Times New Roman" w:hAnsi="Times New Roman"/>
                <w:b/>
                <w:i/>
              </w:rPr>
            </w:pPr>
          </w:p>
          <w:p w:rsidR="00861EE0" w:rsidRPr="00861EE0" w:rsidRDefault="00861EE0" w:rsidP="008D7C4C">
            <w:pPr>
              <w:rPr>
                <w:rFonts w:ascii="Times New Roman" w:hAnsi="Times New Roman"/>
                <w:b/>
              </w:rPr>
            </w:pPr>
            <w:r w:rsidRPr="00861EE0">
              <w:rPr>
                <w:rFonts w:ascii="Times New Roman" w:hAnsi="Times New Roman"/>
              </w:rPr>
              <w:t>Nedochádza k zavedeniu nových povinností.</w:t>
            </w:r>
          </w:p>
          <w:p w:rsidR="00861EE0" w:rsidRPr="00861EE0" w:rsidRDefault="00861EE0" w:rsidP="008D7C4C">
            <w:pPr>
              <w:rPr>
                <w:rFonts w:ascii="Times New Roman" w:hAnsi="Times New Roman"/>
                <w:b/>
                <w:i/>
              </w:rPr>
            </w:pPr>
          </w:p>
          <w:p w:rsidR="00861EE0" w:rsidRPr="00861EE0" w:rsidRDefault="00861EE0" w:rsidP="008D7C4C">
            <w:pPr>
              <w:rPr>
                <w:rFonts w:ascii="Times New Roman" w:hAnsi="Times New Roman"/>
                <w:b/>
                <w:i/>
              </w:rPr>
            </w:pPr>
          </w:p>
          <w:p w:rsidR="00861EE0" w:rsidRPr="00861EE0" w:rsidRDefault="00861EE0" w:rsidP="008D7C4C">
            <w:pPr>
              <w:rPr>
                <w:rFonts w:ascii="Times New Roman" w:hAnsi="Times New Roman"/>
                <w:b/>
                <w:i/>
              </w:rPr>
            </w:pPr>
          </w:p>
          <w:p w:rsidR="00861EE0" w:rsidRPr="00861EE0" w:rsidRDefault="00861EE0" w:rsidP="008D7C4C">
            <w:pPr>
              <w:rPr>
                <w:rFonts w:ascii="Times New Roman" w:hAnsi="Times New Roman"/>
                <w:b/>
                <w:i/>
              </w:rPr>
            </w:pPr>
          </w:p>
        </w:tc>
      </w:tr>
      <w:tr w:rsidR="00861EE0" w:rsidRPr="00861EE0" w:rsidTr="008D7C4C">
        <w:trPr>
          <w:trHeight w:val="2318"/>
        </w:trPr>
        <w:tc>
          <w:tcPr>
            <w:tcW w:w="9212" w:type="dxa"/>
          </w:tcPr>
          <w:p w:rsidR="00861EE0" w:rsidRPr="00861EE0" w:rsidRDefault="00861EE0" w:rsidP="008D7C4C">
            <w:pPr>
              <w:rPr>
                <w:rFonts w:ascii="Times New Roman" w:hAnsi="Times New Roman"/>
                <w:i/>
              </w:rPr>
            </w:pPr>
            <w:r w:rsidRPr="00861EE0">
              <w:rPr>
                <w:rFonts w:ascii="Times New Roman" w:hAnsi="Times New Roman"/>
                <w:b/>
                <w:i/>
              </w:rPr>
              <w:t>3.3.4 Súhrnná tabuľka nákladov regulácie</w:t>
            </w:r>
          </w:p>
          <w:p w:rsidR="00861EE0" w:rsidRPr="00861EE0" w:rsidRDefault="00861EE0" w:rsidP="008D7C4C">
            <w:pPr>
              <w:rPr>
                <w:rFonts w:ascii="Times New Roman" w:hAnsi="Times New Roman"/>
                <w:i/>
              </w:rPr>
            </w:pPr>
          </w:p>
          <w:tbl>
            <w:tblPr>
              <w:tblStyle w:val="Mriekatabuky"/>
              <w:tblW w:w="0" w:type="auto"/>
              <w:tblLook w:val="04A0" w:firstRow="1" w:lastRow="0" w:firstColumn="1" w:lastColumn="0" w:noHBand="0" w:noVBand="1"/>
            </w:tblPr>
            <w:tblGrid>
              <w:gridCol w:w="2949"/>
              <w:gridCol w:w="2941"/>
              <w:gridCol w:w="2946"/>
            </w:tblGrid>
            <w:tr w:rsidR="00861EE0" w:rsidRPr="00861EE0" w:rsidTr="008D7C4C">
              <w:tc>
                <w:tcPr>
                  <w:tcW w:w="2949" w:type="dxa"/>
                  <w:tcBorders>
                    <w:top w:val="single" w:sz="4" w:space="0" w:color="auto"/>
                    <w:left w:val="single" w:sz="4" w:space="0" w:color="auto"/>
                    <w:bottom w:val="single" w:sz="4" w:space="0" w:color="auto"/>
                    <w:right w:val="single" w:sz="4" w:space="0" w:color="auto"/>
                  </w:tcBorders>
                </w:tcPr>
                <w:p w:rsidR="00861EE0" w:rsidRPr="00861EE0" w:rsidRDefault="00861EE0" w:rsidP="008D7C4C">
                  <w:pPr>
                    <w:rPr>
                      <w:rFonts w:ascii="Times New Roman" w:hAnsi="Times New Roman"/>
                      <w:i/>
                    </w:rPr>
                  </w:pPr>
                </w:p>
              </w:tc>
              <w:tc>
                <w:tcPr>
                  <w:tcW w:w="2941" w:type="dxa"/>
                  <w:tcBorders>
                    <w:top w:val="single" w:sz="4" w:space="0" w:color="auto"/>
                    <w:left w:val="single" w:sz="4" w:space="0" w:color="auto"/>
                    <w:bottom w:val="single" w:sz="4" w:space="0" w:color="auto"/>
                    <w:right w:val="single" w:sz="4" w:space="0" w:color="auto"/>
                  </w:tcBorders>
                </w:tcPr>
                <w:p w:rsidR="00861EE0" w:rsidRPr="00861EE0" w:rsidRDefault="00861EE0" w:rsidP="008D7C4C">
                  <w:pPr>
                    <w:jc w:val="center"/>
                    <w:rPr>
                      <w:rFonts w:ascii="Times New Roman" w:hAnsi="Times New Roman"/>
                      <w:i/>
                    </w:rPr>
                  </w:pPr>
                  <w:r w:rsidRPr="00861EE0">
                    <w:rPr>
                      <w:rFonts w:ascii="Times New Roman" w:hAnsi="Times New Roman"/>
                      <w:i/>
                    </w:rPr>
                    <w:t>Náklady na 1 podnikateľa</w:t>
                  </w:r>
                </w:p>
              </w:tc>
              <w:tc>
                <w:tcPr>
                  <w:tcW w:w="2946" w:type="dxa"/>
                  <w:tcBorders>
                    <w:top w:val="single" w:sz="4" w:space="0" w:color="auto"/>
                    <w:left w:val="single" w:sz="4" w:space="0" w:color="auto"/>
                    <w:bottom w:val="single" w:sz="4" w:space="0" w:color="auto"/>
                    <w:right w:val="single" w:sz="4" w:space="0" w:color="auto"/>
                  </w:tcBorders>
                </w:tcPr>
                <w:p w:rsidR="00861EE0" w:rsidRPr="00861EE0" w:rsidRDefault="00861EE0" w:rsidP="008D7C4C">
                  <w:pPr>
                    <w:jc w:val="center"/>
                    <w:rPr>
                      <w:rFonts w:ascii="Times New Roman" w:hAnsi="Times New Roman"/>
                      <w:i/>
                    </w:rPr>
                  </w:pPr>
                  <w:r w:rsidRPr="00861EE0">
                    <w:rPr>
                      <w:rFonts w:ascii="Times New Roman" w:hAnsi="Times New Roman"/>
                      <w:i/>
                    </w:rPr>
                    <w:t>Náklady na celé podnikateľské prostredie</w:t>
                  </w:r>
                </w:p>
              </w:tc>
            </w:tr>
            <w:tr w:rsidR="00861EE0" w:rsidRPr="00861EE0" w:rsidTr="008D7C4C">
              <w:tc>
                <w:tcPr>
                  <w:tcW w:w="2949" w:type="dxa"/>
                  <w:tcBorders>
                    <w:top w:val="single" w:sz="4" w:space="0" w:color="auto"/>
                    <w:left w:val="single" w:sz="4" w:space="0" w:color="auto"/>
                    <w:bottom w:val="single" w:sz="4" w:space="0" w:color="auto"/>
                    <w:right w:val="single" w:sz="4" w:space="0" w:color="auto"/>
                  </w:tcBorders>
                </w:tcPr>
                <w:p w:rsidR="00861EE0" w:rsidRPr="00861EE0" w:rsidRDefault="00861EE0" w:rsidP="008D7C4C">
                  <w:pPr>
                    <w:rPr>
                      <w:rFonts w:ascii="Times New Roman" w:hAnsi="Times New Roman"/>
                      <w:i/>
                    </w:rPr>
                  </w:pPr>
                  <w:r w:rsidRPr="00861EE0">
                    <w:rPr>
                      <w:rFonts w:ascii="Times New Roman" w:hAnsi="Times New Roman"/>
                      <w:i/>
                    </w:rPr>
                    <w:t>Priame finančné náklady</w:t>
                  </w:r>
                </w:p>
              </w:tc>
              <w:tc>
                <w:tcPr>
                  <w:tcW w:w="2941" w:type="dxa"/>
                  <w:tcBorders>
                    <w:top w:val="single" w:sz="4" w:space="0" w:color="auto"/>
                    <w:left w:val="single" w:sz="4" w:space="0" w:color="auto"/>
                    <w:bottom w:val="single" w:sz="4" w:space="0" w:color="auto"/>
                    <w:right w:val="single" w:sz="4" w:space="0" w:color="auto"/>
                  </w:tcBorders>
                </w:tcPr>
                <w:p w:rsidR="00861EE0" w:rsidRPr="00861EE0" w:rsidRDefault="00861EE0" w:rsidP="008D7C4C">
                  <w:pPr>
                    <w:jc w:val="center"/>
                    <w:rPr>
                      <w:rFonts w:ascii="Times New Roman" w:hAnsi="Times New Roman"/>
                    </w:rPr>
                  </w:pPr>
                  <w:r w:rsidRPr="00861EE0">
                    <w:rPr>
                      <w:rFonts w:ascii="Times New Roman" w:hAnsi="Times New Roman"/>
                    </w:rPr>
                    <w:t>-</w:t>
                  </w:r>
                </w:p>
              </w:tc>
              <w:tc>
                <w:tcPr>
                  <w:tcW w:w="2946" w:type="dxa"/>
                  <w:tcBorders>
                    <w:top w:val="single" w:sz="4" w:space="0" w:color="auto"/>
                    <w:left w:val="single" w:sz="4" w:space="0" w:color="auto"/>
                    <w:bottom w:val="single" w:sz="4" w:space="0" w:color="auto"/>
                    <w:right w:val="single" w:sz="4" w:space="0" w:color="auto"/>
                  </w:tcBorders>
                </w:tcPr>
                <w:p w:rsidR="00861EE0" w:rsidRPr="00861EE0" w:rsidRDefault="00861EE0" w:rsidP="008D7C4C">
                  <w:pPr>
                    <w:jc w:val="center"/>
                    <w:rPr>
                      <w:rFonts w:ascii="Times New Roman" w:hAnsi="Times New Roman"/>
                    </w:rPr>
                  </w:pPr>
                  <w:r w:rsidRPr="00861EE0">
                    <w:rPr>
                      <w:rFonts w:ascii="Times New Roman" w:hAnsi="Times New Roman"/>
                    </w:rPr>
                    <w:t>-</w:t>
                  </w:r>
                </w:p>
              </w:tc>
            </w:tr>
            <w:tr w:rsidR="00861EE0" w:rsidRPr="00861EE0" w:rsidTr="008D7C4C">
              <w:tc>
                <w:tcPr>
                  <w:tcW w:w="2949" w:type="dxa"/>
                  <w:tcBorders>
                    <w:top w:val="single" w:sz="4" w:space="0" w:color="auto"/>
                    <w:left w:val="single" w:sz="4" w:space="0" w:color="auto"/>
                    <w:bottom w:val="single" w:sz="4" w:space="0" w:color="auto"/>
                    <w:right w:val="single" w:sz="4" w:space="0" w:color="auto"/>
                  </w:tcBorders>
                </w:tcPr>
                <w:p w:rsidR="00861EE0" w:rsidRPr="00861EE0" w:rsidRDefault="00861EE0" w:rsidP="008D7C4C">
                  <w:pPr>
                    <w:rPr>
                      <w:rFonts w:ascii="Times New Roman" w:hAnsi="Times New Roman"/>
                      <w:i/>
                    </w:rPr>
                  </w:pPr>
                  <w:r w:rsidRPr="00861EE0">
                    <w:rPr>
                      <w:rFonts w:ascii="Times New Roman" w:hAnsi="Times New Roman"/>
                      <w:i/>
                    </w:rPr>
                    <w:t>Nepriame finančné náklady</w:t>
                  </w:r>
                </w:p>
              </w:tc>
              <w:tc>
                <w:tcPr>
                  <w:tcW w:w="2941" w:type="dxa"/>
                  <w:tcBorders>
                    <w:top w:val="single" w:sz="4" w:space="0" w:color="auto"/>
                    <w:left w:val="single" w:sz="4" w:space="0" w:color="auto"/>
                    <w:bottom w:val="single" w:sz="4" w:space="0" w:color="auto"/>
                    <w:right w:val="single" w:sz="4" w:space="0" w:color="auto"/>
                  </w:tcBorders>
                </w:tcPr>
                <w:p w:rsidR="00861EE0" w:rsidRPr="00861EE0" w:rsidRDefault="00861EE0" w:rsidP="008D7C4C">
                  <w:pPr>
                    <w:jc w:val="center"/>
                    <w:rPr>
                      <w:rFonts w:ascii="Times New Roman" w:hAnsi="Times New Roman"/>
                    </w:rPr>
                  </w:pPr>
                  <w:r w:rsidRPr="00861EE0">
                    <w:rPr>
                      <w:rFonts w:ascii="Times New Roman" w:hAnsi="Times New Roman"/>
                    </w:rPr>
                    <w:t>-</w:t>
                  </w:r>
                </w:p>
              </w:tc>
              <w:tc>
                <w:tcPr>
                  <w:tcW w:w="2946" w:type="dxa"/>
                  <w:tcBorders>
                    <w:top w:val="single" w:sz="4" w:space="0" w:color="auto"/>
                    <w:left w:val="single" w:sz="4" w:space="0" w:color="auto"/>
                    <w:bottom w:val="single" w:sz="4" w:space="0" w:color="auto"/>
                    <w:right w:val="single" w:sz="4" w:space="0" w:color="auto"/>
                  </w:tcBorders>
                </w:tcPr>
                <w:p w:rsidR="00861EE0" w:rsidRPr="00861EE0" w:rsidRDefault="00861EE0" w:rsidP="008D7C4C">
                  <w:pPr>
                    <w:jc w:val="center"/>
                    <w:rPr>
                      <w:rFonts w:ascii="Times New Roman" w:hAnsi="Times New Roman"/>
                    </w:rPr>
                  </w:pPr>
                  <w:r w:rsidRPr="00861EE0">
                    <w:rPr>
                      <w:rFonts w:ascii="Times New Roman" w:hAnsi="Times New Roman"/>
                    </w:rPr>
                    <w:t>-</w:t>
                  </w:r>
                </w:p>
              </w:tc>
            </w:tr>
            <w:tr w:rsidR="00861EE0" w:rsidRPr="00861EE0" w:rsidTr="008D7C4C">
              <w:tc>
                <w:tcPr>
                  <w:tcW w:w="2949" w:type="dxa"/>
                  <w:tcBorders>
                    <w:top w:val="single" w:sz="4" w:space="0" w:color="auto"/>
                    <w:left w:val="single" w:sz="4" w:space="0" w:color="auto"/>
                    <w:bottom w:val="single" w:sz="4" w:space="0" w:color="auto"/>
                    <w:right w:val="single" w:sz="4" w:space="0" w:color="auto"/>
                  </w:tcBorders>
                </w:tcPr>
                <w:p w:rsidR="00861EE0" w:rsidRPr="00861EE0" w:rsidRDefault="00861EE0" w:rsidP="008D7C4C">
                  <w:pPr>
                    <w:rPr>
                      <w:rFonts w:ascii="Times New Roman" w:hAnsi="Times New Roman"/>
                      <w:i/>
                    </w:rPr>
                  </w:pPr>
                  <w:r w:rsidRPr="00861EE0">
                    <w:rPr>
                      <w:rFonts w:ascii="Times New Roman" w:hAnsi="Times New Roman"/>
                      <w:i/>
                    </w:rPr>
                    <w:t>Administratívne náklady</w:t>
                  </w:r>
                </w:p>
              </w:tc>
              <w:tc>
                <w:tcPr>
                  <w:tcW w:w="2941" w:type="dxa"/>
                  <w:tcBorders>
                    <w:top w:val="single" w:sz="4" w:space="0" w:color="auto"/>
                    <w:left w:val="single" w:sz="4" w:space="0" w:color="auto"/>
                    <w:bottom w:val="single" w:sz="4" w:space="0" w:color="auto"/>
                    <w:right w:val="single" w:sz="4" w:space="0" w:color="auto"/>
                  </w:tcBorders>
                </w:tcPr>
                <w:p w:rsidR="00861EE0" w:rsidRPr="00861EE0" w:rsidRDefault="00861EE0" w:rsidP="008D7C4C">
                  <w:pPr>
                    <w:jc w:val="center"/>
                    <w:rPr>
                      <w:rFonts w:ascii="Times New Roman" w:hAnsi="Times New Roman"/>
                    </w:rPr>
                  </w:pPr>
                  <w:r w:rsidRPr="00861EE0">
                    <w:rPr>
                      <w:rFonts w:ascii="Times New Roman" w:hAnsi="Times New Roman"/>
                    </w:rPr>
                    <w:t>-</w:t>
                  </w:r>
                </w:p>
              </w:tc>
              <w:tc>
                <w:tcPr>
                  <w:tcW w:w="2946" w:type="dxa"/>
                  <w:tcBorders>
                    <w:top w:val="single" w:sz="4" w:space="0" w:color="auto"/>
                    <w:left w:val="single" w:sz="4" w:space="0" w:color="auto"/>
                    <w:bottom w:val="single" w:sz="4" w:space="0" w:color="auto"/>
                    <w:right w:val="single" w:sz="4" w:space="0" w:color="auto"/>
                  </w:tcBorders>
                </w:tcPr>
                <w:p w:rsidR="00861EE0" w:rsidRPr="00861EE0" w:rsidRDefault="00861EE0" w:rsidP="008D7C4C">
                  <w:pPr>
                    <w:jc w:val="center"/>
                    <w:rPr>
                      <w:rFonts w:ascii="Times New Roman" w:hAnsi="Times New Roman"/>
                    </w:rPr>
                  </w:pPr>
                  <w:r w:rsidRPr="00861EE0">
                    <w:rPr>
                      <w:rFonts w:ascii="Times New Roman" w:hAnsi="Times New Roman"/>
                    </w:rPr>
                    <w:t>-</w:t>
                  </w:r>
                </w:p>
              </w:tc>
            </w:tr>
            <w:tr w:rsidR="00861EE0" w:rsidRPr="00861EE0" w:rsidTr="008D7C4C">
              <w:tc>
                <w:tcPr>
                  <w:tcW w:w="2949" w:type="dxa"/>
                  <w:tcBorders>
                    <w:top w:val="single" w:sz="4" w:space="0" w:color="auto"/>
                    <w:left w:val="single" w:sz="4" w:space="0" w:color="auto"/>
                    <w:bottom w:val="single" w:sz="4" w:space="0" w:color="auto"/>
                    <w:right w:val="single" w:sz="4" w:space="0" w:color="auto"/>
                  </w:tcBorders>
                </w:tcPr>
                <w:p w:rsidR="00861EE0" w:rsidRPr="00861EE0" w:rsidRDefault="00861EE0" w:rsidP="008D7C4C">
                  <w:pPr>
                    <w:rPr>
                      <w:rFonts w:ascii="Times New Roman" w:hAnsi="Times New Roman"/>
                      <w:b/>
                      <w:i/>
                    </w:rPr>
                  </w:pPr>
                  <w:r w:rsidRPr="00861EE0">
                    <w:rPr>
                      <w:rFonts w:ascii="Times New Roman" w:hAnsi="Times New Roman"/>
                      <w:b/>
                      <w:i/>
                    </w:rPr>
                    <w:t>Celkové náklady regulácie</w:t>
                  </w:r>
                </w:p>
              </w:tc>
              <w:tc>
                <w:tcPr>
                  <w:tcW w:w="2941" w:type="dxa"/>
                  <w:tcBorders>
                    <w:top w:val="single" w:sz="4" w:space="0" w:color="auto"/>
                    <w:left w:val="single" w:sz="4" w:space="0" w:color="auto"/>
                    <w:bottom w:val="single" w:sz="4" w:space="0" w:color="auto"/>
                    <w:right w:val="single" w:sz="4" w:space="0" w:color="auto"/>
                  </w:tcBorders>
                </w:tcPr>
                <w:p w:rsidR="00861EE0" w:rsidRPr="00861EE0" w:rsidRDefault="00861EE0" w:rsidP="008D7C4C">
                  <w:pPr>
                    <w:jc w:val="center"/>
                    <w:rPr>
                      <w:rFonts w:ascii="Times New Roman" w:hAnsi="Times New Roman"/>
                    </w:rPr>
                  </w:pPr>
                  <w:r w:rsidRPr="00861EE0">
                    <w:rPr>
                      <w:rFonts w:ascii="Times New Roman" w:hAnsi="Times New Roman"/>
                    </w:rPr>
                    <w:t>-</w:t>
                  </w:r>
                </w:p>
              </w:tc>
              <w:tc>
                <w:tcPr>
                  <w:tcW w:w="2946" w:type="dxa"/>
                  <w:tcBorders>
                    <w:top w:val="single" w:sz="4" w:space="0" w:color="auto"/>
                    <w:left w:val="single" w:sz="4" w:space="0" w:color="auto"/>
                    <w:bottom w:val="single" w:sz="4" w:space="0" w:color="auto"/>
                    <w:right w:val="single" w:sz="4" w:space="0" w:color="auto"/>
                  </w:tcBorders>
                </w:tcPr>
                <w:p w:rsidR="00861EE0" w:rsidRPr="00861EE0" w:rsidRDefault="00861EE0" w:rsidP="008D7C4C">
                  <w:pPr>
                    <w:jc w:val="center"/>
                    <w:rPr>
                      <w:rFonts w:ascii="Times New Roman" w:hAnsi="Times New Roman"/>
                    </w:rPr>
                  </w:pPr>
                  <w:r w:rsidRPr="00861EE0">
                    <w:rPr>
                      <w:rFonts w:ascii="Times New Roman" w:hAnsi="Times New Roman"/>
                    </w:rPr>
                    <w:t>-</w:t>
                  </w:r>
                </w:p>
              </w:tc>
            </w:tr>
          </w:tbl>
          <w:p w:rsidR="00861EE0" w:rsidRPr="00861EE0" w:rsidRDefault="00861EE0" w:rsidP="008D7C4C">
            <w:pPr>
              <w:rPr>
                <w:rFonts w:ascii="Times New Roman" w:hAnsi="Times New Roman"/>
                <w:i/>
              </w:rPr>
            </w:pPr>
          </w:p>
        </w:tc>
      </w:tr>
      <w:tr w:rsidR="00861EE0" w:rsidRPr="00861EE0" w:rsidTr="008D7C4C">
        <w:tc>
          <w:tcPr>
            <w:tcW w:w="9212" w:type="dxa"/>
            <w:shd w:val="clear" w:color="auto" w:fill="D9D9D9" w:themeFill="background1" w:themeFillShade="D9"/>
          </w:tcPr>
          <w:p w:rsidR="00861EE0" w:rsidRPr="00861EE0" w:rsidRDefault="00861EE0" w:rsidP="008D7C4C">
            <w:pPr>
              <w:rPr>
                <w:rFonts w:ascii="Times New Roman" w:hAnsi="Times New Roman"/>
                <w:b/>
              </w:rPr>
            </w:pPr>
            <w:r w:rsidRPr="00861EE0">
              <w:rPr>
                <w:rFonts w:ascii="Times New Roman" w:hAnsi="Times New Roman"/>
                <w:b/>
              </w:rPr>
              <w:t>3.4 Konkurencieschopnosť a správanie sa podnikov na trhu</w:t>
            </w:r>
          </w:p>
          <w:p w:rsidR="00861EE0" w:rsidRPr="00861EE0" w:rsidRDefault="00861EE0" w:rsidP="008D7C4C">
            <w:pPr>
              <w:rPr>
                <w:rFonts w:ascii="Times New Roman" w:hAnsi="Times New Roman"/>
              </w:rPr>
            </w:pPr>
            <w:r w:rsidRPr="00861EE0">
              <w:rPr>
                <w:rFonts w:ascii="Times New Roman" w:hAnsi="Times New Roman"/>
                <w:b/>
              </w:rPr>
              <w:t xml:space="preserve">       </w:t>
            </w:r>
            <w:r w:rsidRPr="00861EE0">
              <w:rPr>
                <w:rFonts w:ascii="Times New Roman" w:hAnsi="Times New Roman"/>
              </w:rPr>
              <w:t xml:space="preserve">- </w:t>
            </w:r>
            <w:r w:rsidRPr="00861EE0">
              <w:rPr>
                <w:rFonts w:ascii="Times New Roman" w:hAnsi="Times New Roman"/>
                <w:b/>
              </w:rPr>
              <w:t>z toho MSP</w:t>
            </w:r>
          </w:p>
        </w:tc>
      </w:tr>
      <w:tr w:rsidR="00861EE0" w:rsidRPr="00861EE0" w:rsidTr="008D7C4C">
        <w:tc>
          <w:tcPr>
            <w:tcW w:w="9212" w:type="dxa"/>
          </w:tcPr>
          <w:p w:rsidR="00861EE0" w:rsidRPr="00861EE0" w:rsidRDefault="00861EE0" w:rsidP="008D7C4C">
            <w:pPr>
              <w:rPr>
                <w:rFonts w:ascii="Times New Roman" w:hAnsi="Times New Roman"/>
                <w:i/>
              </w:rPr>
            </w:pPr>
            <w:r w:rsidRPr="00861EE0">
              <w:rPr>
                <w:rFonts w:ascii="Times New Roman" w:hAnsi="Times New Roman"/>
                <w:i/>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861EE0">
              <w:rPr>
                <w:rFonts w:ascii="Times New Roman" w:hAnsi="Times New Roman"/>
                <w:i/>
              </w:rPr>
              <w:t>mikro</w:t>
            </w:r>
            <w:proofErr w:type="spellEnd"/>
            <w:r w:rsidRPr="00861EE0">
              <w:rPr>
                <w:rFonts w:ascii="Times New Roman" w:hAnsi="Times New Roman"/>
                <w:i/>
              </w:rPr>
              <w:t>, malé a stredné podniky tzv. MSP)? Ak áno, popíšte.</w:t>
            </w:r>
          </w:p>
          <w:p w:rsidR="00861EE0" w:rsidRPr="00861EE0" w:rsidRDefault="00861EE0" w:rsidP="008D7C4C">
            <w:pPr>
              <w:rPr>
                <w:rFonts w:ascii="Times New Roman" w:hAnsi="Times New Roman"/>
                <w:i/>
              </w:rPr>
            </w:pPr>
            <w:r w:rsidRPr="00861EE0">
              <w:rPr>
                <w:rFonts w:ascii="Times New Roman" w:hAnsi="Times New Roman"/>
                <w:i/>
              </w:rPr>
              <w:t>Aký vplyv bude mať navrhovaná zmena na obchodné bariéry? Bude mať vplyv na vyvolanie cezhraničných investícií (príliv /odliv zahraničných investícií resp. uplatnenie slovenských podnikov na zahraničných trhoch)? Ak áno, popíšte.</w:t>
            </w:r>
          </w:p>
          <w:p w:rsidR="00861EE0" w:rsidRPr="00861EE0" w:rsidRDefault="00861EE0" w:rsidP="008D7C4C">
            <w:pPr>
              <w:rPr>
                <w:rFonts w:ascii="Times New Roman" w:hAnsi="Times New Roman"/>
                <w:i/>
              </w:rPr>
            </w:pPr>
            <w:r w:rsidRPr="00861EE0">
              <w:rPr>
                <w:rFonts w:ascii="Times New Roman" w:hAnsi="Times New Roman"/>
                <w:i/>
              </w:rPr>
              <w:t>Ako ovplyvní cenu alebo dostupnosť základných zdrojov (suroviny, mechanizmy, pracovná sila, energie atď.)?</w:t>
            </w:r>
          </w:p>
          <w:p w:rsidR="00861EE0" w:rsidRPr="00861EE0" w:rsidRDefault="00861EE0" w:rsidP="008D7C4C">
            <w:pPr>
              <w:rPr>
                <w:rFonts w:ascii="Times New Roman" w:hAnsi="Times New Roman"/>
                <w:i/>
              </w:rPr>
            </w:pPr>
            <w:r w:rsidRPr="00861EE0">
              <w:rPr>
                <w:rFonts w:ascii="Times New Roman" w:hAnsi="Times New Roman"/>
                <w:i/>
              </w:rPr>
              <w:t>Ovplyvňuje prístup k financiám? Ak áno, ako?</w:t>
            </w:r>
          </w:p>
        </w:tc>
      </w:tr>
      <w:tr w:rsidR="00861EE0" w:rsidRPr="00861EE0" w:rsidTr="008D7C4C">
        <w:trPr>
          <w:trHeight w:val="1282"/>
        </w:trPr>
        <w:tc>
          <w:tcPr>
            <w:tcW w:w="9212" w:type="dxa"/>
          </w:tcPr>
          <w:p w:rsidR="00861EE0" w:rsidRPr="00861EE0" w:rsidRDefault="00861EE0" w:rsidP="008D7C4C">
            <w:pPr>
              <w:jc w:val="both"/>
              <w:rPr>
                <w:rFonts w:ascii="Times New Roman" w:hAnsi="Times New Roman"/>
              </w:rPr>
            </w:pPr>
            <w:r w:rsidRPr="00861EE0">
              <w:rPr>
                <w:rFonts w:ascii="Times New Roman" w:hAnsi="Times New Roman"/>
              </w:rPr>
              <w:t>Rozšírenie predmetu činností EXIMBANKY SR o vykonávanie finančných nástrojov EÚ určených na rozvojovú spoluprácu vrátane prijímania zdrojov EÚ na tieto účely umožní EXIMBANKE SR pôsobiť v oblasti rozvojového financovania v partnerských krajinách za rovnakých podmienok, ako vedia podporiť svojich exportérov rozvojové inštitúcie z okolitých krajín. Tým sa zvýši prístup slovenských firiem k financovaniu ich dodávateľských projektov v partnerských krajinách a tým aj konkurencieschopnosť slovenských firiem pri ich prieniku na trhy rozvojových krajín či v medzinárodných tendroch, pričom tieto môžu v rámci subdodávok zapojiť do realizácie rozvojových projektov aj malé a stredné podniky (MSP), pričom menšie projekty môžu realizovať samotné MSP.</w:t>
            </w:r>
          </w:p>
          <w:p w:rsidR="00861EE0" w:rsidRPr="00861EE0" w:rsidRDefault="00861EE0" w:rsidP="008D7C4C">
            <w:pPr>
              <w:jc w:val="both"/>
              <w:rPr>
                <w:rFonts w:ascii="Times New Roman" w:hAnsi="Times New Roman"/>
                <w:i/>
              </w:rPr>
            </w:pPr>
            <w:r w:rsidRPr="00861EE0">
              <w:rPr>
                <w:rFonts w:ascii="Times New Roman" w:hAnsi="Times New Roman"/>
              </w:rPr>
              <w:t>Pozitívne dopady predstaveného zámeru na slovenské podnikateľské prostredie nie je možné exaktne vyčísliť. V prípade slovenského trhu s financovaním rozvojovej spolupráce však ide v súčasnosti o „dieru na trhu“, ktorú by EXIMBANKA SR mohla byť schopná efektívne pokryť, a to aj prostredníctvom zapojenia komerčného bankového sektora formou spolufinancovania veľkých rozvojových projektov.</w:t>
            </w:r>
          </w:p>
        </w:tc>
      </w:tr>
      <w:tr w:rsidR="00861EE0" w:rsidRPr="00861EE0" w:rsidTr="008D7C4C">
        <w:tc>
          <w:tcPr>
            <w:tcW w:w="9212" w:type="dxa"/>
            <w:shd w:val="clear" w:color="auto" w:fill="D9D9D9" w:themeFill="background1" w:themeFillShade="D9"/>
          </w:tcPr>
          <w:p w:rsidR="00861EE0" w:rsidRPr="00861EE0" w:rsidRDefault="00861EE0" w:rsidP="008D7C4C">
            <w:pPr>
              <w:rPr>
                <w:rFonts w:ascii="Times New Roman" w:hAnsi="Times New Roman"/>
                <w:b/>
              </w:rPr>
            </w:pPr>
            <w:r w:rsidRPr="00861EE0">
              <w:rPr>
                <w:rFonts w:ascii="Times New Roman" w:hAnsi="Times New Roman"/>
                <w:b/>
              </w:rPr>
              <w:lastRenderedPageBreak/>
              <w:t xml:space="preserve">3.5 Inovácie </w:t>
            </w:r>
          </w:p>
          <w:p w:rsidR="00861EE0" w:rsidRPr="00861EE0" w:rsidRDefault="00861EE0" w:rsidP="008D7C4C">
            <w:pPr>
              <w:rPr>
                <w:rFonts w:ascii="Times New Roman" w:hAnsi="Times New Roman"/>
                <w:b/>
              </w:rPr>
            </w:pPr>
            <w:r w:rsidRPr="00861EE0">
              <w:rPr>
                <w:rFonts w:ascii="Times New Roman" w:hAnsi="Times New Roman"/>
              </w:rPr>
              <w:t xml:space="preserve">       - </w:t>
            </w:r>
            <w:r w:rsidRPr="00861EE0">
              <w:rPr>
                <w:rFonts w:ascii="Times New Roman" w:hAnsi="Times New Roman"/>
                <w:b/>
              </w:rPr>
              <w:t>z toho MSP</w:t>
            </w:r>
          </w:p>
        </w:tc>
      </w:tr>
      <w:tr w:rsidR="00861EE0" w:rsidRPr="00861EE0" w:rsidTr="008D7C4C">
        <w:tc>
          <w:tcPr>
            <w:tcW w:w="9212" w:type="dxa"/>
          </w:tcPr>
          <w:p w:rsidR="00861EE0" w:rsidRPr="00861EE0" w:rsidRDefault="00861EE0" w:rsidP="008D7C4C">
            <w:pPr>
              <w:rPr>
                <w:rFonts w:ascii="Times New Roman" w:hAnsi="Times New Roman"/>
                <w:i/>
              </w:rPr>
            </w:pPr>
            <w:r w:rsidRPr="00861EE0">
              <w:rPr>
                <w:rFonts w:ascii="Times New Roman" w:hAnsi="Times New Roman"/>
                <w:i/>
              </w:rPr>
              <w:t>Uveďte, ako podporuje navrhovaná zmena inovácie.</w:t>
            </w:r>
          </w:p>
          <w:p w:rsidR="00861EE0" w:rsidRPr="00861EE0" w:rsidRDefault="00861EE0" w:rsidP="008D7C4C">
            <w:pPr>
              <w:rPr>
                <w:rFonts w:ascii="Times New Roman" w:hAnsi="Times New Roman"/>
                <w:i/>
              </w:rPr>
            </w:pPr>
            <w:r w:rsidRPr="00861EE0">
              <w:rPr>
                <w:rFonts w:ascii="Times New Roman" w:hAnsi="Times New Roman"/>
                <w:i/>
              </w:rPr>
              <w:t>Zjednodušuje uvedenie alebo rozšírenie nových výrobných metód, technológií a výrobkov na trh?</w:t>
            </w:r>
          </w:p>
          <w:p w:rsidR="00861EE0" w:rsidRPr="00861EE0" w:rsidRDefault="00861EE0" w:rsidP="008D7C4C">
            <w:pPr>
              <w:rPr>
                <w:rFonts w:ascii="Times New Roman" w:hAnsi="Times New Roman"/>
                <w:i/>
              </w:rPr>
            </w:pPr>
            <w:r w:rsidRPr="00861EE0">
              <w:rPr>
                <w:rFonts w:ascii="Times New Roman" w:hAnsi="Times New Roman"/>
                <w:i/>
              </w:rPr>
              <w:t>Uveďte, ako vplýva navrhovaná zmena na jednotlivé práva duševného vlastníctva (napr. patenty, ochranné známky, autorské práva, vlastníctvo know-how).</w:t>
            </w:r>
          </w:p>
          <w:p w:rsidR="00861EE0" w:rsidRPr="00861EE0" w:rsidRDefault="00861EE0" w:rsidP="008D7C4C">
            <w:pPr>
              <w:rPr>
                <w:rFonts w:ascii="Times New Roman" w:hAnsi="Times New Roman"/>
                <w:i/>
              </w:rPr>
            </w:pPr>
            <w:r w:rsidRPr="00861EE0">
              <w:rPr>
                <w:rFonts w:ascii="Times New Roman" w:hAnsi="Times New Roman"/>
                <w:i/>
              </w:rPr>
              <w:t>Podporuje vyššiu efektivitu výroby/využívania zdrojov? Ak áno, ako?</w:t>
            </w:r>
          </w:p>
          <w:p w:rsidR="00861EE0" w:rsidRPr="00861EE0" w:rsidRDefault="00861EE0" w:rsidP="008D7C4C">
            <w:pPr>
              <w:rPr>
                <w:rFonts w:ascii="Times New Roman" w:hAnsi="Times New Roman"/>
              </w:rPr>
            </w:pPr>
            <w:r w:rsidRPr="00861EE0">
              <w:rPr>
                <w:rFonts w:ascii="Times New Roman" w:hAnsi="Times New Roman"/>
                <w:i/>
              </w:rPr>
              <w:t>Vytvorí zmena nové pracovné miesta pre zamestnancov výskumu a vývoja v SR?</w:t>
            </w:r>
          </w:p>
        </w:tc>
      </w:tr>
      <w:tr w:rsidR="00861EE0" w:rsidRPr="00861EE0" w:rsidTr="008D7C4C">
        <w:trPr>
          <w:trHeight w:val="1747"/>
        </w:trPr>
        <w:tc>
          <w:tcPr>
            <w:tcW w:w="9212" w:type="dxa"/>
          </w:tcPr>
          <w:p w:rsidR="00861EE0" w:rsidRPr="00861EE0" w:rsidRDefault="00861EE0" w:rsidP="008D7C4C">
            <w:pPr>
              <w:rPr>
                <w:rFonts w:ascii="Times New Roman" w:hAnsi="Times New Roman"/>
              </w:rPr>
            </w:pPr>
          </w:p>
          <w:p w:rsidR="00861EE0" w:rsidRPr="00861EE0" w:rsidRDefault="00861EE0" w:rsidP="008D7C4C">
            <w:pPr>
              <w:rPr>
                <w:rFonts w:ascii="Times New Roman" w:hAnsi="Times New Roman"/>
              </w:rPr>
            </w:pPr>
            <w:r w:rsidRPr="00861EE0">
              <w:rPr>
                <w:rFonts w:ascii="Times New Roman" w:hAnsi="Times New Roman"/>
              </w:rPr>
              <w:t>Priamo nemá vplyv.</w:t>
            </w:r>
          </w:p>
        </w:tc>
      </w:tr>
    </w:tbl>
    <w:p w:rsidR="00861EE0" w:rsidRPr="00861EE0" w:rsidRDefault="00861EE0" w:rsidP="00861EE0"/>
    <w:p w:rsidR="00861EE0" w:rsidRPr="00861EE0" w:rsidRDefault="00861EE0" w:rsidP="00861EE0"/>
    <w:p w:rsidR="00861EE0" w:rsidRPr="00861EE0" w:rsidRDefault="00861EE0" w:rsidP="00861EE0"/>
    <w:p w:rsidR="00861EE0" w:rsidRPr="00861EE0" w:rsidRDefault="00861EE0" w:rsidP="00861EE0"/>
    <w:p w:rsidR="00861EE0" w:rsidRPr="00861EE0" w:rsidRDefault="00861EE0" w:rsidP="00861EE0"/>
    <w:p w:rsidR="00861EE0" w:rsidRPr="00861EE0" w:rsidRDefault="00861EE0" w:rsidP="00861EE0"/>
    <w:p w:rsidR="00861EE0" w:rsidRDefault="00861EE0" w:rsidP="005F44EF">
      <w:pPr>
        <w:pStyle w:val="Zkladntext2"/>
      </w:pPr>
    </w:p>
    <w:p w:rsidR="00037A9F" w:rsidRDefault="00037A9F" w:rsidP="005F44EF">
      <w:pPr>
        <w:pStyle w:val="Zkladntext2"/>
        <w:rPr>
          <w:bCs/>
        </w:rPr>
      </w:pPr>
    </w:p>
    <w:p w:rsidR="00861EE0" w:rsidRDefault="00861EE0"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2901D3" w:rsidRDefault="002901D3" w:rsidP="005F44EF">
      <w:pPr>
        <w:pStyle w:val="Zkladntext2"/>
        <w:rPr>
          <w:bCs/>
        </w:rPr>
      </w:pPr>
    </w:p>
    <w:p w:rsidR="00861EE0" w:rsidRPr="00861EE0" w:rsidRDefault="00861EE0" w:rsidP="005F44EF">
      <w:pPr>
        <w:pStyle w:val="Zkladntext2"/>
        <w:rPr>
          <w:bCs/>
        </w:rPr>
      </w:pPr>
    </w:p>
    <w:p w:rsidR="00366732" w:rsidRPr="00861EE0" w:rsidRDefault="00366732" w:rsidP="00366732">
      <w:pPr>
        <w:pStyle w:val="Zkladntext2"/>
        <w:rPr>
          <w:b/>
          <w:bCs/>
        </w:rPr>
      </w:pPr>
      <w:r w:rsidRPr="00861EE0">
        <w:rPr>
          <w:b/>
          <w:bCs/>
        </w:rPr>
        <w:lastRenderedPageBreak/>
        <w:t>Osobitná časť</w:t>
      </w:r>
    </w:p>
    <w:p w:rsidR="00366732" w:rsidRPr="00861EE0" w:rsidRDefault="00366732" w:rsidP="00366732">
      <w:pPr>
        <w:pStyle w:val="Zkladntext2"/>
        <w:ind w:firstLine="360"/>
        <w:rPr>
          <w:b/>
          <w:bCs/>
        </w:rPr>
      </w:pPr>
    </w:p>
    <w:p w:rsidR="00366732" w:rsidRPr="00861EE0" w:rsidRDefault="00366732" w:rsidP="00366732">
      <w:pPr>
        <w:pStyle w:val="Zkladntext2"/>
        <w:rPr>
          <w:b/>
          <w:bCs/>
        </w:rPr>
      </w:pPr>
      <w:r w:rsidRPr="00861EE0">
        <w:rPr>
          <w:b/>
          <w:bCs/>
        </w:rPr>
        <w:t>K </w:t>
      </w:r>
      <w:r w:rsidR="004D0CC6" w:rsidRPr="00861EE0">
        <w:rPr>
          <w:b/>
          <w:bCs/>
        </w:rPr>
        <w:t>č</w:t>
      </w:r>
      <w:r w:rsidRPr="00861EE0">
        <w:rPr>
          <w:b/>
          <w:bCs/>
        </w:rPr>
        <w:t>l. I</w:t>
      </w:r>
    </w:p>
    <w:p w:rsidR="00366732" w:rsidRPr="00861EE0" w:rsidRDefault="00366732" w:rsidP="00366732">
      <w:pPr>
        <w:pStyle w:val="Zkladntext2"/>
        <w:ind w:firstLine="360"/>
      </w:pPr>
    </w:p>
    <w:p w:rsidR="00366732" w:rsidRPr="00861EE0" w:rsidRDefault="00366732" w:rsidP="00366732">
      <w:pPr>
        <w:pStyle w:val="Zkladntext2"/>
      </w:pPr>
      <w:r w:rsidRPr="00861EE0">
        <w:t>K bodu 1</w:t>
      </w:r>
    </w:p>
    <w:p w:rsidR="00431FB7" w:rsidRPr="00861EE0" w:rsidRDefault="00431FB7" w:rsidP="00431FB7">
      <w:pPr>
        <w:pStyle w:val="Zkladntext2"/>
      </w:pPr>
      <w:r w:rsidRPr="00861EE0">
        <w:t xml:space="preserve">Navrhuje sa </w:t>
      </w:r>
      <w:r w:rsidR="005B77FA" w:rsidRPr="00861EE0">
        <w:t xml:space="preserve">doplniť ustanovenie </w:t>
      </w:r>
      <w:r w:rsidR="004B4915" w:rsidRPr="00861EE0">
        <w:t xml:space="preserve">§ 1 ods. 3 zákona o Eximbanke (ďalej pre </w:t>
      </w:r>
      <w:r w:rsidR="004D0CC6" w:rsidRPr="00861EE0">
        <w:t>č</w:t>
      </w:r>
      <w:r w:rsidR="004B4915" w:rsidRPr="00861EE0">
        <w:t>l. I aj ako „zákon“) o skutočnosť, že Eximbanka sa podieľa aj na realizáci</w:t>
      </w:r>
      <w:r w:rsidR="008129FD" w:rsidRPr="00861EE0">
        <w:t>i</w:t>
      </w:r>
      <w:r w:rsidR="004B4915" w:rsidRPr="00861EE0">
        <w:t xml:space="preserve"> rozvojovej spolupráce</w:t>
      </w:r>
      <w:r w:rsidR="00910EF2" w:rsidRPr="00861EE0">
        <w:t>.</w:t>
      </w:r>
      <w:r w:rsidR="004B4915" w:rsidRPr="00861EE0">
        <w:t xml:space="preserve"> Konkrétne spôsoby, ktorými sa podieľa na realizácii rozvojovej spolupráce, </w:t>
      </w:r>
      <w:r w:rsidR="008129FD" w:rsidRPr="00861EE0">
        <w:t xml:space="preserve">sa </w:t>
      </w:r>
      <w:r w:rsidR="004B4915" w:rsidRPr="00861EE0">
        <w:t>ustanov</w:t>
      </w:r>
      <w:r w:rsidR="008129FD" w:rsidRPr="00861EE0">
        <w:t xml:space="preserve">ujú </w:t>
      </w:r>
      <w:r w:rsidR="004B4915" w:rsidRPr="00861EE0">
        <w:t>v rámci príslušných činností Eximbanky</w:t>
      </w:r>
      <w:r w:rsidR="00DA7A02" w:rsidRPr="00861EE0">
        <w:t xml:space="preserve"> (§ 20 ods. 1 </w:t>
      </w:r>
      <w:r w:rsidR="00614D5A" w:rsidRPr="00861EE0">
        <w:t>p</w:t>
      </w:r>
      <w:r w:rsidR="00DA7A02" w:rsidRPr="00861EE0">
        <w:t>ísm. c)</w:t>
      </w:r>
      <w:r w:rsidR="004B4915" w:rsidRPr="00861EE0">
        <w:t xml:space="preserve">, </w:t>
      </w:r>
      <w:r w:rsidR="00DA7A02" w:rsidRPr="00861EE0">
        <w:t xml:space="preserve">§ </w:t>
      </w:r>
      <w:r w:rsidR="00173087" w:rsidRPr="00861EE0">
        <w:t>24 ods. 5 písm</w:t>
      </w:r>
      <w:r w:rsidR="00DA7A02" w:rsidRPr="00861EE0">
        <w:t>.</w:t>
      </w:r>
      <w:r w:rsidR="00173087" w:rsidRPr="00861EE0">
        <w:t xml:space="preserve"> h</w:t>
      </w:r>
      <w:r w:rsidR="00DA7A02" w:rsidRPr="00861EE0">
        <w:t>)</w:t>
      </w:r>
      <w:r w:rsidR="00173087" w:rsidRPr="00861EE0">
        <w:t>)</w:t>
      </w:r>
      <w:r w:rsidR="00DA7A02" w:rsidRPr="00861EE0">
        <w:t xml:space="preserve">, </w:t>
      </w:r>
      <w:r w:rsidR="004B4915" w:rsidRPr="00861EE0">
        <w:t>ktor</w:t>
      </w:r>
      <w:r w:rsidR="00115237" w:rsidRPr="00861EE0">
        <w:t xml:space="preserve">ých výpočet je </w:t>
      </w:r>
      <w:r w:rsidR="004B4915" w:rsidRPr="00861EE0">
        <w:t>zhrnut</w:t>
      </w:r>
      <w:r w:rsidR="00115237" w:rsidRPr="00861EE0">
        <w:t>ý</w:t>
      </w:r>
      <w:r w:rsidR="004B4915" w:rsidRPr="00861EE0">
        <w:t xml:space="preserve"> v § 2 zákona</w:t>
      </w:r>
      <w:r w:rsidR="000070E4" w:rsidRPr="00861EE0">
        <w:t xml:space="preserve">, </w:t>
      </w:r>
      <w:r w:rsidR="004B4915" w:rsidRPr="00861EE0">
        <w:t xml:space="preserve">ktorý sa odvoláva na úlohy uvedené v § 1 ods. </w:t>
      </w:r>
      <w:r w:rsidR="00115237" w:rsidRPr="00861EE0">
        <w:t>3 zákona.</w:t>
      </w:r>
      <w:r w:rsidR="008B6DC7" w:rsidRPr="00861EE0">
        <w:t xml:space="preserve">        </w:t>
      </w:r>
      <w:r w:rsidRPr="00861EE0">
        <w:t xml:space="preserve">     </w:t>
      </w:r>
    </w:p>
    <w:p w:rsidR="00366732" w:rsidRPr="00861EE0" w:rsidRDefault="00366732" w:rsidP="00366732">
      <w:pPr>
        <w:pStyle w:val="Zkladntext2"/>
      </w:pPr>
    </w:p>
    <w:p w:rsidR="00366732" w:rsidRPr="00861EE0" w:rsidRDefault="00431FB7" w:rsidP="00366732">
      <w:pPr>
        <w:pStyle w:val="Zkladntext2"/>
      </w:pPr>
      <w:r w:rsidRPr="00861EE0">
        <w:t>K</w:t>
      </w:r>
      <w:r w:rsidR="00115237" w:rsidRPr="00861EE0">
        <w:t> </w:t>
      </w:r>
      <w:r w:rsidRPr="00861EE0">
        <w:t>bod</w:t>
      </w:r>
      <w:r w:rsidR="00115237" w:rsidRPr="00861EE0">
        <w:t xml:space="preserve">u </w:t>
      </w:r>
      <w:r w:rsidRPr="00861EE0">
        <w:t>2</w:t>
      </w:r>
    </w:p>
    <w:p w:rsidR="000070E4" w:rsidRPr="00861EE0" w:rsidRDefault="000070E4" w:rsidP="00366732">
      <w:pPr>
        <w:pStyle w:val="Zkladntext2"/>
      </w:pPr>
      <w:r w:rsidRPr="00861EE0">
        <w:t>V § 6 ods. 4 písm. c) zákona je poznámka pod čiarou k odkazu 2 znejúca na starý zákon</w:t>
      </w:r>
      <w:r w:rsidRPr="00861EE0">
        <w:br/>
        <w:t>č. 540/2007 Z. z. o audítoroch, audite a dohľade nad výkonom auditu a o zmene a doplnení zákona č. 431/2002 Z. z. o účtovníctve v znení neskorších predpisov</w:t>
      </w:r>
      <w:r w:rsidR="006B24CF" w:rsidRPr="00861EE0">
        <w:t>, pričom vzhľadom na zavedenie nového odkazu 13b v § 35a ods. 1</w:t>
      </w:r>
      <w:r w:rsidR="00E66CDF" w:rsidRPr="00861EE0">
        <w:t xml:space="preserve"> zákona (viď novelizačný bod 1</w:t>
      </w:r>
      <w:r w:rsidR="007A182C" w:rsidRPr="00861EE0">
        <w:t>3</w:t>
      </w:r>
      <w:r w:rsidR="00E66CDF" w:rsidRPr="00861EE0">
        <w:t>), ktorý sa odvoláva na nový zákon č. 4</w:t>
      </w:r>
      <w:r w:rsidR="008129FD" w:rsidRPr="00861EE0">
        <w:t>23</w:t>
      </w:r>
      <w:r w:rsidR="00E66CDF" w:rsidRPr="00861EE0">
        <w:t>/2015 Z. z.</w:t>
      </w:r>
      <w:r w:rsidR="00BC1CE4" w:rsidRPr="00861EE0">
        <w:t xml:space="preserve">, </w:t>
      </w:r>
      <w:r w:rsidR="00E66CDF" w:rsidRPr="00861EE0">
        <w:t xml:space="preserve">je potrebné zjednotenie platných zákonov v oblasti štatutárneho auditu.   </w:t>
      </w:r>
      <w:r w:rsidR="006B24CF" w:rsidRPr="00861EE0">
        <w:t xml:space="preserve">      </w:t>
      </w:r>
      <w:r w:rsidRPr="00861EE0">
        <w:t xml:space="preserve">           </w:t>
      </w:r>
    </w:p>
    <w:p w:rsidR="000070E4" w:rsidRPr="00861EE0" w:rsidRDefault="000070E4" w:rsidP="00366732">
      <w:pPr>
        <w:pStyle w:val="Zkladntext2"/>
      </w:pPr>
    </w:p>
    <w:p w:rsidR="000070E4" w:rsidRPr="00861EE0" w:rsidRDefault="006B24CF" w:rsidP="00366732">
      <w:pPr>
        <w:pStyle w:val="Zkladntext2"/>
      </w:pPr>
      <w:r w:rsidRPr="00861EE0">
        <w:t>K bodu 3</w:t>
      </w:r>
    </w:p>
    <w:p w:rsidR="00115237" w:rsidRPr="00861EE0" w:rsidRDefault="00DA7A02" w:rsidP="00366732">
      <w:pPr>
        <w:pStyle w:val="Zkladntext2"/>
      </w:pPr>
      <w:r w:rsidRPr="00861EE0">
        <w:t xml:space="preserve">Doplnením nového písmena c) v § </w:t>
      </w:r>
      <w:r w:rsidR="00614D5A" w:rsidRPr="00861EE0">
        <w:t>20 ods. 1 zákona sa n</w:t>
      </w:r>
      <w:r w:rsidR="005E2D57" w:rsidRPr="00861EE0">
        <w:t xml:space="preserve">avrhuje </w:t>
      </w:r>
      <w:r w:rsidR="00202F8D" w:rsidRPr="00861EE0">
        <w:t xml:space="preserve">rozšíriť financovanie vývozných úverov o priame financovanie a spolufinancovanie zvýhodnených vývozných úverov. </w:t>
      </w:r>
      <w:r w:rsidR="006A531C" w:rsidRPr="00861EE0">
        <w:t>V rámci zefektívnenia fungovania Eximbanky pôjde</w:t>
      </w:r>
      <w:r w:rsidR="00115237" w:rsidRPr="00861EE0">
        <w:t> </w:t>
      </w:r>
      <w:r w:rsidR="006A531C" w:rsidRPr="00861EE0">
        <w:t xml:space="preserve">o </w:t>
      </w:r>
      <w:r w:rsidR="00115237" w:rsidRPr="00861EE0">
        <w:t>jednu z</w:t>
      </w:r>
      <w:r w:rsidR="00202F8D" w:rsidRPr="00861EE0">
        <w:t> </w:t>
      </w:r>
      <w:r w:rsidR="00115237" w:rsidRPr="00861EE0">
        <w:t xml:space="preserve">činností, ktorou sa Eximbanka </w:t>
      </w:r>
      <w:r w:rsidR="00202F8D" w:rsidRPr="00861EE0">
        <w:t xml:space="preserve">bude </w:t>
      </w:r>
      <w:r w:rsidR="00115237" w:rsidRPr="00861EE0">
        <w:t>podieľa</w:t>
      </w:r>
      <w:r w:rsidR="00202F8D" w:rsidRPr="00861EE0">
        <w:t xml:space="preserve">ť </w:t>
      </w:r>
      <w:r w:rsidR="00115237" w:rsidRPr="00861EE0">
        <w:t>na realizáci</w:t>
      </w:r>
      <w:r w:rsidR="006A531C" w:rsidRPr="00861EE0">
        <w:t>i</w:t>
      </w:r>
      <w:r w:rsidR="00115237" w:rsidRPr="00861EE0">
        <w:t xml:space="preserve"> rozvojovej spolupráce. </w:t>
      </w:r>
      <w:r w:rsidR="00202F8D" w:rsidRPr="00861EE0">
        <w:t>Doposiaľ mohla Eximbanka len pois</w:t>
      </w:r>
      <w:r w:rsidR="00B83D64" w:rsidRPr="00861EE0">
        <w:t xml:space="preserve">tiť </w:t>
      </w:r>
      <w:r w:rsidR="00202F8D" w:rsidRPr="00861EE0">
        <w:t>zvýhodnen</w:t>
      </w:r>
      <w:r w:rsidR="00B83D64" w:rsidRPr="00861EE0">
        <w:t>ý</w:t>
      </w:r>
      <w:r w:rsidR="00202F8D" w:rsidRPr="00861EE0">
        <w:t xml:space="preserve"> vývozn</w:t>
      </w:r>
      <w:r w:rsidR="00B83D64" w:rsidRPr="00861EE0">
        <w:t>ý</w:t>
      </w:r>
      <w:r w:rsidR="00202F8D" w:rsidRPr="00861EE0">
        <w:t xml:space="preserve"> úver</w:t>
      </w:r>
      <w:r w:rsidR="00B83D64" w:rsidRPr="00861EE0">
        <w:t xml:space="preserve"> poskytnutý komerčnou bankou. Eximbanka v porovnaní s komerčnými bankami </w:t>
      </w:r>
      <w:r w:rsidR="00396B29" w:rsidRPr="00861EE0">
        <w:t xml:space="preserve">však dokáže ponúknuť aj dlhé financovanie vrátane odkladu splácania istiny, </w:t>
      </w:r>
      <w:r w:rsidR="00B83D64" w:rsidRPr="00861EE0">
        <w:t>ktoré tiež prisp</w:t>
      </w:r>
      <w:r w:rsidR="00396B29" w:rsidRPr="00861EE0">
        <w:t xml:space="preserve">ieva k vyššiemu zvýhodneniu zvýhodneného vývozného úveru. </w:t>
      </w:r>
      <w:r w:rsidR="00115237" w:rsidRPr="00861EE0">
        <w:t>Podrobnosti o poskytovaní zvýhodnených úverov</w:t>
      </w:r>
      <w:r w:rsidR="00202F8D" w:rsidRPr="00861EE0">
        <w:t xml:space="preserve"> upravuje zákon o rozvojovej spolupráci</w:t>
      </w:r>
      <w:r w:rsidR="00115237" w:rsidRPr="00861EE0">
        <w:t>, čo je riešené novým odkazom 6b na § 12 zákona o rozvojovej spolupráci.</w:t>
      </w:r>
    </w:p>
    <w:p w:rsidR="00115237" w:rsidRPr="00861EE0" w:rsidRDefault="00115237" w:rsidP="00366732">
      <w:pPr>
        <w:pStyle w:val="Zkladntext2"/>
      </w:pPr>
    </w:p>
    <w:p w:rsidR="00115237" w:rsidRPr="00861EE0" w:rsidRDefault="00115237" w:rsidP="00366732">
      <w:pPr>
        <w:pStyle w:val="Zkladntext2"/>
      </w:pPr>
      <w:r w:rsidRPr="00861EE0">
        <w:t xml:space="preserve">K bodu </w:t>
      </w:r>
      <w:r w:rsidR="006B24CF" w:rsidRPr="00861EE0">
        <w:t>4</w:t>
      </w:r>
      <w:r w:rsidRPr="00861EE0">
        <w:t xml:space="preserve">        </w:t>
      </w:r>
    </w:p>
    <w:p w:rsidR="00115237" w:rsidRPr="00861EE0" w:rsidRDefault="00D66EAD" w:rsidP="00366732">
      <w:pPr>
        <w:pStyle w:val="Zkladntext2"/>
      </w:pPr>
      <w:r w:rsidRPr="00861EE0">
        <w:t xml:space="preserve">Ustanovenie odseku 2 v § 20 sa precizuje z dôvodu, že </w:t>
      </w:r>
      <w:r w:rsidR="0080780A" w:rsidRPr="00861EE0">
        <w:t xml:space="preserve">z definície vývozného úveru vyplýva, že </w:t>
      </w:r>
      <w:r w:rsidRPr="00861EE0">
        <w:t>vývoz</w:t>
      </w:r>
      <w:r w:rsidR="0080780A" w:rsidRPr="00861EE0">
        <w:t>ný úver možno poskytnúť aj inému subjektu ako vývozcovi (banke vývozcu, zahraničnému odberateľovi, banke zahraničného odber</w:t>
      </w:r>
      <w:r w:rsidR="00933D1D" w:rsidRPr="00861EE0">
        <w:t>a</w:t>
      </w:r>
      <w:r w:rsidR="0080780A" w:rsidRPr="00861EE0">
        <w:t>teľa</w:t>
      </w:r>
      <w:r w:rsidR="00933D1D" w:rsidRPr="00861EE0">
        <w:t xml:space="preserve">) </w:t>
      </w:r>
      <w:r w:rsidRPr="00861EE0">
        <w:t xml:space="preserve">a preto je toto ustanovenie potrebné upraviť tak, aby sa Eximbanka riadila úverovými podmienkami schválenými Radou banky pri financovaní </w:t>
      </w:r>
      <w:r w:rsidR="008161E0" w:rsidRPr="00861EE0">
        <w:t xml:space="preserve">všetkých vývozných úverov, nie len </w:t>
      </w:r>
      <w:r w:rsidR="00F60556" w:rsidRPr="00861EE0">
        <w:t xml:space="preserve">pri </w:t>
      </w:r>
      <w:r w:rsidR="008161E0" w:rsidRPr="00861EE0">
        <w:t>tých, ktoré sú poskyt</w:t>
      </w:r>
      <w:r w:rsidR="005C7B45" w:rsidRPr="00861EE0">
        <w:t xml:space="preserve">ované </w:t>
      </w:r>
      <w:r w:rsidR="008161E0" w:rsidRPr="00861EE0">
        <w:t>pre vývozcov</w:t>
      </w:r>
      <w:r w:rsidR="00933D1D" w:rsidRPr="00861EE0">
        <w:t xml:space="preserve"> (</w:t>
      </w:r>
      <w:r w:rsidR="005C7B45" w:rsidRPr="00861EE0">
        <w:t xml:space="preserve">pozn.: </w:t>
      </w:r>
      <w:r w:rsidR="00933D1D" w:rsidRPr="00861EE0">
        <w:t>samozrejme každý druh vývozného úveru môže mať osobitné úverové podmienky)</w:t>
      </w:r>
      <w:r w:rsidR="008161E0" w:rsidRPr="00861EE0">
        <w:t xml:space="preserve">. Zároveň sa predmetné ustanovenie dopĺňa o výnimku, že pri priamom financovaní a spolufinancovaní zvýhodnených vývozných úverov môže byť vývozcom aj iná osoba ako je definovaná v § 4 písm. a), a to z dôvodu, že </w:t>
      </w:r>
      <w:r w:rsidR="00933D1D" w:rsidRPr="00861EE0">
        <w:t xml:space="preserve">pri </w:t>
      </w:r>
      <w:r w:rsidR="008161E0" w:rsidRPr="00861EE0">
        <w:t>poskytovaní zvýhodnených vývoz</w:t>
      </w:r>
      <w:r w:rsidR="005A3C12" w:rsidRPr="00861EE0">
        <w:t>ných úverov ide o vývozné úvery v rámci viazanej pomoci ako jednej z foriem rozvojovej spolupráce, v rámci realizácie ktorej nemusí byť vývozcom vždy podnikateľský subjekt, ale zo skúseností z iných krajín to vo veľa prípadoch môžu byť aj neziskové organizácie a iné združenia ale</w:t>
      </w:r>
      <w:r w:rsidR="00933D1D" w:rsidRPr="00861EE0">
        <w:t>bo</w:t>
      </w:r>
      <w:r w:rsidR="005A3C12" w:rsidRPr="00861EE0">
        <w:t xml:space="preserve"> aj </w:t>
      </w:r>
      <w:r w:rsidR="00FC24CF" w:rsidRPr="00861EE0">
        <w:t xml:space="preserve">akékoľvek </w:t>
      </w:r>
      <w:r w:rsidR="005A3C12" w:rsidRPr="00861EE0">
        <w:t xml:space="preserve">iné osoby. </w:t>
      </w:r>
    </w:p>
    <w:p w:rsidR="00115237" w:rsidRPr="00861EE0" w:rsidRDefault="00115237" w:rsidP="00366732">
      <w:pPr>
        <w:pStyle w:val="Zkladntext2"/>
      </w:pPr>
    </w:p>
    <w:p w:rsidR="00115237" w:rsidRPr="00861EE0" w:rsidRDefault="005A3C12" w:rsidP="00366732">
      <w:pPr>
        <w:pStyle w:val="Zkladntext2"/>
      </w:pPr>
      <w:r w:rsidRPr="00861EE0">
        <w:t xml:space="preserve">K bodu </w:t>
      </w:r>
      <w:r w:rsidR="006B24CF" w:rsidRPr="00861EE0">
        <w:t>5</w:t>
      </w:r>
    </w:p>
    <w:p w:rsidR="005A3C12" w:rsidRPr="00861EE0" w:rsidRDefault="005A3C12" w:rsidP="00366732">
      <w:pPr>
        <w:pStyle w:val="Zkladntext2"/>
      </w:pPr>
      <w:r w:rsidRPr="00861EE0">
        <w:t xml:space="preserve">Ustanovenie odseku </w:t>
      </w:r>
      <w:r w:rsidR="00A6145A" w:rsidRPr="00861EE0">
        <w:t>2</w:t>
      </w:r>
      <w:r w:rsidRPr="00861EE0">
        <w:t xml:space="preserve"> v § 21 </w:t>
      </w:r>
      <w:r w:rsidR="0080780A" w:rsidRPr="00861EE0">
        <w:t xml:space="preserve">sa </w:t>
      </w:r>
      <w:r w:rsidRPr="00861EE0">
        <w:t xml:space="preserve">upravuje z obdobného dôvodu, z akého sa precizuje predchádzajúce ustanovenie </w:t>
      </w:r>
      <w:r w:rsidR="0080780A" w:rsidRPr="00861EE0">
        <w:t>§ 20 ods. 2 zákona</w:t>
      </w:r>
      <w:r w:rsidR="00E66CDF" w:rsidRPr="00861EE0">
        <w:t>, pričom v tomto prípade z dôvodu, že  dovozný úver možno poskytnúť aj inému subjektu ako dovozcovi, a to banke dovozcu, zahraničnému dodávateľovi alebo banke zahraničného dodávateľa.</w:t>
      </w:r>
      <w:r w:rsidR="0080780A" w:rsidRPr="00861EE0">
        <w:t xml:space="preserve"> </w:t>
      </w:r>
    </w:p>
    <w:p w:rsidR="0080780A" w:rsidRPr="00861EE0" w:rsidRDefault="0080780A" w:rsidP="00366732">
      <w:pPr>
        <w:pStyle w:val="Zkladntext2"/>
      </w:pPr>
      <w:r w:rsidRPr="00861EE0">
        <w:lastRenderedPageBreak/>
        <w:t xml:space="preserve">K bodu </w:t>
      </w:r>
      <w:r w:rsidR="006B24CF" w:rsidRPr="00861EE0">
        <w:t>6</w:t>
      </w:r>
    </w:p>
    <w:p w:rsidR="0080780A" w:rsidRPr="00861EE0" w:rsidRDefault="0080780A" w:rsidP="00366732">
      <w:pPr>
        <w:pStyle w:val="Zkladntext2"/>
      </w:pPr>
      <w:r w:rsidRPr="00861EE0">
        <w:t xml:space="preserve">Ide legislatívno-technickú úpravu z dôvodu, že poznámka pod čiarou k odkazu 6b sa v rovnakom význame prvýkrát zaviedla v § 20 ods. 1 písm. c), pričom podľa platných </w:t>
      </w:r>
      <w:r w:rsidR="00F92D0B" w:rsidRPr="00861EE0">
        <w:t>L</w:t>
      </w:r>
      <w:r w:rsidRPr="00861EE0">
        <w:t xml:space="preserve">egislatívnych pravidiel vlády </w:t>
      </w:r>
      <w:r w:rsidR="00F92D0B" w:rsidRPr="00861EE0">
        <w:t xml:space="preserve">SR </w:t>
      </w:r>
      <w:r w:rsidRPr="00861EE0">
        <w:t>sa nemá viackrát opakovať.</w:t>
      </w:r>
    </w:p>
    <w:p w:rsidR="0080780A" w:rsidRPr="00861EE0" w:rsidRDefault="0080780A" w:rsidP="00366732">
      <w:pPr>
        <w:pStyle w:val="Zkladntext2"/>
      </w:pPr>
    </w:p>
    <w:p w:rsidR="0080780A" w:rsidRPr="00861EE0" w:rsidRDefault="0080780A" w:rsidP="00366732">
      <w:pPr>
        <w:pStyle w:val="Zkladntext2"/>
      </w:pPr>
      <w:r w:rsidRPr="00861EE0">
        <w:t xml:space="preserve">K bodu </w:t>
      </w:r>
      <w:r w:rsidR="006B24CF" w:rsidRPr="00861EE0">
        <w:t>7</w:t>
      </w:r>
    </w:p>
    <w:p w:rsidR="008D3819" w:rsidRPr="00861EE0" w:rsidRDefault="008D3819" w:rsidP="00366732">
      <w:pPr>
        <w:pStyle w:val="Zkladntext2"/>
      </w:pPr>
      <w:r w:rsidRPr="00861EE0">
        <w:t xml:space="preserve">Ustanovenie odseku 2 v § 22 sa dopĺňa o výnimku, že pri poisťovaní zvýhodnených vývozných úverov môže byť vývozcom aj iná osoba ako je definovaná v § 4 písm. a), a to z dôvodu uvedeného v odôvodnení k bodu </w:t>
      </w:r>
      <w:r w:rsidR="008129FD" w:rsidRPr="00861EE0">
        <w:t>4</w:t>
      </w:r>
      <w:r w:rsidR="005C7B45" w:rsidRPr="00861EE0">
        <w:t xml:space="preserve"> (druhá </w:t>
      </w:r>
      <w:r w:rsidR="00FC24CF" w:rsidRPr="00861EE0">
        <w:t>v</w:t>
      </w:r>
      <w:r w:rsidR="005C7B45" w:rsidRPr="00861EE0">
        <w:t>eta zdôvodnenia)</w:t>
      </w:r>
      <w:r w:rsidRPr="00861EE0">
        <w:t>.</w:t>
      </w:r>
    </w:p>
    <w:p w:rsidR="006B24CF" w:rsidRPr="00861EE0" w:rsidRDefault="006B24CF" w:rsidP="00366732">
      <w:pPr>
        <w:pStyle w:val="Zkladntext2"/>
      </w:pPr>
    </w:p>
    <w:p w:rsidR="004F2F80" w:rsidRPr="00861EE0" w:rsidRDefault="004F2F80" w:rsidP="00366732">
      <w:pPr>
        <w:pStyle w:val="Zkladntext2"/>
      </w:pPr>
      <w:r w:rsidRPr="00861EE0">
        <w:t>K bodu 8</w:t>
      </w:r>
    </w:p>
    <w:p w:rsidR="004F2F80" w:rsidRPr="00861EE0" w:rsidRDefault="004F2F80" w:rsidP="00366732">
      <w:pPr>
        <w:pStyle w:val="Zkladntext2"/>
      </w:pPr>
      <w:r w:rsidRPr="00861EE0">
        <w:t xml:space="preserve">Úprava správneho názvu Ministerstva zahraničných vecí a európskych záležitostí SR.  </w:t>
      </w:r>
    </w:p>
    <w:p w:rsidR="004F2F80" w:rsidRPr="00861EE0" w:rsidRDefault="004F2F80" w:rsidP="00366732">
      <w:pPr>
        <w:pStyle w:val="Zkladntext2"/>
      </w:pPr>
    </w:p>
    <w:p w:rsidR="008D3819" w:rsidRPr="00861EE0" w:rsidRDefault="008D3819" w:rsidP="00366732">
      <w:pPr>
        <w:pStyle w:val="Zkladntext2"/>
      </w:pPr>
      <w:r w:rsidRPr="00861EE0">
        <w:t xml:space="preserve">K bodu </w:t>
      </w:r>
      <w:r w:rsidR="004F2F80" w:rsidRPr="00861EE0">
        <w:t>9</w:t>
      </w:r>
    </w:p>
    <w:p w:rsidR="00156DE9" w:rsidRPr="00861EE0" w:rsidRDefault="007A182C" w:rsidP="00156DE9">
      <w:pPr>
        <w:pStyle w:val="Zkladntext2"/>
      </w:pPr>
      <w:r w:rsidRPr="00861EE0">
        <w:t>Na</w:t>
      </w:r>
      <w:r w:rsidR="008D3819" w:rsidRPr="00861EE0">
        <w:t>vrhuje sa rozšíriť ďalšie činnosti Eximbanky o otváranie a potvrdzovanie akreditívov (ktoré je upravené v </w:t>
      </w:r>
      <w:r w:rsidR="00156DE9" w:rsidRPr="00861EE0">
        <w:t xml:space="preserve">§ 682 až 691 </w:t>
      </w:r>
      <w:r w:rsidR="008D3819" w:rsidRPr="00861EE0">
        <w:t>Obchodn</w:t>
      </w:r>
      <w:r w:rsidR="00156DE9" w:rsidRPr="00861EE0">
        <w:t>ého zákonníka</w:t>
      </w:r>
      <w:r w:rsidR="008D3819" w:rsidRPr="00861EE0">
        <w:t>)</w:t>
      </w:r>
      <w:r w:rsidR="00614D5A" w:rsidRPr="00861EE0">
        <w:t xml:space="preserve"> </w:t>
      </w:r>
      <w:r w:rsidR="008D3819" w:rsidRPr="00861EE0">
        <w:t>z</w:t>
      </w:r>
      <w:r w:rsidR="00C82D85" w:rsidRPr="00861EE0">
        <w:t> </w:t>
      </w:r>
      <w:r w:rsidR="008D3819" w:rsidRPr="00861EE0">
        <w:t>dôvodu</w:t>
      </w:r>
      <w:r w:rsidR="00C82D85" w:rsidRPr="00861EE0">
        <w:t xml:space="preserve"> </w:t>
      </w:r>
      <w:r w:rsidR="004F2F80" w:rsidRPr="00861EE0">
        <w:t>zefektívnenia činností Eximbanky v záujme u</w:t>
      </w:r>
      <w:r w:rsidR="00C82D85" w:rsidRPr="00861EE0">
        <w:t xml:space="preserve">možnenia </w:t>
      </w:r>
      <w:r w:rsidR="00C85F69" w:rsidRPr="00861EE0">
        <w:t xml:space="preserve">poskytnutia komplexných služieb </w:t>
      </w:r>
      <w:r w:rsidR="004F2F80" w:rsidRPr="00861EE0">
        <w:t>z</w:t>
      </w:r>
      <w:r w:rsidR="00C82D85" w:rsidRPr="00861EE0">
        <w:t xml:space="preserve">o strany Eximbanky </w:t>
      </w:r>
      <w:r w:rsidR="00C85F69" w:rsidRPr="00861EE0">
        <w:t xml:space="preserve">pre exportérov </w:t>
      </w:r>
      <w:r w:rsidR="00C82D85" w:rsidRPr="00861EE0">
        <w:t xml:space="preserve">a zahraničných odberateľov </w:t>
      </w:r>
      <w:r w:rsidR="00486EF4" w:rsidRPr="00861EE0">
        <w:t xml:space="preserve">pri </w:t>
      </w:r>
      <w:r w:rsidR="00C82D85" w:rsidRPr="00861EE0">
        <w:t>financovan</w:t>
      </w:r>
      <w:r w:rsidR="00486EF4" w:rsidRPr="00861EE0">
        <w:t xml:space="preserve">í </w:t>
      </w:r>
      <w:r w:rsidR="00C82D85" w:rsidRPr="00861EE0">
        <w:t>ich zahraničnoobchodných operácií, a to vrátane tých</w:t>
      </w:r>
      <w:r w:rsidR="00614D5A" w:rsidRPr="00861EE0">
        <w:t xml:space="preserve">, </w:t>
      </w:r>
      <w:r w:rsidR="00C82D85" w:rsidRPr="00861EE0">
        <w:t xml:space="preserve">ktoré sa budú týkať realizácie </w:t>
      </w:r>
      <w:r w:rsidR="00C85F69" w:rsidRPr="00861EE0">
        <w:t>rozvojovej spolupráce. Dokumentárn</w:t>
      </w:r>
      <w:r w:rsidR="00EC40EF" w:rsidRPr="00861EE0">
        <w:t>y</w:t>
      </w:r>
      <w:r w:rsidR="00C85F69" w:rsidRPr="00861EE0">
        <w:t xml:space="preserve"> akreditív</w:t>
      </w:r>
      <w:r w:rsidR="00EC40EF" w:rsidRPr="00861EE0">
        <w:t xml:space="preserve"> </w:t>
      </w:r>
      <w:r w:rsidR="00C85F69" w:rsidRPr="00861EE0">
        <w:t>sa používa</w:t>
      </w:r>
      <w:r w:rsidR="00EC40EF" w:rsidRPr="00861EE0">
        <w:t xml:space="preserve"> ako zabezpečovací nástroj na minimalizáciu rizík z obchodného vzťahu, pričom dokumentárnym akreditívom je možné ošetriť aj politické riziko krajiny odberateľa. O</w:t>
      </w:r>
      <w:r w:rsidR="00C82D85" w:rsidRPr="00861EE0">
        <w:t>bchodný zákonník v § 762</w:t>
      </w:r>
      <w:r w:rsidR="00156DE9" w:rsidRPr="00861EE0">
        <w:t xml:space="preserve"> umožňuje použiť ustanovenia upravujúce zmluvu o otvorení akreditívu aj pre prípady, keď namiesto banky takúto zmluvu uzaviera iná osoba, ktorá je na to oprávnená, pričom </w:t>
      </w:r>
      <w:r w:rsidR="00E74AC6" w:rsidRPr="00861EE0">
        <w:t xml:space="preserve">zo </w:t>
      </w:r>
      <w:r w:rsidR="00156DE9" w:rsidRPr="00861EE0">
        <w:t xml:space="preserve">zákona o Eximbanke by takéto oprávnenie získala aj Eximbanka.   </w:t>
      </w:r>
    </w:p>
    <w:p w:rsidR="00C82D85" w:rsidRPr="00861EE0" w:rsidRDefault="00156DE9" w:rsidP="00366732">
      <w:pPr>
        <w:pStyle w:val="Zkladntext2"/>
      </w:pPr>
      <w:r w:rsidRPr="00861EE0">
        <w:t xml:space="preserve"> </w:t>
      </w:r>
      <w:r w:rsidR="00C82D85" w:rsidRPr="00861EE0">
        <w:t xml:space="preserve"> </w:t>
      </w:r>
    </w:p>
    <w:p w:rsidR="00C82D85" w:rsidRPr="00861EE0" w:rsidRDefault="00C82D85" w:rsidP="00366732">
      <w:pPr>
        <w:pStyle w:val="Zkladntext2"/>
      </w:pPr>
      <w:r w:rsidRPr="00861EE0">
        <w:t xml:space="preserve">K bodu </w:t>
      </w:r>
      <w:r w:rsidR="0084174D" w:rsidRPr="00861EE0">
        <w:t>10</w:t>
      </w:r>
    </w:p>
    <w:p w:rsidR="008D3819" w:rsidRPr="00861EE0" w:rsidRDefault="00156DE9" w:rsidP="00366732">
      <w:pPr>
        <w:pStyle w:val="Zkladntext2"/>
      </w:pPr>
      <w:r w:rsidRPr="00861EE0">
        <w:t>Novým z</w:t>
      </w:r>
      <w:r w:rsidR="00331203" w:rsidRPr="00861EE0">
        <w:t>n</w:t>
      </w:r>
      <w:r w:rsidRPr="00861EE0">
        <w:t xml:space="preserve">ením </w:t>
      </w:r>
      <w:r w:rsidR="00331203" w:rsidRPr="00861EE0">
        <w:t xml:space="preserve">doterajšieho písmena </w:t>
      </w:r>
      <w:r w:rsidR="004700DE" w:rsidRPr="00861EE0">
        <w:t xml:space="preserve">g) /po </w:t>
      </w:r>
      <w:proofErr w:type="spellStart"/>
      <w:r w:rsidR="004700DE" w:rsidRPr="00861EE0">
        <w:t>pre</w:t>
      </w:r>
      <w:r w:rsidR="00E07800" w:rsidRPr="00861EE0">
        <w:t>označení</w:t>
      </w:r>
      <w:proofErr w:type="spellEnd"/>
      <w:r w:rsidR="00E07800" w:rsidRPr="00861EE0">
        <w:t xml:space="preserve"> </w:t>
      </w:r>
      <w:r w:rsidR="004700DE" w:rsidRPr="00861EE0">
        <w:t xml:space="preserve">písmena h)/ v § 24 ods. 5 zákona sa  </w:t>
      </w:r>
      <w:r w:rsidR="0084174D" w:rsidRPr="00861EE0">
        <w:t xml:space="preserve">rovnako z dôvodu zefektívnenia činností Eximbanky navrhuje </w:t>
      </w:r>
      <w:r w:rsidR="004700DE" w:rsidRPr="00861EE0">
        <w:t xml:space="preserve">rozšíriť činnosti Eximbanky o vykonávanie finančných nástrojov EÚ určených na rozvojovú spoluprácu s odkazom na nový § 12a zákona o rozvojovej spolupráci. Ako bolo </w:t>
      </w:r>
      <w:r w:rsidR="00C36BC7" w:rsidRPr="00861EE0">
        <w:t xml:space="preserve">okrem iného </w:t>
      </w:r>
      <w:r w:rsidR="004700DE" w:rsidRPr="00861EE0">
        <w:t xml:space="preserve">podrobne vysvetlené vo všeobecnej časti dôvodovej správy, samotná navrhovaná úprava možnosti využívania finančných nástrojov EÚ </w:t>
      </w:r>
      <w:r w:rsidR="00E74AC6" w:rsidRPr="00861EE0">
        <w:t xml:space="preserve">určených na </w:t>
      </w:r>
      <w:r w:rsidR="004700DE" w:rsidRPr="00861EE0">
        <w:t>rozvojov</w:t>
      </w:r>
      <w:r w:rsidR="00E74AC6" w:rsidRPr="00861EE0">
        <w:t xml:space="preserve">ú </w:t>
      </w:r>
      <w:r w:rsidR="004700DE" w:rsidRPr="00861EE0">
        <w:t>spoluprác</w:t>
      </w:r>
      <w:r w:rsidR="00E74AC6" w:rsidRPr="00861EE0">
        <w:t>u</w:t>
      </w:r>
      <w:r w:rsidR="004700DE" w:rsidRPr="00861EE0">
        <w:t xml:space="preserve"> </w:t>
      </w:r>
      <w:r w:rsidR="00C36BC7" w:rsidRPr="00861EE0">
        <w:t xml:space="preserve">ako ďalšieho nástroja rozvojovej spolupráce je </w:t>
      </w:r>
      <w:r w:rsidR="004700DE" w:rsidRPr="00861EE0">
        <w:t>obsiahnutá v</w:t>
      </w:r>
      <w:r w:rsidR="00C36BC7" w:rsidRPr="00861EE0">
        <w:t xml:space="preserve"> novelizácii </w:t>
      </w:r>
      <w:r w:rsidR="004700DE" w:rsidRPr="00861EE0">
        <w:t>zákon</w:t>
      </w:r>
      <w:r w:rsidR="00C36BC7" w:rsidRPr="00861EE0">
        <w:t>a</w:t>
      </w:r>
      <w:r w:rsidR="004700DE" w:rsidRPr="00861EE0">
        <w:t xml:space="preserve"> o rozvojovej spolupráci</w:t>
      </w:r>
      <w:r w:rsidR="00C36BC7" w:rsidRPr="00861EE0">
        <w:t>. Dote</w:t>
      </w:r>
      <w:r w:rsidR="00DE5997" w:rsidRPr="00861EE0">
        <w:t xml:space="preserve">rajšie </w:t>
      </w:r>
      <w:r w:rsidR="00C666A5" w:rsidRPr="00861EE0">
        <w:t xml:space="preserve">písmeno </w:t>
      </w:r>
      <w:r w:rsidR="00DE5997" w:rsidRPr="00861EE0">
        <w:t xml:space="preserve">g) v § 24 ods. 5 zákona o Eximbanke </w:t>
      </w:r>
      <w:r w:rsidR="006C579F" w:rsidRPr="00861EE0">
        <w:t xml:space="preserve">(cit. „podľa poverenia ministra vymáhať pohľadávky štátu“) </w:t>
      </w:r>
      <w:r w:rsidR="00DE5997" w:rsidRPr="00861EE0">
        <w:t xml:space="preserve">sa stalo obsolentným z dôvodu prijatia novej právnej úpravy vymáhania pohľadávok štátu (zákon č. </w:t>
      </w:r>
      <w:r w:rsidR="006C579F" w:rsidRPr="00861EE0">
        <w:t xml:space="preserve">374/2014 Z. z. o pohľadávkach štátu a o zmene a doplnení niektorých zákonov), v zmysle ktorej je vymáhanie pohľadávok štátu zabezpečené centrálne prostredníctvom jedinej právnickej osoby (viď § 14 citovaného zákona).     </w:t>
      </w:r>
      <w:r w:rsidR="00DE5997" w:rsidRPr="00861EE0">
        <w:t xml:space="preserve">     </w:t>
      </w:r>
      <w:r w:rsidR="004700DE" w:rsidRPr="00861EE0">
        <w:t xml:space="preserve">   </w:t>
      </w:r>
      <w:r w:rsidR="00331203" w:rsidRPr="00861EE0">
        <w:t xml:space="preserve">  </w:t>
      </w:r>
      <w:r w:rsidR="00C82D85" w:rsidRPr="00861EE0">
        <w:t xml:space="preserve"> </w:t>
      </w:r>
      <w:r w:rsidR="008D3819" w:rsidRPr="00861EE0">
        <w:t xml:space="preserve">  </w:t>
      </w:r>
    </w:p>
    <w:p w:rsidR="0080780A" w:rsidRPr="00861EE0" w:rsidRDefault="0080780A" w:rsidP="00366732">
      <w:pPr>
        <w:pStyle w:val="Zkladntext2"/>
      </w:pPr>
    </w:p>
    <w:p w:rsidR="006C579F" w:rsidRPr="00861EE0" w:rsidRDefault="006C579F" w:rsidP="00366732">
      <w:pPr>
        <w:pStyle w:val="Zkladntext2"/>
      </w:pPr>
      <w:r w:rsidRPr="00861EE0">
        <w:t>K</w:t>
      </w:r>
      <w:r w:rsidR="00FD74AA" w:rsidRPr="00861EE0">
        <w:t xml:space="preserve"> bodu </w:t>
      </w:r>
      <w:r w:rsidR="006B24CF" w:rsidRPr="00861EE0">
        <w:t>1</w:t>
      </w:r>
      <w:r w:rsidR="0084174D" w:rsidRPr="00861EE0">
        <w:t>1</w:t>
      </w:r>
    </w:p>
    <w:p w:rsidR="00D24A2E" w:rsidRPr="00861EE0" w:rsidRDefault="00D24A2E" w:rsidP="00366732">
      <w:pPr>
        <w:pStyle w:val="Zkladntext2"/>
      </w:pPr>
      <w:r w:rsidRPr="00861EE0">
        <w:t>Legislatívno-technická úprava z dôvodu zosúladenia s ustanovením § 1 ods. 6 a § 2 zákona.</w:t>
      </w:r>
    </w:p>
    <w:p w:rsidR="00D24A2E" w:rsidRPr="00861EE0" w:rsidRDefault="00D24A2E" w:rsidP="00366732">
      <w:pPr>
        <w:pStyle w:val="Zkladntext2"/>
      </w:pPr>
    </w:p>
    <w:p w:rsidR="00D24A2E" w:rsidRPr="00861EE0" w:rsidRDefault="00D24A2E" w:rsidP="00366732">
      <w:pPr>
        <w:pStyle w:val="Zkladntext2"/>
      </w:pPr>
      <w:r w:rsidRPr="00861EE0">
        <w:t>K bodu 1</w:t>
      </w:r>
      <w:r w:rsidR="007A182C" w:rsidRPr="00861EE0">
        <w:t>2</w:t>
      </w:r>
    </w:p>
    <w:p w:rsidR="005C0CE4" w:rsidRPr="00861EE0" w:rsidRDefault="005C0CE4" w:rsidP="00366732">
      <w:pPr>
        <w:pStyle w:val="Zkladntext2"/>
      </w:pPr>
      <w:r w:rsidRPr="00861EE0">
        <w:t xml:space="preserve">Legislatívna úprava z dôvodu zosúladenia s platným zákonom o účtovníctve, pričom navyše </w:t>
      </w:r>
      <w:r w:rsidR="001D541F" w:rsidRPr="00861EE0">
        <w:t xml:space="preserve">súčasný </w:t>
      </w:r>
      <w:r w:rsidRPr="00861EE0">
        <w:t xml:space="preserve">odkaz 13a sa odvoláva na § 21 zákona o účtovníctve, ktorý bol už tomto zákone zrušený.  </w:t>
      </w:r>
    </w:p>
    <w:p w:rsidR="005C0CE4" w:rsidRPr="00861EE0" w:rsidRDefault="005C0CE4" w:rsidP="00366732">
      <w:pPr>
        <w:pStyle w:val="Zkladntext2"/>
      </w:pPr>
    </w:p>
    <w:p w:rsidR="005C0CE4" w:rsidRPr="00861EE0" w:rsidRDefault="005C0CE4" w:rsidP="00366732">
      <w:pPr>
        <w:pStyle w:val="Zkladntext2"/>
      </w:pPr>
      <w:r w:rsidRPr="00861EE0">
        <w:t>K bodu 1</w:t>
      </w:r>
      <w:r w:rsidR="007A182C" w:rsidRPr="00861EE0">
        <w:t>3</w:t>
      </w:r>
    </w:p>
    <w:p w:rsidR="00D86809" w:rsidRPr="00861EE0" w:rsidRDefault="00FD74AA" w:rsidP="00366732">
      <w:pPr>
        <w:pStyle w:val="Zkladntext2"/>
      </w:pPr>
      <w:r w:rsidRPr="00861EE0">
        <w:t>Z</w:t>
      </w:r>
      <w:r w:rsidR="004D0CC6" w:rsidRPr="00861EE0">
        <w:t> </w:t>
      </w:r>
      <w:r w:rsidRPr="00861EE0">
        <w:t>dôvodu</w:t>
      </w:r>
      <w:r w:rsidR="004D0CC6" w:rsidRPr="00861EE0">
        <w:t xml:space="preserve"> prenesenia </w:t>
      </w:r>
      <w:r w:rsidRPr="00861EE0">
        <w:t>úpravy inštitútu výboru pre audit zo zákona o účtovníctve do zákona o štatutárnom audite sa v § 35a ods. 1 doterajší odkaz 13 nahrádza novým odkazom 13</w:t>
      </w:r>
      <w:r w:rsidR="005C0CE4" w:rsidRPr="00861EE0">
        <w:t>b</w:t>
      </w:r>
      <w:r w:rsidRPr="00861EE0">
        <w:t xml:space="preserve">. </w:t>
      </w:r>
    </w:p>
    <w:p w:rsidR="00E74AC6" w:rsidRPr="00861EE0" w:rsidRDefault="00E07800" w:rsidP="00366732">
      <w:pPr>
        <w:pStyle w:val="Zkladntext2"/>
      </w:pPr>
      <w:r w:rsidRPr="00861EE0">
        <w:lastRenderedPageBreak/>
        <w:t>K bodu 1</w:t>
      </w:r>
      <w:r w:rsidR="007A182C" w:rsidRPr="00861EE0">
        <w:t>4</w:t>
      </w:r>
    </w:p>
    <w:p w:rsidR="00A8293E" w:rsidRPr="00861EE0" w:rsidRDefault="00E07800" w:rsidP="00366732">
      <w:pPr>
        <w:pStyle w:val="Zkladntext2"/>
      </w:pPr>
      <w:r w:rsidRPr="00861EE0">
        <w:t xml:space="preserve">Legislatívno-technická úprava z dôvodu </w:t>
      </w:r>
      <w:proofErr w:type="spellStart"/>
      <w:r w:rsidRPr="00861EE0">
        <w:t>preoznačenia</w:t>
      </w:r>
      <w:proofErr w:type="spellEnd"/>
      <w:r w:rsidRPr="00861EE0">
        <w:t xml:space="preserve"> písmen v § 24 ods. 5.    </w:t>
      </w:r>
    </w:p>
    <w:p w:rsidR="007A182C" w:rsidRPr="00861EE0" w:rsidRDefault="007A182C" w:rsidP="00366732">
      <w:pPr>
        <w:pStyle w:val="Zkladntext2"/>
      </w:pPr>
    </w:p>
    <w:p w:rsidR="00A8293E" w:rsidRPr="00861EE0" w:rsidRDefault="00A8293E" w:rsidP="00366732">
      <w:pPr>
        <w:pStyle w:val="Zkladntext2"/>
      </w:pPr>
      <w:r w:rsidRPr="00861EE0">
        <w:t>K bodu 1</w:t>
      </w:r>
      <w:r w:rsidR="007A182C" w:rsidRPr="00861EE0">
        <w:t>5</w:t>
      </w:r>
    </w:p>
    <w:p w:rsidR="00A279D8" w:rsidRPr="00861EE0" w:rsidRDefault="00A8293E" w:rsidP="00A279D8">
      <w:pPr>
        <w:jc w:val="both"/>
      </w:pPr>
      <w:r w:rsidRPr="00861EE0">
        <w:t xml:space="preserve">Novým § 42d sa ustanovuje prechodné ustanovenie k úpravám účinným od 1. </w:t>
      </w:r>
      <w:r w:rsidR="006A531C" w:rsidRPr="00861EE0">
        <w:t>októbra 2</w:t>
      </w:r>
      <w:r w:rsidR="005C7B45" w:rsidRPr="00861EE0">
        <w:t>019</w:t>
      </w:r>
      <w:r w:rsidRPr="00861EE0">
        <w:t>, podľa ktorého bude Eximbanka do konca roka 2019 povinná zosúladiť svoje úverové podmienky a podmienky úverového poistenia s novými zneniami § 20 ods. 2, § 21 ods. 2</w:t>
      </w:r>
      <w:r w:rsidR="005C7B45" w:rsidRPr="00861EE0">
        <w:br/>
      </w:r>
      <w:r w:rsidRPr="00861EE0">
        <w:t xml:space="preserve">a § 22 ods. 2 z dôvodu, že sa tieto podmienky budú vzťahovať na širšie spektrum vývozných úverov a dovozných úverov vrátane novej právnej úpravy zvýhodnených vývozných úverov, pri </w:t>
      </w:r>
      <w:r w:rsidR="00A279D8" w:rsidRPr="00861EE0">
        <w:t xml:space="preserve">poskytovaní a poisťovaní </w:t>
      </w:r>
      <w:r w:rsidRPr="00861EE0">
        <w:t>kto</w:t>
      </w:r>
      <w:r w:rsidR="00A279D8" w:rsidRPr="00861EE0">
        <w:t>rých bude môcť byť vývozcom aj iná osoba ako je uvedená v § 4 písm. a). Novým § 42e sa vkladá zrušovacie ustanovenie, ktorý</w:t>
      </w:r>
      <w:r w:rsidR="005C7B45" w:rsidRPr="00861EE0">
        <w:t>m</w:t>
      </w:r>
      <w:r w:rsidR="00A279D8" w:rsidRPr="00861EE0">
        <w:t xml:space="preserve"> sa zrušuje vyhláška Ministerstva financií Slovenskej republiky č. 188/1997 Z. z. o spôsobe úhrady príspevkov do fondov Exportno-importnej banky Slovenskej republiky, a to z dôvodu, že táto vyhláška sa </w:t>
      </w:r>
      <w:r w:rsidR="006A1389" w:rsidRPr="00861EE0">
        <w:t>nepoužíva a splnomocňovacie ustanovenie k nej bolo zrušené</w:t>
      </w:r>
      <w:r w:rsidR="00A279D8" w:rsidRPr="00861EE0">
        <w:t xml:space="preserve">.   </w:t>
      </w:r>
    </w:p>
    <w:p w:rsidR="006A1389" w:rsidRPr="00861EE0" w:rsidRDefault="006A1389" w:rsidP="00366732">
      <w:pPr>
        <w:pStyle w:val="Zkladntext2"/>
      </w:pPr>
    </w:p>
    <w:p w:rsidR="00243CED" w:rsidRPr="00861EE0" w:rsidRDefault="00243CED" w:rsidP="00366732">
      <w:pPr>
        <w:pStyle w:val="Zkladntext2"/>
      </w:pPr>
    </w:p>
    <w:p w:rsidR="007A182C" w:rsidRPr="00861EE0" w:rsidRDefault="007A182C" w:rsidP="00366732">
      <w:pPr>
        <w:pStyle w:val="Zkladntext2"/>
        <w:rPr>
          <w:b/>
        </w:rPr>
      </w:pPr>
      <w:r w:rsidRPr="00861EE0">
        <w:rPr>
          <w:b/>
        </w:rPr>
        <w:t>K čl. II</w:t>
      </w:r>
    </w:p>
    <w:p w:rsidR="007A182C" w:rsidRPr="00861EE0" w:rsidRDefault="007A182C" w:rsidP="00366732">
      <w:pPr>
        <w:pStyle w:val="Zkladntext2"/>
      </w:pPr>
    </w:p>
    <w:p w:rsidR="00771325" w:rsidRPr="00861EE0" w:rsidRDefault="007A182C" w:rsidP="00771325">
      <w:pPr>
        <w:jc w:val="both"/>
      </w:pPr>
      <w:r w:rsidRPr="00861EE0">
        <w:t>Z dôvodu zefektívnenia činnost</w:t>
      </w:r>
      <w:r w:rsidR="00A8542D" w:rsidRPr="00861EE0">
        <w:t>i</w:t>
      </w:r>
      <w:r w:rsidRPr="00861EE0">
        <w:t xml:space="preserve"> Fondu ochrany vkladov sa navrhuje umožniť </w:t>
      </w:r>
      <w:r w:rsidR="005522F8" w:rsidRPr="00861EE0">
        <w:t xml:space="preserve">uložiť peňažné prostriedky Fondu ochrany vkladov aj na účty Štátnej pokladnice. </w:t>
      </w:r>
      <w:r w:rsidRPr="00861EE0">
        <w:t xml:space="preserve">Súčasná právna úprava umožňuje viesť peňažné prostriedky Fondu ochrany vkladov len na účtoch Národnej banky Slovenska. </w:t>
      </w:r>
      <w:r w:rsidR="00771325" w:rsidRPr="00861EE0">
        <w:t>Od 1. októbra 2019 však budú v zmysle nového usmernenia Európskej centrálnej ba</w:t>
      </w:r>
      <w:r w:rsidR="00093E4E" w:rsidRPr="00861EE0">
        <w:t>n</w:t>
      </w:r>
      <w:r w:rsidR="00771325" w:rsidRPr="00861EE0">
        <w:t xml:space="preserve">ky (EÚ) 2019/671 (ECB/2019/7) o domácich operáciách riadenia aktív a pasív zo strany národných centrálnych bánk (Ú. v. EÚ L 113, 29.4.2019) aj peňažné prostriedky národných systémov (fondov) pre ochranu vkladov uložené v národných centrálnych bankách podliehať zápornej úrokovej sadzbe. Preto je potrebné zaviesť alternatívu pre takéto </w:t>
      </w:r>
      <w:r w:rsidR="006A531C" w:rsidRPr="00861EE0">
        <w:t xml:space="preserve">nepriaznivé </w:t>
      </w:r>
      <w:r w:rsidR="00771325" w:rsidRPr="00861EE0">
        <w:t>prechodné obdobia, aby nedochádzalo k znižovaniu objemu resp. hodnoty finančných prostriedkov potrebných pre zákonnú ochranu vkladov.</w:t>
      </w:r>
    </w:p>
    <w:p w:rsidR="00771325" w:rsidRPr="00861EE0" w:rsidRDefault="00771325" w:rsidP="00771325">
      <w:pPr>
        <w:jc w:val="both"/>
      </w:pPr>
    </w:p>
    <w:p w:rsidR="00243CED" w:rsidRPr="00861EE0" w:rsidRDefault="00243CED" w:rsidP="00771325">
      <w:pPr>
        <w:jc w:val="both"/>
      </w:pPr>
    </w:p>
    <w:p w:rsidR="00771325" w:rsidRPr="00861EE0" w:rsidRDefault="00771325" w:rsidP="00771325">
      <w:pPr>
        <w:jc w:val="both"/>
        <w:rPr>
          <w:b/>
        </w:rPr>
      </w:pPr>
      <w:r w:rsidRPr="00861EE0">
        <w:rPr>
          <w:b/>
        </w:rPr>
        <w:t>K čl. III</w:t>
      </w:r>
    </w:p>
    <w:p w:rsidR="00771325" w:rsidRPr="00861EE0" w:rsidRDefault="00771325" w:rsidP="00771325">
      <w:pPr>
        <w:jc w:val="both"/>
        <w:rPr>
          <w:b/>
        </w:rPr>
      </w:pPr>
    </w:p>
    <w:p w:rsidR="00A8542D" w:rsidRPr="00861EE0" w:rsidRDefault="00771325" w:rsidP="00771325">
      <w:pPr>
        <w:jc w:val="both"/>
      </w:pPr>
      <w:r w:rsidRPr="00861EE0">
        <w:t>Z dôvodu zefektívnenia činnost</w:t>
      </w:r>
      <w:r w:rsidR="00A8542D" w:rsidRPr="00861EE0">
        <w:t>i</w:t>
      </w:r>
      <w:r w:rsidRPr="00861EE0">
        <w:t xml:space="preserve"> Národného fondu sa </w:t>
      </w:r>
      <w:r w:rsidR="00A8542D" w:rsidRPr="00861EE0">
        <w:t>rovnako ako v prípade Fondu ochrany vkladov n</w:t>
      </w:r>
      <w:r w:rsidRPr="00861EE0">
        <w:t xml:space="preserve">avrhuje umožniť uložiť peňažné prostriedky </w:t>
      </w:r>
      <w:r w:rsidR="00A8542D" w:rsidRPr="00861EE0">
        <w:t>Národného f</w:t>
      </w:r>
      <w:r w:rsidRPr="00861EE0">
        <w:t xml:space="preserve">ondu na účty Štátnej pokladnice. Súčasná právna úprava umožňuje viesť peňažné prostriedky </w:t>
      </w:r>
      <w:r w:rsidR="00A8542D" w:rsidRPr="00861EE0">
        <w:t xml:space="preserve">Národného fondu </w:t>
      </w:r>
      <w:r w:rsidRPr="00861EE0">
        <w:t>len na účtoch Národnej banky Slovenska</w:t>
      </w:r>
      <w:r w:rsidR="00A8542D" w:rsidRPr="00861EE0">
        <w:t>, pričom správu peňažných prostriedkov Národného fondu zabezpečuje v zmysle zákona o riešení krízových situácií samotný Fond ochrany vkladov.</w:t>
      </w:r>
      <w:r w:rsidR="00E7371D" w:rsidRPr="00861EE0">
        <w:t xml:space="preserve"> Preto je z dôvodu uvedeného v </w:t>
      </w:r>
      <w:r w:rsidR="00EC4F8E" w:rsidRPr="00861EE0">
        <w:t>o</w:t>
      </w:r>
      <w:r w:rsidR="00E7371D" w:rsidRPr="00861EE0">
        <w:t xml:space="preserve">dôvodnení </w:t>
      </w:r>
      <w:r w:rsidR="00EC4F8E" w:rsidRPr="00861EE0">
        <w:t xml:space="preserve">k </w:t>
      </w:r>
      <w:r w:rsidR="00E7371D" w:rsidRPr="00861EE0">
        <w:t>čl. II rovnako potrebné zaviesť bezpečnú alternatívu aj pre zhodnocovanie prostriedkov Národného fondu. Navyše, navrhnuté doplnenie § 91 ods. 2 zákona o riešení krízových situáci</w:t>
      </w:r>
      <w:r w:rsidR="006A531C" w:rsidRPr="00861EE0">
        <w:t>í</w:t>
      </w:r>
      <w:r w:rsidR="00E7371D" w:rsidRPr="00861EE0">
        <w:t xml:space="preserve"> by nijako nemalo byť problematické ani z hľadiska povahy Národného fondu, keďže § 87 ods. 2 a § 92 ods. 2 tohto zákona zakotvujú, že Národný fond bol a je zriadený pre Radu pre riešenie krízových situácií a</w:t>
      </w:r>
      <w:r w:rsidR="00EC4F8E" w:rsidRPr="00861EE0">
        <w:t> </w:t>
      </w:r>
      <w:r w:rsidR="00E7371D" w:rsidRPr="00861EE0">
        <w:t>že</w:t>
      </w:r>
      <w:r w:rsidR="00EC4F8E" w:rsidRPr="00861EE0">
        <w:br/>
      </w:r>
      <w:r w:rsidR="00E7371D" w:rsidRPr="00861EE0">
        <w:t>v rámci správy peňažných prostriedkov Národného fondu je Fond ochrany vkladov príslušný a oprávnený konať za Radu pre riešenie krízových situácií aj za Národný fond. V prípade navrhnut</w:t>
      </w:r>
      <w:r w:rsidR="00EC4F8E" w:rsidRPr="00861EE0">
        <w:t xml:space="preserve">ej úpravy </w:t>
      </w:r>
      <w:r w:rsidR="00E7371D" w:rsidRPr="00861EE0">
        <w:t xml:space="preserve">§ 91 ods. 2 by teda Fond ochrany vkladov bol zo zákona príslušný a oprávnený </w:t>
      </w:r>
      <w:r w:rsidR="00EC4F8E" w:rsidRPr="00861EE0">
        <w:t xml:space="preserve">taktiež </w:t>
      </w:r>
      <w:r w:rsidR="00E7371D" w:rsidRPr="00861EE0">
        <w:t xml:space="preserve">so Štátnou pokladnicou uzavrieť zmluvy o zriadení a vedení osobitných účtov určených na uloženie prostriedkov Národného fondu. </w:t>
      </w:r>
      <w:r w:rsidR="00A8542D" w:rsidRPr="00861EE0">
        <w:t xml:space="preserve"> </w:t>
      </w:r>
      <w:r w:rsidR="00E7371D" w:rsidRPr="00861EE0">
        <w:t xml:space="preserve">     </w:t>
      </w:r>
      <w:r w:rsidR="00A8542D" w:rsidRPr="00861EE0">
        <w:t xml:space="preserve">   </w:t>
      </w:r>
    </w:p>
    <w:p w:rsidR="00EC4F8E" w:rsidRPr="00861EE0" w:rsidRDefault="00EC4F8E" w:rsidP="00366732">
      <w:pPr>
        <w:pStyle w:val="Zkladntext2"/>
      </w:pPr>
    </w:p>
    <w:p w:rsidR="00243CED" w:rsidRPr="00861EE0" w:rsidRDefault="00243CED" w:rsidP="00366732">
      <w:pPr>
        <w:pStyle w:val="Zkladntext2"/>
      </w:pPr>
    </w:p>
    <w:p w:rsidR="00243CED" w:rsidRPr="00861EE0" w:rsidRDefault="00243CED" w:rsidP="00366732">
      <w:pPr>
        <w:pStyle w:val="Zkladntext2"/>
      </w:pPr>
    </w:p>
    <w:p w:rsidR="00FD74AA" w:rsidRPr="00861EE0" w:rsidRDefault="00FD74AA" w:rsidP="00366732">
      <w:pPr>
        <w:pStyle w:val="Zkladntext2"/>
        <w:rPr>
          <w:b/>
        </w:rPr>
      </w:pPr>
      <w:r w:rsidRPr="00861EE0">
        <w:rPr>
          <w:b/>
        </w:rPr>
        <w:lastRenderedPageBreak/>
        <w:t>K čl. I</w:t>
      </w:r>
      <w:r w:rsidR="007A182C" w:rsidRPr="00861EE0">
        <w:rPr>
          <w:b/>
        </w:rPr>
        <w:t>V</w:t>
      </w:r>
    </w:p>
    <w:p w:rsidR="00FD74AA" w:rsidRPr="00861EE0" w:rsidRDefault="00FD74AA" w:rsidP="00366732">
      <w:pPr>
        <w:pStyle w:val="Zkladntext2"/>
      </w:pPr>
    </w:p>
    <w:p w:rsidR="00FD74AA" w:rsidRPr="00861EE0" w:rsidRDefault="00D86809" w:rsidP="00366732">
      <w:pPr>
        <w:pStyle w:val="Zkladntext2"/>
      </w:pPr>
      <w:r w:rsidRPr="00861EE0">
        <w:t xml:space="preserve">K bodu </w:t>
      </w:r>
      <w:r w:rsidR="00FD74AA" w:rsidRPr="00861EE0">
        <w:t>1</w:t>
      </w:r>
    </w:p>
    <w:p w:rsidR="00E163C3" w:rsidRPr="00861EE0" w:rsidRDefault="00E163C3" w:rsidP="00E163C3">
      <w:pPr>
        <w:pStyle w:val="Odsekzoznamu"/>
        <w:ind w:left="0"/>
        <w:jc w:val="both"/>
      </w:pPr>
      <w:r w:rsidRPr="00861EE0">
        <w:t xml:space="preserve">Úprava </w:t>
      </w:r>
      <w:proofErr w:type="spellStart"/>
      <w:r w:rsidRPr="00861EE0">
        <w:t>pojmológie</w:t>
      </w:r>
      <w:proofErr w:type="spellEnd"/>
      <w:r w:rsidRPr="00861EE0">
        <w:t xml:space="preserve"> v súlade s Agendou 2030 pre udržateľný rozvoj. Slovenská republika sa k implementácii Agendy 2030 prihlásila v dokumente „</w:t>
      </w:r>
      <w:r w:rsidRPr="00861EE0">
        <w:rPr>
          <w:i/>
        </w:rPr>
        <w:t>Východiská implementácie Agendy 2030 pre udržateľný rozvoj</w:t>
      </w:r>
      <w:r w:rsidRPr="00861EE0">
        <w:t>“, schválenom uznesením vlády SR č. 95 z 2. marca 2016.</w:t>
      </w:r>
    </w:p>
    <w:p w:rsidR="00E163C3" w:rsidRPr="00861EE0" w:rsidRDefault="00E163C3" w:rsidP="00366732">
      <w:pPr>
        <w:pStyle w:val="Zkladntext2"/>
      </w:pPr>
    </w:p>
    <w:p w:rsidR="00E163C3" w:rsidRPr="00861EE0" w:rsidRDefault="00E163C3" w:rsidP="00366732">
      <w:pPr>
        <w:pStyle w:val="Zkladntext2"/>
      </w:pPr>
      <w:r w:rsidRPr="00861EE0">
        <w:t xml:space="preserve">K bodu </w:t>
      </w:r>
      <w:r w:rsidR="00C45F57" w:rsidRPr="00861EE0">
        <w:t>2</w:t>
      </w:r>
    </w:p>
    <w:p w:rsidR="00E163C3" w:rsidRPr="00861EE0" w:rsidRDefault="00E163C3" w:rsidP="00366732">
      <w:pPr>
        <w:pStyle w:val="Zkladntext2"/>
      </w:pPr>
      <w:r w:rsidRPr="00861EE0">
        <w:t xml:space="preserve">Vzhľadom na poznatky </w:t>
      </w:r>
      <w:r w:rsidR="00E74AC6" w:rsidRPr="00861EE0">
        <w:t xml:space="preserve">z </w:t>
      </w:r>
      <w:r w:rsidRPr="00861EE0">
        <w:t>aplikačnej praxe, s cieľom vypracovania komplexnej a podrobnej správy o rozvojovej spolupráci za prechádzajúci rok, je potrebné predĺžiť lehotu na jej predloženie vláde Slovenskej republiky o dva mesiace.</w:t>
      </w:r>
    </w:p>
    <w:p w:rsidR="00E163C3" w:rsidRPr="00861EE0" w:rsidRDefault="00E163C3" w:rsidP="00366732">
      <w:pPr>
        <w:pStyle w:val="Zkladntext2"/>
      </w:pPr>
    </w:p>
    <w:p w:rsidR="00E74AC6" w:rsidRPr="00861EE0" w:rsidRDefault="00E74AC6" w:rsidP="00E74AC6">
      <w:pPr>
        <w:pStyle w:val="Zkladntext2"/>
      </w:pPr>
      <w:r w:rsidRPr="00861EE0">
        <w:t xml:space="preserve">K bodu 3 </w:t>
      </w:r>
    </w:p>
    <w:p w:rsidR="00EE1CCD" w:rsidRPr="00861EE0" w:rsidRDefault="00E74AC6" w:rsidP="00E74AC6">
      <w:pPr>
        <w:pStyle w:val="Zkladntext2"/>
      </w:pPr>
      <w:r w:rsidRPr="00861EE0">
        <w:t>Navrhuje sa priamo do ustanovenia § 4 ods. 4 zákona o rozvojovej spolupráci (ďalej pre čl. I</w:t>
      </w:r>
      <w:r w:rsidR="00432C42" w:rsidRPr="00861EE0">
        <w:t>V</w:t>
      </w:r>
      <w:r w:rsidRPr="00861EE0">
        <w:t xml:space="preserve"> aj ako „zákon“) doplniť Eximbanku medzi subjekty, ktoré sa podieľajú na realizácii rozvojovej spolupráce.   </w:t>
      </w:r>
    </w:p>
    <w:p w:rsidR="00E74AC6" w:rsidRPr="00861EE0" w:rsidRDefault="00E74AC6" w:rsidP="00E74AC6">
      <w:pPr>
        <w:pStyle w:val="Zkladntext2"/>
      </w:pPr>
      <w:r w:rsidRPr="00861EE0">
        <w:t xml:space="preserve">   </w:t>
      </w:r>
    </w:p>
    <w:p w:rsidR="00E163C3" w:rsidRPr="00861EE0" w:rsidRDefault="00E163C3" w:rsidP="00366732">
      <w:pPr>
        <w:pStyle w:val="Zkladntext2"/>
      </w:pPr>
      <w:r w:rsidRPr="00861EE0">
        <w:t xml:space="preserve">K bodu </w:t>
      </w:r>
      <w:r w:rsidR="00E74AC6" w:rsidRPr="00861EE0">
        <w:t>4</w:t>
      </w:r>
    </w:p>
    <w:p w:rsidR="00C45F57" w:rsidRPr="00861EE0" w:rsidRDefault="00C45F57" w:rsidP="00C45F57">
      <w:pPr>
        <w:pStyle w:val="Odsekzoznamu"/>
        <w:ind w:left="0"/>
        <w:jc w:val="both"/>
      </w:pPr>
      <w:r w:rsidRPr="00861EE0">
        <w:t>V nadväznosti na zmenu kompetencie v procese schvaľovania žiadostí o poskytnutie finančného príspevku podľa § 8 ods. 1 písm. b) až d) zákona z Ministerstva zahraničných vecí a európskych záležitostí S</w:t>
      </w:r>
      <w:r w:rsidR="000C7B3A" w:rsidRPr="00861EE0">
        <w:t xml:space="preserve">R </w:t>
      </w:r>
      <w:r w:rsidRPr="00861EE0">
        <w:t xml:space="preserve">na Slovenskú agentúru pre medzinárodnú rozvojovú spoluprácu, navrhuje sa tiež výslovná úprava tejto právomoci vo vzťahu </w:t>
      </w:r>
      <w:r w:rsidR="005C7B45" w:rsidRPr="00861EE0">
        <w:t xml:space="preserve">k </w:t>
      </w:r>
      <w:r w:rsidRPr="00861EE0">
        <w:t xml:space="preserve">riaditeľovi </w:t>
      </w:r>
      <w:r w:rsidR="00C129BD" w:rsidRPr="00861EE0">
        <w:t xml:space="preserve">tejto </w:t>
      </w:r>
      <w:r w:rsidRPr="00861EE0">
        <w:t>agentúry.</w:t>
      </w:r>
    </w:p>
    <w:p w:rsidR="00C45F57" w:rsidRPr="00861EE0" w:rsidRDefault="00C45F57" w:rsidP="00366732">
      <w:pPr>
        <w:pStyle w:val="Zkladntext2"/>
      </w:pPr>
    </w:p>
    <w:p w:rsidR="00775B8C" w:rsidRPr="00861EE0" w:rsidRDefault="00775B8C" w:rsidP="00366732">
      <w:pPr>
        <w:pStyle w:val="Zkladntext2"/>
      </w:pPr>
      <w:r w:rsidRPr="00861EE0">
        <w:t>K</w:t>
      </w:r>
      <w:r w:rsidR="000C7B3A" w:rsidRPr="00861EE0">
        <w:t> </w:t>
      </w:r>
      <w:r w:rsidRPr="00861EE0">
        <w:t>bodu</w:t>
      </w:r>
      <w:r w:rsidR="000C7B3A" w:rsidRPr="00861EE0">
        <w:t xml:space="preserve"> </w:t>
      </w:r>
      <w:r w:rsidR="00F7440F" w:rsidRPr="00861EE0">
        <w:t>5</w:t>
      </w:r>
      <w:r w:rsidRPr="00861EE0">
        <w:t xml:space="preserve"> </w:t>
      </w:r>
    </w:p>
    <w:p w:rsidR="000C7B3A" w:rsidRPr="00861EE0" w:rsidRDefault="005A7302" w:rsidP="00366732">
      <w:pPr>
        <w:pStyle w:val="Zkladntext2"/>
      </w:pPr>
      <w:r w:rsidRPr="00861EE0">
        <w:t>Z dôvodu zavedenia nov</w:t>
      </w:r>
      <w:r w:rsidR="00E74AC6" w:rsidRPr="00861EE0">
        <w:t xml:space="preserve">ých </w:t>
      </w:r>
      <w:r w:rsidRPr="00861EE0">
        <w:t>nástroj</w:t>
      </w:r>
      <w:r w:rsidR="00E74AC6" w:rsidRPr="00861EE0">
        <w:t xml:space="preserve">ov </w:t>
      </w:r>
      <w:r w:rsidR="00C129BD" w:rsidRPr="00861EE0">
        <w:t>rozvojovej spolupráce, ktorým</w:t>
      </w:r>
      <w:r w:rsidR="00E74AC6" w:rsidRPr="00861EE0">
        <w:t>i</w:t>
      </w:r>
      <w:r w:rsidR="00C129BD" w:rsidRPr="00861EE0">
        <w:t xml:space="preserve"> </w:t>
      </w:r>
      <w:r w:rsidR="00E74AC6" w:rsidRPr="00861EE0">
        <w:t xml:space="preserve">sú poskytnutie </w:t>
      </w:r>
      <w:r w:rsidR="00C129BD" w:rsidRPr="00861EE0">
        <w:t>vedomostí a</w:t>
      </w:r>
      <w:r w:rsidR="00E74AC6" w:rsidRPr="00861EE0">
        <w:t> </w:t>
      </w:r>
      <w:r w:rsidR="00C129BD" w:rsidRPr="00861EE0">
        <w:t>skúseností</w:t>
      </w:r>
      <w:r w:rsidR="00E74AC6" w:rsidRPr="00861EE0">
        <w:t xml:space="preserve"> a vykonávanie finančných nástrojov EÚ určených na rozvojovú spoluprácu</w:t>
      </w:r>
      <w:r w:rsidR="005C6940" w:rsidRPr="00861EE0">
        <w:t>, n</w:t>
      </w:r>
      <w:r w:rsidR="00C129BD" w:rsidRPr="00861EE0">
        <w:t>a realizáci</w:t>
      </w:r>
      <w:r w:rsidR="00A279D8" w:rsidRPr="00861EE0">
        <w:t>i</w:t>
      </w:r>
      <w:r w:rsidR="00C129BD" w:rsidRPr="00861EE0">
        <w:t xml:space="preserve"> ktor</w:t>
      </w:r>
      <w:r w:rsidR="005C6940" w:rsidRPr="00861EE0">
        <w:t xml:space="preserve">ých </w:t>
      </w:r>
      <w:r w:rsidR="00C129BD" w:rsidRPr="00861EE0">
        <w:t>sa bude podieľať aj Slovenská agentúra pre medzinárodnú rozvojovú spoluprácu</w:t>
      </w:r>
      <w:r w:rsidR="005C7B45" w:rsidRPr="00861EE0">
        <w:t>,</w:t>
      </w:r>
      <w:r w:rsidR="001563B2" w:rsidRPr="00861EE0">
        <w:t xml:space="preserve"> je potrebné,</w:t>
      </w:r>
      <w:r w:rsidR="00C129BD" w:rsidRPr="00861EE0">
        <w:t xml:space="preserve"> </w:t>
      </w:r>
      <w:r w:rsidRPr="00861EE0">
        <w:t xml:space="preserve">z dôvodu úpravy </w:t>
      </w:r>
      <w:r w:rsidR="001563B2" w:rsidRPr="00861EE0">
        <w:t xml:space="preserve">taxatívneho </w:t>
      </w:r>
      <w:r w:rsidRPr="00861EE0">
        <w:t>výpočtu nástrojov rozvojovej spolupráce ustanovených v § 6</w:t>
      </w:r>
      <w:r w:rsidR="00C129BD" w:rsidRPr="00861EE0">
        <w:t xml:space="preserve"> zákona,</w:t>
      </w:r>
      <w:r w:rsidRPr="00861EE0">
        <w:t xml:space="preserve"> upraviť znenie písmena a)</w:t>
      </w:r>
      <w:r w:rsidR="005C6940" w:rsidRPr="00861EE0">
        <w:t xml:space="preserve"> </w:t>
      </w:r>
      <w:r w:rsidRPr="00861EE0">
        <w:t xml:space="preserve">v § </w:t>
      </w:r>
      <w:r w:rsidR="00C129BD" w:rsidRPr="00861EE0">
        <w:t>5</w:t>
      </w:r>
      <w:r w:rsidRPr="00861EE0">
        <w:t xml:space="preserve"> ods. 5</w:t>
      </w:r>
      <w:r w:rsidR="00C129BD" w:rsidRPr="00861EE0">
        <w:t xml:space="preserve"> zákona</w:t>
      </w:r>
      <w:r w:rsidRPr="00861EE0">
        <w:t>.</w:t>
      </w:r>
    </w:p>
    <w:p w:rsidR="00C129BD" w:rsidRPr="00861EE0" w:rsidRDefault="00C129BD" w:rsidP="00366732">
      <w:pPr>
        <w:pStyle w:val="Zkladntext2"/>
      </w:pPr>
    </w:p>
    <w:p w:rsidR="00C129BD" w:rsidRPr="00861EE0" w:rsidRDefault="00C129BD" w:rsidP="00366732">
      <w:pPr>
        <w:pStyle w:val="Zkladntext2"/>
      </w:pPr>
      <w:r w:rsidRPr="00861EE0">
        <w:t>K</w:t>
      </w:r>
      <w:r w:rsidR="006058EF" w:rsidRPr="00861EE0">
        <w:t> </w:t>
      </w:r>
      <w:r w:rsidRPr="00861EE0">
        <w:t>bod</w:t>
      </w:r>
      <w:r w:rsidR="006058EF" w:rsidRPr="00861EE0">
        <w:t>om 6 a 7</w:t>
      </w:r>
    </w:p>
    <w:p w:rsidR="009D22CA" w:rsidRPr="00861EE0" w:rsidRDefault="00C129BD" w:rsidP="00366732">
      <w:pPr>
        <w:pStyle w:val="Zkladntext2"/>
      </w:pPr>
      <w:r w:rsidRPr="00861EE0">
        <w:t>Z dôvodu navrhovaného rozšírenia nástrojov rozvojovej spolupráce o</w:t>
      </w:r>
      <w:r w:rsidR="005C6940" w:rsidRPr="00861EE0">
        <w:t xml:space="preserve"> poskytnutie </w:t>
      </w:r>
      <w:r w:rsidRPr="00861EE0">
        <w:t>vedomostí a skúseností (nový § 9a zákona) a o</w:t>
      </w:r>
      <w:r w:rsidR="005C6940" w:rsidRPr="00861EE0">
        <w:t xml:space="preserve"> vykonávanie </w:t>
      </w:r>
      <w:r w:rsidRPr="00861EE0">
        <w:t>finančn</w:t>
      </w:r>
      <w:r w:rsidR="005C6940" w:rsidRPr="00861EE0">
        <w:t>ých n</w:t>
      </w:r>
      <w:r w:rsidRPr="00861EE0">
        <w:t>ástroj</w:t>
      </w:r>
      <w:r w:rsidR="005C6940" w:rsidRPr="00861EE0">
        <w:t xml:space="preserve">ov </w:t>
      </w:r>
      <w:r w:rsidRPr="00861EE0">
        <w:t>EÚ určen</w:t>
      </w:r>
      <w:r w:rsidR="005C6940" w:rsidRPr="00861EE0">
        <w:t xml:space="preserve">ých </w:t>
      </w:r>
      <w:r w:rsidRPr="00861EE0">
        <w:t xml:space="preserve">na rozvojovú spoluprácu </w:t>
      </w:r>
      <w:r w:rsidR="006058EF" w:rsidRPr="00861EE0">
        <w:t xml:space="preserve">(nový § 12a zákona) </w:t>
      </w:r>
      <w:r w:rsidRPr="00861EE0">
        <w:t xml:space="preserve">sa upravuje súhrnný výpočet nástrojov rozvojovej spolupráce ustanovený v § 6 zákona. </w:t>
      </w:r>
      <w:r w:rsidR="006058EF" w:rsidRPr="00861EE0">
        <w:t>Z dôvodu dodržania vecnej hierarchie výpočtu týchto nástrojov je potrebn</w:t>
      </w:r>
      <w:r w:rsidR="00E76F01" w:rsidRPr="00861EE0">
        <w:t xml:space="preserve">á ich </w:t>
      </w:r>
      <w:r w:rsidR="006058EF" w:rsidRPr="00861EE0">
        <w:t>úprav</w:t>
      </w:r>
      <w:r w:rsidR="00E76F01" w:rsidRPr="00861EE0">
        <w:t>a</w:t>
      </w:r>
      <w:r w:rsidR="006058EF" w:rsidRPr="00861EE0">
        <w:t xml:space="preserve"> </w:t>
      </w:r>
      <w:r w:rsidR="00E76F01" w:rsidRPr="00861EE0">
        <w:t>v </w:t>
      </w:r>
      <w:r w:rsidR="006058EF" w:rsidRPr="00861EE0">
        <w:t>dvo</w:t>
      </w:r>
      <w:r w:rsidR="00E76F01" w:rsidRPr="00861EE0">
        <w:t>ch samostatných ustanoveniach.</w:t>
      </w:r>
      <w:r w:rsidR="006058EF" w:rsidRPr="00861EE0">
        <w:t xml:space="preserve">   </w:t>
      </w:r>
      <w:r w:rsidRPr="00861EE0">
        <w:t xml:space="preserve"> </w:t>
      </w:r>
    </w:p>
    <w:p w:rsidR="005C7B45" w:rsidRPr="00861EE0" w:rsidRDefault="005C7B45" w:rsidP="00366732">
      <w:pPr>
        <w:pStyle w:val="Zkladntext2"/>
      </w:pPr>
    </w:p>
    <w:p w:rsidR="00C129BD" w:rsidRPr="00861EE0" w:rsidRDefault="00C129BD" w:rsidP="00366732">
      <w:pPr>
        <w:pStyle w:val="Zkladntext2"/>
      </w:pPr>
      <w:r w:rsidRPr="00861EE0">
        <w:t xml:space="preserve">K bodu </w:t>
      </w:r>
      <w:r w:rsidR="00F9193A" w:rsidRPr="00861EE0">
        <w:t>8</w:t>
      </w:r>
    </w:p>
    <w:p w:rsidR="00775B8C" w:rsidRPr="00861EE0" w:rsidRDefault="00F9193A" w:rsidP="00366732">
      <w:pPr>
        <w:pStyle w:val="Zkladntext2"/>
      </w:pPr>
      <w:r w:rsidRPr="00861EE0">
        <w:t>Zjednodušuje a racionalizuje sa postup poskytovania finančného príspevku ako nástroja rozvojovej spolupráce. Vzhľadom na osobitné podmienky poskytnutia finančného príspevku medzinárodnej organizácii a partnerskej krajine podľa § 8 ods. 1 písm. a) a e) bude aj naďalej možné, aby takýto finančný príspevok poskytlo priamo Ministerstvo zahraničných vecí a európskych záležitostí SR, pričom sa zároveň navrhuje, aby ho mohla poskytnúť aj Slovenská agentúra pre medzinárodnú rozvojovú spoluprácu.</w:t>
      </w:r>
    </w:p>
    <w:p w:rsidR="00F9193A" w:rsidRPr="00861EE0" w:rsidRDefault="00F9193A" w:rsidP="00366732">
      <w:pPr>
        <w:pStyle w:val="Zkladntext2"/>
      </w:pPr>
    </w:p>
    <w:p w:rsidR="00F9193A" w:rsidRPr="00861EE0" w:rsidRDefault="00FD74AA" w:rsidP="00366732">
      <w:pPr>
        <w:pStyle w:val="Zkladntext2"/>
      </w:pPr>
      <w:r w:rsidRPr="00861EE0">
        <w:t>K</w:t>
      </w:r>
      <w:r w:rsidR="00F9193A" w:rsidRPr="00861EE0">
        <w:t> </w:t>
      </w:r>
      <w:r w:rsidRPr="00861EE0">
        <w:t>bodu</w:t>
      </w:r>
      <w:r w:rsidR="00F9193A" w:rsidRPr="00861EE0">
        <w:t xml:space="preserve"> 9</w:t>
      </w:r>
    </w:p>
    <w:p w:rsidR="00F9193A" w:rsidRPr="00861EE0" w:rsidRDefault="00F9193A" w:rsidP="00F9193A">
      <w:pPr>
        <w:pStyle w:val="Odsekzoznamu"/>
        <w:ind w:left="0"/>
        <w:jc w:val="both"/>
      </w:pPr>
      <w:r w:rsidRPr="00861EE0">
        <w:t xml:space="preserve">Navrhuje sa úprava poskytovania finančného príspevku podľa § 8 ods. 1 písm. b) až d) tak, aby sa zabezpečila väčšia konzistentnosť tohto procesu a zlepšilo sa monitorovanie poskytovaných finančných príspevkov. Tento finančný príspevok bude na základe žiadosti schvaľovať </w:t>
      </w:r>
      <w:r w:rsidRPr="00861EE0">
        <w:lastRenderedPageBreak/>
        <w:t xml:space="preserve">Slovenská agentúra pre medzinárodnú rozvojovú spoluprácu v nadväznosti na záväzné súhlasné stanovisko Ministerstva zahraničných vecí a európskych záležitostí SR. </w:t>
      </w:r>
    </w:p>
    <w:p w:rsidR="00F9193A" w:rsidRPr="00861EE0" w:rsidRDefault="00F9193A" w:rsidP="00366732">
      <w:pPr>
        <w:pStyle w:val="Zkladntext2"/>
      </w:pPr>
    </w:p>
    <w:p w:rsidR="00F9193A" w:rsidRPr="00861EE0" w:rsidRDefault="00F9193A" w:rsidP="00366732">
      <w:pPr>
        <w:pStyle w:val="Zkladntext2"/>
      </w:pPr>
      <w:r w:rsidRPr="00861EE0">
        <w:t>K bodu 10</w:t>
      </w:r>
    </w:p>
    <w:p w:rsidR="00EC4F8E" w:rsidRPr="00861EE0" w:rsidRDefault="00FE61D8" w:rsidP="00366732">
      <w:pPr>
        <w:pStyle w:val="Zkladntext2"/>
      </w:pPr>
      <w:r w:rsidRPr="00861EE0">
        <w:t>Z dôvodu potreby efektívnejšej implementácie nástroja rozvojovej spolupráce, ktorým je zadanie zákazky, sa navrhuje skrátenie lehoty na zverejnenie súťažných podmienok na predkladanie ponúk na zadanie zákazky.</w:t>
      </w:r>
    </w:p>
    <w:p w:rsidR="00EC4F8E" w:rsidRPr="00861EE0" w:rsidRDefault="00EC4F8E" w:rsidP="00366732">
      <w:pPr>
        <w:pStyle w:val="Zkladntext2"/>
      </w:pPr>
    </w:p>
    <w:p w:rsidR="00EC4F8E" w:rsidRPr="00861EE0" w:rsidRDefault="00EC4F8E" w:rsidP="00366732">
      <w:pPr>
        <w:pStyle w:val="Zkladntext2"/>
      </w:pPr>
      <w:r w:rsidRPr="00861EE0">
        <w:t>K bodu 11</w:t>
      </w:r>
    </w:p>
    <w:p w:rsidR="00A703C1" w:rsidRPr="00861EE0" w:rsidRDefault="00A703C1" w:rsidP="00F44549">
      <w:pPr>
        <w:jc w:val="both"/>
      </w:pPr>
      <w:r w:rsidRPr="00861EE0">
        <w:t xml:space="preserve">Navrhuje sa doplniť nový nástroj rozvojovej spolupráce, ktorým je </w:t>
      </w:r>
      <w:r w:rsidR="00CC5E97" w:rsidRPr="00861EE0">
        <w:t>poskytnutie v</w:t>
      </w:r>
      <w:r w:rsidRPr="00861EE0">
        <w:t xml:space="preserve">edomostí a skúseností ako jeden z nástrojov ODA. Cieľom tohto nástroja je, v súlade s jeho navrhovanou definíciou, odovzdávanie vedomostí a skúseností </w:t>
      </w:r>
      <w:r w:rsidR="00CC5E97" w:rsidRPr="00861EE0">
        <w:t xml:space="preserve">napr. </w:t>
      </w:r>
      <w:r w:rsidRPr="00861EE0">
        <w:t xml:space="preserve">z transformačného </w:t>
      </w:r>
      <w:r w:rsidR="00CC5E97" w:rsidRPr="00861EE0">
        <w:t xml:space="preserve">alebo integračného </w:t>
      </w:r>
      <w:r w:rsidRPr="00861EE0">
        <w:t>procesu Slovenskej republiky</w:t>
      </w:r>
      <w:r w:rsidR="00CC5E97" w:rsidRPr="00861EE0">
        <w:t>,</w:t>
      </w:r>
      <w:r w:rsidRPr="00861EE0">
        <w:t xml:space="preserve"> a to najmä form</w:t>
      </w:r>
      <w:r w:rsidR="00AD5FCD" w:rsidRPr="00861EE0">
        <w:t>ou</w:t>
      </w:r>
      <w:r w:rsidRPr="00861EE0">
        <w:t xml:space="preserve"> študijnej návštevy alebo stáže v Slovenskej republike, vyslania odborníkov do partnerskej krajiny alebo odborného podujatia. Doplnenie nového nástroja rozvojovej spolupráce nadväzuje na skúsenosti Slovenskej republiky z integrácie do európskych a severoatlantických štruktúr. Prostredníctvom tohto nástroja je možné odovzdávať </w:t>
      </w:r>
      <w:r w:rsidR="00CC5E97" w:rsidRPr="00861EE0">
        <w:t xml:space="preserve">aj </w:t>
      </w:r>
      <w:r w:rsidRPr="00861EE0">
        <w:t xml:space="preserve">odborné znalosti, skúsenosti a odporúčania z úspešných reforiem správy vecí verejných v rôznych oblastiach, kde má Slovenská republika komparatívne výhody, čím možno prispieť k budovaniu personálnych kapacít verejnej správy v partnerských krajinách a k ich pripravenosti využívať programy Európskej únie. Vzhľadom na to, že bol zaznamenaný stúpajúci záujem o túto formu rozvojovej spolupráce zo strany partnerských krajín, navrhuje sa jej výslovná zákonná úprava. </w:t>
      </w:r>
      <w:r w:rsidR="005335F1" w:rsidRPr="00861EE0">
        <w:t xml:space="preserve">Tento nástroj rozvojovej spolupráce </w:t>
      </w:r>
      <w:r w:rsidR="00F44549" w:rsidRPr="00861EE0">
        <w:t>bude môcť realizovať Slovenská agentúra pre medzinárodnú rozvojovú spoluprácu na základe projek</w:t>
      </w:r>
      <w:r w:rsidR="001563B2" w:rsidRPr="00861EE0">
        <w:t>t</w:t>
      </w:r>
      <w:r w:rsidR="00F44549" w:rsidRPr="00861EE0">
        <w:t xml:space="preserve">u poskytnutia vedomostí a skúseností, pričom návrh tohto </w:t>
      </w:r>
      <w:r w:rsidR="00E76F01" w:rsidRPr="00861EE0">
        <w:t xml:space="preserve">projektu </w:t>
      </w:r>
      <w:r w:rsidR="00F44549" w:rsidRPr="00861EE0">
        <w:t>bude vyhodnocovať a schvaľovať komisia, ktorú zriaďuje minister zahraničných vecí a európskych záležitostí SR. Poskytnutie vedomostí a skúseností budú môcť v rámci svojej pôsobnosti realizovať aj ústredné orgány štátnej správy a orgány územnej samosprávy SR, a to aj bez potreby existencie projektu poskytnutia vedomostí a skúseností, schváleného komisiou zriadenou ministrom zahraničných vecí a európskych záležitostí SR.</w:t>
      </w:r>
    </w:p>
    <w:p w:rsidR="00F9193A" w:rsidRPr="00861EE0" w:rsidRDefault="00F9193A" w:rsidP="00366732">
      <w:pPr>
        <w:pStyle w:val="Zkladntext2"/>
      </w:pPr>
    </w:p>
    <w:p w:rsidR="00F9193A" w:rsidRPr="00861EE0" w:rsidRDefault="00DF225E" w:rsidP="00366732">
      <w:pPr>
        <w:pStyle w:val="Zkladntext2"/>
      </w:pPr>
      <w:r w:rsidRPr="00861EE0">
        <w:t>K bodu 1</w:t>
      </w:r>
      <w:r w:rsidR="00FE61D8" w:rsidRPr="00861EE0">
        <w:t>2</w:t>
      </w:r>
    </w:p>
    <w:p w:rsidR="00DF225E" w:rsidRPr="00861EE0" w:rsidRDefault="00DF225E" w:rsidP="00366732">
      <w:pPr>
        <w:pStyle w:val="Zkladntext2"/>
      </w:pPr>
      <w:r w:rsidRPr="00861EE0">
        <w:t xml:space="preserve">Ustanovenie § 10 ods. 1 zákona sa </w:t>
      </w:r>
      <w:r w:rsidR="005335F1" w:rsidRPr="00861EE0">
        <w:t xml:space="preserve">upravuje </w:t>
      </w:r>
      <w:r w:rsidRPr="00861EE0">
        <w:t xml:space="preserve">z dôvodu, aby bolo jednoznačné, </w:t>
      </w:r>
      <w:r w:rsidR="005335F1" w:rsidRPr="00861EE0">
        <w:t xml:space="preserve">že </w:t>
      </w:r>
      <w:r w:rsidRPr="00861EE0">
        <w:t>vládne štipendium sčasti kryje aj náklady na jazykovú prípravu k štúdiu na verejnej vysokej škole so sídlom na území SR</w:t>
      </w:r>
      <w:r w:rsidR="005335F1" w:rsidRPr="00861EE0">
        <w:t xml:space="preserve">, ako aj z dôvodu zavedenia legislatívnych skratiek </w:t>
      </w:r>
      <w:r w:rsidR="00D8531E" w:rsidRPr="00861EE0">
        <w:t xml:space="preserve">„jazyková príprava“ a </w:t>
      </w:r>
      <w:r w:rsidR="005335F1" w:rsidRPr="00861EE0">
        <w:t xml:space="preserve">„verejná vysoká škola“. </w:t>
      </w:r>
      <w:r w:rsidRPr="00861EE0">
        <w:t xml:space="preserve"> </w:t>
      </w:r>
    </w:p>
    <w:p w:rsidR="00DF225E" w:rsidRPr="00861EE0" w:rsidRDefault="00DF225E" w:rsidP="00366732">
      <w:pPr>
        <w:pStyle w:val="Zkladntext2"/>
      </w:pPr>
    </w:p>
    <w:p w:rsidR="006E13C7" w:rsidRPr="00861EE0" w:rsidRDefault="006E13C7" w:rsidP="00366732">
      <w:pPr>
        <w:pStyle w:val="Zkladntext2"/>
      </w:pPr>
      <w:r w:rsidRPr="00861EE0">
        <w:t>K bodu 1</w:t>
      </w:r>
      <w:r w:rsidR="00FE61D8" w:rsidRPr="00861EE0">
        <w:t>3</w:t>
      </w:r>
    </w:p>
    <w:p w:rsidR="006E13C7" w:rsidRPr="00861EE0" w:rsidRDefault="006E13C7" w:rsidP="006E13C7">
      <w:pPr>
        <w:jc w:val="both"/>
        <w:rPr>
          <w:color w:val="000000"/>
        </w:rPr>
      </w:pPr>
      <w:r w:rsidRPr="00861EE0">
        <w:t xml:space="preserve">Ustanovenie § 10 ods. 2 zákona sa dopĺňa o spresnenie </w:t>
      </w:r>
      <w:r w:rsidRPr="00861EE0">
        <w:rPr>
          <w:color w:val="000000"/>
        </w:rPr>
        <w:t xml:space="preserve">podmienok </w:t>
      </w:r>
      <w:r w:rsidR="00385A41" w:rsidRPr="00861EE0">
        <w:rPr>
          <w:color w:val="000000"/>
        </w:rPr>
        <w:t xml:space="preserve">pre priznanie </w:t>
      </w:r>
      <w:r w:rsidRPr="00861EE0">
        <w:rPr>
          <w:color w:val="000000"/>
        </w:rPr>
        <w:t>vl</w:t>
      </w:r>
      <w:r w:rsidR="005335F1" w:rsidRPr="00861EE0">
        <w:rPr>
          <w:color w:val="000000"/>
        </w:rPr>
        <w:t xml:space="preserve">ádneho </w:t>
      </w:r>
      <w:r w:rsidRPr="00861EE0">
        <w:rPr>
          <w:color w:val="000000"/>
        </w:rPr>
        <w:t>štipendi</w:t>
      </w:r>
      <w:r w:rsidR="005335F1" w:rsidRPr="00861EE0">
        <w:rPr>
          <w:color w:val="000000"/>
        </w:rPr>
        <w:t xml:space="preserve">a </w:t>
      </w:r>
      <w:r w:rsidRPr="00861EE0">
        <w:rPr>
          <w:color w:val="000000"/>
        </w:rPr>
        <w:t>Slovákom žijúcim v</w:t>
      </w:r>
      <w:r w:rsidR="00385A41" w:rsidRPr="00861EE0">
        <w:rPr>
          <w:color w:val="000000"/>
        </w:rPr>
        <w:t> </w:t>
      </w:r>
      <w:r w:rsidRPr="00861EE0">
        <w:rPr>
          <w:color w:val="000000"/>
        </w:rPr>
        <w:t>zahraničí</w:t>
      </w:r>
      <w:r w:rsidR="00385A41" w:rsidRPr="00861EE0">
        <w:rPr>
          <w:color w:val="000000"/>
        </w:rPr>
        <w:t>, pričom z</w:t>
      </w:r>
      <w:r w:rsidR="000E1902" w:rsidRPr="00861EE0">
        <w:rPr>
          <w:color w:val="000000"/>
        </w:rPr>
        <w:t xml:space="preserve">ároveň sa </w:t>
      </w:r>
      <w:r w:rsidR="00EA3379" w:rsidRPr="00861EE0">
        <w:rPr>
          <w:color w:val="000000"/>
        </w:rPr>
        <w:t xml:space="preserve">tretia veta tohto </w:t>
      </w:r>
      <w:r w:rsidR="000E1902" w:rsidRPr="00861EE0">
        <w:rPr>
          <w:color w:val="000000"/>
        </w:rPr>
        <w:t>ustanoveni</w:t>
      </w:r>
      <w:r w:rsidR="00EA3379" w:rsidRPr="00861EE0">
        <w:rPr>
          <w:color w:val="000000"/>
        </w:rPr>
        <w:t>a</w:t>
      </w:r>
      <w:r w:rsidR="000E1902" w:rsidRPr="00861EE0">
        <w:rPr>
          <w:color w:val="000000"/>
        </w:rPr>
        <w:t xml:space="preserve"> upravuje z dôvodu uvedeného k novelizačným bodom 14</w:t>
      </w:r>
      <w:r w:rsidR="002D2341" w:rsidRPr="00861EE0">
        <w:rPr>
          <w:color w:val="000000"/>
        </w:rPr>
        <w:t xml:space="preserve"> a </w:t>
      </w:r>
      <w:r w:rsidR="000E1902" w:rsidRPr="00861EE0">
        <w:rPr>
          <w:color w:val="000000"/>
        </w:rPr>
        <w:t>1</w:t>
      </w:r>
      <w:r w:rsidR="002D2341" w:rsidRPr="00861EE0">
        <w:rPr>
          <w:color w:val="000000"/>
        </w:rPr>
        <w:t>7</w:t>
      </w:r>
      <w:r w:rsidR="000E1902" w:rsidRPr="00861EE0">
        <w:rPr>
          <w:color w:val="000000"/>
        </w:rPr>
        <w:t xml:space="preserve">. </w:t>
      </w:r>
      <w:r w:rsidR="00336A20" w:rsidRPr="00861EE0">
        <w:rPr>
          <w:color w:val="000000"/>
        </w:rPr>
        <w:t xml:space="preserve">Keďže </w:t>
      </w:r>
      <w:r w:rsidR="00EA3379" w:rsidRPr="00861EE0">
        <w:rPr>
          <w:color w:val="000000"/>
        </w:rPr>
        <w:t xml:space="preserve">týmto doplnením </w:t>
      </w:r>
      <w:r w:rsidR="00336A20" w:rsidRPr="00861EE0">
        <w:rPr>
          <w:color w:val="000000"/>
        </w:rPr>
        <w:t xml:space="preserve">sa pojem „Slovák žijúci v zahraničí“ </w:t>
      </w:r>
      <w:r w:rsidR="00EA3379" w:rsidRPr="00861EE0">
        <w:rPr>
          <w:color w:val="000000"/>
        </w:rPr>
        <w:t xml:space="preserve">prvýkrát </w:t>
      </w:r>
      <w:r w:rsidR="00336A20" w:rsidRPr="00861EE0">
        <w:rPr>
          <w:color w:val="000000"/>
        </w:rPr>
        <w:t xml:space="preserve">použil </w:t>
      </w:r>
      <w:r w:rsidR="00EA3379" w:rsidRPr="00861EE0">
        <w:rPr>
          <w:color w:val="000000"/>
        </w:rPr>
        <w:t>už v tomto odseku 2, je potrebné v rámci tejto úpravy zaviesť odkaz 11</w:t>
      </w:r>
      <w:r w:rsidR="00243CED" w:rsidRPr="00861EE0">
        <w:rPr>
          <w:color w:val="000000"/>
        </w:rPr>
        <w:t xml:space="preserve"> nad slovom „zahraničí“</w:t>
      </w:r>
      <w:r w:rsidR="00EA3379" w:rsidRPr="00861EE0">
        <w:rPr>
          <w:color w:val="000000"/>
        </w:rPr>
        <w:t xml:space="preserve">.   </w:t>
      </w:r>
      <w:r w:rsidR="00336A20" w:rsidRPr="00861EE0">
        <w:rPr>
          <w:color w:val="000000"/>
        </w:rPr>
        <w:t xml:space="preserve">    </w:t>
      </w:r>
      <w:r w:rsidR="000E1902" w:rsidRPr="00861EE0">
        <w:rPr>
          <w:color w:val="000000"/>
        </w:rPr>
        <w:t xml:space="preserve">  </w:t>
      </w:r>
    </w:p>
    <w:p w:rsidR="000E1902" w:rsidRPr="00861EE0" w:rsidRDefault="000E1902" w:rsidP="00366732">
      <w:pPr>
        <w:pStyle w:val="Zkladntext2"/>
      </w:pPr>
    </w:p>
    <w:p w:rsidR="000E1902" w:rsidRPr="00861EE0" w:rsidRDefault="000E1902" w:rsidP="00366732">
      <w:pPr>
        <w:pStyle w:val="Zkladntext2"/>
      </w:pPr>
      <w:r w:rsidRPr="00861EE0">
        <w:t>K bodom 14</w:t>
      </w:r>
      <w:r w:rsidR="002D2341" w:rsidRPr="00861EE0">
        <w:t xml:space="preserve"> a </w:t>
      </w:r>
      <w:r w:rsidRPr="00861EE0">
        <w:t>17</w:t>
      </w:r>
    </w:p>
    <w:p w:rsidR="000E1902" w:rsidRPr="00861EE0" w:rsidRDefault="000E1902" w:rsidP="00366732">
      <w:pPr>
        <w:pStyle w:val="Zkladntext2"/>
      </w:pPr>
      <w:r w:rsidRPr="00861EE0">
        <w:t xml:space="preserve">Na základe skúseností z aplikačnej praxe sa precizujú ustanovenia § 10 ods. 2 tretej vety, ods. 3 úvodnej vety, ods. 3 písm. c) </w:t>
      </w:r>
      <w:r w:rsidR="00EA3379" w:rsidRPr="00861EE0">
        <w:t xml:space="preserve">úvodnej vety </w:t>
      </w:r>
      <w:r w:rsidRPr="00861EE0">
        <w:t>a ods. 12 tak, aby sa rozlíšilo priznanie vládneho štipendia</w:t>
      </w:r>
      <w:r w:rsidR="00DD1FAF" w:rsidRPr="00861EE0">
        <w:t xml:space="preserve">, ktoré sa vykonáva oznámením o priznaní vládneho štipendia, od poskytovania vládneho štipendia, ktorým sa rozumie priebežné poukazovanie vládneho štipendia, samozrejme pri splnení, resp. dodržaní podmienok ustanovených zákonom.   </w:t>
      </w:r>
      <w:r w:rsidRPr="00861EE0">
        <w:t xml:space="preserve">     </w:t>
      </w:r>
    </w:p>
    <w:p w:rsidR="006E13C7" w:rsidRPr="00861EE0" w:rsidRDefault="000E1902" w:rsidP="00366732">
      <w:pPr>
        <w:pStyle w:val="Zkladntext2"/>
      </w:pPr>
      <w:r w:rsidRPr="00861EE0">
        <w:t xml:space="preserve"> </w:t>
      </w:r>
      <w:r w:rsidR="006E13C7" w:rsidRPr="00861EE0">
        <w:t xml:space="preserve">  </w:t>
      </w:r>
    </w:p>
    <w:p w:rsidR="006E13C7" w:rsidRPr="00861EE0" w:rsidRDefault="006E13C7" w:rsidP="00366732">
      <w:pPr>
        <w:pStyle w:val="Zkladntext2"/>
      </w:pPr>
      <w:r w:rsidRPr="00861EE0">
        <w:lastRenderedPageBreak/>
        <w:t>K</w:t>
      </w:r>
      <w:r w:rsidR="005335F1" w:rsidRPr="00861EE0">
        <w:t> </w:t>
      </w:r>
      <w:r w:rsidRPr="00861EE0">
        <w:t>bod</w:t>
      </w:r>
      <w:r w:rsidR="005335F1" w:rsidRPr="00861EE0">
        <w:t xml:space="preserve">om </w:t>
      </w:r>
      <w:r w:rsidRPr="00861EE0">
        <w:t>1</w:t>
      </w:r>
      <w:r w:rsidR="000E1902" w:rsidRPr="00861EE0">
        <w:t>5</w:t>
      </w:r>
      <w:r w:rsidR="005335F1" w:rsidRPr="00861EE0">
        <w:t xml:space="preserve"> a 1</w:t>
      </w:r>
      <w:r w:rsidR="000E1902" w:rsidRPr="00861EE0">
        <w:t>6</w:t>
      </w:r>
    </w:p>
    <w:p w:rsidR="00CD7C20" w:rsidRPr="00861EE0" w:rsidRDefault="00CD7C20" w:rsidP="00366732">
      <w:pPr>
        <w:pStyle w:val="Zkladntext2"/>
      </w:pPr>
      <w:r w:rsidRPr="00861EE0">
        <w:t>Legislatívno-technick</w:t>
      </w:r>
      <w:r w:rsidR="005335F1" w:rsidRPr="00861EE0">
        <w:t xml:space="preserve">é </w:t>
      </w:r>
      <w:r w:rsidRPr="00861EE0">
        <w:t>úprav</w:t>
      </w:r>
      <w:r w:rsidR="005335F1" w:rsidRPr="00861EE0">
        <w:t>y</w:t>
      </w:r>
      <w:r w:rsidRPr="00861EE0">
        <w:t xml:space="preserve"> súvisia</w:t>
      </w:r>
      <w:r w:rsidR="005335F1" w:rsidRPr="00861EE0">
        <w:t>ce</w:t>
      </w:r>
      <w:r w:rsidRPr="00861EE0">
        <w:t xml:space="preserve"> s úpravou § 10 ods. 1.</w:t>
      </w:r>
    </w:p>
    <w:p w:rsidR="00AD5FCD" w:rsidRPr="00861EE0" w:rsidRDefault="00AD5FCD" w:rsidP="00366732">
      <w:pPr>
        <w:pStyle w:val="Zkladntext2"/>
      </w:pPr>
    </w:p>
    <w:p w:rsidR="00CD7C20" w:rsidRPr="00861EE0" w:rsidRDefault="00F9193A" w:rsidP="00366732">
      <w:pPr>
        <w:pStyle w:val="Zkladntext2"/>
      </w:pPr>
      <w:r w:rsidRPr="00861EE0">
        <w:t xml:space="preserve">K bodu </w:t>
      </w:r>
      <w:r w:rsidR="00CD7C20" w:rsidRPr="00861EE0">
        <w:t>1</w:t>
      </w:r>
      <w:r w:rsidR="002D2341" w:rsidRPr="00861EE0">
        <w:t>8</w:t>
      </w:r>
    </w:p>
    <w:p w:rsidR="002D2341" w:rsidRPr="00861EE0" w:rsidRDefault="002D2341" w:rsidP="00366732">
      <w:pPr>
        <w:pStyle w:val="Zkladntext2"/>
      </w:pPr>
      <w:r w:rsidRPr="00861EE0">
        <w:t>V kontexte dôvodov uvedených k bodom 14 a 17 sa upravuje</w:t>
      </w:r>
      <w:r w:rsidR="00EA3379" w:rsidRPr="00861EE0">
        <w:t xml:space="preserve"> ustanovenie § 10 ods. 6 tak</w:t>
      </w:r>
      <w:r w:rsidRPr="00861EE0">
        <w:t xml:space="preserve">, aby bolo jednoznačné, že na vládne štipendium </w:t>
      </w:r>
      <w:r w:rsidR="00AE5ED1" w:rsidRPr="00861EE0">
        <w:t xml:space="preserve">ako také </w:t>
      </w:r>
      <w:r w:rsidRPr="00861EE0">
        <w:t xml:space="preserve">nie </w:t>
      </w:r>
      <w:r w:rsidR="00AE5ED1" w:rsidRPr="00861EE0">
        <w:t xml:space="preserve">je </w:t>
      </w:r>
      <w:r w:rsidRPr="00861EE0">
        <w:t>právny nárok</w:t>
      </w:r>
      <w:r w:rsidR="00AE5ED1" w:rsidRPr="00861EE0">
        <w:t xml:space="preserve">, </w:t>
      </w:r>
      <w:r w:rsidRPr="00861EE0">
        <w:t>to zn</w:t>
      </w:r>
      <w:r w:rsidR="00AE5ED1" w:rsidRPr="00861EE0">
        <w:t xml:space="preserve">amená ani na jeho priznanie, ani na jeho poskytovanie.   </w:t>
      </w:r>
      <w:r w:rsidRPr="00861EE0">
        <w:t xml:space="preserve">    </w:t>
      </w:r>
    </w:p>
    <w:p w:rsidR="002D2341" w:rsidRPr="00861EE0" w:rsidRDefault="002D2341" w:rsidP="00366732">
      <w:pPr>
        <w:pStyle w:val="Zkladntext2"/>
      </w:pPr>
    </w:p>
    <w:p w:rsidR="00AE5ED1" w:rsidRPr="00861EE0" w:rsidRDefault="00AE5ED1" w:rsidP="00366732">
      <w:pPr>
        <w:pStyle w:val="Zkladntext2"/>
      </w:pPr>
      <w:r w:rsidRPr="00861EE0">
        <w:t>K bodu 19</w:t>
      </w:r>
    </w:p>
    <w:p w:rsidR="00922A9B" w:rsidRPr="00861EE0" w:rsidRDefault="00922A9B" w:rsidP="00366732">
      <w:pPr>
        <w:pStyle w:val="Zkladntext2"/>
      </w:pPr>
      <w:r w:rsidRPr="00861EE0">
        <w:rPr>
          <w:color w:val="000000"/>
        </w:rPr>
        <w:t xml:space="preserve">Ustanovenie § 10 ods. 7 sa upravuje </w:t>
      </w:r>
      <w:r w:rsidR="00DD1FAF" w:rsidRPr="00861EE0">
        <w:rPr>
          <w:color w:val="000000"/>
        </w:rPr>
        <w:t xml:space="preserve">v kontexte s úpravami </w:t>
      </w:r>
      <w:r w:rsidR="00B9493B" w:rsidRPr="00861EE0">
        <w:rPr>
          <w:color w:val="000000"/>
        </w:rPr>
        <w:t xml:space="preserve">v </w:t>
      </w:r>
      <w:r w:rsidR="00DD1FAF" w:rsidRPr="00861EE0">
        <w:rPr>
          <w:color w:val="000000"/>
        </w:rPr>
        <w:t>bodoch 14</w:t>
      </w:r>
      <w:r w:rsidR="00AE5ED1" w:rsidRPr="00861EE0">
        <w:rPr>
          <w:color w:val="000000"/>
        </w:rPr>
        <w:t xml:space="preserve"> a </w:t>
      </w:r>
      <w:r w:rsidR="00DD1FAF" w:rsidRPr="00861EE0">
        <w:rPr>
          <w:color w:val="000000"/>
        </w:rPr>
        <w:t xml:space="preserve">17 ako aj </w:t>
      </w:r>
      <w:r w:rsidRPr="00861EE0">
        <w:rPr>
          <w:color w:val="000000"/>
        </w:rPr>
        <w:t>z dôvodu zavedenia legislatívnej skratky „</w:t>
      </w:r>
      <w:r w:rsidR="00025981" w:rsidRPr="00861EE0">
        <w:rPr>
          <w:color w:val="000000"/>
        </w:rPr>
        <w:t>š</w:t>
      </w:r>
      <w:r w:rsidRPr="00861EE0">
        <w:rPr>
          <w:color w:val="000000"/>
        </w:rPr>
        <w:t>tipendi</w:t>
      </w:r>
      <w:r w:rsidR="00025981" w:rsidRPr="00861EE0">
        <w:rPr>
          <w:color w:val="000000"/>
        </w:rPr>
        <w:t>sta</w:t>
      </w:r>
      <w:r w:rsidRPr="00861EE0">
        <w:rPr>
          <w:color w:val="000000"/>
        </w:rPr>
        <w:t>“ na účely je</w:t>
      </w:r>
      <w:r w:rsidR="00FA58C5" w:rsidRPr="00861EE0">
        <w:rPr>
          <w:color w:val="000000"/>
        </w:rPr>
        <w:t>j</w:t>
      </w:r>
      <w:r w:rsidRPr="00861EE0">
        <w:rPr>
          <w:color w:val="000000"/>
        </w:rPr>
        <w:t xml:space="preserve"> použitia v</w:t>
      </w:r>
      <w:r w:rsidR="00FA58C5" w:rsidRPr="00861EE0">
        <w:rPr>
          <w:color w:val="000000"/>
        </w:rPr>
        <w:t> </w:t>
      </w:r>
      <w:r w:rsidRPr="00861EE0">
        <w:rPr>
          <w:color w:val="000000"/>
        </w:rPr>
        <w:t>n</w:t>
      </w:r>
      <w:r w:rsidR="00FA58C5" w:rsidRPr="00861EE0">
        <w:rPr>
          <w:color w:val="000000"/>
        </w:rPr>
        <w:t>asledujúcich ustanoveniach</w:t>
      </w:r>
      <w:r w:rsidR="00DD1FAF" w:rsidRPr="00861EE0">
        <w:rPr>
          <w:color w:val="000000"/>
        </w:rPr>
        <w:t xml:space="preserve"> </w:t>
      </w:r>
      <w:r w:rsidR="00FA58C5" w:rsidRPr="00861EE0">
        <w:rPr>
          <w:color w:val="000000"/>
        </w:rPr>
        <w:t xml:space="preserve">§ </w:t>
      </w:r>
      <w:r w:rsidRPr="00861EE0">
        <w:rPr>
          <w:color w:val="000000"/>
        </w:rPr>
        <w:t>10</w:t>
      </w:r>
      <w:r w:rsidR="00FA58C5" w:rsidRPr="00861EE0">
        <w:rPr>
          <w:color w:val="000000"/>
        </w:rPr>
        <w:t xml:space="preserve">, vrátane </w:t>
      </w:r>
      <w:proofErr w:type="spellStart"/>
      <w:r w:rsidR="00FA58C5" w:rsidRPr="00861EE0">
        <w:rPr>
          <w:color w:val="000000"/>
        </w:rPr>
        <w:t>novonavrhovaných</w:t>
      </w:r>
      <w:proofErr w:type="spellEnd"/>
      <w:r w:rsidR="00FA58C5" w:rsidRPr="00861EE0">
        <w:rPr>
          <w:color w:val="000000"/>
        </w:rPr>
        <w:t xml:space="preserve"> odsekov </w:t>
      </w:r>
      <w:r w:rsidR="009A35F9" w:rsidRPr="00861EE0">
        <w:rPr>
          <w:color w:val="000000"/>
        </w:rPr>
        <w:t xml:space="preserve">14 až 19 </w:t>
      </w:r>
      <w:r w:rsidR="00FA58C5" w:rsidRPr="00861EE0">
        <w:rPr>
          <w:color w:val="000000"/>
        </w:rPr>
        <w:t>v tomto paragrafe</w:t>
      </w:r>
      <w:r w:rsidR="00025981" w:rsidRPr="00861EE0">
        <w:rPr>
          <w:color w:val="000000"/>
        </w:rPr>
        <w:t xml:space="preserve"> tak, aby z vymedzenia tejto skratky bolo jednoz</w:t>
      </w:r>
      <w:r w:rsidR="00AD60C2" w:rsidRPr="00861EE0">
        <w:rPr>
          <w:color w:val="000000"/>
        </w:rPr>
        <w:t>n</w:t>
      </w:r>
      <w:r w:rsidR="00025981" w:rsidRPr="00861EE0">
        <w:rPr>
          <w:color w:val="000000"/>
        </w:rPr>
        <w:t xml:space="preserve">ačné, </w:t>
      </w:r>
      <w:r w:rsidR="00AD60C2" w:rsidRPr="00861EE0">
        <w:rPr>
          <w:color w:val="000000"/>
        </w:rPr>
        <w:t xml:space="preserve">že </w:t>
      </w:r>
      <w:r w:rsidR="006F715F" w:rsidRPr="00861EE0">
        <w:rPr>
          <w:color w:val="000000"/>
        </w:rPr>
        <w:t>osoba, ktorej je priznané vládne štipendium</w:t>
      </w:r>
      <w:r w:rsidR="00AE5ED1" w:rsidRPr="00861EE0">
        <w:rPr>
          <w:color w:val="000000"/>
        </w:rPr>
        <w:t xml:space="preserve"> </w:t>
      </w:r>
      <w:r w:rsidR="006F715F" w:rsidRPr="00861EE0">
        <w:rPr>
          <w:color w:val="000000"/>
        </w:rPr>
        <w:t>(</w:t>
      </w:r>
      <w:r w:rsidR="00AE5ED1" w:rsidRPr="00861EE0">
        <w:rPr>
          <w:color w:val="000000"/>
        </w:rPr>
        <w:t xml:space="preserve">ktorá </w:t>
      </w:r>
      <w:r w:rsidR="006F715F" w:rsidRPr="00861EE0">
        <w:rPr>
          <w:color w:val="000000"/>
        </w:rPr>
        <w:t>získa štatút „štipendistu“)</w:t>
      </w:r>
      <w:r w:rsidR="00AE5ED1" w:rsidRPr="00861EE0">
        <w:rPr>
          <w:color w:val="000000"/>
        </w:rPr>
        <w:t>,</w:t>
      </w:r>
      <w:r w:rsidR="006F715F" w:rsidRPr="00861EE0">
        <w:rPr>
          <w:color w:val="000000"/>
        </w:rPr>
        <w:t xml:space="preserve"> je povinná splniť si povin</w:t>
      </w:r>
      <w:r w:rsidR="00B9493B" w:rsidRPr="00861EE0">
        <w:rPr>
          <w:color w:val="000000"/>
        </w:rPr>
        <w:t>n</w:t>
      </w:r>
      <w:r w:rsidR="006F715F" w:rsidRPr="00861EE0">
        <w:rPr>
          <w:color w:val="000000"/>
        </w:rPr>
        <w:t>osti</w:t>
      </w:r>
      <w:r w:rsidR="00B9493B" w:rsidRPr="00861EE0">
        <w:rPr>
          <w:color w:val="000000"/>
        </w:rPr>
        <w:t xml:space="preserve"> ustanovené v odseku 7 (pritom v tomto čase jej ešte nie </w:t>
      </w:r>
      <w:r w:rsidR="007656DE" w:rsidRPr="00861EE0">
        <w:rPr>
          <w:color w:val="000000"/>
        </w:rPr>
        <w:t xml:space="preserve">je </w:t>
      </w:r>
      <w:r w:rsidR="00B9493B" w:rsidRPr="00861EE0">
        <w:rPr>
          <w:color w:val="000000"/>
        </w:rPr>
        <w:t>vládne štipendium poskytované),</w:t>
      </w:r>
      <w:r w:rsidR="006F715F" w:rsidRPr="00861EE0">
        <w:rPr>
          <w:color w:val="000000"/>
        </w:rPr>
        <w:t xml:space="preserve"> a aby </w:t>
      </w:r>
      <w:r w:rsidR="00B9493B" w:rsidRPr="00861EE0">
        <w:rPr>
          <w:color w:val="000000"/>
        </w:rPr>
        <w:t xml:space="preserve">z vymedzenia tejto skratky </w:t>
      </w:r>
      <w:r w:rsidR="006F715F" w:rsidRPr="00861EE0">
        <w:rPr>
          <w:color w:val="000000"/>
        </w:rPr>
        <w:t xml:space="preserve">bolo zároveň nespochybniteľné, že </w:t>
      </w:r>
      <w:r w:rsidR="00AD60C2" w:rsidRPr="00861EE0">
        <w:rPr>
          <w:color w:val="000000"/>
        </w:rPr>
        <w:t xml:space="preserve">príspevok na štipendistu sa verejnej vysokej škole </w:t>
      </w:r>
      <w:r w:rsidR="006F715F" w:rsidRPr="00861EE0">
        <w:rPr>
          <w:color w:val="000000"/>
        </w:rPr>
        <w:t xml:space="preserve">(viď navrhovaný odsek 14) </w:t>
      </w:r>
      <w:r w:rsidR="00AD60C2" w:rsidRPr="00861EE0">
        <w:rPr>
          <w:color w:val="000000"/>
        </w:rPr>
        <w:t>môže poskytovať aj na osobu, ktorej sa vládne štipendium už neposkytuje</w:t>
      </w:r>
      <w:r w:rsidR="00B9493B" w:rsidRPr="00861EE0">
        <w:rPr>
          <w:color w:val="000000"/>
        </w:rPr>
        <w:t xml:space="preserve"> (napr. z dôvodu, že </w:t>
      </w:r>
      <w:r w:rsidR="00AD60C2" w:rsidRPr="00861EE0">
        <w:rPr>
          <w:color w:val="000000"/>
        </w:rPr>
        <w:t>prekr</w:t>
      </w:r>
      <w:r w:rsidR="007656DE" w:rsidRPr="00861EE0">
        <w:rPr>
          <w:color w:val="000000"/>
        </w:rPr>
        <w:t>a</w:t>
      </w:r>
      <w:r w:rsidR="00AD60C2" w:rsidRPr="00861EE0">
        <w:rPr>
          <w:color w:val="000000"/>
        </w:rPr>
        <w:t>č</w:t>
      </w:r>
      <w:r w:rsidR="00B9493B" w:rsidRPr="00861EE0">
        <w:rPr>
          <w:color w:val="000000"/>
        </w:rPr>
        <w:t xml:space="preserve">uje </w:t>
      </w:r>
      <w:r w:rsidR="00AD60C2" w:rsidRPr="00861EE0">
        <w:rPr>
          <w:color w:val="000000"/>
        </w:rPr>
        <w:t>štandardn</w:t>
      </w:r>
      <w:r w:rsidR="00B9493B" w:rsidRPr="00861EE0">
        <w:rPr>
          <w:color w:val="000000"/>
        </w:rPr>
        <w:t xml:space="preserve">ú </w:t>
      </w:r>
      <w:r w:rsidR="00AD60C2" w:rsidRPr="00861EE0">
        <w:rPr>
          <w:color w:val="000000"/>
        </w:rPr>
        <w:t>dĺžk</w:t>
      </w:r>
      <w:r w:rsidR="00B9493B" w:rsidRPr="00861EE0">
        <w:rPr>
          <w:color w:val="000000"/>
        </w:rPr>
        <w:t>u</w:t>
      </w:r>
      <w:r w:rsidR="00AD60C2" w:rsidRPr="00861EE0">
        <w:rPr>
          <w:color w:val="000000"/>
        </w:rPr>
        <w:t xml:space="preserve"> štúdia</w:t>
      </w:r>
      <w:r w:rsidR="00837E6B" w:rsidRPr="00861EE0">
        <w:rPr>
          <w:color w:val="000000"/>
        </w:rPr>
        <w:t xml:space="preserve"> príslušného študijného programu</w:t>
      </w:r>
      <w:r w:rsidR="00B9493B" w:rsidRPr="00861EE0">
        <w:rPr>
          <w:color w:val="000000"/>
        </w:rPr>
        <w:t>)</w:t>
      </w:r>
      <w:r w:rsidR="006F715F" w:rsidRPr="00861EE0">
        <w:rPr>
          <w:color w:val="000000"/>
        </w:rPr>
        <w:t xml:space="preserve">, </w:t>
      </w:r>
      <w:r w:rsidR="00B9493B" w:rsidRPr="00861EE0">
        <w:rPr>
          <w:color w:val="000000"/>
        </w:rPr>
        <w:t xml:space="preserve">ale </w:t>
      </w:r>
      <w:r w:rsidR="007656DE" w:rsidRPr="00861EE0">
        <w:rPr>
          <w:color w:val="000000"/>
        </w:rPr>
        <w:t xml:space="preserve">ktorá </w:t>
      </w:r>
      <w:r w:rsidR="00B9493B" w:rsidRPr="00861EE0">
        <w:rPr>
          <w:color w:val="000000"/>
        </w:rPr>
        <w:t>ešte stále má štatút štipendistu</w:t>
      </w:r>
      <w:r w:rsidR="00A45127" w:rsidRPr="00861EE0">
        <w:rPr>
          <w:color w:val="000000"/>
        </w:rPr>
        <w:t>.</w:t>
      </w:r>
    </w:p>
    <w:p w:rsidR="00DD1FAF" w:rsidRPr="00861EE0" w:rsidRDefault="00DD1FAF" w:rsidP="00FA58C5">
      <w:pPr>
        <w:jc w:val="both"/>
      </w:pPr>
    </w:p>
    <w:p w:rsidR="003B519F" w:rsidRPr="00861EE0" w:rsidRDefault="006A531C" w:rsidP="00FA58C5">
      <w:pPr>
        <w:jc w:val="both"/>
      </w:pPr>
      <w:r w:rsidRPr="00861EE0">
        <w:t xml:space="preserve">K bodu </w:t>
      </w:r>
      <w:r w:rsidR="007656DE" w:rsidRPr="00861EE0">
        <w:t>20</w:t>
      </w:r>
    </w:p>
    <w:p w:rsidR="004F62F5" w:rsidRPr="00861EE0" w:rsidRDefault="00387970" w:rsidP="004F62F5">
      <w:pPr>
        <w:jc w:val="both"/>
        <w:rPr>
          <w:color w:val="000000"/>
        </w:rPr>
      </w:pPr>
      <w:r w:rsidRPr="00861EE0">
        <w:t xml:space="preserve">Prostredníctvom </w:t>
      </w:r>
      <w:r w:rsidR="00FA58C5" w:rsidRPr="00861EE0">
        <w:t>nového znenia sa upravuj</w:t>
      </w:r>
      <w:r w:rsidRPr="00861EE0">
        <w:t xml:space="preserve">ú </w:t>
      </w:r>
      <w:r w:rsidR="00837E6B" w:rsidRPr="00861EE0">
        <w:t xml:space="preserve">a precizujú </w:t>
      </w:r>
      <w:r w:rsidR="00FA58C5" w:rsidRPr="00861EE0">
        <w:t>odsek</w:t>
      </w:r>
      <w:r w:rsidRPr="00861EE0">
        <w:t xml:space="preserve">y </w:t>
      </w:r>
      <w:r w:rsidR="00FA58C5" w:rsidRPr="00861EE0">
        <w:t>8 a</w:t>
      </w:r>
      <w:r w:rsidR="00837E6B" w:rsidRPr="00861EE0">
        <w:t>ž</w:t>
      </w:r>
      <w:r w:rsidR="00FA58C5" w:rsidRPr="00861EE0">
        <w:t> </w:t>
      </w:r>
      <w:r w:rsidR="00837E6B" w:rsidRPr="00861EE0">
        <w:t>10</w:t>
      </w:r>
      <w:r w:rsidR="00FA58C5" w:rsidRPr="00861EE0">
        <w:t xml:space="preserve"> v § 10</w:t>
      </w:r>
      <w:r w:rsidRPr="00861EE0">
        <w:t xml:space="preserve">, a to </w:t>
      </w:r>
      <w:r w:rsidR="00FA58C5" w:rsidRPr="00861EE0">
        <w:t xml:space="preserve">z dôvodu zavedenia vyššie uvedenej legislatívnej skratky </w:t>
      </w:r>
      <w:r w:rsidRPr="00861EE0">
        <w:t>„štipendi</w:t>
      </w:r>
      <w:r w:rsidR="00AD60C2" w:rsidRPr="00861EE0">
        <w:t>sta</w:t>
      </w:r>
      <w:r w:rsidRPr="00861EE0">
        <w:t xml:space="preserve">“, </w:t>
      </w:r>
      <w:r w:rsidR="00FA58C5" w:rsidRPr="00861EE0">
        <w:t xml:space="preserve">ako aj z dôvodu potreby </w:t>
      </w:r>
      <w:r w:rsidR="00944D70" w:rsidRPr="00861EE0">
        <w:t xml:space="preserve">chronologickej úpravy jednotlivých situácií, pri ktorých dochádza k odobratiu vládneho štipendia (odsek 8), potreby </w:t>
      </w:r>
      <w:r w:rsidR="00FA58C5" w:rsidRPr="00861EE0">
        <w:t xml:space="preserve">zmeny </w:t>
      </w:r>
      <w:r w:rsidR="00FA58C5" w:rsidRPr="00861EE0">
        <w:rPr>
          <w:color w:val="000000"/>
        </w:rPr>
        <w:t>obdobia pozastavenia poskytovania vládneho štipendia z 10 dní v mesiaci na 15 dní v mesiaci vzhľadom na to, že podľa skúseností z doterajšej praxe bol počet 10 dní príliš prísny (odsek 9)</w:t>
      </w:r>
      <w:r w:rsidR="00837E6B" w:rsidRPr="00861EE0">
        <w:rPr>
          <w:color w:val="000000"/>
        </w:rPr>
        <w:t xml:space="preserve"> a tiež z dôvodu </w:t>
      </w:r>
      <w:r w:rsidR="00A8182E" w:rsidRPr="00861EE0">
        <w:rPr>
          <w:color w:val="000000"/>
        </w:rPr>
        <w:t>s</w:t>
      </w:r>
      <w:r w:rsidR="004F62F5" w:rsidRPr="00861EE0">
        <w:rPr>
          <w:color w:val="000000"/>
        </w:rPr>
        <w:t>presneni</w:t>
      </w:r>
      <w:r w:rsidR="00A8182E" w:rsidRPr="00861EE0">
        <w:rPr>
          <w:color w:val="000000"/>
        </w:rPr>
        <w:t>a</w:t>
      </w:r>
      <w:r w:rsidR="004F62F5" w:rsidRPr="00861EE0">
        <w:rPr>
          <w:color w:val="000000"/>
        </w:rPr>
        <w:t xml:space="preserve"> obdobia súvisiace</w:t>
      </w:r>
      <w:r w:rsidR="00A8182E" w:rsidRPr="00861EE0">
        <w:rPr>
          <w:color w:val="000000"/>
        </w:rPr>
        <w:t>ho</w:t>
      </w:r>
      <w:r w:rsidR="004F62F5" w:rsidRPr="00861EE0">
        <w:rPr>
          <w:color w:val="000000"/>
        </w:rPr>
        <w:t xml:space="preserve"> s obnovou poskytovania vládneho štipendia</w:t>
      </w:r>
      <w:r w:rsidR="00837E6B" w:rsidRPr="00861EE0">
        <w:rPr>
          <w:color w:val="000000"/>
        </w:rPr>
        <w:t xml:space="preserve"> (odsek 10 písm. a)) - p</w:t>
      </w:r>
      <w:r w:rsidR="004F62F5" w:rsidRPr="00861EE0">
        <w:rPr>
          <w:color w:val="000000"/>
        </w:rPr>
        <w:t xml:space="preserve">ríklad: </w:t>
      </w:r>
      <w:r w:rsidR="00A8182E" w:rsidRPr="00861EE0">
        <w:rPr>
          <w:color w:val="000000"/>
        </w:rPr>
        <w:t xml:space="preserve">študent </w:t>
      </w:r>
      <w:r w:rsidR="004F62F5" w:rsidRPr="00861EE0">
        <w:rPr>
          <w:color w:val="000000"/>
        </w:rPr>
        <w:t>vycestuje na študentskú mobilitu do zahraničia v termíne od 11. februára do 30. júna</w:t>
      </w:r>
      <w:r w:rsidR="00837E6B" w:rsidRPr="00861EE0">
        <w:rPr>
          <w:color w:val="000000"/>
        </w:rPr>
        <w:t xml:space="preserve"> </w:t>
      </w:r>
      <w:r w:rsidR="004F62F5" w:rsidRPr="00861EE0">
        <w:rPr>
          <w:color w:val="000000"/>
        </w:rPr>
        <w:t xml:space="preserve">. Opätovnú účasť na vzdelávacích činnostiach preukáže od 1. júla. Poskytovanie vládneho štipendia bude obnovené od 1. augusta. </w:t>
      </w:r>
    </w:p>
    <w:p w:rsidR="004F62F5" w:rsidRPr="00861EE0" w:rsidRDefault="004F62F5" w:rsidP="00366732">
      <w:pPr>
        <w:pStyle w:val="Zkladntext2"/>
      </w:pPr>
    </w:p>
    <w:p w:rsidR="00387970" w:rsidRPr="00861EE0" w:rsidRDefault="00387970" w:rsidP="00366732">
      <w:pPr>
        <w:pStyle w:val="Zkladntext2"/>
      </w:pPr>
      <w:r w:rsidRPr="00861EE0">
        <w:t xml:space="preserve">K bodu </w:t>
      </w:r>
      <w:r w:rsidR="007656DE" w:rsidRPr="00861EE0">
        <w:t>2</w:t>
      </w:r>
      <w:r w:rsidR="001661E8" w:rsidRPr="00861EE0">
        <w:t>1</w:t>
      </w:r>
    </w:p>
    <w:p w:rsidR="00FE61D8" w:rsidRPr="00861EE0" w:rsidRDefault="00F92D0B" w:rsidP="00366732">
      <w:pPr>
        <w:pStyle w:val="Zkladntext2"/>
      </w:pPr>
      <w:r w:rsidRPr="00861EE0">
        <w:t>Ú</w:t>
      </w:r>
      <w:r w:rsidR="00FE61D8" w:rsidRPr="00861EE0">
        <w:t>prava</w:t>
      </w:r>
      <w:r w:rsidR="0021607A" w:rsidRPr="00861EE0">
        <w:t xml:space="preserve"> slovnej citácie odkazujúcej sa na správny poriadok</w:t>
      </w:r>
      <w:r w:rsidRPr="00861EE0">
        <w:t xml:space="preserve"> v súlade s Legislatívnymi pravidlami vlády SR</w:t>
      </w:r>
      <w:r w:rsidR="0021607A" w:rsidRPr="00861EE0">
        <w:t xml:space="preserve">.    </w:t>
      </w:r>
      <w:r w:rsidR="00FE61D8" w:rsidRPr="00861EE0">
        <w:t xml:space="preserve"> </w:t>
      </w:r>
    </w:p>
    <w:p w:rsidR="00FE61D8" w:rsidRPr="00861EE0" w:rsidRDefault="00FE61D8" w:rsidP="00366732">
      <w:pPr>
        <w:pStyle w:val="Zkladntext2"/>
      </w:pPr>
    </w:p>
    <w:p w:rsidR="00FE61D8" w:rsidRPr="00861EE0" w:rsidRDefault="00FE61D8" w:rsidP="00366732">
      <w:pPr>
        <w:pStyle w:val="Zkladntext2"/>
      </w:pPr>
      <w:r w:rsidRPr="00861EE0">
        <w:t xml:space="preserve">K bodu </w:t>
      </w:r>
      <w:r w:rsidR="007656DE" w:rsidRPr="00861EE0">
        <w:t>2</w:t>
      </w:r>
      <w:r w:rsidR="001661E8" w:rsidRPr="00861EE0">
        <w:t>2</w:t>
      </w:r>
    </w:p>
    <w:p w:rsidR="00387970" w:rsidRPr="00861EE0" w:rsidRDefault="004A51F3" w:rsidP="00366732">
      <w:pPr>
        <w:pStyle w:val="Zkladntext2"/>
      </w:pPr>
      <w:r w:rsidRPr="00861EE0">
        <w:t>O</w:t>
      </w:r>
      <w:r w:rsidR="00387970" w:rsidRPr="00861EE0">
        <w:t>dsek</w:t>
      </w:r>
      <w:r w:rsidRPr="00861EE0">
        <w:t xml:space="preserve">y </w:t>
      </w:r>
      <w:r w:rsidR="00387970" w:rsidRPr="00861EE0">
        <w:t xml:space="preserve">14 až 19 </w:t>
      </w:r>
      <w:r w:rsidRPr="00861EE0">
        <w:t xml:space="preserve">sa do </w:t>
      </w:r>
      <w:r w:rsidR="00387970" w:rsidRPr="00861EE0">
        <w:t xml:space="preserve">§ 10 </w:t>
      </w:r>
      <w:r w:rsidRPr="00861EE0">
        <w:t xml:space="preserve">dopĺňajú z dôvodu </w:t>
      </w:r>
      <w:r w:rsidRPr="00861EE0">
        <w:rPr>
          <w:color w:val="000000"/>
        </w:rPr>
        <w:t xml:space="preserve">zosúladenia so súčasným stavom poskytovania príspevku na </w:t>
      </w:r>
      <w:r w:rsidR="00AD60C2" w:rsidRPr="00861EE0">
        <w:rPr>
          <w:color w:val="000000"/>
        </w:rPr>
        <w:t>š</w:t>
      </w:r>
      <w:r w:rsidRPr="00861EE0">
        <w:rPr>
          <w:color w:val="000000"/>
        </w:rPr>
        <w:t>tipendi</w:t>
      </w:r>
      <w:r w:rsidR="00AD60C2" w:rsidRPr="00861EE0">
        <w:rPr>
          <w:color w:val="000000"/>
        </w:rPr>
        <w:t>stu</w:t>
      </w:r>
      <w:r w:rsidRPr="00861EE0">
        <w:rPr>
          <w:color w:val="000000"/>
        </w:rPr>
        <w:t xml:space="preserve">, ktorý sa poskytuje v súlade so zmluvami uzavretými medzi ministerstvom školstva a verejnými vysokými školami so sídlom na území Slovenskej republiky na úhradu nákladov za štúdium </w:t>
      </w:r>
      <w:r w:rsidR="00B1101C" w:rsidRPr="00861EE0">
        <w:rPr>
          <w:color w:val="000000"/>
        </w:rPr>
        <w:t>štipendi</w:t>
      </w:r>
      <w:r w:rsidR="00AD60C2" w:rsidRPr="00861EE0">
        <w:rPr>
          <w:color w:val="000000"/>
        </w:rPr>
        <w:t>stu</w:t>
      </w:r>
      <w:r w:rsidR="00B1101C" w:rsidRPr="00861EE0">
        <w:rPr>
          <w:color w:val="000000"/>
        </w:rPr>
        <w:t>.</w:t>
      </w:r>
      <w:r w:rsidRPr="00861EE0">
        <w:rPr>
          <w:color w:val="000000"/>
        </w:rPr>
        <w:t xml:space="preserve"> </w:t>
      </w:r>
      <w:r w:rsidR="00B1101C" w:rsidRPr="00861EE0">
        <w:rPr>
          <w:color w:val="000000"/>
        </w:rPr>
        <w:t>Týmito novými odsekmi sa u</w:t>
      </w:r>
      <w:r w:rsidRPr="00861EE0">
        <w:rPr>
          <w:color w:val="000000"/>
        </w:rPr>
        <w:t xml:space="preserve">stanovuje účel príspevku, podmienky poskytovania príspevku, pozastavenie a ukončenie poskytovania príspevku.    </w:t>
      </w:r>
      <w:r w:rsidR="00387970" w:rsidRPr="00861EE0">
        <w:t xml:space="preserve">  </w:t>
      </w:r>
    </w:p>
    <w:p w:rsidR="00387970" w:rsidRPr="00861EE0" w:rsidRDefault="00387970" w:rsidP="00366732">
      <w:pPr>
        <w:pStyle w:val="Zkladntext2"/>
      </w:pPr>
    </w:p>
    <w:p w:rsidR="00FD74AA" w:rsidRPr="00861EE0" w:rsidRDefault="009A35F9" w:rsidP="00366732">
      <w:pPr>
        <w:pStyle w:val="Zkladntext2"/>
      </w:pPr>
      <w:r w:rsidRPr="00861EE0">
        <w:t xml:space="preserve">K bodu </w:t>
      </w:r>
      <w:r w:rsidR="0021607A" w:rsidRPr="00861EE0">
        <w:t>2</w:t>
      </w:r>
      <w:r w:rsidR="00052930" w:rsidRPr="00861EE0">
        <w:t>3</w:t>
      </w:r>
      <w:r w:rsidR="00FD74AA" w:rsidRPr="00861EE0">
        <w:t xml:space="preserve"> </w:t>
      </w:r>
    </w:p>
    <w:p w:rsidR="002207C5" w:rsidRPr="00861EE0" w:rsidRDefault="00FD74AA" w:rsidP="00366732">
      <w:pPr>
        <w:pStyle w:val="Zkladntext2"/>
      </w:pPr>
      <w:r w:rsidRPr="00861EE0">
        <w:t xml:space="preserve">Novým znením § 12 sa komplexne upravujú podmienky poskytovania zvýhodneného vývozného úveru. V rámci jeho </w:t>
      </w:r>
      <w:r w:rsidR="00944D70" w:rsidRPr="00861EE0">
        <w:t xml:space="preserve">novej </w:t>
      </w:r>
      <w:r w:rsidRPr="00861EE0">
        <w:t xml:space="preserve">definície sa </w:t>
      </w:r>
      <w:r w:rsidR="004D5DF6" w:rsidRPr="00861EE0">
        <w:t>vy</w:t>
      </w:r>
      <w:r w:rsidR="00C4680D" w:rsidRPr="00861EE0">
        <w:t>medzuje</w:t>
      </w:r>
      <w:r w:rsidR="004D5DF6" w:rsidRPr="00861EE0">
        <w:t>, že ide o vývozný úver poskytnutý v rámci viazanej pomoci, pri ktorej sa odkazuje na kapitolu III prílohy II nariadenia EÚ č.</w:t>
      </w:r>
      <w:r w:rsidR="00775B8C" w:rsidRPr="00861EE0">
        <w:t xml:space="preserve"> 1233/2011,</w:t>
      </w:r>
      <w:r w:rsidR="004D5DF6" w:rsidRPr="00861EE0">
        <w:t xml:space="preserve"> ktorá upravuje formy viazanej pomoci (ide o formy viazanej pomoci v oblasti obchodu v rámci </w:t>
      </w:r>
      <w:r w:rsidR="00B1101C" w:rsidRPr="00861EE0">
        <w:t>ODA</w:t>
      </w:r>
      <w:r w:rsidR="00775B8C" w:rsidRPr="00861EE0">
        <w:t>).</w:t>
      </w:r>
      <w:r w:rsidR="001049BB" w:rsidRPr="00861EE0">
        <w:t xml:space="preserve"> </w:t>
      </w:r>
      <w:r w:rsidR="00BF276B" w:rsidRPr="00861EE0">
        <w:t>Ako už bolo uvedené v predchádzajúcej časti dôvodovej správy</w:t>
      </w:r>
      <w:r w:rsidR="00B2638C" w:rsidRPr="00861EE0">
        <w:t xml:space="preserve">, zvýhodnený vývozný úver bude môcť poskytovať Eximbanka. Možnosť poskytovať </w:t>
      </w:r>
      <w:r w:rsidR="00B2638C" w:rsidRPr="00861EE0">
        <w:lastRenderedPageBreak/>
        <w:t>zvýhodnený vývozný úver bankou alebo pobočkou zahraničnej banky zostane zachovaná, v takom prípade však úver musí byť poistený Eximbankou</w:t>
      </w:r>
      <w:r w:rsidR="002945A0" w:rsidRPr="00861EE0">
        <w:t xml:space="preserve">, pričom túto povinnosť obsahovala aj doterajšia právna úprava. Nová právna </w:t>
      </w:r>
      <w:r w:rsidR="00535F5A" w:rsidRPr="00861EE0">
        <w:t xml:space="preserve">úprava </w:t>
      </w:r>
      <w:r w:rsidR="002945A0" w:rsidRPr="00861EE0">
        <w:t xml:space="preserve">túto situáciu </w:t>
      </w:r>
      <w:r w:rsidR="00535F5A" w:rsidRPr="00861EE0">
        <w:t xml:space="preserve">precizuje o </w:t>
      </w:r>
      <w:r w:rsidR="002945A0" w:rsidRPr="00861EE0">
        <w:t xml:space="preserve">tú skutočnosť, že v takom prípade musí byť poistné zahrnuté do istiny zvýhodneného </w:t>
      </w:r>
      <w:r w:rsidR="00B1101C" w:rsidRPr="00861EE0">
        <w:t xml:space="preserve">vývozného </w:t>
      </w:r>
      <w:r w:rsidR="002945A0" w:rsidRPr="00861EE0">
        <w:t xml:space="preserve">úveru, a to z dôvodu, aby zahraničný verejný odberateľ mohol príspevok na splatenie časti istiny </w:t>
      </w:r>
      <w:r w:rsidR="00B1101C" w:rsidRPr="00861EE0">
        <w:t xml:space="preserve">tohto </w:t>
      </w:r>
      <w:r w:rsidR="00535F5A" w:rsidRPr="00861EE0">
        <w:t>úveru d</w:t>
      </w:r>
      <w:r w:rsidR="002945A0" w:rsidRPr="00861EE0">
        <w:t xml:space="preserve">e </w:t>
      </w:r>
      <w:proofErr w:type="spellStart"/>
      <w:r w:rsidR="002945A0" w:rsidRPr="00861EE0">
        <w:t>facto</w:t>
      </w:r>
      <w:proofErr w:type="spellEnd"/>
      <w:r w:rsidR="002945A0" w:rsidRPr="00861EE0">
        <w:t xml:space="preserve"> použiť aj na úhradu poistného. Obdobný model využívajú </w:t>
      </w:r>
      <w:r w:rsidR="00A8293E" w:rsidRPr="00861EE0">
        <w:t xml:space="preserve">okolité </w:t>
      </w:r>
      <w:proofErr w:type="spellStart"/>
      <w:r w:rsidR="00D8531E" w:rsidRPr="00861EE0">
        <w:t>donorské</w:t>
      </w:r>
      <w:proofErr w:type="spellEnd"/>
      <w:r w:rsidR="00D8531E" w:rsidRPr="00861EE0">
        <w:t xml:space="preserve"> štáty </w:t>
      </w:r>
      <w:r w:rsidR="002945A0" w:rsidRPr="00861EE0">
        <w:t>pri poskytovaní zvýhodnených vývozných úverov v rámci viazanej obchodnej pomoci.</w:t>
      </w:r>
      <w:r w:rsidR="00535F5A" w:rsidRPr="00861EE0">
        <w:t xml:space="preserve"> </w:t>
      </w:r>
      <w:r w:rsidR="001661E8" w:rsidRPr="00861EE0">
        <w:t xml:space="preserve">Novou právnou úpravou sa rozširuje aj okruh právnických osôb, ktoré </w:t>
      </w:r>
      <w:r w:rsidR="00186CB5" w:rsidRPr="00861EE0">
        <w:t xml:space="preserve">môžu byť zahraničným verejným odberateľom. </w:t>
      </w:r>
      <w:r w:rsidR="00D41E83" w:rsidRPr="00861EE0">
        <w:t>Doposiaľ to mohli byť len také právnické osoby, ktoré sú pod 100%-</w:t>
      </w:r>
      <w:proofErr w:type="spellStart"/>
      <w:r w:rsidR="00D41E83" w:rsidRPr="00861EE0">
        <w:t>nou</w:t>
      </w:r>
      <w:proofErr w:type="spellEnd"/>
      <w:r w:rsidR="00D41E83" w:rsidRPr="00861EE0">
        <w:t xml:space="preserve"> kontrolou partnerskej krajiny, pričom podľa navrhovanej právnej úpravy to budú môcť byť aj právnické osoby, </w:t>
      </w:r>
      <w:r w:rsidR="00B0404E" w:rsidRPr="00861EE0">
        <w:t>za ktorých záväzky ručí alebo iným obdobným spôsobom zabezpečuje štátny orgán partnerskej krajiny alebo právnická osoba pod 100%-</w:t>
      </w:r>
      <w:proofErr w:type="spellStart"/>
      <w:r w:rsidR="00B0404E" w:rsidRPr="00861EE0">
        <w:t>nou</w:t>
      </w:r>
      <w:proofErr w:type="spellEnd"/>
      <w:r w:rsidR="00B0404E" w:rsidRPr="00861EE0">
        <w:t xml:space="preserve"> kontrolou partnerskej krajiny. </w:t>
      </w:r>
      <w:r w:rsidR="00052930" w:rsidRPr="00861EE0">
        <w:t>Slovné spojenie „</w:t>
      </w:r>
      <w:r w:rsidR="00D41E83" w:rsidRPr="00861EE0">
        <w:t>iným obdobným spôsobom“ sa použil</w:t>
      </w:r>
      <w:r w:rsidR="00052930" w:rsidRPr="00861EE0">
        <w:t>o</w:t>
      </w:r>
      <w:r w:rsidR="00D41E83" w:rsidRPr="00861EE0">
        <w:t xml:space="preserve"> z dôvodu, že toto zabezpečenie sa bude riadiť právnym poriadkom príslušnej partnerskej krajiny, ktorý v niektorých partnerských krajinách nemusí poznať inštitút ručenia v obsahu, v akom je zakotvený v právnom poriadku SR, pričom takýmto zabezpečením môže byť </w:t>
      </w:r>
      <w:r w:rsidR="00FC24CF" w:rsidRPr="00861EE0">
        <w:t xml:space="preserve">napríklad </w:t>
      </w:r>
      <w:r w:rsidR="00D41E83" w:rsidRPr="00861EE0">
        <w:t xml:space="preserve">aj čiastočná finančná zábezpeka. </w:t>
      </w:r>
      <w:r w:rsidR="00535F5A" w:rsidRPr="00861EE0">
        <w:t xml:space="preserve">Novou právnou úpravou sa precizuje aj definícia príspevku na splatenie časti úrokov a príspevku na splatenie časti </w:t>
      </w:r>
      <w:r w:rsidR="0021185F" w:rsidRPr="00861EE0">
        <w:t xml:space="preserve">úveru, </w:t>
      </w:r>
      <w:r w:rsidR="00535F5A" w:rsidRPr="00861EE0">
        <w:t xml:space="preserve">a to z dôvodu, aby bolo jednoznačné, že beneficientom z týchto príspevkov je zahraničný verejný odberateľ, pričom Eximbanka alebo komerčná banka sú len sprostredkovateľmi tejto pomoci v rámci modelu zvýhodneného vývozného úveru. </w:t>
      </w:r>
      <w:r w:rsidR="009975DC" w:rsidRPr="00861EE0">
        <w:t xml:space="preserve">Zároveň sa v tejto súvislosti ustanovuje, že tieto príspevky nie sú dotáciami podľa zákona o rozpočtových pravidlách verejnej správy, a to aj </w:t>
      </w:r>
      <w:r w:rsidR="00E02D47" w:rsidRPr="00861EE0">
        <w:t xml:space="preserve">z </w:t>
      </w:r>
      <w:r w:rsidR="009975DC" w:rsidRPr="00861EE0">
        <w:t xml:space="preserve">toho dôvodu, že </w:t>
      </w:r>
      <w:r w:rsidR="00E02D47" w:rsidRPr="00861EE0">
        <w:t xml:space="preserve">dotáciu nemožno podľa § 8a ods. 8 tohto zákona poskytnúť ani použiť na splácanie úverov, pôžičiek a úrokov z prijatých úverov a pôžičiek. </w:t>
      </w:r>
      <w:r w:rsidR="0021185F" w:rsidRPr="00861EE0">
        <w:t>Precizuje sa aj odkaz na výpočet celkovej úrovne zvýhodnenia zvýhodneného vývozného úveru, postup pri poukazovaní príspevku na splatenie časti úveru a</w:t>
      </w:r>
      <w:r w:rsidR="002207C5" w:rsidRPr="00861EE0">
        <w:t xml:space="preserve"> tiež </w:t>
      </w:r>
      <w:r w:rsidR="0021185F" w:rsidRPr="00861EE0">
        <w:t xml:space="preserve">postup pri poukazovaní príspevku </w:t>
      </w:r>
      <w:r w:rsidR="002207C5" w:rsidRPr="00861EE0">
        <w:t>na splatenie časti úrokov, ktorý sa bude uhrádzať k dátumu splatnosti príslušnej platby úrokov (nie ex post). Spôsob poukazovania a ročného zúčtovania príspevkov na úhradu časti úrokov prostredníctvom Eximbanky, ak zvýhodnený vývozný úver poskytne komerčná banka, zostáva zachovaný.</w:t>
      </w:r>
      <w:r w:rsidR="00E02D47" w:rsidRPr="00861EE0">
        <w:t xml:space="preserve"> </w:t>
      </w:r>
    </w:p>
    <w:p w:rsidR="002207C5" w:rsidRPr="00861EE0" w:rsidRDefault="002207C5" w:rsidP="00366732">
      <w:pPr>
        <w:pStyle w:val="Zkladntext2"/>
      </w:pPr>
    </w:p>
    <w:p w:rsidR="00775B8C" w:rsidRPr="00861EE0" w:rsidRDefault="002207C5" w:rsidP="00366732">
      <w:pPr>
        <w:pStyle w:val="Zkladntext2"/>
      </w:pPr>
      <w:r w:rsidRPr="00861EE0">
        <w:t xml:space="preserve">K bodu </w:t>
      </w:r>
      <w:r w:rsidR="00B1101C" w:rsidRPr="00861EE0">
        <w:t>2</w:t>
      </w:r>
      <w:r w:rsidR="00052930" w:rsidRPr="00861EE0">
        <w:t>4</w:t>
      </w:r>
      <w:r w:rsidRPr="00861EE0">
        <w:t xml:space="preserve">        </w:t>
      </w:r>
      <w:r w:rsidR="0021185F" w:rsidRPr="00861EE0">
        <w:t xml:space="preserve">    </w:t>
      </w:r>
      <w:r w:rsidR="00535F5A" w:rsidRPr="00861EE0">
        <w:t xml:space="preserve">    </w:t>
      </w:r>
      <w:r w:rsidR="002945A0" w:rsidRPr="00861EE0">
        <w:t xml:space="preserve">            </w:t>
      </w:r>
      <w:r w:rsidR="00B2638C" w:rsidRPr="00861EE0">
        <w:t xml:space="preserve">         </w:t>
      </w:r>
      <w:r w:rsidR="001049BB" w:rsidRPr="00861EE0">
        <w:t xml:space="preserve">  </w:t>
      </w:r>
    </w:p>
    <w:p w:rsidR="00E43418" w:rsidRPr="00861EE0" w:rsidRDefault="00C666A5" w:rsidP="00173087">
      <w:pPr>
        <w:jc w:val="both"/>
      </w:pPr>
      <w:r w:rsidRPr="00861EE0">
        <w:t>Novým § 12a zákona sa ust</w:t>
      </w:r>
      <w:r w:rsidR="00E00E61" w:rsidRPr="00861EE0">
        <w:t>a</w:t>
      </w:r>
      <w:r w:rsidRPr="00861EE0">
        <w:t xml:space="preserve">novuje </w:t>
      </w:r>
      <w:r w:rsidR="005C7B45" w:rsidRPr="00861EE0">
        <w:t xml:space="preserve">už spomínaný </w:t>
      </w:r>
      <w:r w:rsidR="00E00E61" w:rsidRPr="00861EE0">
        <w:t>ďalší</w:t>
      </w:r>
      <w:r w:rsidRPr="00861EE0">
        <w:t xml:space="preserve"> </w:t>
      </w:r>
      <w:r w:rsidR="00E00E61" w:rsidRPr="00861EE0">
        <w:t xml:space="preserve">nástroj rozvojovej spolupráce, ktorým </w:t>
      </w:r>
      <w:r w:rsidR="00B1101C" w:rsidRPr="00861EE0">
        <w:t xml:space="preserve">je vykonávanie </w:t>
      </w:r>
      <w:r w:rsidR="00E00E61" w:rsidRPr="00861EE0">
        <w:t>finančn</w:t>
      </w:r>
      <w:r w:rsidR="00B1101C" w:rsidRPr="00861EE0">
        <w:t xml:space="preserve">ých </w:t>
      </w:r>
      <w:r w:rsidR="00E00E61" w:rsidRPr="00861EE0">
        <w:t>nástroj</w:t>
      </w:r>
      <w:r w:rsidR="00B1101C" w:rsidRPr="00861EE0">
        <w:t xml:space="preserve">ov </w:t>
      </w:r>
      <w:r w:rsidR="00E00E61" w:rsidRPr="00861EE0">
        <w:t xml:space="preserve">EÚ </w:t>
      </w:r>
      <w:r w:rsidR="009D22CA" w:rsidRPr="00861EE0">
        <w:t>určen</w:t>
      </w:r>
      <w:r w:rsidR="00B1101C" w:rsidRPr="00861EE0">
        <w:t xml:space="preserve">ých </w:t>
      </w:r>
      <w:r w:rsidR="009D22CA" w:rsidRPr="00861EE0">
        <w:t xml:space="preserve">na </w:t>
      </w:r>
      <w:r w:rsidR="00E00E61" w:rsidRPr="00861EE0">
        <w:t>rozvojov</w:t>
      </w:r>
      <w:r w:rsidR="009D22CA" w:rsidRPr="00861EE0">
        <w:t>ú</w:t>
      </w:r>
      <w:r w:rsidR="00E00E61" w:rsidRPr="00861EE0">
        <w:t xml:space="preserve"> spoluprác</w:t>
      </w:r>
      <w:r w:rsidR="009D22CA" w:rsidRPr="00861EE0">
        <w:t>u</w:t>
      </w:r>
      <w:r w:rsidR="00E00E61" w:rsidRPr="00861EE0">
        <w:t>. Vykonávať tieto finančné nástroje bud</w:t>
      </w:r>
      <w:r w:rsidR="008908AE" w:rsidRPr="00861EE0">
        <w:t xml:space="preserve">ú </w:t>
      </w:r>
      <w:r w:rsidR="00E00E61" w:rsidRPr="00861EE0">
        <w:t xml:space="preserve">môcť </w:t>
      </w:r>
      <w:r w:rsidR="008908AE" w:rsidRPr="00861EE0">
        <w:t xml:space="preserve">Slovenská agentúra pre medzinárodnú rozvojovú spoluprácu a </w:t>
      </w:r>
      <w:r w:rsidR="00E00E61" w:rsidRPr="00861EE0">
        <w:t>Eximbanka, pričom na účely ich vykonávania bud</w:t>
      </w:r>
      <w:r w:rsidR="008908AE" w:rsidRPr="00861EE0">
        <w:t xml:space="preserve">ú </w:t>
      </w:r>
      <w:r w:rsidR="00E00E61" w:rsidRPr="00861EE0">
        <w:t>môcť prijímať z EÚ finančné prostriedky</w:t>
      </w:r>
      <w:r w:rsidR="005A3D0E" w:rsidRPr="00861EE0">
        <w:t xml:space="preserve"> alebo iné formy podpory. </w:t>
      </w:r>
      <w:r w:rsidR="00E43418" w:rsidRPr="00861EE0">
        <w:t xml:space="preserve">Takýmito finančnými nástrojmi môžu byť </w:t>
      </w:r>
      <w:r w:rsidR="008908AE" w:rsidRPr="00861EE0">
        <w:t xml:space="preserve">tak nenávratné finančné nástroje, ako napr. </w:t>
      </w:r>
      <w:r w:rsidR="00257B4C" w:rsidRPr="00861EE0">
        <w:t xml:space="preserve">dotácie alebo </w:t>
      </w:r>
      <w:r w:rsidR="008908AE" w:rsidRPr="00861EE0">
        <w:t>finančné príspevky</w:t>
      </w:r>
      <w:r w:rsidR="00257B4C" w:rsidRPr="00861EE0">
        <w:t xml:space="preserve">, ktoré môže vykonávať a na tieto účely prijímať z EÚ Slovenská agentúra pre medzinárodnú a rozvojovú spoluprácu v rámci delegovania spolupráce, </w:t>
      </w:r>
      <w:r w:rsidR="008908AE" w:rsidRPr="00861EE0">
        <w:t xml:space="preserve">ako aj návratné finančné nástroje, napr. </w:t>
      </w:r>
      <w:r w:rsidR="00E43418" w:rsidRPr="00861EE0">
        <w:t xml:space="preserve">úvery vrátane úverov v lokálnej mene, záruky, protizáruky, </w:t>
      </w:r>
      <w:r w:rsidR="003C010C" w:rsidRPr="00861EE0">
        <w:t>poistenie, nástroje kapitálového trhu, účasť na vlastnom imaní alebo kvázi vlastnom imaní</w:t>
      </w:r>
      <w:r w:rsidR="00FF4C8A" w:rsidRPr="00861EE0">
        <w:t xml:space="preserve"> a</w:t>
      </w:r>
      <w:r w:rsidR="00A553E9" w:rsidRPr="00861EE0">
        <w:t> </w:t>
      </w:r>
      <w:r w:rsidR="00FF4C8A" w:rsidRPr="00861EE0">
        <w:t>pod</w:t>
      </w:r>
      <w:r w:rsidR="00A553E9" w:rsidRPr="00861EE0">
        <w:t>.</w:t>
      </w:r>
      <w:r w:rsidR="00257B4C" w:rsidRPr="00861EE0">
        <w:t>, na ktoré sa bude môcť špecializovať Eximbanka</w:t>
      </w:r>
      <w:r w:rsidR="00FF4C8A" w:rsidRPr="00861EE0">
        <w:t>.</w:t>
      </w:r>
      <w:r w:rsidR="008908AE" w:rsidRPr="00861EE0">
        <w:t xml:space="preserve"> Práve imple</w:t>
      </w:r>
      <w:r w:rsidR="00A553E9" w:rsidRPr="00861EE0">
        <w:t>me</w:t>
      </w:r>
      <w:r w:rsidR="008908AE" w:rsidRPr="00861EE0">
        <w:t>ntácia návratných finančných nástrojov predstavuje spomínaný</w:t>
      </w:r>
      <w:r w:rsidR="00FF4C8A" w:rsidRPr="00861EE0">
        <w:t xml:space="preserve"> posun z</w:t>
      </w:r>
      <w:r w:rsidR="00257B4C" w:rsidRPr="00861EE0">
        <w:t xml:space="preserve"> tradičných </w:t>
      </w:r>
      <w:r w:rsidR="00FF4C8A" w:rsidRPr="00861EE0">
        <w:t>grantových foriem financovania rozvojovej spolupráce k novým inovatívnym nástrojom</w:t>
      </w:r>
      <w:r w:rsidR="003C010C" w:rsidRPr="00861EE0">
        <w:t xml:space="preserve">, </w:t>
      </w:r>
      <w:r w:rsidR="00E43418" w:rsidRPr="00861EE0">
        <w:t>pričom podpor</w:t>
      </w:r>
      <w:r w:rsidR="003C010C" w:rsidRPr="00861EE0">
        <w:t>a</w:t>
      </w:r>
      <w:r w:rsidR="00E43418" w:rsidRPr="00861EE0">
        <w:t xml:space="preserve"> tý</w:t>
      </w:r>
      <w:r w:rsidR="003C010C" w:rsidRPr="00861EE0">
        <w:t xml:space="preserve">chto </w:t>
      </w:r>
      <w:r w:rsidR="00734DFB" w:rsidRPr="00861EE0">
        <w:t xml:space="preserve">návratných </w:t>
      </w:r>
      <w:r w:rsidR="003C010C" w:rsidRPr="00861EE0">
        <w:t xml:space="preserve">finančných nástrojov môže mať </w:t>
      </w:r>
      <w:r w:rsidR="00734DFB" w:rsidRPr="00861EE0">
        <w:t xml:space="preserve">stále </w:t>
      </w:r>
      <w:r w:rsidR="003C010C" w:rsidRPr="00861EE0">
        <w:t>formu finančných príspevkov, investičných grantov, úrokových dotácií, záruk a</w:t>
      </w:r>
      <w:r w:rsidR="002B5639" w:rsidRPr="00861EE0">
        <w:t> </w:t>
      </w:r>
      <w:r w:rsidR="003C010C" w:rsidRPr="00861EE0">
        <w:t>iný</w:t>
      </w:r>
      <w:r w:rsidR="002B5639" w:rsidRPr="00861EE0">
        <w:t xml:space="preserve">ch postupov pre zvýšenie kreditnej kvality alebo </w:t>
      </w:r>
      <w:r w:rsidR="00AD23F0" w:rsidRPr="00861EE0">
        <w:t xml:space="preserve">pre </w:t>
      </w:r>
      <w:r w:rsidR="002B5639" w:rsidRPr="00861EE0">
        <w:t xml:space="preserve">rozdelenie rizika. </w:t>
      </w:r>
      <w:r w:rsidR="0014312F" w:rsidRPr="00861EE0">
        <w:t xml:space="preserve">Samozrejme, právna úprava je navrhnutá tak, aby Slovenská agentúra pre medzinárodnú rozvojovú spoluprácu </w:t>
      </w:r>
      <w:r w:rsidR="00CB03FD" w:rsidRPr="00861EE0">
        <w:t xml:space="preserve">a rovnako </w:t>
      </w:r>
      <w:r w:rsidR="0014312F" w:rsidRPr="00861EE0">
        <w:t>Eximbanka mohl</w:t>
      </w:r>
      <w:r w:rsidR="00CB03FD" w:rsidRPr="00861EE0">
        <w:t>a</w:t>
      </w:r>
      <w:r w:rsidR="0014312F" w:rsidRPr="00861EE0">
        <w:t xml:space="preserve"> vykonávať akékoľvek finančné nástroje EÚ určené na rozvojovú spoluprácu. </w:t>
      </w:r>
      <w:r w:rsidR="005A3D0E" w:rsidRPr="00861EE0">
        <w:t xml:space="preserve">Nie všetky finančné nástroje EÚ </w:t>
      </w:r>
      <w:r w:rsidR="004A2588" w:rsidRPr="00861EE0">
        <w:t xml:space="preserve">určené na rozvojovú spoluprácu </w:t>
      </w:r>
      <w:r w:rsidR="00E43418" w:rsidRPr="00861EE0">
        <w:t xml:space="preserve">ako aj </w:t>
      </w:r>
      <w:r w:rsidR="004A2588" w:rsidRPr="00861EE0">
        <w:t xml:space="preserve">možnosti čerpania finančných prostriedkov EÚ </w:t>
      </w:r>
      <w:r w:rsidR="002B5639" w:rsidRPr="00861EE0">
        <w:t xml:space="preserve">a prijímania iných foriem podpory týchto finančných nástrojov </w:t>
      </w:r>
      <w:r w:rsidR="005A3D0E" w:rsidRPr="00861EE0">
        <w:t xml:space="preserve">majú </w:t>
      </w:r>
      <w:r w:rsidR="004A2588" w:rsidRPr="00861EE0">
        <w:t xml:space="preserve">podobu </w:t>
      </w:r>
      <w:r w:rsidR="005A3D0E" w:rsidRPr="00861EE0">
        <w:lastRenderedPageBreak/>
        <w:t xml:space="preserve">právne záväzných noriem, </w:t>
      </w:r>
      <w:r w:rsidR="00E43418" w:rsidRPr="00861EE0">
        <w:t xml:space="preserve">pričom </w:t>
      </w:r>
      <w:r w:rsidR="005A3D0E" w:rsidRPr="00861EE0">
        <w:t xml:space="preserve">niektoré </w:t>
      </w:r>
      <w:r w:rsidR="00E43418" w:rsidRPr="00861EE0">
        <w:t xml:space="preserve">z nich </w:t>
      </w:r>
      <w:r w:rsidR="005A3D0E" w:rsidRPr="00861EE0">
        <w:t xml:space="preserve">sú upravené iba vo forme operatívnych postupov a finančných schém pre časovo limitovanú platformu, zameranú na špecifické vybrané teritóriá partnerských krajín. Preto </w:t>
      </w:r>
      <w:r w:rsidR="00173087" w:rsidRPr="00861EE0">
        <w:t>sa</w:t>
      </w:r>
      <w:r w:rsidR="005A3D0E" w:rsidRPr="00861EE0">
        <w:t> </w:t>
      </w:r>
      <w:r w:rsidR="00AD23F0" w:rsidRPr="00861EE0">
        <w:t xml:space="preserve">použila </w:t>
      </w:r>
      <w:r w:rsidR="007C1135" w:rsidRPr="00861EE0">
        <w:t xml:space="preserve">demonštratívna </w:t>
      </w:r>
      <w:r w:rsidR="00173087" w:rsidRPr="00861EE0">
        <w:t>poznámk</w:t>
      </w:r>
      <w:r w:rsidR="00AD23F0" w:rsidRPr="00861EE0">
        <w:t>a</w:t>
      </w:r>
      <w:r w:rsidR="00173087" w:rsidRPr="00861EE0">
        <w:t xml:space="preserve"> pod čiarou k odkazu 23a </w:t>
      </w:r>
      <w:r w:rsidR="00AD23F0" w:rsidRPr="00861EE0">
        <w:t xml:space="preserve">a </w:t>
      </w:r>
      <w:r w:rsidR="00173087" w:rsidRPr="00861EE0">
        <w:t>ako príklad uviedl</w:t>
      </w:r>
      <w:r w:rsidR="008908AE" w:rsidRPr="00861EE0">
        <w:t xml:space="preserve">i niektoré </w:t>
      </w:r>
      <w:r w:rsidR="00734DFB" w:rsidRPr="00861EE0">
        <w:t xml:space="preserve">významné </w:t>
      </w:r>
      <w:r w:rsidR="00173087" w:rsidRPr="00861EE0">
        <w:t>nariadeni</w:t>
      </w:r>
      <w:r w:rsidR="008908AE" w:rsidRPr="00861EE0">
        <w:t>a</w:t>
      </w:r>
      <w:r w:rsidR="00173087" w:rsidRPr="00861EE0">
        <w:t xml:space="preserve"> Európskeho parlamentu a</w:t>
      </w:r>
      <w:r w:rsidR="008908AE" w:rsidRPr="00861EE0">
        <w:t> </w:t>
      </w:r>
      <w:r w:rsidR="00173087" w:rsidRPr="00861EE0">
        <w:t>Rady</w:t>
      </w:r>
      <w:r w:rsidR="008908AE" w:rsidRPr="00861EE0">
        <w:t>, ktor</w:t>
      </w:r>
      <w:r w:rsidR="00734DFB" w:rsidRPr="00861EE0">
        <w:t>é</w:t>
      </w:r>
      <w:r w:rsidR="008908AE" w:rsidRPr="00861EE0">
        <w:t xml:space="preserve"> upravujú túto </w:t>
      </w:r>
      <w:r w:rsidR="00734DFB" w:rsidRPr="00861EE0">
        <w:t xml:space="preserve">problematiku. </w:t>
      </w:r>
      <w:r w:rsidR="004A2588" w:rsidRPr="00861EE0">
        <w:t xml:space="preserve">Z rovnakého dôvodu je koncipované samotné znenie § 12a, aby bolo aplikovateľné aj </w:t>
      </w:r>
      <w:r w:rsidR="00173087" w:rsidRPr="00861EE0">
        <w:t xml:space="preserve">pre </w:t>
      </w:r>
      <w:r w:rsidR="004A2588" w:rsidRPr="00861EE0">
        <w:t xml:space="preserve">prípadné iné budúce finančné nástroje EÚ určené na rozvojovú spoluprácu </w:t>
      </w:r>
      <w:r w:rsidR="00A553E9" w:rsidRPr="00861EE0">
        <w:t xml:space="preserve">a ich zdrojové krytie </w:t>
      </w:r>
      <w:r w:rsidR="004A2588" w:rsidRPr="00861EE0">
        <w:t xml:space="preserve">bez potreby prijatia </w:t>
      </w:r>
      <w:r w:rsidR="009D22CA" w:rsidRPr="00861EE0">
        <w:t xml:space="preserve">zmeny </w:t>
      </w:r>
      <w:r w:rsidR="004A2588" w:rsidRPr="00861EE0">
        <w:t xml:space="preserve">zákona o rozvojovej </w:t>
      </w:r>
      <w:r w:rsidR="00173087" w:rsidRPr="00861EE0">
        <w:t>spolupráci.</w:t>
      </w:r>
    </w:p>
    <w:p w:rsidR="00AD5FCD" w:rsidRPr="00861EE0" w:rsidRDefault="00AD5FCD" w:rsidP="00366732">
      <w:pPr>
        <w:pStyle w:val="Zkladntext2"/>
      </w:pPr>
    </w:p>
    <w:p w:rsidR="00FC53B1" w:rsidRPr="00861EE0" w:rsidRDefault="00B8043B" w:rsidP="00366732">
      <w:pPr>
        <w:pStyle w:val="Zkladntext2"/>
      </w:pPr>
      <w:r w:rsidRPr="00861EE0">
        <w:t>K</w:t>
      </w:r>
      <w:r w:rsidR="009A35F9" w:rsidRPr="00861EE0">
        <w:t> </w:t>
      </w:r>
      <w:r w:rsidRPr="00861EE0">
        <w:t>bodu</w:t>
      </w:r>
      <w:r w:rsidR="009A35F9" w:rsidRPr="00861EE0">
        <w:t xml:space="preserve"> 2</w:t>
      </w:r>
      <w:r w:rsidR="00052930" w:rsidRPr="00861EE0">
        <w:t>5</w:t>
      </w:r>
    </w:p>
    <w:p w:rsidR="00F6674B" w:rsidRPr="00861EE0" w:rsidRDefault="009A35F9" w:rsidP="00366732">
      <w:pPr>
        <w:pStyle w:val="Zkladntext2"/>
      </w:pPr>
      <w:r w:rsidRPr="00861EE0">
        <w:t>Novým § 14a sa ustanovuj</w:t>
      </w:r>
      <w:r w:rsidR="0014312F" w:rsidRPr="00861EE0">
        <w:t xml:space="preserve">e </w:t>
      </w:r>
      <w:r w:rsidRPr="00861EE0">
        <w:t>prechodné ustanoveni</w:t>
      </w:r>
      <w:r w:rsidR="0014312F" w:rsidRPr="00861EE0">
        <w:t>e</w:t>
      </w:r>
      <w:r w:rsidRPr="00861EE0">
        <w:t xml:space="preserve"> k</w:t>
      </w:r>
      <w:r w:rsidR="0014312F" w:rsidRPr="00861EE0">
        <w:t> </w:t>
      </w:r>
      <w:r w:rsidRPr="00861EE0">
        <w:t>úprav</w:t>
      </w:r>
      <w:r w:rsidR="0014312F" w:rsidRPr="00861EE0">
        <w:t xml:space="preserve">ám účinným </w:t>
      </w:r>
      <w:r w:rsidRPr="00861EE0">
        <w:t xml:space="preserve">od </w:t>
      </w:r>
      <w:r w:rsidR="00A553E9" w:rsidRPr="00861EE0">
        <w:t xml:space="preserve">1. </w:t>
      </w:r>
      <w:r w:rsidR="006A531C" w:rsidRPr="00861EE0">
        <w:t xml:space="preserve">októbra </w:t>
      </w:r>
      <w:r w:rsidR="00A553E9" w:rsidRPr="00861EE0">
        <w:t>2019</w:t>
      </w:r>
      <w:r w:rsidR="0014312F" w:rsidRPr="00861EE0">
        <w:t xml:space="preserve">, podľa ktorého sa na </w:t>
      </w:r>
      <w:r w:rsidR="006638A5" w:rsidRPr="00861EE0">
        <w:t>zvýhodnené vývozné úvery poskytnuté pred 1.</w:t>
      </w:r>
      <w:r w:rsidR="006A531C" w:rsidRPr="00861EE0">
        <w:t xml:space="preserve"> októbrom </w:t>
      </w:r>
      <w:r w:rsidR="006638A5" w:rsidRPr="00861EE0">
        <w:t>2019 bud</w:t>
      </w:r>
      <w:r w:rsidR="008214E6" w:rsidRPr="00861EE0">
        <w:t xml:space="preserve">e vzťahovať </w:t>
      </w:r>
      <w:r w:rsidR="006638A5" w:rsidRPr="00861EE0">
        <w:t>predpis</w:t>
      </w:r>
      <w:r w:rsidR="008214E6" w:rsidRPr="00861EE0">
        <w:t xml:space="preserve"> účinný do </w:t>
      </w:r>
      <w:r w:rsidR="00B63E90" w:rsidRPr="00861EE0">
        <w:t>3</w:t>
      </w:r>
      <w:r w:rsidR="006A531C" w:rsidRPr="00861EE0">
        <w:t>0</w:t>
      </w:r>
      <w:r w:rsidR="008214E6" w:rsidRPr="00861EE0">
        <w:t xml:space="preserve">. </w:t>
      </w:r>
      <w:r w:rsidR="006A531C" w:rsidRPr="00861EE0">
        <w:t xml:space="preserve">septembra </w:t>
      </w:r>
      <w:r w:rsidR="008214E6" w:rsidRPr="00861EE0">
        <w:t>2019</w:t>
      </w:r>
      <w:r w:rsidR="006638A5" w:rsidRPr="00861EE0">
        <w:t>. Aj keď sa doposiaľ reálne nepodarilo poskytnúť žiadny zvýhodnený vývozný úver, nie je vylúčené, že sa tak nestane do účinnosti novej právnej úpravy, pretože existuje viacero rozpracovaných projektov poskytnutia takejto formy viazanej obchodnej pomoci. Z tohto dôvodu je potrebné aj túto možnú situáciu zákonom upraviť</w:t>
      </w:r>
      <w:r w:rsidR="00752683" w:rsidRPr="00861EE0">
        <w:t>.</w:t>
      </w:r>
    </w:p>
    <w:p w:rsidR="003B519F" w:rsidRPr="00861EE0" w:rsidRDefault="003B519F" w:rsidP="006F694F">
      <w:pPr>
        <w:pStyle w:val="Zkladntext2"/>
        <w:rPr>
          <w:bCs/>
        </w:rPr>
      </w:pPr>
    </w:p>
    <w:p w:rsidR="00D1538F" w:rsidRDefault="00D1538F" w:rsidP="00110BF3">
      <w:pPr>
        <w:pStyle w:val="Zkladntext2"/>
        <w:rPr>
          <w:b/>
          <w:bCs/>
        </w:rPr>
      </w:pPr>
    </w:p>
    <w:p w:rsidR="00110BF3" w:rsidRPr="00861EE0" w:rsidRDefault="00110BF3" w:rsidP="00110BF3">
      <w:pPr>
        <w:pStyle w:val="Zkladntext2"/>
        <w:rPr>
          <w:b/>
          <w:bCs/>
        </w:rPr>
      </w:pPr>
      <w:r w:rsidRPr="00861EE0">
        <w:rPr>
          <w:b/>
          <w:bCs/>
        </w:rPr>
        <w:t xml:space="preserve">K Čl. </w:t>
      </w:r>
      <w:r w:rsidR="0021607A" w:rsidRPr="00861EE0">
        <w:rPr>
          <w:b/>
          <w:bCs/>
        </w:rPr>
        <w:t>V</w:t>
      </w:r>
    </w:p>
    <w:p w:rsidR="00110BF3" w:rsidRPr="00861EE0" w:rsidRDefault="00110BF3" w:rsidP="006F694F">
      <w:pPr>
        <w:pStyle w:val="Zkladntext2"/>
        <w:rPr>
          <w:bCs/>
        </w:rPr>
      </w:pPr>
    </w:p>
    <w:p w:rsidR="0021607A" w:rsidRDefault="00A553E9" w:rsidP="006F694F">
      <w:pPr>
        <w:pStyle w:val="Zkladntext2"/>
      </w:pPr>
      <w:r w:rsidRPr="00861EE0">
        <w:t xml:space="preserve">Z dôvodu </w:t>
      </w:r>
      <w:r w:rsidR="00A45127" w:rsidRPr="00861EE0">
        <w:t>potreby urýchleného zabezpečenia vytvorenia legislatívnych predpokladov pre zefektívnenie činností Eximbanky, Fondu ochrany vkladov a Národného fondu (pozn.: od 1. októbra 2019 sa peňažné prostriedky na účtoch NBS úročia zápornou úrokovou sadzbou), ako aj z dôvodu z</w:t>
      </w:r>
      <w:r w:rsidRPr="00861EE0">
        <w:t xml:space="preserve">ámeru čo najskôr implementovať do </w:t>
      </w:r>
      <w:r w:rsidR="00A45127" w:rsidRPr="00861EE0">
        <w:t>p</w:t>
      </w:r>
      <w:r w:rsidRPr="00861EE0">
        <w:t>raxe nové nástroje rozvojovej spolupráce</w:t>
      </w:r>
      <w:r w:rsidR="00A45127" w:rsidRPr="00861EE0">
        <w:t>,</w:t>
      </w:r>
      <w:r w:rsidRPr="00861EE0">
        <w:t xml:space="preserve"> sa ú</w:t>
      </w:r>
      <w:r w:rsidR="00110BF3" w:rsidRPr="00861EE0">
        <w:t>činnosť zákona navrhuje od</w:t>
      </w:r>
      <w:r w:rsidRPr="00861EE0">
        <w:t xml:space="preserve"> 1. </w:t>
      </w:r>
      <w:r w:rsidR="00A45127" w:rsidRPr="00861EE0">
        <w:t xml:space="preserve">októbra </w:t>
      </w:r>
      <w:r w:rsidRPr="00861EE0">
        <w:t>2019</w:t>
      </w:r>
      <w:r w:rsidR="00110BF3" w:rsidRPr="00861EE0">
        <w:t>.</w:t>
      </w:r>
    </w:p>
    <w:p w:rsidR="00D1538F" w:rsidRDefault="00D1538F" w:rsidP="006F694F">
      <w:pPr>
        <w:pStyle w:val="Zkladntext2"/>
      </w:pPr>
    </w:p>
    <w:p w:rsidR="00EA39C8" w:rsidRDefault="00EA39C8" w:rsidP="006F694F">
      <w:pPr>
        <w:pStyle w:val="Zkladntext2"/>
      </w:pPr>
    </w:p>
    <w:p w:rsidR="00EA39C8" w:rsidRDefault="00EA39C8" w:rsidP="006F694F">
      <w:pPr>
        <w:pStyle w:val="Zkladntext2"/>
      </w:pPr>
      <w:r>
        <w:t>Schválené vládou Slovenskej republiky dňa 29. mája 2019</w:t>
      </w:r>
      <w:r w:rsidR="002901D3">
        <w:t>.</w:t>
      </w:r>
    </w:p>
    <w:p w:rsidR="00EA39C8" w:rsidRDefault="00EA39C8" w:rsidP="006F694F">
      <w:pPr>
        <w:pStyle w:val="Zkladntext2"/>
      </w:pPr>
    </w:p>
    <w:p w:rsidR="00EA39C8" w:rsidRDefault="00EA39C8" w:rsidP="006F694F">
      <w:pPr>
        <w:pStyle w:val="Zkladntext2"/>
      </w:pPr>
    </w:p>
    <w:p w:rsidR="00EA39C8" w:rsidRDefault="00EA39C8" w:rsidP="006F694F">
      <w:pPr>
        <w:pStyle w:val="Zkladntext2"/>
      </w:pPr>
    </w:p>
    <w:p w:rsidR="00D1538F" w:rsidRDefault="00D1538F" w:rsidP="006F694F">
      <w:pPr>
        <w:pStyle w:val="Zkladntext2"/>
      </w:pPr>
    </w:p>
    <w:p w:rsidR="00D1538F" w:rsidRDefault="00D1538F" w:rsidP="006F694F">
      <w:pPr>
        <w:pStyle w:val="Zkladntext2"/>
      </w:pPr>
    </w:p>
    <w:p w:rsidR="00D1538F" w:rsidRPr="00D1538F" w:rsidRDefault="00D1538F" w:rsidP="00D1538F">
      <w:pPr>
        <w:pStyle w:val="Zkladntext2"/>
        <w:jc w:val="center"/>
      </w:pPr>
      <w:r w:rsidRPr="00D1538F">
        <w:rPr>
          <w:b/>
        </w:rPr>
        <w:t xml:space="preserve">Peter  P e l </w:t>
      </w:r>
      <w:proofErr w:type="spellStart"/>
      <w:r w:rsidRPr="00D1538F">
        <w:rPr>
          <w:b/>
        </w:rPr>
        <w:t>l</w:t>
      </w:r>
      <w:proofErr w:type="spellEnd"/>
      <w:r w:rsidRPr="00D1538F">
        <w:rPr>
          <w:b/>
        </w:rPr>
        <w:t xml:space="preserve"> e g r i n i, v. r.</w:t>
      </w:r>
      <w:r w:rsidRPr="00D1538F">
        <w:t xml:space="preserve"> </w:t>
      </w:r>
    </w:p>
    <w:p w:rsidR="00D1538F" w:rsidRDefault="00D1538F" w:rsidP="00D1538F">
      <w:pPr>
        <w:pStyle w:val="Zkladntext2"/>
        <w:jc w:val="center"/>
      </w:pPr>
      <w:r>
        <w:t>predseda vlády</w:t>
      </w:r>
    </w:p>
    <w:p w:rsidR="00D1538F" w:rsidRDefault="00D1538F" w:rsidP="00D1538F">
      <w:pPr>
        <w:pStyle w:val="Zkladntext2"/>
        <w:jc w:val="center"/>
      </w:pPr>
      <w:r>
        <w:t>Slovenskej republiky</w:t>
      </w:r>
    </w:p>
    <w:p w:rsidR="00D1538F" w:rsidRDefault="00D1538F" w:rsidP="00D1538F">
      <w:pPr>
        <w:pStyle w:val="Zkladntext2"/>
        <w:jc w:val="center"/>
      </w:pPr>
    </w:p>
    <w:p w:rsidR="00D1538F" w:rsidRDefault="00D1538F" w:rsidP="00D1538F">
      <w:pPr>
        <w:pStyle w:val="Zkladntext2"/>
        <w:jc w:val="center"/>
      </w:pPr>
    </w:p>
    <w:p w:rsidR="00D1538F" w:rsidRDefault="00D1538F" w:rsidP="00D1538F">
      <w:pPr>
        <w:pStyle w:val="Zkladntext2"/>
        <w:jc w:val="center"/>
      </w:pPr>
    </w:p>
    <w:p w:rsidR="00D1538F" w:rsidRDefault="00D1538F" w:rsidP="00D1538F">
      <w:pPr>
        <w:pStyle w:val="Zkladntext2"/>
        <w:jc w:val="center"/>
      </w:pPr>
    </w:p>
    <w:p w:rsidR="00D1538F" w:rsidRPr="00D1538F" w:rsidRDefault="00D1538F" w:rsidP="00D1538F">
      <w:pPr>
        <w:pStyle w:val="Zkladntext2"/>
        <w:jc w:val="center"/>
        <w:rPr>
          <w:b/>
        </w:rPr>
      </w:pPr>
      <w:r w:rsidRPr="00D1538F">
        <w:rPr>
          <w:b/>
        </w:rPr>
        <w:t>Ladislav K</w:t>
      </w:r>
      <w:r>
        <w:rPr>
          <w:b/>
        </w:rPr>
        <w:t> </w:t>
      </w:r>
      <w:r w:rsidRPr="00D1538F">
        <w:rPr>
          <w:b/>
        </w:rPr>
        <w:t>a</w:t>
      </w:r>
      <w:r>
        <w:rPr>
          <w:b/>
        </w:rPr>
        <w:t> </w:t>
      </w:r>
      <w:r w:rsidRPr="00D1538F">
        <w:rPr>
          <w:b/>
        </w:rPr>
        <w:t>m</w:t>
      </w:r>
      <w:r>
        <w:rPr>
          <w:b/>
        </w:rPr>
        <w:t xml:space="preserve"> </w:t>
      </w:r>
      <w:r w:rsidRPr="00D1538F">
        <w:rPr>
          <w:b/>
        </w:rPr>
        <w:t>e</w:t>
      </w:r>
      <w:r>
        <w:rPr>
          <w:b/>
        </w:rPr>
        <w:t xml:space="preserve"> </w:t>
      </w:r>
      <w:r w:rsidRPr="00D1538F">
        <w:rPr>
          <w:b/>
        </w:rPr>
        <w:t>n</w:t>
      </w:r>
      <w:r>
        <w:rPr>
          <w:b/>
        </w:rPr>
        <w:t xml:space="preserve"> </w:t>
      </w:r>
      <w:r w:rsidRPr="00D1538F">
        <w:rPr>
          <w:b/>
        </w:rPr>
        <w:t>i</w:t>
      </w:r>
      <w:r>
        <w:rPr>
          <w:b/>
        </w:rPr>
        <w:t> </w:t>
      </w:r>
      <w:r w:rsidRPr="00D1538F">
        <w:rPr>
          <w:b/>
        </w:rPr>
        <w:t>c</w:t>
      </w:r>
      <w:r>
        <w:rPr>
          <w:b/>
        </w:rPr>
        <w:t xml:space="preserve"> </w:t>
      </w:r>
      <w:r w:rsidRPr="00D1538F">
        <w:rPr>
          <w:b/>
        </w:rPr>
        <w:t>k</w:t>
      </w:r>
      <w:r>
        <w:rPr>
          <w:b/>
        </w:rPr>
        <w:t xml:space="preserve"> </w:t>
      </w:r>
      <w:r w:rsidRPr="00D1538F">
        <w:rPr>
          <w:b/>
        </w:rPr>
        <w:t>ý, v. r.</w:t>
      </w:r>
    </w:p>
    <w:p w:rsidR="00D1538F" w:rsidRDefault="00D1538F" w:rsidP="00D1538F">
      <w:pPr>
        <w:pStyle w:val="Zkladntext2"/>
        <w:jc w:val="center"/>
      </w:pPr>
      <w:r>
        <w:t>minister financií</w:t>
      </w:r>
    </w:p>
    <w:p w:rsidR="00D1538F" w:rsidRPr="00D1538F" w:rsidRDefault="00D1538F" w:rsidP="00D1538F">
      <w:pPr>
        <w:pStyle w:val="Zkladntext2"/>
        <w:jc w:val="center"/>
      </w:pPr>
      <w:r>
        <w:t>Slovenskej republiky</w:t>
      </w:r>
    </w:p>
    <w:sectPr w:rsidR="00D1538F" w:rsidRPr="00D1538F" w:rsidSect="009F0B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516" w:rsidRDefault="00E56516" w:rsidP="002055C9">
      <w:r>
        <w:separator/>
      </w:r>
    </w:p>
  </w:endnote>
  <w:endnote w:type="continuationSeparator" w:id="0">
    <w:p w:rsidR="00E56516" w:rsidRDefault="00E56516" w:rsidP="0020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mbria">
    <w:altName w:val="Palatino Linotype"/>
    <w:panose1 w:val="02040503050406030204"/>
    <w:charset w:val="EE"/>
    <w:family w:val="roman"/>
    <w:pitch w:val="variable"/>
    <w:sig w:usb0="E00002FF" w:usb1="400004F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4C" w:rsidRDefault="008D7C4C">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8D7C4C" w:rsidRDefault="008D7C4C">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308581"/>
      <w:docPartObj>
        <w:docPartGallery w:val="Page Numbers (Bottom of Page)"/>
        <w:docPartUnique/>
      </w:docPartObj>
    </w:sdtPr>
    <w:sdtEndPr/>
    <w:sdtContent>
      <w:p w:rsidR="00364E87" w:rsidRDefault="00364E87">
        <w:pPr>
          <w:pStyle w:val="Pta"/>
          <w:jc w:val="center"/>
        </w:pPr>
        <w:r>
          <w:fldChar w:fldCharType="begin"/>
        </w:r>
        <w:r>
          <w:instrText>PAGE   \* MERGEFORMAT</w:instrText>
        </w:r>
        <w:r>
          <w:fldChar w:fldCharType="separate"/>
        </w:r>
        <w:r w:rsidR="00FD24B2">
          <w:rPr>
            <w:noProof/>
          </w:rPr>
          <w:t>15</w:t>
        </w:r>
        <w:r>
          <w:fldChar w:fldCharType="end"/>
        </w:r>
      </w:p>
    </w:sdtContent>
  </w:sdt>
  <w:p w:rsidR="008D7C4C" w:rsidRDefault="008D7C4C" w:rsidP="00364E87">
    <w:pPr>
      <w:pStyle w:val="Pt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4C" w:rsidRDefault="008D7C4C">
    <w:pPr>
      <w:pStyle w:val="Pta"/>
      <w:jc w:val="right"/>
    </w:pPr>
    <w:r>
      <w:fldChar w:fldCharType="begin"/>
    </w:r>
    <w:r>
      <w:instrText>PAGE   \* MERGEFORMAT</w:instrText>
    </w:r>
    <w:r>
      <w:fldChar w:fldCharType="separate"/>
    </w:r>
    <w:r>
      <w:rPr>
        <w:noProof/>
      </w:rPr>
      <w:t>0</w:t>
    </w:r>
    <w:r>
      <w:fldChar w:fldCharType="end"/>
    </w:r>
  </w:p>
  <w:p w:rsidR="008D7C4C" w:rsidRDefault="008D7C4C">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4C" w:rsidRDefault="008D7C4C">
    <w:pPr>
      <w:pStyle w:val="Pta"/>
      <w:jc w:val="center"/>
    </w:pPr>
    <w:r>
      <w:fldChar w:fldCharType="begin"/>
    </w:r>
    <w:r>
      <w:instrText>PAGE   \* MERGEFORMAT</w:instrText>
    </w:r>
    <w:r>
      <w:fldChar w:fldCharType="separate"/>
    </w:r>
    <w:r w:rsidR="00FD24B2">
      <w:rPr>
        <w:noProof/>
      </w:rPr>
      <w:t>29</w:t>
    </w:r>
    <w:r>
      <w:fldChar w:fldCharType="end"/>
    </w:r>
  </w:p>
  <w:p w:rsidR="008D7C4C" w:rsidRDefault="008D7C4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516" w:rsidRDefault="00E56516" w:rsidP="002055C9">
      <w:r>
        <w:separator/>
      </w:r>
    </w:p>
  </w:footnote>
  <w:footnote w:type="continuationSeparator" w:id="0">
    <w:p w:rsidR="00E56516" w:rsidRDefault="00E56516" w:rsidP="002055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4C" w:rsidRDefault="008D7C4C" w:rsidP="008D7C4C">
    <w:pPr>
      <w:pStyle w:val="Hlavika"/>
      <w:jc w:val="right"/>
    </w:pPr>
    <w:r>
      <w:t>Príloha č. 2</w:t>
    </w:r>
  </w:p>
  <w:p w:rsidR="008D7C4C" w:rsidRPr="00EB59C8" w:rsidRDefault="008D7C4C" w:rsidP="008D7C4C">
    <w:pPr>
      <w:pStyle w:val="Hlavik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4C" w:rsidRPr="0024067A" w:rsidRDefault="008D7C4C">
    <w:pPr>
      <w:pStyle w:val="Hlavika"/>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C4C" w:rsidRPr="000A15AE" w:rsidRDefault="008D7C4C" w:rsidP="008D7C4C">
    <w:pPr>
      <w:pStyle w:val="Hlavika"/>
      <w:jc w:val="right"/>
    </w:pPr>
    <w:r>
      <w:t>Príloha č.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D78"/>
    <w:multiLevelType w:val="hybridMultilevel"/>
    <w:tmpl w:val="9120191A"/>
    <w:lvl w:ilvl="0" w:tplc="041B000F">
      <w:start w:val="1"/>
      <w:numFmt w:val="decimal"/>
      <w:lvlText w:val="%1."/>
      <w:lvlJc w:val="left"/>
      <w:pPr>
        <w:tabs>
          <w:tab w:val="num" w:pos="1440"/>
        </w:tabs>
        <w:ind w:left="1440" w:hanging="360"/>
      </w:pPr>
      <w:rPr>
        <w:rFonts w:cs="Times New Roman"/>
      </w:rPr>
    </w:lvl>
    <w:lvl w:ilvl="1" w:tplc="041B0019">
      <w:start w:val="1"/>
      <w:numFmt w:val="lowerLetter"/>
      <w:lvlText w:val="%2."/>
      <w:lvlJc w:val="left"/>
      <w:pPr>
        <w:tabs>
          <w:tab w:val="num" w:pos="2160"/>
        </w:tabs>
        <w:ind w:left="2160" w:hanging="360"/>
      </w:pPr>
      <w:rPr>
        <w:rFonts w:cs="Times New Roman"/>
      </w:rPr>
    </w:lvl>
    <w:lvl w:ilvl="2" w:tplc="041B001B">
      <w:start w:val="1"/>
      <w:numFmt w:val="lowerRoman"/>
      <w:lvlText w:val="%3."/>
      <w:lvlJc w:val="right"/>
      <w:pPr>
        <w:tabs>
          <w:tab w:val="num" w:pos="2880"/>
        </w:tabs>
        <w:ind w:left="2880" w:hanging="180"/>
      </w:pPr>
      <w:rPr>
        <w:rFonts w:cs="Times New Roman"/>
      </w:rPr>
    </w:lvl>
    <w:lvl w:ilvl="3" w:tplc="041B000F">
      <w:start w:val="1"/>
      <w:numFmt w:val="decimal"/>
      <w:lvlText w:val="%4."/>
      <w:lvlJc w:val="left"/>
      <w:pPr>
        <w:tabs>
          <w:tab w:val="num" w:pos="3600"/>
        </w:tabs>
        <w:ind w:left="3600" w:hanging="360"/>
      </w:pPr>
      <w:rPr>
        <w:rFonts w:cs="Times New Roman"/>
      </w:rPr>
    </w:lvl>
    <w:lvl w:ilvl="4" w:tplc="041B0019">
      <w:start w:val="1"/>
      <w:numFmt w:val="lowerLetter"/>
      <w:lvlText w:val="%5."/>
      <w:lvlJc w:val="left"/>
      <w:pPr>
        <w:tabs>
          <w:tab w:val="num" w:pos="4320"/>
        </w:tabs>
        <w:ind w:left="4320" w:hanging="360"/>
      </w:pPr>
      <w:rPr>
        <w:rFonts w:cs="Times New Roman"/>
      </w:rPr>
    </w:lvl>
    <w:lvl w:ilvl="5" w:tplc="041B001B">
      <w:start w:val="1"/>
      <w:numFmt w:val="lowerRoman"/>
      <w:lvlText w:val="%6."/>
      <w:lvlJc w:val="right"/>
      <w:pPr>
        <w:tabs>
          <w:tab w:val="num" w:pos="5040"/>
        </w:tabs>
        <w:ind w:left="5040" w:hanging="180"/>
      </w:pPr>
      <w:rPr>
        <w:rFonts w:cs="Times New Roman"/>
      </w:rPr>
    </w:lvl>
    <w:lvl w:ilvl="6" w:tplc="041B000F">
      <w:start w:val="1"/>
      <w:numFmt w:val="decimal"/>
      <w:lvlText w:val="%7."/>
      <w:lvlJc w:val="left"/>
      <w:pPr>
        <w:tabs>
          <w:tab w:val="num" w:pos="5760"/>
        </w:tabs>
        <w:ind w:left="5760" w:hanging="360"/>
      </w:pPr>
      <w:rPr>
        <w:rFonts w:cs="Times New Roman"/>
      </w:rPr>
    </w:lvl>
    <w:lvl w:ilvl="7" w:tplc="041B0019">
      <w:start w:val="1"/>
      <w:numFmt w:val="lowerLetter"/>
      <w:lvlText w:val="%8."/>
      <w:lvlJc w:val="left"/>
      <w:pPr>
        <w:tabs>
          <w:tab w:val="num" w:pos="6480"/>
        </w:tabs>
        <w:ind w:left="6480" w:hanging="360"/>
      </w:pPr>
      <w:rPr>
        <w:rFonts w:cs="Times New Roman"/>
      </w:rPr>
    </w:lvl>
    <w:lvl w:ilvl="8" w:tplc="041B001B">
      <w:start w:val="1"/>
      <w:numFmt w:val="lowerRoman"/>
      <w:lvlText w:val="%9."/>
      <w:lvlJc w:val="right"/>
      <w:pPr>
        <w:tabs>
          <w:tab w:val="num" w:pos="7200"/>
        </w:tabs>
        <w:ind w:left="7200" w:hanging="180"/>
      </w:pPr>
      <w:rPr>
        <w:rFonts w:cs="Times New Roman"/>
      </w:rPr>
    </w:lvl>
  </w:abstractNum>
  <w:abstractNum w:abstractNumId="1" w15:restartNumberingAfterBreak="0">
    <w:nsid w:val="1C6F07B4"/>
    <w:multiLevelType w:val="hybridMultilevel"/>
    <w:tmpl w:val="8C96F516"/>
    <w:lvl w:ilvl="0" w:tplc="041B000F">
      <w:start w:val="1"/>
      <w:numFmt w:val="decimal"/>
      <w:lvlText w:val="%1."/>
      <w:lvlJc w:val="left"/>
      <w:pPr>
        <w:tabs>
          <w:tab w:val="num" w:pos="1440"/>
        </w:tabs>
        <w:ind w:left="1440" w:hanging="360"/>
      </w:pPr>
      <w:rPr>
        <w:rFonts w:cs="Times New Roman"/>
      </w:rPr>
    </w:lvl>
    <w:lvl w:ilvl="1" w:tplc="041B0019">
      <w:start w:val="1"/>
      <w:numFmt w:val="lowerLetter"/>
      <w:lvlText w:val="%2."/>
      <w:lvlJc w:val="left"/>
      <w:pPr>
        <w:tabs>
          <w:tab w:val="num" w:pos="2160"/>
        </w:tabs>
        <w:ind w:left="2160" w:hanging="360"/>
      </w:pPr>
      <w:rPr>
        <w:rFonts w:cs="Times New Roman"/>
      </w:rPr>
    </w:lvl>
    <w:lvl w:ilvl="2" w:tplc="041B001B">
      <w:start w:val="1"/>
      <w:numFmt w:val="lowerRoman"/>
      <w:lvlText w:val="%3."/>
      <w:lvlJc w:val="right"/>
      <w:pPr>
        <w:tabs>
          <w:tab w:val="num" w:pos="2880"/>
        </w:tabs>
        <w:ind w:left="2880" w:hanging="180"/>
      </w:pPr>
      <w:rPr>
        <w:rFonts w:cs="Times New Roman"/>
      </w:rPr>
    </w:lvl>
    <w:lvl w:ilvl="3" w:tplc="041B000F">
      <w:start w:val="1"/>
      <w:numFmt w:val="decimal"/>
      <w:lvlText w:val="%4."/>
      <w:lvlJc w:val="left"/>
      <w:pPr>
        <w:tabs>
          <w:tab w:val="num" w:pos="3600"/>
        </w:tabs>
        <w:ind w:left="3600" w:hanging="360"/>
      </w:pPr>
      <w:rPr>
        <w:rFonts w:cs="Times New Roman"/>
      </w:rPr>
    </w:lvl>
    <w:lvl w:ilvl="4" w:tplc="041B0019">
      <w:start w:val="1"/>
      <w:numFmt w:val="lowerLetter"/>
      <w:lvlText w:val="%5."/>
      <w:lvlJc w:val="left"/>
      <w:pPr>
        <w:tabs>
          <w:tab w:val="num" w:pos="4320"/>
        </w:tabs>
        <w:ind w:left="4320" w:hanging="360"/>
      </w:pPr>
      <w:rPr>
        <w:rFonts w:cs="Times New Roman"/>
      </w:rPr>
    </w:lvl>
    <w:lvl w:ilvl="5" w:tplc="041B001B">
      <w:start w:val="1"/>
      <w:numFmt w:val="lowerRoman"/>
      <w:lvlText w:val="%6."/>
      <w:lvlJc w:val="right"/>
      <w:pPr>
        <w:tabs>
          <w:tab w:val="num" w:pos="5040"/>
        </w:tabs>
        <w:ind w:left="5040" w:hanging="180"/>
      </w:pPr>
      <w:rPr>
        <w:rFonts w:cs="Times New Roman"/>
      </w:rPr>
    </w:lvl>
    <w:lvl w:ilvl="6" w:tplc="041B000F">
      <w:start w:val="1"/>
      <w:numFmt w:val="decimal"/>
      <w:lvlText w:val="%7."/>
      <w:lvlJc w:val="left"/>
      <w:pPr>
        <w:tabs>
          <w:tab w:val="num" w:pos="5760"/>
        </w:tabs>
        <w:ind w:left="5760" w:hanging="360"/>
      </w:pPr>
      <w:rPr>
        <w:rFonts w:cs="Times New Roman"/>
      </w:rPr>
    </w:lvl>
    <w:lvl w:ilvl="7" w:tplc="041B0019">
      <w:start w:val="1"/>
      <w:numFmt w:val="lowerLetter"/>
      <w:lvlText w:val="%8."/>
      <w:lvlJc w:val="left"/>
      <w:pPr>
        <w:tabs>
          <w:tab w:val="num" w:pos="6480"/>
        </w:tabs>
        <w:ind w:left="6480" w:hanging="360"/>
      </w:pPr>
      <w:rPr>
        <w:rFonts w:cs="Times New Roman"/>
      </w:rPr>
    </w:lvl>
    <w:lvl w:ilvl="8" w:tplc="041B001B">
      <w:start w:val="1"/>
      <w:numFmt w:val="lowerRoman"/>
      <w:lvlText w:val="%9."/>
      <w:lvlJc w:val="right"/>
      <w:pPr>
        <w:tabs>
          <w:tab w:val="num" w:pos="7200"/>
        </w:tabs>
        <w:ind w:left="7200" w:hanging="180"/>
      </w:pPr>
      <w:rPr>
        <w:rFonts w:cs="Times New Roman"/>
      </w:rPr>
    </w:lvl>
  </w:abstractNum>
  <w:abstractNum w:abstractNumId="2" w15:restartNumberingAfterBreak="0">
    <w:nsid w:val="1CDC596E"/>
    <w:multiLevelType w:val="hybridMultilevel"/>
    <w:tmpl w:val="3FA61572"/>
    <w:lvl w:ilvl="0" w:tplc="041B000F">
      <w:start w:val="1"/>
      <w:numFmt w:val="decimal"/>
      <w:lvlText w:val="%1."/>
      <w:lvlJc w:val="left"/>
      <w:pPr>
        <w:tabs>
          <w:tab w:val="num" w:pos="1440"/>
        </w:tabs>
        <w:ind w:left="1440" w:hanging="360"/>
      </w:pPr>
      <w:rPr>
        <w:rFonts w:cs="Times New Roman"/>
      </w:rPr>
    </w:lvl>
    <w:lvl w:ilvl="1" w:tplc="041B0019">
      <w:start w:val="1"/>
      <w:numFmt w:val="lowerLetter"/>
      <w:lvlText w:val="%2."/>
      <w:lvlJc w:val="left"/>
      <w:pPr>
        <w:tabs>
          <w:tab w:val="num" w:pos="2160"/>
        </w:tabs>
        <w:ind w:left="2160" w:hanging="360"/>
      </w:pPr>
      <w:rPr>
        <w:rFonts w:cs="Times New Roman"/>
      </w:rPr>
    </w:lvl>
    <w:lvl w:ilvl="2" w:tplc="041B001B">
      <w:start w:val="1"/>
      <w:numFmt w:val="lowerRoman"/>
      <w:lvlText w:val="%3."/>
      <w:lvlJc w:val="right"/>
      <w:pPr>
        <w:tabs>
          <w:tab w:val="num" w:pos="2880"/>
        </w:tabs>
        <w:ind w:left="2880" w:hanging="180"/>
      </w:pPr>
      <w:rPr>
        <w:rFonts w:cs="Times New Roman"/>
      </w:rPr>
    </w:lvl>
    <w:lvl w:ilvl="3" w:tplc="041B000F">
      <w:start w:val="1"/>
      <w:numFmt w:val="decimal"/>
      <w:lvlText w:val="%4."/>
      <w:lvlJc w:val="left"/>
      <w:pPr>
        <w:tabs>
          <w:tab w:val="num" w:pos="3600"/>
        </w:tabs>
        <w:ind w:left="3600" w:hanging="360"/>
      </w:pPr>
      <w:rPr>
        <w:rFonts w:cs="Times New Roman"/>
      </w:rPr>
    </w:lvl>
    <w:lvl w:ilvl="4" w:tplc="041B0019">
      <w:start w:val="1"/>
      <w:numFmt w:val="lowerLetter"/>
      <w:lvlText w:val="%5."/>
      <w:lvlJc w:val="left"/>
      <w:pPr>
        <w:tabs>
          <w:tab w:val="num" w:pos="4320"/>
        </w:tabs>
        <w:ind w:left="4320" w:hanging="360"/>
      </w:pPr>
      <w:rPr>
        <w:rFonts w:cs="Times New Roman"/>
      </w:rPr>
    </w:lvl>
    <w:lvl w:ilvl="5" w:tplc="041B001B">
      <w:start w:val="1"/>
      <w:numFmt w:val="lowerRoman"/>
      <w:lvlText w:val="%6."/>
      <w:lvlJc w:val="right"/>
      <w:pPr>
        <w:tabs>
          <w:tab w:val="num" w:pos="5040"/>
        </w:tabs>
        <w:ind w:left="5040" w:hanging="180"/>
      </w:pPr>
      <w:rPr>
        <w:rFonts w:cs="Times New Roman"/>
      </w:rPr>
    </w:lvl>
    <w:lvl w:ilvl="6" w:tplc="041B000F">
      <w:start w:val="1"/>
      <w:numFmt w:val="decimal"/>
      <w:lvlText w:val="%7."/>
      <w:lvlJc w:val="left"/>
      <w:pPr>
        <w:tabs>
          <w:tab w:val="num" w:pos="5760"/>
        </w:tabs>
        <w:ind w:left="5760" w:hanging="360"/>
      </w:pPr>
      <w:rPr>
        <w:rFonts w:cs="Times New Roman"/>
      </w:rPr>
    </w:lvl>
    <w:lvl w:ilvl="7" w:tplc="041B0019">
      <w:start w:val="1"/>
      <w:numFmt w:val="lowerLetter"/>
      <w:lvlText w:val="%8."/>
      <w:lvlJc w:val="left"/>
      <w:pPr>
        <w:tabs>
          <w:tab w:val="num" w:pos="6480"/>
        </w:tabs>
        <w:ind w:left="6480" w:hanging="360"/>
      </w:pPr>
      <w:rPr>
        <w:rFonts w:cs="Times New Roman"/>
      </w:rPr>
    </w:lvl>
    <w:lvl w:ilvl="8" w:tplc="041B001B">
      <w:start w:val="1"/>
      <w:numFmt w:val="lowerRoman"/>
      <w:lvlText w:val="%9."/>
      <w:lvlJc w:val="right"/>
      <w:pPr>
        <w:tabs>
          <w:tab w:val="num" w:pos="7200"/>
        </w:tabs>
        <w:ind w:left="7200" w:hanging="180"/>
      </w:pPr>
      <w:rPr>
        <w:rFonts w:cs="Times New Roman"/>
      </w:rPr>
    </w:lvl>
  </w:abstractNum>
  <w:abstractNum w:abstractNumId="3" w15:restartNumberingAfterBreak="0">
    <w:nsid w:val="2B3A159E"/>
    <w:multiLevelType w:val="hybridMultilevel"/>
    <w:tmpl w:val="E9A61B26"/>
    <w:lvl w:ilvl="0" w:tplc="041B000F">
      <w:start w:val="1"/>
      <w:numFmt w:val="decimal"/>
      <w:lvlText w:val="%1."/>
      <w:lvlJc w:val="left"/>
      <w:pPr>
        <w:tabs>
          <w:tab w:val="num" w:pos="360"/>
        </w:tabs>
        <w:ind w:left="360" w:hanging="360"/>
      </w:pPr>
      <w:rPr>
        <w:rFonts w:cs="Times New Roman"/>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4" w15:restartNumberingAfterBreak="0">
    <w:nsid w:val="3A232298"/>
    <w:multiLevelType w:val="multilevel"/>
    <w:tmpl w:val="519AEFC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A79021C"/>
    <w:multiLevelType w:val="hybridMultilevel"/>
    <w:tmpl w:val="2252FA04"/>
    <w:lvl w:ilvl="0" w:tplc="6E90272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0856CAE"/>
    <w:multiLevelType w:val="hybridMultilevel"/>
    <w:tmpl w:val="6EE01A80"/>
    <w:lvl w:ilvl="0" w:tplc="CFC2F1F8">
      <w:start w:val="1"/>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7" w15:restartNumberingAfterBreak="0">
    <w:nsid w:val="47425FAE"/>
    <w:multiLevelType w:val="hybridMultilevel"/>
    <w:tmpl w:val="DAE898C4"/>
    <w:lvl w:ilvl="0" w:tplc="1662165A">
      <w:start w:val="1"/>
      <w:numFmt w:val="decimal"/>
      <w:lvlText w:val="%1."/>
      <w:lvlJc w:val="left"/>
      <w:pPr>
        <w:ind w:left="1069" w:hanging="360"/>
      </w:pPr>
      <w:rPr>
        <w:rFonts w:cs="Times New Roman" w:hint="default"/>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8" w15:restartNumberingAfterBreak="0">
    <w:nsid w:val="4E28225D"/>
    <w:multiLevelType w:val="hybridMultilevel"/>
    <w:tmpl w:val="789A3370"/>
    <w:lvl w:ilvl="0" w:tplc="FFFFFFFF">
      <w:start w:val="1"/>
      <w:numFmt w:val="lowerLetter"/>
      <w:lvlText w:val="%1)"/>
      <w:lvlJc w:val="left"/>
      <w:pPr>
        <w:tabs>
          <w:tab w:val="num" w:pos="1605"/>
        </w:tabs>
        <w:ind w:left="1605" w:hanging="360"/>
      </w:pPr>
      <w:rPr>
        <w:rFonts w:cs="Times New Roman" w:hint="default"/>
        <w:b w:val="0"/>
        <w:bCs w:val="0"/>
      </w:rPr>
    </w:lvl>
    <w:lvl w:ilvl="1" w:tplc="FFFFFFFF">
      <w:start w:val="1"/>
      <w:numFmt w:val="bullet"/>
      <w:lvlText w:val="-"/>
      <w:lvlJc w:val="left"/>
      <w:pPr>
        <w:tabs>
          <w:tab w:val="num" w:pos="1920"/>
        </w:tabs>
        <w:ind w:left="1920" w:hanging="360"/>
      </w:pPr>
      <w:rPr>
        <w:rFonts w:ascii="Arial" w:eastAsia="Times New Roman" w:hAnsi="Arial" w:hint="default"/>
        <w:b w:val="0"/>
      </w:rPr>
    </w:lvl>
    <w:lvl w:ilvl="2" w:tplc="FFFFFFFF">
      <w:start w:val="1"/>
      <w:numFmt w:val="decimal"/>
      <w:lvlText w:val="%3."/>
      <w:lvlJc w:val="left"/>
      <w:pPr>
        <w:tabs>
          <w:tab w:val="num" w:pos="3225"/>
        </w:tabs>
        <w:ind w:left="3225" w:hanging="360"/>
      </w:pPr>
      <w:rPr>
        <w:rFonts w:cs="Times New Roman" w:hint="default"/>
        <w:b w:val="0"/>
        <w:bCs w:val="0"/>
      </w:rPr>
    </w:lvl>
    <w:lvl w:ilvl="3" w:tplc="FFFFFFFF">
      <w:start w:val="1"/>
      <w:numFmt w:val="decimal"/>
      <w:lvlText w:val="%4."/>
      <w:lvlJc w:val="left"/>
      <w:pPr>
        <w:tabs>
          <w:tab w:val="num" w:pos="3765"/>
        </w:tabs>
        <w:ind w:left="3765" w:hanging="360"/>
      </w:pPr>
      <w:rPr>
        <w:rFonts w:cs="Times New Roman"/>
      </w:rPr>
    </w:lvl>
    <w:lvl w:ilvl="4" w:tplc="FFFFFFFF">
      <w:start w:val="1"/>
      <w:numFmt w:val="lowerLetter"/>
      <w:lvlText w:val="%5."/>
      <w:lvlJc w:val="left"/>
      <w:pPr>
        <w:tabs>
          <w:tab w:val="num" w:pos="4485"/>
        </w:tabs>
        <w:ind w:left="4485" w:hanging="360"/>
      </w:pPr>
      <w:rPr>
        <w:rFonts w:cs="Times New Roman"/>
      </w:rPr>
    </w:lvl>
    <w:lvl w:ilvl="5" w:tplc="FFFFFFFF">
      <w:start w:val="1"/>
      <w:numFmt w:val="lowerRoman"/>
      <w:lvlText w:val="%6."/>
      <w:lvlJc w:val="right"/>
      <w:pPr>
        <w:tabs>
          <w:tab w:val="num" w:pos="5205"/>
        </w:tabs>
        <w:ind w:left="5205" w:hanging="180"/>
      </w:pPr>
      <w:rPr>
        <w:rFonts w:cs="Times New Roman"/>
      </w:rPr>
    </w:lvl>
    <w:lvl w:ilvl="6" w:tplc="FFFFFFFF">
      <w:start w:val="1"/>
      <w:numFmt w:val="decimal"/>
      <w:lvlText w:val="%7."/>
      <w:lvlJc w:val="left"/>
      <w:pPr>
        <w:tabs>
          <w:tab w:val="num" w:pos="5925"/>
        </w:tabs>
        <w:ind w:left="5925" w:hanging="360"/>
      </w:pPr>
      <w:rPr>
        <w:rFonts w:cs="Times New Roman"/>
      </w:rPr>
    </w:lvl>
    <w:lvl w:ilvl="7" w:tplc="FFFFFFFF">
      <w:start w:val="1"/>
      <w:numFmt w:val="lowerLetter"/>
      <w:lvlText w:val="%8."/>
      <w:lvlJc w:val="left"/>
      <w:pPr>
        <w:tabs>
          <w:tab w:val="num" w:pos="6645"/>
        </w:tabs>
        <w:ind w:left="6645" w:hanging="360"/>
      </w:pPr>
      <w:rPr>
        <w:rFonts w:cs="Times New Roman"/>
      </w:rPr>
    </w:lvl>
    <w:lvl w:ilvl="8" w:tplc="FFFFFFFF">
      <w:start w:val="1"/>
      <w:numFmt w:val="lowerRoman"/>
      <w:lvlText w:val="%9."/>
      <w:lvlJc w:val="right"/>
      <w:pPr>
        <w:tabs>
          <w:tab w:val="num" w:pos="7365"/>
        </w:tabs>
        <w:ind w:left="7365" w:hanging="180"/>
      </w:pPr>
      <w:rPr>
        <w:rFonts w:cs="Times New Roman"/>
      </w:rPr>
    </w:lvl>
  </w:abstractNum>
  <w:abstractNum w:abstractNumId="9" w15:restartNumberingAfterBreak="0">
    <w:nsid w:val="5C9B77D4"/>
    <w:multiLevelType w:val="multilevel"/>
    <w:tmpl w:val="4C860A04"/>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1" w:hanging="425"/>
      </w:pPr>
      <w:rPr>
        <w:rFonts w:ascii="Arial Narrow" w:eastAsia="Times New Roman" w:hAnsi="Arial Narrow" w:cs="Times New Roman" w:hint="default"/>
        <w:b/>
        <w:sz w:val="24"/>
        <w:szCs w:val="24"/>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10" w15:restartNumberingAfterBreak="0">
    <w:nsid w:val="5D0B44FF"/>
    <w:multiLevelType w:val="hybridMultilevel"/>
    <w:tmpl w:val="38349D96"/>
    <w:lvl w:ilvl="0" w:tplc="041B0017">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1" w15:restartNumberingAfterBreak="0">
    <w:nsid w:val="5D7215D8"/>
    <w:multiLevelType w:val="multilevel"/>
    <w:tmpl w:val="911C804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EEA09B6"/>
    <w:multiLevelType w:val="hybridMultilevel"/>
    <w:tmpl w:val="32B6E36C"/>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3" w15:restartNumberingAfterBreak="0">
    <w:nsid w:val="647E7C50"/>
    <w:multiLevelType w:val="hybridMultilevel"/>
    <w:tmpl w:val="A484EAB8"/>
    <w:lvl w:ilvl="0" w:tplc="041B000F">
      <w:start w:val="1"/>
      <w:numFmt w:val="decimal"/>
      <w:lvlText w:val="%1."/>
      <w:lvlJc w:val="left"/>
      <w:pPr>
        <w:tabs>
          <w:tab w:val="num" w:pos="1440"/>
        </w:tabs>
        <w:ind w:left="1440" w:hanging="360"/>
      </w:pPr>
      <w:rPr>
        <w:rFonts w:cs="Times New Roman"/>
      </w:rPr>
    </w:lvl>
    <w:lvl w:ilvl="1" w:tplc="041B0019">
      <w:start w:val="1"/>
      <w:numFmt w:val="lowerLetter"/>
      <w:lvlText w:val="%2."/>
      <w:lvlJc w:val="left"/>
      <w:pPr>
        <w:tabs>
          <w:tab w:val="num" w:pos="2160"/>
        </w:tabs>
        <w:ind w:left="2160" w:hanging="360"/>
      </w:pPr>
      <w:rPr>
        <w:rFonts w:cs="Times New Roman"/>
      </w:rPr>
    </w:lvl>
    <w:lvl w:ilvl="2" w:tplc="041B001B">
      <w:start w:val="1"/>
      <w:numFmt w:val="lowerRoman"/>
      <w:lvlText w:val="%3."/>
      <w:lvlJc w:val="right"/>
      <w:pPr>
        <w:tabs>
          <w:tab w:val="num" w:pos="2880"/>
        </w:tabs>
        <w:ind w:left="2880" w:hanging="180"/>
      </w:pPr>
      <w:rPr>
        <w:rFonts w:cs="Times New Roman"/>
      </w:rPr>
    </w:lvl>
    <w:lvl w:ilvl="3" w:tplc="041B000F">
      <w:start w:val="1"/>
      <w:numFmt w:val="decimal"/>
      <w:lvlText w:val="%4."/>
      <w:lvlJc w:val="left"/>
      <w:pPr>
        <w:tabs>
          <w:tab w:val="num" w:pos="3600"/>
        </w:tabs>
        <w:ind w:left="3600" w:hanging="360"/>
      </w:pPr>
      <w:rPr>
        <w:rFonts w:cs="Times New Roman"/>
      </w:rPr>
    </w:lvl>
    <w:lvl w:ilvl="4" w:tplc="041B0019">
      <w:start w:val="1"/>
      <w:numFmt w:val="lowerLetter"/>
      <w:lvlText w:val="%5."/>
      <w:lvlJc w:val="left"/>
      <w:pPr>
        <w:tabs>
          <w:tab w:val="num" w:pos="4320"/>
        </w:tabs>
        <w:ind w:left="4320" w:hanging="360"/>
      </w:pPr>
      <w:rPr>
        <w:rFonts w:cs="Times New Roman"/>
      </w:rPr>
    </w:lvl>
    <w:lvl w:ilvl="5" w:tplc="041B001B">
      <w:start w:val="1"/>
      <w:numFmt w:val="lowerRoman"/>
      <w:lvlText w:val="%6."/>
      <w:lvlJc w:val="right"/>
      <w:pPr>
        <w:tabs>
          <w:tab w:val="num" w:pos="5040"/>
        </w:tabs>
        <w:ind w:left="5040" w:hanging="180"/>
      </w:pPr>
      <w:rPr>
        <w:rFonts w:cs="Times New Roman"/>
      </w:rPr>
    </w:lvl>
    <w:lvl w:ilvl="6" w:tplc="041B000F">
      <w:start w:val="1"/>
      <w:numFmt w:val="decimal"/>
      <w:lvlText w:val="%7."/>
      <w:lvlJc w:val="left"/>
      <w:pPr>
        <w:tabs>
          <w:tab w:val="num" w:pos="5760"/>
        </w:tabs>
        <w:ind w:left="5760" w:hanging="360"/>
      </w:pPr>
      <w:rPr>
        <w:rFonts w:cs="Times New Roman"/>
      </w:rPr>
    </w:lvl>
    <w:lvl w:ilvl="7" w:tplc="041B0019">
      <w:start w:val="1"/>
      <w:numFmt w:val="lowerLetter"/>
      <w:lvlText w:val="%8."/>
      <w:lvlJc w:val="left"/>
      <w:pPr>
        <w:tabs>
          <w:tab w:val="num" w:pos="6480"/>
        </w:tabs>
        <w:ind w:left="6480" w:hanging="360"/>
      </w:pPr>
      <w:rPr>
        <w:rFonts w:cs="Times New Roman"/>
      </w:rPr>
    </w:lvl>
    <w:lvl w:ilvl="8" w:tplc="041B001B">
      <w:start w:val="1"/>
      <w:numFmt w:val="lowerRoman"/>
      <w:lvlText w:val="%9."/>
      <w:lvlJc w:val="right"/>
      <w:pPr>
        <w:tabs>
          <w:tab w:val="num" w:pos="7200"/>
        </w:tabs>
        <w:ind w:left="7200" w:hanging="180"/>
      </w:pPr>
      <w:rPr>
        <w:rFonts w:cs="Times New Roman"/>
      </w:rPr>
    </w:lvl>
  </w:abstractNum>
  <w:abstractNum w:abstractNumId="14" w15:restartNumberingAfterBreak="0">
    <w:nsid w:val="67381AF0"/>
    <w:multiLevelType w:val="hybridMultilevel"/>
    <w:tmpl w:val="545C9D60"/>
    <w:lvl w:ilvl="0" w:tplc="B240BA3A">
      <w:start w:val="6"/>
      <w:numFmt w:val="bullet"/>
      <w:lvlText w:val="-"/>
      <w:lvlJc w:val="left"/>
      <w:pPr>
        <w:tabs>
          <w:tab w:val="num" w:pos="900"/>
        </w:tabs>
        <w:ind w:left="900" w:hanging="39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786166"/>
    <w:multiLevelType w:val="hybridMultilevel"/>
    <w:tmpl w:val="44909AE0"/>
    <w:lvl w:ilvl="0" w:tplc="3216DD96">
      <w:start w:val="3"/>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072A8C"/>
    <w:multiLevelType w:val="hybridMultilevel"/>
    <w:tmpl w:val="8EF828A4"/>
    <w:lvl w:ilvl="0" w:tplc="AED83EC6">
      <w:start w:val="4"/>
      <w:numFmt w:val="low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7" w15:restartNumberingAfterBreak="0">
    <w:nsid w:val="784A1042"/>
    <w:multiLevelType w:val="hybridMultilevel"/>
    <w:tmpl w:val="4E6865E6"/>
    <w:lvl w:ilvl="0" w:tplc="2E7A6B06">
      <w:start w:val="1"/>
      <w:numFmt w:val="upperLetter"/>
      <w:lvlText w:val="%1."/>
      <w:lvlJc w:val="left"/>
      <w:pPr>
        <w:tabs>
          <w:tab w:val="num" w:pos="720"/>
        </w:tabs>
        <w:ind w:left="72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8"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12"/>
  </w:num>
  <w:num w:numId="2">
    <w:abstractNumId w:val="2"/>
  </w:num>
  <w:num w:numId="3">
    <w:abstractNumId w:val="0"/>
  </w:num>
  <w:num w:numId="4">
    <w:abstractNumId w:val="3"/>
  </w:num>
  <w:num w:numId="5">
    <w:abstractNumId w:val="13"/>
  </w:num>
  <w:num w:numId="6">
    <w:abstractNumId w:val="4"/>
  </w:num>
  <w:num w:numId="7">
    <w:abstractNumId w:val="11"/>
  </w:num>
  <w:num w:numId="8">
    <w:abstractNumId w:val="17"/>
  </w:num>
  <w:num w:numId="9">
    <w:abstractNumId w:val="1"/>
  </w:num>
  <w:num w:numId="10">
    <w:abstractNumId w:val="8"/>
  </w:num>
  <w:num w:numId="11">
    <w:abstractNumId w:val="16"/>
  </w:num>
  <w:num w:numId="12">
    <w:abstractNumId w:val="6"/>
  </w:num>
  <w:num w:numId="13">
    <w:abstractNumId w:val="15"/>
  </w:num>
  <w:num w:numId="14">
    <w:abstractNumId w:val="5"/>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557"/>
    <w:rsid w:val="000012DF"/>
    <w:rsid w:val="00001AB4"/>
    <w:rsid w:val="000047AC"/>
    <w:rsid w:val="00006F32"/>
    <w:rsid w:val="000070E4"/>
    <w:rsid w:val="00015E8E"/>
    <w:rsid w:val="00025981"/>
    <w:rsid w:val="00030C71"/>
    <w:rsid w:val="000335EF"/>
    <w:rsid w:val="00033AC6"/>
    <w:rsid w:val="00034FD4"/>
    <w:rsid w:val="00037A9F"/>
    <w:rsid w:val="00052930"/>
    <w:rsid w:val="00072A0D"/>
    <w:rsid w:val="00080030"/>
    <w:rsid w:val="000831EE"/>
    <w:rsid w:val="00091E08"/>
    <w:rsid w:val="00093E4E"/>
    <w:rsid w:val="000A579F"/>
    <w:rsid w:val="000B035A"/>
    <w:rsid w:val="000B28FB"/>
    <w:rsid w:val="000B7571"/>
    <w:rsid w:val="000C4281"/>
    <w:rsid w:val="000C55ED"/>
    <w:rsid w:val="000C7B3A"/>
    <w:rsid w:val="000C7FAF"/>
    <w:rsid w:val="000E158E"/>
    <w:rsid w:val="000E1902"/>
    <w:rsid w:val="000E5E26"/>
    <w:rsid w:val="000F3F4E"/>
    <w:rsid w:val="000F6010"/>
    <w:rsid w:val="00102CE5"/>
    <w:rsid w:val="001049BB"/>
    <w:rsid w:val="00105F2F"/>
    <w:rsid w:val="00110280"/>
    <w:rsid w:val="001109A5"/>
    <w:rsid w:val="00110BF3"/>
    <w:rsid w:val="00112ABD"/>
    <w:rsid w:val="00113B65"/>
    <w:rsid w:val="00115237"/>
    <w:rsid w:val="001160F8"/>
    <w:rsid w:val="001179FA"/>
    <w:rsid w:val="0013624E"/>
    <w:rsid w:val="0014312F"/>
    <w:rsid w:val="001445EA"/>
    <w:rsid w:val="00152D91"/>
    <w:rsid w:val="00155A17"/>
    <w:rsid w:val="001563B2"/>
    <w:rsid w:val="00156DE9"/>
    <w:rsid w:val="0016213E"/>
    <w:rsid w:val="00163BD2"/>
    <w:rsid w:val="0016545D"/>
    <w:rsid w:val="001661E8"/>
    <w:rsid w:val="00173087"/>
    <w:rsid w:val="00186CB5"/>
    <w:rsid w:val="0019611A"/>
    <w:rsid w:val="001A334C"/>
    <w:rsid w:val="001A7266"/>
    <w:rsid w:val="001B0C3B"/>
    <w:rsid w:val="001B1A8A"/>
    <w:rsid w:val="001B2687"/>
    <w:rsid w:val="001B6269"/>
    <w:rsid w:val="001B7055"/>
    <w:rsid w:val="001C230B"/>
    <w:rsid w:val="001C5FF9"/>
    <w:rsid w:val="001D1979"/>
    <w:rsid w:val="001D3D7B"/>
    <w:rsid w:val="001D4623"/>
    <w:rsid w:val="001D541F"/>
    <w:rsid w:val="001E13E0"/>
    <w:rsid w:val="001E46BE"/>
    <w:rsid w:val="001E59B1"/>
    <w:rsid w:val="001F0CD7"/>
    <w:rsid w:val="001F6666"/>
    <w:rsid w:val="00201C4F"/>
    <w:rsid w:val="002024A9"/>
    <w:rsid w:val="00202F8D"/>
    <w:rsid w:val="002055C9"/>
    <w:rsid w:val="0020568C"/>
    <w:rsid w:val="0021185F"/>
    <w:rsid w:val="00213AC4"/>
    <w:rsid w:val="00216024"/>
    <w:rsid w:val="0021607A"/>
    <w:rsid w:val="002207C5"/>
    <w:rsid w:val="00226306"/>
    <w:rsid w:val="00232668"/>
    <w:rsid w:val="00240D73"/>
    <w:rsid w:val="00243CED"/>
    <w:rsid w:val="00244D2A"/>
    <w:rsid w:val="00252A47"/>
    <w:rsid w:val="00257095"/>
    <w:rsid w:val="00257B4C"/>
    <w:rsid w:val="00262A00"/>
    <w:rsid w:val="002656FD"/>
    <w:rsid w:val="00271998"/>
    <w:rsid w:val="0027518A"/>
    <w:rsid w:val="00284CB0"/>
    <w:rsid w:val="0028753C"/>
    <w:rsid w:val="002901D3"/>
    <w:rsid w:val="00292B29"/>
    <w:rsid w:val="00293310"/>
    <w:rsid w:val="002945A0"/>
    <w:rsid w:val="002A5B53"/>
    <w:rsid w:val="002B0FE9"/>
    <w:rsid w:val="002B20DE"/>
    <w:rsid w:val="002B2E2F"/>
    <w:rsid w:val="002B3278"/>
    <w:rsid w:val="002B5639"/>
    <w:rsid w:val="002C48DA"/>
    <w:rsid w:val="002D2341"/>
    <w:rsid w:val="002D6547"/>
    <w:rsid w:val="003004B0"/>
    <w:rsid w:val="00324800"/>
    <w:rsid w:val="003274C3"/>
    <w:rsid w:val="00331203"/>
    <w:rsid w:val="0033265B"/>
    <w:rsid w:val="00336A20"/>
    <w:rsid w:val="003423A7"/>
    <w:rsid w:val="00343529"/>
    <w:rsid w:val="003449B5"/>
    <w:rsid w:val="00357F68"/>
    <w:rsid w:val="003607AC"/>
    <w:rsid w:val="00364E87"/>
    <w:rsid w:val="00365E68"/>
    <w:rsid w:val="00366732"/>
    <w:rsid w:val="003725BF"/>
    <w:rsid w:val="003727DF"/>
    <w:rsid w:val="00380D11"/>
    <w:rsid w:val="00385A41"/>
    <w:rsid w:val="00387970"/>
    <w:rsid w:val="00394B05"/>
    <w:rsid w:val="00396B29"/>
    <w:rsid w:val="003A01E3"/>
    <w:rsid w:val="003A6DF7"/>
    <w:rsid w:val="003B02B2"/>
    <w:rsid w:val="003B21E8"/>
    <w:rsid w:val="003B48CC"/>
    <w:rsid w:val="003B519F"/>
    <w:rsid w:val="003C010C"/>
    <w:rsid w:val="003C2353"/>
    <w:rsid w:val="003C3BAD"/>
    <w:rsid w:val="003C696E"/>
    <w:rsid w:val="003D421F"/>
    <w:rsid w:val="003D7272"/>
    <w:rsid w:val="003D76CA"/>
    <w:rsid w:val="003E27C0"/>
    <w:rsid w:val="003E43C1"/>
    <w:rsid w:val="003E553C"/>
    <w:rsid w:val="003F3CD8"/>
    <w:rsid w:val="003F4DB0"/>
    <w:rsid w:val="00401673"/>
    <w:rsid w:val="0040526D"/>
    <w:rsid w:val="00431FB7"/>
    <w:rsid w:val="00432C42"/>
    <w:rsid w:val="00434D95"/>
    <w:rsid w:val="00435832"/>
    <w:rsid w:val="00443D56"/>
    <w:rsid w:val="00450F97"/>
    <w:rsid w:val="00452157"/>
    <w:rsid w:val="0045648F"/>
    <w:rsid w:val="00457A1C"/>
    <w:rsid w:val="0046275E"/>
    <w:rsid w:val="00464DE9"/>
    <w:rsid w:val="0046548D"/>
    <w:rsid w:val="004700DE"/>
    <w:rsid w:val="004740BE"/>
    <w:rsid w:val="0048187D"/>
    <w:rsid w:val="00483D73"/>
    <w:rsid w:val="00486EF4"/>
    <w:rsid w:val="00490DA8"/>
    <w:rsid w:val="004953AE"/>
    <w:rsid w:val="004953B1"/>
    <w:rsid w:val="004A2417"/>
    <w:rsid w:val="004A2588"/>
    <w:rsid w:val="004A444D"/>
    <w:rsid w:val="004A51F3"/>
    <w:rsid w:val="004B0B72"/>
    <w:rsid w:val="004B119A"/>
    <w:rsid w:val="004B381F"/>
    <w:rsid w:val="004B4915"/>
    <w:rsid w:val="004B5093"/>
    <w:rsid w:val="004B78FF"/>
    <w:rsid w:val="004B7C89"/>
    <w:rsid w:val="004B7DE7"/>
    <w:rsid w:val="004C34AA"/>
    <w:rsid w:val="004C76E8"/>
    <w:rsid w:val="004D0CC6"/>
    <w:rsid w:val="004D0E54"/>
    <w:rsid w:val="004D3B63"/>
    <w:rsid w:val="004D488E"/>
    <w:rsid w:val="004D5DF6"/>
    <w:rsid w:val="004D60DB"/>
    <w:rsid w:val="004E5CE0"/>
    <w:rsid w:val="004F027A"/>
    <w:rsid w:val="004F20F7"/>
    <w:rsid w:val="004F2F80"/>
    <w:rsid w:val="004F62F5"/>
    <w:rsid w:val="004F7A06"/>
    <w:rsid w:val="004F7B26"/>
    <w:rsid w:val="00500374"/>
    <w:rsid w:val="00501145"/>
    <w:rsid w:val="0050136B"/>
    <w:rsid w:val="005066E4"/>
    <w:rsid w:val="00512095"/>
    <w:rsid w:val="005335F1"/>
    <w:rsid w:val="00535F5A"/>
    <w:rsid w:val="005417EC"/>
    <w:rsid w:val="005522F8"/>
    <w:rsid w:val="00552818"/>
    <w:rsid w:val="005558C3"/>
    <w:rsid w:val="00561A2F"/>
    <w:rsid w:val="00563EB3"/>
    <w:rsid w:val="00570CDD"/>
    <w:rsid w:val="00571ED6"/>
    <w:rsid w:val="00582BD2"/>
    <w:rsid w:val="005831D3"/>
    <w:rsid w:val="00586B31"/>
    <w:rsid w:val="00593034"/>
    <w:rsid w:val="00593952"/>
    <w:rsid w:val="00593C29"/>
    <w:rsid w:val="005A3406"/>
    <w:rsid w:val="005A3C12"/>
    <w:rsid w:val="005A3D0E"/>
    <w:rsid w:val="005A7302"/>
    <w:rsid w:val="005A760E"/>
    <w:rsid w:val="005B5428"/>
    <w:rsid w:val="005B5D26"/>
    <w:rsid w:val="005B6439"/>
    <w:rsid w:val="005B77FA"/>
    <w:rsid w:val="005C0CE4"/>
    <w:rsid w:val="005C3B2D"/>
    <w:rsid w:val="005C649C"/>
    <w:rsid w:val="005C6940"/>
    <w:rsid w:val="005C7B45"/>
    <w:rsid w:val="005D2C58"/>
    <w:rsid w:val="005E2D57"/>
    <w:rsid w:val="005F44EF"/>
    <w:rsid w:val="005F46CB"/>
    <w:rsid w:val="005F5EA2"/>
    <w:rsid w:val="005F7256"/>
    <w:rsid w:val="005F795F"/>
    <w:rsid w:val="006009E5"/>
    <w:rsid w:val="00604058"/>
    <w:rsid w:val="0060562E"/>
    <w:rsid w:val="006058EF"/>
    <w:rsid w:val="006079E6"/>
    <w:rsid w:val="00614D5A"/>
    <w:rsid w:val="006206C6"/>
    <w:rsid w:val="00622292"/>
    <w:rsid w:val="00625B21"/>
    <w:rsid w:val="00637A7A"/>
    <w:rsid w:val="00641742"/>
    <w:rsid w:val="00641EF8"/>
    <w:rsid w:val="0065323C"/>
    <w:rsid w:val="006533FE"/>
    <w:rsid w:val="006629C6"/>
    <w:rsid w:val="006638A5"/>
    <w:rsid w:val="00663A02"/>
    <w:rsid w:val="00665211"/>
    <w:rsid w:val="0066542A"/>
    <w:rsid w:val="00667AC0"/>
    <w:rsid w:val="00667B16"/>
    <w:rsid w:val="00672C1E"/>
    <w:rsid w:val="00693792"/>
    <w:rsid w:val="00693FB4"/>
    <w:rsid w:val="0069746A"/>
    <w:rsid w:val="006A1389"/>
    <w:rsid w:val="006A3200"/>
    <w:rsid w:val="006A531C"/>
    <w:rsid w:val="006B0316"/>
    <w:rsid w:val="006B09FD"/>
    <w:rsid w:val="006B2073"/>
    <w:rsid w:val="006B24CF"/>
    <w:rsid w:val="006B79A8"/>
    <w:rsid w:val="006C2685"/>
    <w:rsid w:val="006C377D"/>
    <w:rsid w:val="006C3FE5"/>
    <w:rsid w:val="006C579F"/>
    <w:rsid w:val="006E13C7"/>
    <w:rsid w:val="006E409B"/>
    <w:rsid w:val="006F0C26"/>
    <w:rsid w:val="006F694F"/>
    <w:rsid w:val="006F715F"/>
    <w:rsid w:val="00702838"/>
    <w:rsid w:val="0070373E"/>
    <w:rsid w:val="00705734"/>
    <w:rsid w:val="00706BA5"/>
    <w:rsid w:val="00707484"/>
    <w:rsid w:val="0071331E"/>
    <w:rsid w:val="00715660"/>
    <w:rsid w:val="0072012D"/>
    <w:rsid w:val="007273E7"/>
    <w:rsid w:val="0073344A"/>
    <w:rsid w:val="00734DFB"/>
    <w:rsid w:val="007371E2"/>
    <w:rsid w:val="00743BD1"/>
    <w:rsid w:val="007443DE"/>
    <w:rsid w:val="00746B82"/>
    <w:rsid w:val="00752683"/>
    <w:rsid w:val="007560DD"/>
    <w:rsid w:val="00761B90"/>
    <w:rsid w:val="00763D22"/>
    <w:rsid w:val="0076439B"/>
    <w:rsid w:val="007656DE"/>
    <w:rsid w:val="00765FA6"/>
    <w:rsid w:val="007700F5"/>
    <w:rsid w:val="0077040A"/>
    <w:rsid w:val="00771287"/>
    <w:rsid w:val="00771325"/>
    <w:rsid w:val="00775B8C"/>
    <w:rsid w:val="0078643F"/>
    <w:rsid w:val="00786CCD"/>
    <w:rsid w:val="0079202A"/>
    <w:rsid w:val="007927CF"/>
    <w:rsid w:val="007A182C"/>
    <w:rsid w:val="007A7388"/>
    <w:rsid w:val="007A7E29"/>
    <w:rsid w:val="007B0909"/>
    <w:rsid w:val="007B48DA"/>
    <w:rsid w:val="007B728B"/>
    <w:rsid w:val="007C1090"/>
    <w:rsid w:val="007C1135"/>
    <w:rsid w:val="007C192E"/>
    <w:rsid w:val="007C249A"/>
    <w:rsid w:val="007C2FA3"/>
    <w:rsid w:val="007D3C7A"/>
    <w:rsid w:val="007E679D"/>
    <w:rsid w:val="007F0B06"/>
    <w:rsid w:val="00802596"/>
    <w:rsid w:val="00806785"/>
    <w:rsid w:val="0080780A"/>
    <w:rsid w:val="008125EA"/>
    <w:rsid w:val="008129FD"/>
    <w:rsid w:val="00815288"/>
    <w:rsid w:val="008156D1"/>
    <w:rsid w:val="008161E0"/>
    <w:rsid w:val="0082121B"/>
    <w:rsid w:val="008214E6"/>
    <w:rsid w:val="00821BD4"/>
    <w:rsid w:val="00832290"/>
    <w:rsid w:val="00832D81"/>
    <w:rsid w:val="00836EEE"/>
    <w:rsid w:val="00837CDC"/>
    <w:rsid w:val="00837E6B"/>
    <w:rsid w:val="00840865"/>
    <w:rsid w:val="0084174D"/>
    <w:rsid w:val="0084253B"/>
    <w:rsid w:val="00844CC9"/>
    <w:rsid w:val="00845B9C"/>
    <w:rsid w:val="00857838"/>
    <w:rsid w:val="00861EE0"/>
    <w:rsid w:val="00866285"/>
    <w:rsid w:val="00873799"/>
    <w:rsid w:val="0088070D"/>
    <w:rsid w:val="00883D28"/>
    <w:rsid w:val="00885BC8"/>
    <w:rsid w:val="00887F32"/>
    <w:rsid w:val="008908AE"/>
    <w:rsid w:val="00893B57"/>
    <w:rsid w:val="008949F3"/>
    <w:rsid w:val="008960EF"/>
    <w:rsid w:val="008A58F7"/>
    <w:rsid w:val="008A7528"/>
    <w:rsid w:val="008B07A4"/>
    <w:rsid w:val="008B6DC7"/>
    <w:rsid w:val="008D1557"/>
    <w:rsid w:val="008D3819"/>
    <w:rsid w:val="008D7C2E"/>
    <w:rsid w:val="008D7C4C"/>
    <w:rsid w:val="008E0F56"/>
    <w:rsid w:val="008E50A3"/>
    <w:rsid w:val="008F3FF1"/>
    <w:rsid w:val="008F55D5"/>
    <w:rsid w:val="00901BE8"/>
    <w:rsid w:val="00905D4C"/>
    <w:rsid w:val="00910EF2"/>
    <w:rsid w:val="0091150C"/>
    <w:rsid w:val="0091512A"/>
    <w:rsid w:val="0092023D"/>
    <w:rsid w:val="00922A9B"/>
    <w:rsid w:val="00933D1D"/>
    <w:rsid w:val="00940D24"/>
    <w:rsid w:val="00944D70"/>
    <w:rsid w:val="00946E7E"/>
    <w:rsid w:val="00951814"/>
    <w:rsid w:val="00953A43"/>
    <w:rsid w:val="00955E89"/>
    <w:rsid w:val="009571AA"/>
    <w:rsid w:val="009611C5"/>
    <w:rsid w:val="00961FEC"/>
    <w:rsid w:val="00965A50"/>
    <w:rsid w:val="00967EBB"/>
    <w:rsid w:val="00971F99"/>
    <w:rsid w:val="00972A35"/>
    <w:rsid w:val="009823CD"/>
    <w:rsid w:val="009839D0"/>
    <w:rsid w:val="00984763"/>
    <w:rsid w:val="00993A60"/>
    <w:rsid w:val="00995175"/>
    <w:rsid w:val="00996402"/>
    <w:rsid w:val="009965C7"/>
    <w:rsid w:val="009975DC"/>
    <w:rsid w:val="00997C43"/>
    <w:rsid w:val="009A35F9"/>
    <w:rsid w:val="009A4429"/>
    <w:rsid w:val="009B17C5"/>
    <w:rsid w:val="009C1F58"/>
    <w:rsid w:val="009C3462"/>
    <w:rsid w:val="009C3C80"/>
    <w:rsid w:val="009C554C"/>
    <w:rsid w:val="009D2120"/>
    <w:rsid w:val="009D22CA"/>
    <w:rsid w:val="009D2F0B"/>
    <w:rsid w:val="009D5BE2"/>
    <w:rsid w:val="009F0BB8"/>
    <w:rsid w:val="009F25CD"/>
    <w:rsid w:val="00A0242A"/>
    <w:rsid w:val="00A02DD1"/>
    <w:rsid w:val="00A05168"/>
    <w:rsid w:val="00A06EC3"/>
    <w:rsid w:val="00A11A0E"/>
    <w:rsid w:val="00A14AEC"/>
    <w:rsid w:val="00A14B38"/>
    <w:rsid w:val="00A2237E"/>
    <w:rsid w:val="00A2246C"/>
    <w:rsid w:val="00A25699"/>
    <w:rsid w:val="00A25BFE"/>
    <w:rsid w:val="00A279D8"/>
    <w:rsid w:val="00A44C5F"/>
    <w:rsid w:val="00A45127"/>
    <w:rsid w:val="00A454C0"/>
    <w:rsid w:val="00A47DBB"/>
    <w:rsid w:val="00A553E9"/>
    <w:rsid w:val="00A6145A"/>
    <w:rsid w:val="00A666C5"/>
    <w:rsid w:val="00A703C1"/>
    <w:rsid w:val="00A8182E"/>
    <w:rsid w:val="00A8293E"/>
    <w:rsid w:val="00A83BBD"/>
    <w:rsid w:val="00A8542D"/>
    <w:rsid w:val="00A8677D"/>
    <w:rsid w:val="00A86CEC"/>
    <w:rsid w:val="00A90217"/>
    <w:rsid w:val="00A915EF"/>
    <w:rsid w:val="00A95679"/>
    <w:rsid w:val="00A96613"/>
    <w:rsid w:val="00A96B58"/>
    <w:rsid w:val="00AA3422"/>
    <w:rsid w:val="00AA47E8"/>
    <w:rsid w:val="00AB2553"/>
    <w:rsid w:val="00AB3B54"/>
    <w:rsid w:val="00AC2492"/>
    <w:rsid w:val="00AC4ACA"/>
    <w:rsid w:val="00AC4F1B"/>
    <w:rsid w:val="00AC76FE"/>
    <w:rsid w:val="00AD09B5"/>
    <w:rsid w:val="00AD23F0"/>
    <w:rsid w:val="00AD5FCD"/>
    <w:rsid w:val="00AD60C2"/>
    <w:rsid w:val="00AD761C"/>
    <w:rsid w:val="00AE5C72"/>
    <w:rsid w:val="00AE5ED1"/>
    <w:rsid w:val="00AE70CE"/>
    <w:rsid w:val="00AF11B4"/>
    <w:rsid w:val="00B01751"/>
    <w:rsid w:val="00B02664"/>
    <w:rsid w:val="00B0404E"/>
    <w:rsid w:val="00B06F89"/>
    <w:rsid w:val="00B1101C"/>
    <w:rsid w:val="00B15A57"/>
    <w:rsid w:val="00B22B81"/>
    <w:rsid w:val="00B2638C"/>
    <w:rsid w:val="00B41879"/>
    <w:rsid w:val="00B45136"/>
    <w:rsid w:val="00B46048"/>
    <w:rsid w:val="00B50B6B"/>
    <w:rsid w:val="00B627EE"/>
    <w:rsid w:val="00B63E90"/>
    <w:rsid w:val="00B65E2B"/>
    <w:rsid w:val="00B722DC"/>
    <w:rsid w:val="00B73EB7"/>
    <w:rsid w:val="00B8043B"/>
    <w:rsid w:val="00B81C17"/>
    <w:rsid w:val="00B83228"/>
    <w:rsid w:val="00B83D64"/>
    <w:rsid w:val="00B84F3B"/>
    <w:rsid w:val="00B85ABD"/>
    <w:rsid w:val="00B86FFD"/>
    <w:rsid w:val="00B872CF"/>
    <w:rsid w:val="00B9493B"/>
    <w:rsid w:val="00B94CD8"/>
    <w:rsid w:val="00B9721E"/>
    <w:rsid w:val="00BA2557"/>
    <w:rsid w:val="00BA43B0"/>
    <w:rsid w:val="00BB0CE0"/>
    <w:rsid w:val="00BB28B8"/>
    <w:rsid w:val="00BB7197"/>
    <w:rsid w:val="00BB71D8"/>
    <w:rsid w:val="00BB7DC4"/>
    <w:rsid w:val="00BC1CE4"/>
    <w:rsid w:val="00BD29ED"/>
    <w:rsid w:val="00BD6E8F"/>
    <w:rsid w:val="00BE15B0"/>
    <w:rsid w:val="00BE47C6"/>
    <w:rsid w:val="00BE6F94"/>
    <w:rsid w:val="00BF057D"/>
    <w:rsid w:val="00BF276B"/>
    <w:rsid w:val="00BF2DE8"/>
    <w:rsid w:val="00BF36BE"/>
    <w:rsid w:val="00BF4A5B"/>
    <w:rsid w:val="00C00178"/>
    <w:rsid w:val="00C05166"/>
    <w:rsid w:val="00C07402"/>
    <w:rsid w:val="00C1073A"/>
    <w:rsid w:val="00C129BD"/>
    <w:rsid w:val="00C2517F"/>
    <w:rsid w:val="00C324A6"/>
    <w:rsid w:val="00C335BE"/>
    <w:rsid w:val="00C35FB4"/>
    <w:rsid w:val="00C36BC7"/>
    <w:rsid w:val="00C40F4E"/>
    <w:rsid w:val="00C41DD7"/>
    <w:rsid w:val="00C44109"/>
    <w:rsid w:val="00C45F57"/>
    <w:rsid w:val="00C4680D"/>
    <w:rsid w:val="00C53B2F"/>
    <w:rsid w:val="00C61423"/>
    <w:rsid w:val="00C638F5"/>
    <w:rsid w:val="00C666A5"/>
    <w:rsid w:val="00C674C7"/>
    <w:rsid w:val="00C737F0"/>
    <w:rsid w:val="00C82D85"/>
    <w:rsid w:val="00C85F69"/>
    <w:rsid w:val="00C864D5"/>
    <w:rsid w:val="00CA134F"/>
    <w:rsid w:val="00CB03FD"/>
    <w:rsid w:val="00CB5182"/>
    <w:rsid w:val="00CC5E97"/>
    <w:rsid w:val="00CC6EA4"/>
    <w:rsid w:val="00CD2DA6"/>
    <w:rsid w:val="00CD7C20"/>
    <w:rsid w:val="00CE217F"/>
    <w:rsid w:val="00CE3368"/>
    <w:rsid w:val="00CE67E9"/>
    <w:rsid w:val="00D00561"/>
    <w:rsid w:val="00D0540F"/>
    <w:rsid w:val="00D06045"/>
    <w:rsid w:val="00D1114B"/>
    <w:rsid w:val="00D137EC"/>
    <w:rsid w:val="00D1538F"/>
    <w:rsid w:val="00D2052B"/>
    <w:rsid w:val="00D22FD3"/>
    <w:rsid w:val="00D24A2E"/>
    <w:rsid w:val="00D24F38"/>
    <w:rsid w:val="00D25A06"/>
    <w:rsid w:val="00D25F48"/>
    <w:rsid w:val="00D26128"/>
    <w:rsid w:val="00D274D2"/>
    <w:rsid w:val="00D40376"/>
    <w:rsid w:val="00D41E83"/>
    <w:rsid w:val="00D454A3"/>
    <w:rsid w:val="00D46E11"/>
    <w:rsid w:val="00D60AF6"/>
    <w:rsid w:val="00D66EAD"/>
    <w:rsid w:val="00D66F15"/>
    <w:rsid w:val="00D74642"/>
    <w:rsid w:val="00D74AA2"/>
    <w:rsid w:val="00D76DB5"/>
    <w:rsid w:val="00D77EBF"/>
    <w:rsid w:val="00D81FFA"/>
    <w:rsid w:val="00D8531E"/>
    <w:rsid w:val="00D86809"/>
    <w:rsid w:val="00DA7A02"/>
    <w:rsid w:val="00DB39A9"/>
    <w:rsid w:val="00DB7DD4"/>
    <w:rsid w:val="00DC09B1"/>
    <w:rsid w:val="00DC0EF6"/>
    <w:rsid w:val="00DD1FAF"/>
    <w:rsid w:val="00DD2F34"/>
    <w:rsid w:val="00DD5031"/>
    <w:rsid w:val="00DD5E57"/>
    <w:rsid w:val="00DE0E58"/>
    <w:rsid w:val="00DE0FC2"/>
    <w:rsid w:val="00DE4057"/>
    <w:rsid w:val="00DE5997"/>
    <w:rsid w:val="00DE794E"/>
    <w:rsid w:val="00DF225E"/>
    <w:rsid w:val="00DF2A11"/>
    <w:rsid w:val="00DF3227"/>
    <w:rsid w:val="00DF58A1"/>
    <w:rsid w:val="00DF7844"/>
    <w:rsid w:val="00E006BC"/>
    <w:rsid w:val="00E00E61"/>
    <w:rsid w:val="00E02D47"/>
    <w:rsid w:val="00E0524C"/>
    <w:rsid w:val="00E0698D"/>
    <w:rsid w:val="00E07800"/>
    <w:rsid w:val="00E10544"/>
    <w:rsid w:val="00E12126"/>
    <w:rsid w:val="00E163C3"/>
    <w:rsid w:val="00E2165A"/>
    <w:rsid w:val="00E2379F"/>
    <w:rsid w:val="00E256C6"/>
    <w:rsid w:val="00E27227"/>
    <w:rsid w:val="00E343AC"/>
    <w:rsid w:val="00E40CF6"/>
    <w:rsid w:val="00E41A7E"/>
    <w:rsid w:val="00E43418"/>
    <w:rsid w:val="00E56516"/>
    <w:rsid w:val="00E56923"/>
    <w:rsid w:val="00E56C56"/>
    <w:rsid w:val="00E605F7"/>
    <w:rsid w:val="00E63055"/>
    <w:rsid w:val="00E64CD0"/>
    <w:rsid w:val="00E66CDF"/>
    <w:rsid w:val="00E70718"/>
    <w:rsid w:val="00E714E6"/>
    <w:rsid w:val="00E7371D"/>
    <w:rsid w:val="00E7389B"/>
    <w:rsid w:val="00E74809"/>
    <w:rsid w:val="00E74AC6"/>
    <w:rsid w:val="00E7691B"/>
    <w:rsid w:val="00E76F01"/>
    <w:rsid w:val="00E77F3C"/>
    <w:rsid w:val="00E80D0D"/>
    <w:rsid w:val="00E8108D"/>
    <w:rsid w:val="00E8246D"/>
    <w:rsid w:val="00E83779"/>
    <w:rsid w:val="00E87D6A"/>
    <w:rsid w:val="00EA087D"/>
    <w:rsid w:val="00EA0AE3"/>
    <w:rsid w:val="00EA3379"/>
    <w:rsid w:val="00EA39C8"/>
    <w:rsid w:val="00EA3ACA"/>
    <w:rsid w:val="00EA3B27"/>
    <w:rsid w:val="00EA4876"/>
    <w:rsid w:val="00EA502D"/>
    <w:rsid w:val="00EB1060"/>
    <w:rsid w:val="00EB2B7B"/>
    <w:rsid w:val="00EC0C24"/>
    <w:rsid w:val="00EC2987"/>
    <w:rsid w:val="00EC40EF"/>
    <w:rsid w:val="00EC4F8E"/>
    <w:rsid w:val="00EC7911"/>
    <w:rsid w:val="00ED67FA"/>
    <w:rsid w:val="00ED6ACD"/>
    <w:rsid w:val="00EE1CCD"/>
    <w:rsid w:val="00EE35C9"/>
    <w:rsid w:val="00EF0169"/>
    <w:rsid w:val="00EF71CE"/>
    <w:rsid w:val="00F01500"/>
    <w:rsid w:val="00F03AA7"/>
    <w:rsid w:val="00F043BA"/>
    <w:rsid w:val="00F10D64"/>
    <w:rsid w:val="00F23441"/>
    <w:rsid w:val="00F300C5"/>
    <w:rsid w:val="00F44549"/>
    <w:rsid w:val="00F44CAF"/>
    <w:rsid w:val="00F51938"/>
    <w:rsid w:val="00F51E7E"/>
    <w:rsid w:val="00F54F13"/>
    <w:rsid w:val="00F56E14"/>
    <w:rsid w:val="00F60556"/>
    <w:rsid w:val="00F6674B"/>
    <w:rsid w:val="00F727E0"/>
    <w:rsid w:val="00F7440F"/>
    <w:rsid w:val="00F77659"/>
    <w:rsid w:val="00F9193A"/>
    <w:rsid w:val="00F92D0B"/>
    <w:rsid w:val="00F93CE3"/>
    <w:rsid w:val="00FA44E5"/>
    <w:rsid w:val="00FA58C5"/>
    <w:rsid w:val="00FC24CF"/>
    <w:rsid w:val="00FC53B1"/>
    <w:rsid w:val="00FD24B2"/>
    <w:rsid w:val="00FD74AA"/>
    <w:rsid w:val="00FE1732"/>
    <w:rsid w:val="00FE61D8"/>
    <w:rsid w:val="00FF0FFA"/>
    <w:rsid w:val="00FF4C8A"/>
    <w:rsid w:val="00FF5F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F8DB3E-899A-4045-B6FB-0D453116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lsdException w:name="Body Text" w:semiHidden="1"/>
    <w:lsdException w:name="Subtitle"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link w:val="Nadpis1Char"/>
    <w:uiPriority w:val="99"/>
    <w:qFormat/>
    <w:pPr>
      <w:keepNext/>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Cambria" w:hAnsi="Cambria" w:cs="Times New Roman"/>
      <w:b/>
      <w:kern w:val="32"/>
      <w:sz w:val="32"/>
    </w:rPr>
  </w:style>
  <w:style w:type="paragraph" w:styleId="Nzov">
    <w:name w:val="Title"/>
    <w:basedOn w:val="Normlny"/>
    <w:link w:val="NzovChar"/>
    <w:uiPriority w:val="10"/>
    <w:qFormat/>
    <w:pPr>
      <w:jc w:val="center"/>
    </w:pPr>
    <w:rPr>
      <w:b/>
      <w:bCs/>
    </w:rPr>
  </w:style>
  <w:style w:type="character" w:customStyle="1" w:styleId="NzovChar">
    <w:name w:val="Názov Char"/>
    <w:basedOn w:val="Predvolenpsmoodseku"/>
    <w:link w:val="Nzov"/>
    <w:uiPriority w:val="10"/>
    <w:locked/>
    <w:rPr>
      <w:rFonts w:ascii="Cambria" w:hAnsi="Cambria" w:cs="Times New Roman"/>
      <w:b/>
      <w:kern w:val="28"/>
      <w:sz w:val="32"/>
    </w:rPr>
  </w:style>
  <w:style w:type="paragraph" w:styleId="Zkladntext2">
    <w:name w:val="Body Text 2"/>
    <w:basedOn w:val="Normlny"/>
    <w:link w:val="Zkladntext2Char"/>
    <w:uiPriority w:val="99"/>
    <w:pPr>
      <w:jc w:val="both"/>
    </w:pPr>
  </w:style>
  <w:style w:type="character" w:customStyle="1" w:styleId="Zkladntext2Char">
    <w:name w:val="Základný text 2 Char"/>
    <w:basedOn w:val="Predvolenpsmoodseku"/>
    <w:link w:val="Zkladntext2"/>
    <w:uiPriority w:val="99"/>
    <w:locked/>
    <w:rPr>
      <w:rFonts w:cs="Times New Roman"/>
      <w:sz w:val="24"/>
    </w:rPr>
  </w:style>
  <w:style w:type="paragraph" w:styleId="Zarkazkladnhotextu2">
    <w:name w:val="Body Text Indent 2"/>
    <w:basedOn w:val="Normlny"/>
    <w:link w:val="Zarkazkladnhotextu2Char"/>
    <w:uiPriority w:val="99"/>
    <w:pPr>
      <w:ind w:left="720"/>
      <w:jc w:val="both"/>
    </w:pPr>
  </w:style>
  <w:style w:type="character" w:customStyle="1" w:styleId="Zarkazkladnhotextu2Char">
    <w:name w:val="Zarážka základného textu 2 Char"/>
    <w:basedOn w:val="Predvolenpsmoodseku"/>
    <w:link w:val="Zarkazkladnhotextu2"/>
    <w:uiPriority w:val="99"/>
    <w:semiHidden/>
    <w:locked/>
    <w:rPr>
      <w:rFonts w:cs="Times New Roman"/>
      <w:sz w:val="24"/>
    </w:rPr>
  </w:style>
  <w:style w:type="paragraph" w:styleId="Zkladntext">
    <w:name w:val="Body Text"/>
    <w:basedOn w:val="Normlny"/>
    <w:link w:val="ZkladntextChar"/>
    <w:uiPriority w:val="99"/>
    <w:rPr>
      <w:color w:val="000000"/>
    </w:rPr>
  </w:style>
  <w:style w:type="character" w:customStyle="1" w:styleId="ZkladntextChar">
    <w:name w:val="Základný text Char"/>
    <w:basedOn w:val="Predvolenpsmoodseku"/>
    <w:link w:val="Zkladntext"/>
    <w:uiPriority w:val="99"/>
    <w:semiHidden/>
    <w:locked/>
    <w:rPr>
      <w:rFonts w:cs="Times New Roman"/>
      <w:sz w:val="24"/>
    </w:rPr>
  </w:style>
  <w:style w:type="paragraph" w:styleId="Podtitul">
    <w:name w:val="Subtitle"/>
    <w:basedOn w:val="Normlny"/>
    <w:link w:val="PodtitulChar"/>
    <w:uiPriority w:val="99"/>
    <w:qFormat/>
    <w:rPr>
      <w:b/>
      <w:bCs/>
    </w:rPr>
  </w:style>
  <w:style w:type="character" w:customStyle="1" w:styleId="PodtitulChar">
    <w:name w:val="Podtitul Char"/>
    <w:basedOn w:val="Predvolenpsmoodseku"/>
    <w:link w:val="Podtitul"/>
    <w:uiPriority w:val="11"/>
    <w:locked/>
    <w:rPr>
      <w:rFonts w:ascii="Cambria" w:hAnsi="Cambria" w:cs="Times New Roman"/>
      <w:sz w:val="24"/>
    </w:rPr>
  </w:style>
  <w:style w:type="paragraph" w:customStyle="1" w:styleId="Zkladntext1">
    <w:name w:val="Základní text1"/>
    <w:uiPriority w:val="99"/>
    <w:rPr>
      <w:color w:val="000000"/>
      <w:sz w:val="24"/>
      <w:szCs w:val="24"/>
    </w:rPr>
  </w:style>
  <w:style w:type="paragraph" w:styleId="Zarkazkladnhotextu3">
    <w:name w:val="Body Text Indent 3"/>
    <w:basedOn w:val="Normlny"/>
    <w:link w:val="Zarkazkladnhotextu3Char"/>
    <w:uiPriority w:val="99"/>
    <w:pPr>
      <w:ind w:left="360" w:firstLine="348"/>
      <w:jc w:val="both"/>
    </w:pPr>
  </w:style>
  <w:style w:type="character" w:customStyle="1" w:styleId="Zarkazkladnhotextu3Char">
    <w:name w:val="Zarážka základného textu 3 Char"/>
    <w:basedOn w:val="Predvolenpsmoodseku"/>
    <w:link w:val="Zarkazkladnhotextu3"/>
    <w:uiPriority w:val="99"/>
    <w:semiHidden/>
    <w:locked/>
    <w:rPr>
      <w:rFonts w:cs="Times New Roman"/>
      <w:sz w:val="16"/>
    </w:rPr>
  </w:style>
  <w:style w:type="paragraph" w:styleId="Zkladntext3">
    <w:name w:val="Body Text 3"/>
    <w:basedOn w:val="Normlny"/>
    <w:link w:val="Zkladntext3Char"/>
    <w:uiPriority w:val="99"/>
    <w:pPr>
      <w:jc w:val="both"/>
    </w:pPr>
    <w:rPr>
      <w:rFonts w:ascii="Arial Narrow" w:hAnsi="Arial Narrow" w:cs="Arial Narrow"/>
      <w:b/>
      <w:bCs/>
      <w:sz w:val="22"/>
      <w:szCs w:val="22"/>
    </w:rPr>
  </w:style>
  <w:style w:type="character" w:customStyle="1" w:styleId="Zkladntext3Char">
    <w:name w:val="Základný text 3 Char"/>
    <w:basedOn w:val="Predvolenpsmoodseku"/>
    <w:link w:val="Zkladntext3"/>
    <w:uiPriority w:val="99"/>
    <w:semiHidden/>
    <w:locked/>
    <w:rPr>
      <w:rFonts w:cs="Times New Roman"/>
      <w:sz w:val="16"/>
    </w:rPr>
  </w:style>
  <w:style w:type="paragraph" w:customStyle="1" w:styleId="CarCharCharCharCharChar">
    <w:name w:val="Car Char Char Char Char Char"/>
    <w:basedOn w:val="Normlny"/>
    <w:rsid w:val="003F3CD8"/>
    <w:pPr>
      <w:spacing w:after="160" w:line="240" w:lineRule="exact"/>
    </w:pPr>
    <w:rPr>
      <w:rFonts w:ascii="Tahoma" w:hAnsi="Tahoma" w:cs="Tahoma"/>
      <w:sz w:val="20"/>
      <w:szCs w:val="20"/>
      <w:lang w:val="en-US" w:eastAsia="en-US"/>
    </w:rPr>
  </w:style>
  <w:style w:type="paragraph" w:styleId="Odsekzoznamu">
    <w:name w:val="List Paragraph"/>
    <w:basedOn w:val="Normlny"/>
    <w:link w:val="OdsekzoznamuChar"/>
    <w:uiPriority w:val="34"/>
    <w:qFormat/>
    <w:rsid w:val="00DF58A1"/>
    <w:pPr>
      <w:ind w:left="720"/>
      <w:contextualSpacing/>
    </w:pPr>
  </w:style>
  <w:style w:type="paragraph" w:styleId="Textbubliny">
    <w:name w:val="Balloon Text"/>
    <w:basedOn w:val="Normlny"/>
    <w:link w:val="TextbublinyChar"/>
    <w:uiPriority w:val="99"/>
    <w:rsid w:val="003274C3"/>
    <w:rPr>
      <w:rFonts w:ascii="Segoe UI" w:hAnsi="Segoe UI" w:cs="Segoe UI"/>
      <w:sz w:val="18"/>
      <w:szCs w:val="18"/>
    </w:rPr>
  </w:style>
  <w:style w:type="character" w:customStyle="1" w:styleId="TextbublinyChar">
    <w:name w:val="Text bubliny Char"/>
    <w:basedOn w:val="Predvolenpsmoodseku"/>
    <w:link w:val="Textbubliny"/>
    <w:uiPriority w:val="99"/>
    <w:locked/>
    <w:rsid w:val="003274C3"/>
    <w:rPr>
      <w:rFonts w:ascii="Segoe UI" w:hAnsi="Segoe UI" w:cs="Times New Roman"/>
      <w:sz w:val="18"/>
    </w:rPr>
  </w:style>
  <w:style w:type="paragraph" w:styleId="Zarkazkladnhotextu">
    <w:name w:val="Body Text Indent"/>
    <w:basedOn w:val="Normlny"/>
    <w:link w:val="ZarkazkladnhotextuChar"/>
    <w:uiPriority w:val="99"/>
    <w:rsid w:val="005F44EF"/>
    <w:pPr>
      <w:spacing w:after="120"/>
      <w:ind w:left="283"/>
    </w:pPr>
  </w:style>
  <w:style w:type="character" w:customStyle="1" w:styleId="ZarkazkladnhotextuChar">
    <w:name w:val="Zarážka základného textu Char"/>
    <w:basedOn w:val="Predvolenpsmoodseku"/>
    <w:link w:val="Zarkazkladnhotextu"/>
    <w:uiPriority w:val="99"/>
    <w:locked/>
    <w:rsid w:val="005F44EF"/>
    <w:rPr>
      <w:rFonts w:cs="Times New Roman"/>
      <w:sz w:val="24"/>
    </w:rPr>
  </w:style>
  <w:style w:type="paragraph" w:styleId="Hlavika">
    <w:name w:val="header"/>
    <w:basedOn w:val="Normlny"/>
    <w:link w:val="HlavikaChar"/>
    <w:uiPriority w:val="99"/>
    <w:rsid w:val="002055C9"/>
    <w:pPr>
      <w:tabs>
        <w:tab w:val="center" w:pos="4536"/>
        <w:tab w:val="right" w:pos="9072"/>
      </w:tabs>
    </w:pPr>
  </w:style>
  <w:style w:type="character" w:customStyle="1" w:styleId="HlavikaChar">
    <w:name w:val="Hlavička Char"/>
    <w:basedOn w:val="Predvolenpsmoodseku"/>
    <w:link w:val="Hlavika"/>
    <w:uiPriority w:val="99"/>
    <w:locked/>
    <w:rsid w:val="002055C9"/>
    <w:rPr>
      <w:rFonts w:cs="Times New Roman"/>
      <w:sz w:val="24"/>
    </w:rPr>
  </w:style>
  <w:style w:type="paragraph" w:styleId="Pta">
    <w:name w:val="footer"/>
    <w:basedOn w:val="Normlny"/>
    <w:link w:val="PtaChar"/>
    <w:uiPriority w:val="99"/>
    <w:rsid w:val="002055C9"/>
    <w:pPr>
      <w:tabs>
        <w:tab w:val="center" w:pos="4536"/>
        <w:tab w:val="right" w:pos="9072"/>
      </w:tabs>
    </w:pPr>
  </w:style>
  <w:style w:type="character" w:customStyle="1" w:styleId="PtaChar">
    <w:name w:val="Päta Char"/>
    <w:basedOn w:val="Predvolenpsmoodseku"/>
    <w:link w:val="Pta"/>
    <w:uiPriority w:val="99"/>
    <w:locked/>
    <w:rsid w:val="002055C9"/>
    <w:rPr>
      <w:rFonts w:cs="Times New Roman"/>
      <w:sz w:val="24"/>
    </w:rPr>
  </w:style>
  <w:style w:type="paragraph" w:styleId="Textpoznmkypodiarou">
    <w:name w:val="footnote text"/>
    <w:basedOn w:val="Normlny"/>
    <w:link w:val="TextpoznmkypodiarouChar"/>
    <w:uiPriority w:val="99"/>
    <w:unhideWhenUsed/>
    <w:rsid w:val="001E13E0"/>
    <w:rPr>
      <w:rFonts w:ascii="Calibri" w:hAnsi="Calibri"/>
      <w:sz w:val="20"/>
      <w:szCs w:val="20"/>
      <w:lang w:eastAsia="en-US"/>
    </w:rPr>
  </w:style>
  <w:style w:type="character" w:customStyle="1" w:styleId="TextpoznmkypodiarouChar">
    <w:name w:val="Text poznámky pod čiarou Char"/>
    <w:basedOn w:val="Predvolenpsmoodseku"/>
    <w:link w:val="Textpoznmkypodiarou"/>
    <w:uiPriority w:val="99"/>
    <w:locked/>
    <w:rsid w:val="001E13E0"/>
    <w:rPr>
      <w:rFonts w:ascii="Calibri" w:hAnsi="Calibri" w:cs="Times New Roman"/>
      <w:lang w:val="x-none" w:eastAsia="en-US"/>
    </w:rPr>
  </w:style>
  <w:style w:type="character" w:styleId="Odkaznapoznmkupodiarou">
    <w:name w:val="footnote reference"/>
    <w:basedOn w:val="Predvolenpsmoodseku"/>
    <w:uiPriority w:val="99"/>
    <w:unhideWhenUsed/>
    <w:rsid w:val="001E13E0"/>
    <w:rPr>
      <w:rFonts w:cs="Times New Roman"/>
      <w:vertAlign w:val="superscript"/>
    </w:rPr>
  </w:style>
  <w:style w:type="character" w:customStyle="1" w:styleId="OdsekzoznamuChar">
    <w:name w:val="Odsek zoznamu Char"/>
    <w:link w:val="Odsekzoznamu"/>
    <w:uiPriority w:val="99"/>
    <w:locked/>
    <w:rsid w:val="00861EE0"/>
    <w:rPr>
      <w:sz w:val="24"/>
      <w:szCs w:val="24"/>
    </w:rPr>
  </w:style>
  <w:style w:type="table" w:styleId="Mriekatabuky">
    <w:name w:val="Table Grid"/>
    <w:basedOn w:val="Normlnatabuka"/>
    <w:uiPriority w:val="59"/>
    <w:rsid w:val="00861EE0"/>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861EE0"/>
    <w:rPr>
      <w:rFonts w:cs="Times New Roman"/>
      <w:color w:val="0000FF" w:themeColor="hyperlink"/>
      <w:u w:val="single"/>
    </w:rPr>
  </w:style>
  <w:style w:type="character" w:styleId="slostrany">
    <w:name w:val="page number"/>
    <w:basedOn w:val="Predvolenpsmoodseku"/>
    <w:uiPriority w:val="99"/>
    <w:rsid w:val="00861EE0"/>
    <w:rPr>
      <w:rFonts w:cs="Times New Roman"/>
    </w:rPr>
  </w:style>
  <w:style w:type="paragraph" w:customStyle="1" w:styleId="Default">
    <w:name w:val="Default"/>
    <w:rsid w:val="00861EE0"/>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586532">
      <w:marLeft w:val="0"/>
      <w:marRight w:val="0"/>
      <w:marTop w:val="0"/>
      <w:marBottom w:val="0"/>
      <w:divBdr>
        <w:top w:val="none" w:sz="0" w:space="0" w:color="auto"/>
        <w:left w:val="none" w:sz="0" w:space="0" w:color="auto"/>
        <w:bottom w:val="none" w:sz="0" w:space="0" w:color="auto"/>
        <w:right w:val="none" w:sz="0" w:space="0" w:color="auto"/>
      </w:divBdr>
    </w:div>
    <w:div w:id="574586533">
      <w:marLeft w:val="0"/>
      <w:marRight w:val="0"/>
      <w:marTop w:val="0"/>
      <w:marBottom w:val="0"/>
      <w:divBdr>
        <w:top w:val="none" w:sz="0" w:space="0" w:color="auto"/>
        <w:left w:val="none" w:sz="0" w:space="0" w:color="auto"/>
        <w:bottom w:val="none" w:sz="0" w:space="0" w:color="auto"/>
        <w:right w:val="none" w:sz="0" w:space="0" w:color="auto"/>
      </w:divBdr>
    </w:div>
    <w:div w:id="574586534">
      <w:marLeft w:val="0"/>
      <w:marRight w:val="0"/>
      <w:marTop w:val="0"/>
      <w:marBottom w:val="0"/>
      <w:divBdr>
        <w:top w:val="none" w:sz="0" w:space="0" w:color="auto"/>
        <w:left w:val="none" w:sz="0" w:space="0" w:color="auto"/>
        <w:bottom w:val="none" w:sz="0" w:space="0" w:color="auto"/>
        <w:right w:val="none" w:sz="0" w:space="0" w:color="auto"/>
      </w:divBdr>
    </w:div>
    <w:div w:id="574586535">
      <w:marLeft w:val="0"/>
      <w:marRight w:val="0"/>
      <w:marTop w:val="0"/>
      <w:marBottom w:val="0"/>
      <w:divBdr>
        <w:top w:val="none" w:sz="0" w:space="0" w:color="auto"/>
        <w:left w:val="none" w:sz="0" w:space="0" w:color="auto"/>
        <w:bottom w:val="none" w:sz="0" w:space="0" w:color="auto"/>
        <w:right w:val="none" w:sz="0" w:space="0" w:color="auto"/>
      </w:divBdr>
    </w:div>
    <w:div w:id="574586536">
      <w:marLeft w:val="0"/>
      <w:marRight w:val="0"/>
      <w:marTop w:val="0"/>
      <w:marBottom w:val="0"/>
      <w:divBdr>
        <w:top w:val="none" w:sz="0" w:space="0" w:color="auto"/>
        <w:left w:val="none" w:sz="0" w:space="0" w:color="auto"/>
        <w:bottom w:val="none" w:sz="0" w:space="0" w:color="auto"/>
        <w:right w:val="none" w:sz="0" w:space="0" w:color="auto"/>
      </w:divBdr>
    </w:div>
    <w:div w:id="574586537">
      <w:marLeft w:val="0"/>
      <w:marRight w:val="0"/>
      <w:marTop w:val="0"/>
      <w:marBottom w:val="0"/>
      <w:divBdr>
        <w:top w:val="none" w:sz="0" w:space="0" w:color="auto"/>
        <w:left w:val="none" w:sz="0" w:space="0" w:color="auto"/>
        <w:bottom w:val="none" w:sz="0" w:space="0" w:color="auto"/>
        <w:right w:val="none" w:sz="0" w:space="0" w:color="auto"/>
      </w:divBdr>
    </w:div>
    <w:div w:id="574586538">
      <w:marLeft w:val="0"/>
      <w:marRight w:val="0"/>
      <w:marTop w:val="0"/>
      <w:marBottom w:val="0"/>
      <w:divBdr>
        <w:top w:val="none" w:sz="0" w:space="0" w:color="auto"/>
        <w:left w:val="none" w:sz="0" w:space="0" w:color="auto"/>
        <w:bottom w:val="none" w:sz="0" w:space="0" w:color="auto"/>
        <w:right w:val="none" w:sz="0" w:space="0" w:color="auto"/>
      </w:divBdr>
    </w:div>
    <w:div w:id="574586539">
      <w:marLeft w:val="0"/>
      <w:marRight w:val="0"/>
      <w:marTop w:val="0"/>
      <w:marBottom w:val="0"/>
      <w:divBdr>
        <w:top w:val="none" w:sz="0" w:space="0" w:color="auto"/>
        <w:left w:val="none" w:sz="0" w:space="0" w:color="auto"/>
        <w:bottom w:val="none" w:sz="0" w:space="0" w:color="auto"/>
        <w:right w:val="none" w:sz="0" w:space="0" w:color="auto"/>
      </w:divBdr>
    </w:div>
    <w:div w:id="177586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podolak@mfsr.sk" TargetMode="External"/><Relationship Id="rId13" Type="http://schemas.openxmlformats.org/officeDocument/2006/relationships/footer" Target="footer1.xml"/><Relationship Id="rId18" Type="http://schemas.openxmlformats.org/officeDocument/2006/relationships/hyperlink" Target="https://www.slov-lex.sk/legislativne-procesy/SK/PI/2018/2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jana.horvatova@mfsr.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na.gabcova@mfsr.sk"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80CC1-3ED2-48D7-8500-F4FFCA53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10616</Words>
  <Characters>60512</Characters>
  <Application>Microsoft Office Word</Application>
  <DocSecurity>0</DocSecurity>
  <Lines>504</Lines>
  <Paragraphs>141</Paragraphs>
  <ScaleCrop>false</ScaleCrop>
  <HeadingPairs>
    <vt:vector size="2" baseType="variant">
      <vt:variant>
        <vt:lpstr>Názov</vt:lpstr>
      </vt:variant>
      <vt:variant>
        <vt:i4>1</vt:i4>
      </vt:variant>
    </vt:vector>
  </HeadingPairs>
  <TitlesOfParts>
    <vt:vector size="1" baseType="lpstr">
      <vt:lpstr>Novela zákona č</vt:lpstr>
    </vt:vector>
  </TitlesOfParts>
  <Company>MFSR</Company>
  <LinksUpToDate>false</LinksUpToDate>
  <CharactersWithSpaces>70987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Novela zákona č</dc:title>
  <dc:subject/>
  <dc:creator>Marta Gulárová</dc:creator>
  <cp:keywords/>
  <dc:description/>
  <cp:lastModifiedBy>Horvatova Jana</cp:lastModifiedBy>
  <cp:revision>14</cp:revision>
  <cp:lastPrinted>2019-05-29T09:59:00Z</cp:lastPrinted>
  <dcterms:created xsi:type="dcterms:W3CDTF">2019-05-29T06:39:00Z</dcterms:created>
  <dcterms:modified xsi:type="dcterms:W3CDTF">2019-05-29T09:59:00Z</dcterms:modified>
</cp:coreProperties>
</file>