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56" w:rsidRDefault="00F00E56" w:rsidP="00F00E56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bookmarkStart w:id="0" w:name="_GoBack"/>
      <w:bookmarkEnd w:id="0"/>
      <w:r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</w:p>
    <w:p w:rsidR="00F00E56" w:rsidRDefault="00F00E56" w:rsidP="00F00E56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F00E56" w:rsidRDefault="00F00E56" w:rsidP="00F00E56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7D0CC6" w:rsidRPr="007D0CC6" w:rsidRDefault="00F00E56" w:rsidP="007D0CC6">
      <w:pPr>
        <w:pStyle w:val="Textkomentra"/>
        <w:jc w:val="both"/>
        <w:rPr>
          <w:sz w:val="24"/>
          <w:szCs w:val="24"/>
        </w:rPr>
      </w:pPr>
      <w:r w:rsidRPr="007D0CC6">
        <w:rPr>
          <w:b/>
          <w:color w:val="000000"/>
          <w:sz w:val="24"/>
          <w:szCs w:val="24"/>
        </w:rPr>
        <w:t>A.1. Názov materiálu:</w:t>
      </w:r>
      <w:r w:rsidRPr="007D0CC6">
        <w:rPr>
          <w:color w:val="000000"/>
          <w:sz w:val="24"/>
          <w:szCs w:val="24"/>
        </w:rPr>
        <w:t xml:space="preserve"> </w:t>
      </w:r>
      <w:r w:rsidR="007D0CC6" w:rsidRPr="007D0CC6">
        <w:rPr>
          <w:color w:val="000000"/>
          <w:sz w:val="24"/>
          <w:szCs w:val="24"/>
        </w:rPr>
        <w:t xml:space="preserve">Návrh zákona, </w:t>
      </w:r>
      <w:r w:rsidR="00334F88">
        <w:rPr>
          <w:sz w:val="24"/>
          <w:szCs w:val="24"/>
        </w:rPr>
        <w:t xml:space="preserve">ktorým </w:t>
      </w:r>
      <w:r w:rsidR="00334F88" w:rsidRPr="00E5783C">
        <w:rPr>
          <w:sz w:val="24"/>
          <w:szCs w:val="24"/>
        </w:rPr>
        <w:t>sa</w:t>
      </w:r>
      <w:r w:rsidR="003C13CA" w:rsidRPr="00E5783C">
        <w:rPr>
          <w:sz w:val="24"/>
          <w:szCs w:val="24"/>
        </w:rPr>
        <w:t xml:space="preserve"> mení a</w:t>
      </w:r>
      <w:r w:rsidR="007D0CC6" w:rsidRPr="00E5783C">
        <w:rPr>
          <w:sz w:val="24"/>
          <w:szCs w:val="24"/>
        </w:rPr>
        <w:t xml:space="preserve"> dopĺňa</w:t>
      </w:r>
      <w:r w:rsidR="007D0CC6" w:rsidRPr="007D0CC6">
        <w:rPr>
          <w:sz w:val="24"/>
          <w:szCs w:val="24"/>
        </w:rPr>
        <w:t> zákon č. 461/2003 Z. z. o sociálnom poistení v znení neskorších predpisov</w:t>
      </w:r>
      <w:r w:rsidR="00334F88">
        <w:rPr>
          <w:sz w:val="24"/>
          <w:szCs w:val="24"/>
        </w:rPr>
        <w:t>.</w:t>
      </w:r>
    </w:p>
    <w:p w:rsidR="00F00E56" w:rsidRDefault="00F00E56" w:rsidP="00F00E56">
      <w:pPr>
        <w:jc w:val="both"/>
        <w:rPr>
          <w:rFonts w:cs="Times New Roman"/>
        </w:rPr>
      </w:pPr>
    </w:p>
    <w:p w:rsidR="00B048C6" w:rsidRDefault="00B048C6" w:rsidP="00B048C6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tbl>
      <w:tblPr>
        <w:tblW w:w="909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1191"/>
        <w:gridCol w:w="1180"/>
        <w:gridCol w:w="1195"/>
      </w:tblGrid>
      <w:tr w:rsidR="00B048C6" w:rsidTr="00334F88">
        <w:tc>
          <w:tcPr>
            <w:tcW w:w="5524" w:type="dxa"/>
            <w:vAlign w:val="center"/>
          </w:tcPr>
          <w:p w:rsidR="00B048C6" w:rsidRDefault="00B048C6" w:rsidP="00C61F8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1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0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5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B048C6" w:rsidTr="00334F88">
        <w:tc>
          <w:tcPr>
            <w:tcW w:w="5524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1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5" w:type="dxa"/>
            <w:vAlign w:val="center"/>
            <w:hideMark/>
          </w:tcPr>
          <w:p w:rsidR="00B048C6" w:rsidRDefault="00F009BB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</w:tr>
      <w:tr w:rsidR="00B048C6" w:rsidTr="00334F88">
        <w:tc>
          <w:tcPr>
            <w:tcW w:w="5524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</w:tcPr>
          <w:p w:rsidR="00B048C6" w:rsidRDefault="00334F88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E72922" w:rsidTr="00E72922">
        <w:tc>
          <w:tcPr>
            <w:tcW w:w="5524" w:type="dxa"/>
            <w:vAlign w:val="center"/>
            <w:hideMark/>
          </w:tcPr>
          <w:p w:rsidR="00E72922" w:rsidRDefault="00E72922" w:rsidP="00E72922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1" w:type="dxa"/>
            <w:vAlign w:val="center"/>
          </w:tcPr>
          <w:p w:rsidR="00E72922" w:rsidRDefault="001777B8" w:rsidP="00E7292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80" w:type="dxa"/>
            <w:vAlign w:val="center"/>
          </w:tcPr>
          <w:p w:rsidR="00E72922" w:rsidRDefault="00E72922" w:rsidP="00E7292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5" w:type="dxa"/>
            <w:vAlign w:val="center"/>
          </w:tcPr>
          <w:p w:rsidR="00E72922" w:rsidRPr="003C13CA" w:rsidRDefault="00E72922" w:rsidP="00A07DFB">
            <w:pPr>
              <w:pStyle w:val="Vchodzie"/>
              <w:spacing w:after="0"/>
              <w:rPr>
                <w:rFonts w:ascii="Times New Roman" w:hAnsi="Times New Roman" w:cs="Times New Roman"/>
                <w:strike/>
                <w:color w:val="FF0000"/>
                <w:szCs w:val="24"/>
                <w:lang w:val="sk-SK"/>
              </w:rPr>
            </w:pPr>
          </w:p>
        </w:tc>
      </w:tr>
      <w:tr w:rsidR="00E72922" w:rsidTr="00E72922">
        <w:tc>
          <w:tcPr>
            <w:tcW w:w="5524" w:type="dxa"/>
            <w:vAlign w:val="center"/>
            <w:hideMark/>
          </w:tcPr>
          <w:p w:rsidR="00E72922" w:rsidRDefault="00E72922" w:rsidP="00E72922">
            <w:pPr>
              <w:pStyle w:val="Vchodzie"/>
              <w:spacing w:after="0"/>
              <w:ind w:left="296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1" w:type="dxa"/>
            <w:vAlign w:val="center"/>
          </w:tcPr>
          <w:p w:rsidR="00E72922" w:rsidRDefault="00B8191A" w:rsidP="00E7292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0" w:type="dxa"/>
            <w:vAlign w:val="center"/>
          </w:tcPr>
          <w:p w:rsidR="00E72922" w:rsidRDefault="00E72922" w:rsidP="00E7292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5" w:type="dxa"/>
            <w:vAlign w:val="center"/>
          </w:tcPr>
          <w:p w:rsidR="00E72922" w:rsidRDefault="00E72922" w:rsidP="00E72922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048C6" w:rsidTr="00334F88">
        <w:tc>
          <w:tcPr>
            <w:tcW w:w="5524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ind w:left="296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191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048C6" w:rsidTr="00334F88">
        <w:tc>
          <w:tcPr>
            <w:tcW w:w="5524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ind w:left="438" w:hanging="142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1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  <w:hideMark/>
          </w:tcPr>
          <w:p w:rsidR="00B048C6" w:rsidRDefault="003C13CA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B048C6" w:rsidRPr="003C13CA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trike/>
                <w:color w:val="FF0000"/>
                <w:szCs w:val="24"/>
                <w:lang w:val="sk-SK"/>
              </w:rPr>
            </w:pPr>
          </w:p>
        </w:tc>
      </w:tr>
      <w:tr w:rsidR="00B048C6" w:rsidTr="00334F88">
        <w:tc>
          <w:tcPr>
            <w:tcW w:w="5524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1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  <w:hideMark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34F88" w:rsidTr="00334F88">
        <w:tc>
          <w:tcPr>
            <w:tcW w:w="5524" w:type="dxa"/>
            <w:vAlign w:val="center"/>
            <w:hideMark/>
          </w:tcPr>
          <w:p w:rsidR="00334F88" w:rsidRDefault="00334F88" w:rsidP="00334F88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1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  <w:hideMark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34F88" w:rsidTr="00334F88">
        <w:tc>
          <w:tcPr>
            <w:tcW w:w="5524" w:type="dxa"/>
            <w:vAlign w:val="center"/>
          </w:tcPr>
          <w:p w:rsidR="00334F88" w:rsidRDefault="00334F88" w:rsidP="00334F88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6. </w:t>
            </w:r>
            <w:r w:rsidRPr="0089783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Vplyvy na služby pre občana 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 </w:t>
            </w:r>
            <w:r w:rsidRPr="0089783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toho</w:t>
            </w:r>
          </w:p>
        </w:tc>
        <w:tc>
          <w:tcPr>
            <w:tcW w:w="1191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34F88" w:rsidTr="00334F88">
        <w:tc>
          <w:tcPr>
            <w:tcW w:w="5524" w:type="dxa"/>
            <w:vAlign w:val="center"/>
          </w:tcPr>
          <w:p w:rsidR="00334F88" w:rsidRDefault="00334F88" w:rsidP="00334F88">
            <w:pPr>
              <w:pStyle w:val="Vchodzie"/>
              <w:spacing w:after="0"/>
              <w:ind w:left="296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2A5782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 </w:t>
            </w:r>
            <w:r w:rsidRPr="002A5782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vplyvy služieb verejnej správy na občana</w:t>
            </w:r>
          </w:p>
        </w:tc>
        <w:tc>
          <w:tcPr>
            <w:tcW w:w="1191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334F88" w:rsidTr="00334F88">
        <w:tc>
          <w:tcPr>
            <w:tcW w:w="5524" w:type="dxa"/>
            <w:vAlign w:val="center"/>
          </w:tcPr>
          <w:p w:rsidR="00334F88" w:rsidRDefault="00334F88" w:rsidP="00334F88">
            <w:pPr>
              <w:pStyle w:val="Vchodzie"/>
              <w:spacing w:after="0"/>
              <w:ind w:left="296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 w:rsidRPr="002A5782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procesy služieb vo verejnej správe</w:t>
            </w:r>
          </w:p>
        </w:tc>
        <w:tc>
          <w:tcPr>
            <w:tcW w:w="1191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334F88" w:rsidRDefault="00334F88" w:rsidP="00334F88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B048C6" w:rsidTr="00334F88">
        <w:tc>
          <w:tcPr>
            <w:tcW w:w="5524" w:type="dxa"/>
            <w:vAlign w:val="center"/>
          </w:tcPr>
          <w:p w:rsidR="00B048C6" w:rsidRDefault="00B048C6" w:rsidP="00C61F8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7. </w:t>
            </w:r>
            <w:r w:rsidRPr="0089783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Vplyvy na manželstvo, rodičovstvo a rodinu</w:t>
            </w:r>
          </w:p>
        </w:tc>
        <w:tc>
          <w:tcPr>
            <w:tcW w:w="1191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0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</w:p>
        </w:tc>
        <w:tc>
          <w:tcPr>
            <w:tcW w:w="1195" w:type="dxa"/>
            <w:vAlign w:val="center"/>
          </w:tcPr>
          <w:p w:rsidR="00B048C6" w:rsidRDefault="00B048C6" w:rsidP="00C61F8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F00E56" w:rsidRDefault="00F00E56" w:rsidP="00F00E56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783A52" w:rsidRDefault="00783A52" w:rsidP="00F00E56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F00E56" w:rsidRDefault="00F00E56" w:rsidP="00F00E56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2D6FC8" w:rsidRDefault="00AC179A" w:rsidP="000173C6">
      <w:pPr>
        <w:pStyle w:val="Odsekzoznamu"/>
        <w:ind w:left="0"/>
        <w:jc w:val="both"/>
      </w:pPr>
      <w:r w:rsidRPr="00EA54B7">
        <w:rPr>
          <w:u w:val="single"/>
        </w:rPr>
        <w:t>Vplyvy na rozpočet verejnej správy</w:t>
      </w:r>
      <w:r w:rsidRPr="00EA54B7">
        <w:t xml:space="preserve"> – </w:t>
      </w:r>
      <w:r w:rsidR="003C13CA" w:rsidRPr="00AE47A9">
        <w:t>navrhovaná právna úprava zosúlaďuje ustanovenia týkajúce sa dôchodkového veku v zákone o sociálnom poistení so schválenou novelou Ústavy Slovenskej republiky č. 460/1992</w:t>
      </w:r>
      <w:r w:rsidR="00725181">
        <w:t xml:space="preserve"> Zb.</w:t>
      </w:r>
      <w:r w:rsidR="003C13CA" w:rsidRPr="00AE47A9">
        <w:t xml:space="preserve"> v znení neskorších predpisov, ktorou sa ustanovil maximálny vek na vznik nároku na primerané hmotné zabezpečenie v starobe a to aj s ohľadom na výchovu detí. Upravuje teda podmienky uznania výchovy dieťaťa pre účely zníženia maximálneho veku na vznik nároku na primerané hmotné zabezpečenie v starobe – maximálneho dôchodkového veku.</w:t>
      </w:r>
      <w:r w:rsidR="003C13CA">
        <w:t xml:space="preserve"> </w:t>
      </w:r>
    </w:p>
    <w:p w:rsidR="002D6FC8" w:rsidRDefault="002D6FC8" w:rsidP="000173C6">
      <w:pPr>
        <w:pStyle w:val="Odsekzoznamu"/>
        <w:ind w:left="0"/>
        <w:jc w:val="both"/>
      </w:pPr>
    </w:p>
    <w:p w:rsidR="00017E53" w:rsidRDefault="002D6FC8" w:rsidP="000173C6">
      <w:pPr>
        <w:pStyle w:val="Odsekzoznamu"/>
        <w:ind w:left="0"/>
        <w:jc w:val="both"/>
      </w:pPr>
      <w:r w:rsidRPr="003C13CA">
        <w:t>V súvislosti s definovaním podmienok, za ktorých</w:t>
      </w:r>
      <w:r w:rsidR="00F009BB" w:rsidRPr="003C13CA">
        <w:t xml:space="preserve"> si môžu uplatniť znížený </w:t>
      </w:r>
      <w:r w:rsidRPr="003C13CA">
        <w:t>dôchodkový vek</w:t>
      </w:r>
      <w:r w:rsidR="00A07DFB">
        <w:t xml:space="preserve"> ženy</w:t>
      </w:r>
      <w:r w:rsidR="00F009BB" w:rsidRPr="003C13CA">
        <w:t xml:space="preserve"> aj muži</w:t>
      </w:r>
      <w:r w:rsidRPr="003C13CA">
        <w:t>,</w:t>
      </w:r>
      <w:r w:rsidR="00A07DFB">
        <w:t xml:space="preserve"> zakladá uvedená právna úprava</w:t>
      </w:r>
      <w:r w:rsidRPr="003C13CA">
        <w:t xml:space="preserve"> negatívne vplyvy na rozpočet verejnej správy.</w:t>
      </w:r>
      <w:r w:rsidR="00725181">
        <w:t xml:space="preserve"> </w:t>
      </w:r>
      <w:r w:rsidR="0091122C">
        <w:t>Zároveň dôjde k nárastu výdavkov verejnej správy z dôvodu zníženia</w:t>
      </w:r>
      <w:r w:rsidR="0091122C" w:rsidRPr="009C3D37">
        <w:t xml:space="preserve"> obdobia dôchodkového poistenia posudz</w:t>
      </w:r>
      <w:r w:rsidR="0091122C">
        <w:t xml:space="preserve">ovaného na účely vzniku nároku na </w:t>
      </w:r>
      <w:r w:rsidR="0091122C" w:rsidRPr="009C3D37">
        <w:t>min</w:t>
      </w:r>
      <w:r w:rsidR="0091122C">
        <w:t>imálny dôchodok.</w:t>
      </w:r>
      <w:r w:rsidR="00650274">
        <w:t xml:space="preserve"> V súčasnosti </w:t>
      </w:r>
      <w:r w:rsidR="0082720F">
        <w:t>nie je možné kvantifikovať finančné vplyvy</w:t>
      </w:r>
      <w:r w:rsidR="007F5DD7">
        <w:t xml:space="preserve"> súvisiace so znížením dôchodkového veku mužo</w:t>
      </w:r>
      <w:r w:rsidR="0052182B">
        <w:t>v</w:t>
      </w:r>
      <w:r w:rsidR="008A2A33">
        <w:t xml:space="preserve"> za</w:t>
      </w:r>
      <w:r w:rsidR="00B8191A">
        <w:t xml:space="preserve"> výchov</w:t>
      </w:r>
      <w:r w:rsidR="0052182B">
        <w:t>u</w:t>
      </w:r>
      <w:r w:rsidR="00B8191A">
        <w:t xml:space="preserve"> detí a nárast výdavkov verejnej správy z dôvodu zníženia obdobia dôchodkového poistenia posudzovaného na účely vzniku nároku na minimálny dôchodok</w:t>
      </w:r>
      <w:r w:rsidR="0082720F">
        <w:t xml:space="preserve">, </w:t>
      </w:r>
      <w:r w:rsidR="0082720F">
        <w:rPr>
          <w:color w:val="000000"/>
        </w:rPr>
        <w:t>nakoľko nie sú k dispozícii</w:t>
      </w:r>
      <w:r w:rsidR="0082720F">
        <w:t xml:space="preserve"> relevantné štatistické údaje. </w:t>
      </w:r>
      <w:r w:rsidR="00650274">
        <w:t xml:space="preserve"> </w:t>
      </w:r>
    </w:p>
    <w:p w:rsidR="0082720F" w:rsidRPr="00EA54B7" w:rsidRDefault="0082720F" w:rsidP="00AC179A">
      <w:pPr>
        <w:pStyle w:val="Normlnywebov"/>
        <w:jc w:val="both"/>
        <w:rPr>
          <w:u w:val="single"/>
        </w:rPr>
      </w:pPr>
    </w:p>
    <w:p w:rsidR="008C7C19" w:rsidRDefault="00AC179A" w:rsidP="008C7C19">
      <w:pPr>
        <w:jc w:val="both"/>
        <w:rPr>
          <w:rFonts w:cs="Times New Roman"/>
          <w:b/>
          <w:color w:val="000000"/>
        </w:rPr>
      </w:pPr>
      <w:r w:rsidRPr="00300A90">
        <w:rPr>
          <w:u w:val="single"/>
        </w:rPr>
        <w:t>Sociálne vplyvy</w:t>
      </w:r>
      <w:r w:rsidRPr="00336461">
        <w:t xml:space="preserve"> – </w:t>
      </w:r>
      <w:r w:rsidR="002008EA">
        <w:t>uvedená právna úprava</w:t>
      </w:r>
      <w:r w:rsidR="008C7C19">
        <w:t xml:space="preserve"> zakladá pozitívne </w:t>
      </w:r>
      <w:r w:rsidR="001777B8">
        <w:t>sociálne vpl</w:t>
      </w:r>
      <w:r w:rsidR="00611DE4">
        <w:t xml:space="preserve">yvy predovšetkým na </w:t>
      </w:r>
      <w:r w:rsidR="00725181">
        <w:t xml:space="preserve">ženy a </w:t>
      </w:r>
      <w:r w:rsidR="00611DE4">
        <w:t>mužov</w:t>
      </w:r>
      <w:r w:rsidR="001777B8">
        <w:t>, ktorí za určitých zákonom stanovených podmienok, môžu získať nárok na znížený d</w:t>
      </w:r>
      <w:r w:rsidR="00AD3179">
        <w:t>ôchodkový vek. Počet</w:t>
      </w:r>
      <w:r w:rsidR="008C4E10">
        <w:t xml:space="preserve"> </w:t>
      </w:r>
      <w:r w:rsidR="00AD3179">
        <w:t>mužov</w:t>
      </w:r>
      <w:r w:rsidR="001777B8">
        <w:t>, ktorým vznikne nárok na zníženie dôchodkov</w:t>
      </w:r>
      <w:r w:rsidR="00725181">
        <w:t>ého veku v</w:t>
      </w:r>
      <w:r w:rsidR="0082720F">
        <w:t xml:space="preserve"> horizonte rokov 2020</w:t>
      </w:r>
      <w:r w:rsidR="001777B8">
        <w:t xml:space="preserve"> až 2022</w:t>
      </w:r>
      <w:r w:rsidR="00A22E2B">
        <w:t>,</w:t>
      </w:r>
      <w:r w:rsidR="001777B8">
        <w:t xml:space="preserve"> nie je možné</w:t>
      </w:r>
      <w:r w:rsidR="00725181">
        <w:t xml:space="preserve"> v súčasnosti</w:t>
      </w:r>
      <w:r w:rsidR="001777B8">
        <w:t xml:space="preserve"> spoľahlivo odhadnúť. </w:t>
      </w:r>
      <w:r w:rsidR="00725181">
        <w:t xml:space="preserve">Zníženie počtu kvalifikovaných rokov na nárok na minimálny dôchodok, uľahčí prístup </w:t>
      </w:r>
      <w:r w:rsidR="00725181">
        <w:lastRenderedPageBreak/>
        <w:t>dotknutej skupine osôb k minimálnemu dôchodku. Počet takto dotknutých osôb, ktorým vznikne nárok na minimálny dôchodok v horizonte rokov 2020 až 2022</w:t>
      </w:r>
      <w:r w:rsidR="00A22E2B">
        <w:t>,</w:t>
      </w:r>
      <w:r w:rsidR="00725181">
        <w:t xml:space="preserve"> nie je možné v súčasnosti spoľahlivo odhadnúť.</w:t>
      </w:r>
    </w:p>
    <w:p w:rsidR="009A3CF2" w:rsidRDefault="009A3CF2" w:rsidP="00F00E56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F00E56" w:rsidRDefault="00F00E56" w:rsidP="00F00E56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F00E56" w:rsidRDefault="00F00E56" w:rsidP="00F00E56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F00E56" w:rsidRDefault="00F00E56" w:rsidP="00F00E56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  <w:r w:rsidR="008902D1">
        <w:rPr>
          <w:rFonts w:ascii="Times New Roman" w:hAnsi="Times New Roman" w:cs="Times New Roman"/>
          <w:color w:val="000000"/>
          <w:sz w:val="24"/>
          <w:szCs w:val="24"/>
          <w:lang w:val="sk-SK"/>
        </w:rPr>
        <w:t>, nakoľko žiadne alternatívne riešenie nebolo posudzované.</w:t>
      </w:r>
    </w:p>
    <w:p w:rsidR="00F00E56" w:rsidRDefault="00F00E56" w:rsidP="00F00E56">
      <w:pPr>
        <w:pStyle w:val="Normlnywebov"/>
        <w:spacing w:before="100" w:beforeAutospacing="1" w:after="100" w:afterAutospacing="1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A.5. </w:t>
      </w:r>
      <w:r>
        <w:rPr>
          <w:rFonts w:ascii="Times New Roman" w:hAnsi="Times New Roman" w:cs="Times New Roman"/>
          <w:b/>
          <w:sz w:val="24"/>
          <w:szCs w:val="24"/>
        </w:rPr>
        <w:tab/>
        <w:t>Stanovisko gestorov</w:t>
      </w:r>
    </w:p>
    <w:p w:rsidR="00F00E56" w:rsidRDefault="00F00E56" w:rsidP="00F00E56">
      <w:pPr>
        <w:pStyle w:val="Vchodzie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Bezpredmetné</w:t>
      </w:r>
    </w:p>
    <w:p w:rsidR="00664B9F" w:rsidRDefault="00664B9F"/>
    <w:sectPr w:rsidR="00664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80" w:rsidRDefault="00DF0980" w:rsidP="0082720F">
      <w:r>
        <w:separator/>
      </w:r>
    </w:p>
  </w:endnote>
  <w:endnote w:type="continuationSeparator" w:id="0">
    <w:p w:rsidR="00DF0980" w:rsidRDefault="00DF0980" w:rsidP="0082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ˇ¦||||||||||||||||||||ˇ¦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80" w:rsidRDefault="00DF0980" w:rsidP="0082720F">
      <w:r>
        <w:separator/>
      </w:r>
    </w:p>
  </w:footnote>
  <w:footnote w:type="continuationSeparator" w:id="0">
    <w:p w:rsidR="00DF0980" w:rsidRDefault="00DF0980" w:rsidP="00827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E56"/>
    <w:rsid w:val="000173C6"/>
    <w:rsid w:val="00017E53"/>
    <w:rsid w:val="00036827"/>
    <w:rsid w:val="000E0A79"/>
    <w:rsid w:val="00115E17"/>
    <w:rsid w:val="001777B8"/>
    <w:rsid w:val="001D6AFE"/>
    <w:rsid w:val="001F1E92"/>
    <w:rsid w:val="002008EA"/>
    <w:rsid w:val="002449A5"/>
    <w:rsid w:val="002A5782"/>
    <w:rsid w:val="002D6FC8"/>
    <w:rsid w:val="00300A90"/>
    <w:rsid w:val="00316511"/>
    <w:rsid w:val="00334F88"/>
    <w:rsid w:val="00336461"/>
    <w:rsid w:val="003425FC"/>
    <w:rsid w:val="0034399D"/>
    <w:rsid w:val="003846D7"/>
    <w:rsid w:val="003C13CA"/>
    <w:rsid w:val="003E0F8D"/>
    <w:rsid w:val="00421880"/>
    <w:rsid w:val="00424735"/>
    <w:rsid w:val="004B472B"/>
    <w:rsid w:val="004E0F2A"/>
    <w:rsid w:val="004E57BE"/>
    <w:rsid w:val="004F0070"/>
    <w:rsid w:val="0052182B"/>
    <w:rsid w:val="005616B5"/>
    <w:rsid w:val="005945BE"/>
    <w:rsid w:val="005D7A78"/>
    <w:rsid w:val="005E4CF4"/>
    <w:rsid w:val="00611DE4"/>
    <w:rsid w:val="00650274"/>
    <w:rsid w:val="00664B9F"/>
    <w:rsid w:val="00684684"/>
    <w:rsid w:val="006A24E1"/>
    <w:rsid w:val="006C6084"/>
    <w:rsid w:val="006F7DFE"/>
    <w:rsid w:val="00725181"/>
    <w:rsid w:val="0073573C"/>
    <w:rsid w:val="00783A52"/>
    <w:rsid w:val="007D061B"/>
    <w:rsid w:val="007D0CC6"/>
    <w:rsid w:val="007F5DD7"/>
    <w:rsid w:val="0081587F"/>
    <w:rsid w:val="0082720F"/>
    <w:rsid w:val="00827935"/>
    <w:rsid w:val="00883E2A"/>
    <w:rsid w:val="008902D1"/>
    <w:rsid w:val="00897835"/>
    <w:rsid w:val="008A2A33"/>
    <w:rsid w:val="008C4E10"/>
    <w:rsid w:val="008C7C19"/>
    <w:rsid w:val="00902306"/>
    <w:rsid w:val="00906E8E"/>
    <w:rsid w:val="0091122C"/>
    <w:rsid w:val="009269D1"/>
    <w:rsid w:val="00994BBD"/>
    <w:rsid w:val="009A3CF2"/>
    <w:rsid w:val="009C3D37"/>
    <w:rsid w:val="009C523F"/>
    <w:rsid w:val="009D19BD"/>
    <w:rsid w:val="00A07DFB"/>
    <w:rsid w:val="00A133EC"/>
    <w:rsid w:val="00A22E2B"/>
    <w:rsid w:val="00AC179A"/>
    <w:rsid w:val="00AD3179"/>
    <w:rsid w:val="00AE0894"/>
    <w:rsid w:val="00AE45A4"/>
    <w:rsid w:val="00AE47A9"/>
    <w:rsid w:val="00B048C6"/>
    <w:rsid w:val="00B61681"/>
    <w:rsid w:val="00B8191A"/>
    <w:rsid w:val="00BD0767"/>
    <w:rsid w:val="00C225E6"/>
    <w:rsid w:val="00C2468B"/>
    <w:rsid w:val="00C61F8D"/>
    <w:rsid w:val="00C67FB7"/>
    <w:rsid w:val="00CC3B4D"/>
    <w:rsid w:val="00D0607F"/>
    <w:rsid w:val="00D27F16"/>
    <w:rsid w:val="00DF0980"/>
    <w:rsid w:val="00E5783C"/>
    <w:rsid w:val="00E67E87"/>
    <w:rsid w:val="00E72922"/>
    <w:rsid w:val="00E9404E"/>
    <w:rsid w:val="00EA54B7"/>
    <w:rsid w:val="00EC6877"/>
    <w:rsid w:val="00F005C4"/>
    <w:rsid w:val="00F009BB"/>
    <w:rsid w:val="00F00E56"/>
    <w:rsid w:val="00F20AFF"/>
    <w:rsid w:val="00F869C0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C2D894-A2A5-48D0-B750-36E8DA93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E5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semiHidden/>
    <w:unhideWhenUsed/>
    <w:rsid w:val="00F00E56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paragraph" w:customStyle="1" w:styleId="Vchodzie">
    <w:name w:val="Vchodzie"/>
    <w:uiPriority w:val="99"/>
    <w:rsid w:val="00F00E56"/>
    <w:pPr>
      <w:widowControl w:val="0"/>
      <w:autoSpaceDN w:val="0"/>
      <w:adjustRightInd w:val="0"/>
    </w:pPr>
    <w:rPr>
      <w:rFonts w:ascii="Calibri" w:eastAsiaTheme="minorEastAsia" w:hAnsi="Calibri" w:cs="Calibri"/>
      <w:kern w:val="2"/>
      <w:lang w:val="en-US"/>
    </w:rPr>
  </w:style>
  <w:style w:type="character" w:customStyle="1" w:styleId="s2">
    <w:name w:val="s2"/>
    <w:basedOn w:val="Predvolenpsmoodseku"/>
    <w:rsid w:val="00300A9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0A90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00A90"/>
    <w:rPr>
      <w:rFonts w:ascii="Tahoma" w:eastAsia="SimSun" w:hAnsi="Tahoma" w:cs="Mangal"/>
      <w:kern w:val="2"/>
      <w:sz w:val="14"/>
      <w:szCs w:val="14"/>
      <w:lang w:val="x-none" w:eastAsia="hi-IN" w:bidi="hi-IN"/>
    </w:rPr>
  </w:style>
  <w:style w:type="paragraph" w:styleId="Textkomentra">
    <w:name w:val="annotation text"/>
    <w:basedOn w:val="Normlny"/>
    <w:link w:val="TextkomentraChar"/>
    <w:uiPriority w:val="99"/>
    <w:unhideWhenUsed/>
    <w:rsid w:val="007D0CC6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D0CC6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E0F2A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0F2A"/>
    <w:pPr>
      <w:widowControl w:val="0"/>
      <w:suppressAutoHyphens/>
    </w:pPr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4E0F2A"/>
    <w:rPr>
      <w:rFonts w:ascii="Times New Roman" w:eastAsia="SimSun" w:hAnsi="Times New Roman" w:cs="Mangal"/>
      <w:b/>
      <w:bCs/>
      <w:kern w:val="2"/>
      <w:sz w:val="18"/>
      <w:szCs w:val="18"/>
      <w:lang w:val="x-none" w:eastAsia="hi-IN" w:bidi="hi-IN"/>
    </w:rPr>
  </w:style>
  <w:style w:type="paragraph" w:styleId="Odsekzoznamu">
    <w:name w:val="List Paragraph"/>
    <w:basedOn w:val="Normlny"/>
    <w:uiPriority w:val="99"/>
    <w:qFormat/>
    <w:rsid w:val="000173C6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sk-SK" w:bidi="ar-SA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82720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82720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82720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1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Duriska Slavomir</dc:creator>
  <cp:keywords/>
  <dc:description/>
  <cp:lastModifiedBy>Gašparíková, Jarmila</cp:lastModifiedBy>
  <cp:revision>2</cp:revision>
  <dcterms:created xsi:type="dcterms:W3CDTF">2019-05-31T10:10:00Z</dcterms:created>
  <dcterms:modified xsi:type="dcterms:W3CDTF">2019-05-31T10:10:00Z</dcterms:modified>
</cp:coreProperties>
</file>