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E23" w:rsidRPr="00B64E2B" w:rsidTr="008E5865">
        <w:trPr>
          <w:trHeight w:val="567"/>
        </w:trPr>
        <w:tc>
          <w:tcPr>
            <w:tcW w:w="9062" w:type="dxa"/>
            <w:shd w:val="clear" w:color="auto" w:fill="D9D9D9" w:themeFill="background1" w:themeFillShade="D9"/>
          </w:tcPr>
          <w:p w:rsidR="00EA3E23" w:rsidRPr="00B64E2B" w:rsidRDefault="00EA3E23" w:rsidP="008E5865">
            <w:pPr>
              <w:jc w:val="center"/>
              <w:rPr>
                <w:b/>
                <w:sz w:val="24"/>
              </w:rPr>
            </w:pPr>
            <w:bookmarkStart w:id="0" w:name="_GoBack"/>
            <w:r w:rsidRPr="00B64E2B">
              <w:rPr>
                <w:b/>
                <w:sz w:val="28"/>
              </w:rPr>
              <w:t xml:space="preserve">Analýza vplyvov na podnikateľské prostredie </w:t>
            </w:r>
          </w:p>
          <w:p w:rsidR="00EA3E23" w:rsidRPr="00B64E2B" w:rsidRDefault="00EA3E23" w:rsidP="008E5865">
            <w:pPr>
              <w:jc w:val="center"/>
              <w:rPr>
                <w:b/>
              </w:rPr>
            </w:pPr>
            <w:r w:rsidRPr="00B64E2B">
              <w:rPr>
                <w:b/>
                <w:sz w:val="24"/>
              </w:rPr>
              <w:t>(vrátane testu MSP)</w:t>
            </w:r>
          </w:p>
        </w:tc>
      </w:tr>
      <w:tr w:rsidR="00EA3E23" w:rsidRPr="00B64E2B" w:rsidTr="008E5865">
        <w:trPr>
          <w:trHeight w:val="567"/>
        </w:trPr>
        <w:tc>
          <w:tcPr>
            <w:tcW w:w="9062" w:type="dxa"/>
            <w:shd w:val="clear" w:color="auto" w:fill="D9D9D9" w:themeFill="background1" w:themeFillShade="D9"/>
          </w:tcPr>
          <w:p w:rsidR="00EA3E23" w:rsidRPr="00B64E2B" w:rsidRDefault="00EA3E23" w:rsidP="008E5865">
            <w:pPr>
              <w:rPr>
                <w:b/>
                <w:sz w:val="24"/>
              </w:rPr>
            </w:pPr>
            <w:r w:rsidRPr="00B64E2B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EA3E23" w:rsidRPr="00B64E2B" w:rsidTr="008E5865">
        <w:trPr>
          <w:trHeight w:val="567"/>
        </w:trPr>
        <w:tc>
          <w:tcPr>
            <w:tcW w:w="9062" w:type="dxa"/>
            <w:shd w:val="clear" w:color="auto" w:fill="auto"/>
          </w:tcPr>
          <w:tbl>
            <w:tblPr>
              <w:tblStyle w:val="Mriekatabuky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EA3E23" w:rsidRPr="00B64E2B" w:rsidTr="008E5865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EA3E23" w:rsidRPr="00B64E2B" w:rsidRDefault="00EA3E23" w:rsidP="008E5865">
                      <w:pPr>
                        <w:jc w:val="center"/>
                      </w:pPr>
                      <w:r w:rsidRPr="00B64E2B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EA3E23" w:rsidRPr="00B64E2B" w:rsidRDefault="00EA3E23" w:rsidP="008E5865">
                  <w:pPr>
                    <w:rPr>
                      <w:b/>
                    </w:rPr>
                  </w:pPr>
                  <w:r w:rsidRPr="00B64E2B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EA3E23" w:rsidRPr="00B64E2B" w:rsidTr="008E5865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EA3E23" w:rsidRPr="00B64E2B" w:rsidRDefault="00EA3E23" w:rsidP="008E5865">
                      <w:pPr>
                        <w:jc w:val="center"/>
                      </w:pPr>
                      <w:r w:rsidRPr="00B64E2B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EA3E23" w:rsidRPr="00B64E2B" w:rsidRDefault="00EA3E23" w:rsidP="008E5865">
                  <w:pPr>
                    <w:rPr>
                      <w:b/>
                    </w:rPr>
                  </w:pPr>
                  <w:r w:rsidRPr="00B64E2B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EA3E23" w:rsidRPr="00B64E2B" w:rsidTr="008E5865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EA3E23" w:rsidRPr="00B64E2B" w:rsidRDefault="00EA3E23" w:rsidP="008E586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EA3E23" w:rsidRPr="00B64E2B" w:rsidRDefault="00EA3E23" w:rsidP="008E5865">
                  <w:r w:rsidRPr="00B64E2B">
                    <w:rPr>
                      <w:b/>
                    </w:rPr>
                    <w:t>na všetky kategórie podnikov</w:t>
                  </w:r>
                </w:p>
              </w:tc>
            </w:tr>
          </w:tbl>
          <w:p w:rsidR="00EA3E23" w:rsidRPr="00B64E2B" w:rsidRDefault="00EA3E23" w:rsidP="008E5865">
            <w:pPr>
              <w:rPr>
                <w:b/>
              </w:rPr>
            </w:pPr>
          </w:p>
        </w:tc>
      </w:tr>
      <w:tr w:rsidR="00EA3E23" w:rsidRPr="00B64E2B" w:rsidTr="008E5865">
        <w:tc>
          <w:tcPr>
            <w:tcW w:w="9062" w:type="dxa"/>
            <w:shd w:val="clear" w:color="auto" w:fill="D9D9D9" w:themeFill="background1" w:themeFillShade="D9"/>
          </w:tcPr>
          <w:p w:rsidR="00EA3E23" w:rsidRPr="00B64E2B" w:rsidRDefault="00EA3E23" w:rsidP="008E5865">
            <w:pPr>
              <w:rPr>
                <w:b/>
                <w:sz w:val="24"/>
              </w:rPr>
            </w:pPr>
            <w:r w:rsidRPr="00B64E2B">
              <w:rPr>
                <w:b/>
                <w:sz w:val="24"/>
              </w:rPr>
              <w:t>3.1 Dotknuté podnikateľské subjekty</w:t>
            </w:r>
          </w:p>
          <w:p w:rsidR="00EA3E23" w:rsidRPr="00B64E2B" w:rsidRDefault="00EA3E23" w:rsidP="008E5865">
            <w:pPr>
              <w:ind w:left="284"/>
              <w:rPr>
                <w:b/>
              </w:rPr>
            </w:pPr>
            <w:r w:rsidRPr="00B64E2B">
              <w:rPr>
                <w:sz w:val="24"/>
              </w:rPr>
              <w:t xml:space="preserve"> - </w:t>
            </w:r>
            <w:r w:rsidRPr="00B64E2B">
              <w:rPr>
                <w:b/>
                <w:sz w:val="24"/>
              </w:rPr>
              <w:t>z toho MSP</w:t>
            </w:r>
          </w:p>
        </w:tc>
      </w:tr>
      <w:tr w:rsidR="00EA3E23" w:rsidRPr="00B64E2B" w:rsidTr="008E5865">
        <w:tc>
          <w:tcPr>
            <w:tcW w:w="9062" w:type="dxa"/>
            <w:tcBorders>
              <w:bottom w:val="single" w:sz="4" w:space="0" w:color="auto"/>
            </w:tcBorders>
          </w:tcPr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Uveďte, aké podnikateľské subjekty budú predkladaným návrhom ovplyvnené.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Aký je ich počet?</w:t>
            </w:r>
          </w:p>
        </w:tc>
      </w:tr>
      <w:tr w:rsidR="00EA3E23" w:rsidRPr="00226CB2" w:rsidTr="008E5865">
        <w:trPr>
          <w:trHeight w:val="1440"/>
        </w:trPr>
        <w:tc>
          <w:tcPr>
            <w:tcW w:w="9062" w:type="dxa"/>
            <w:tcBorders>
              <w:bottom w:val="single" w:sz="4" w:space="0" w:color="auto"/>
            </w:tcBorders>
          </w:tcPr>
          <w:p w:rsidR="00EA3E23" w:rsidRPr="00226CB2" w:rsidRDefault="00EA3E23" w:rsidP="008E5865">
            <w:r>
              <w:t xml:space="preserve">Novelou zákona </w:t>
            </w:r>
            <w:r w:rsidRPr="009B4CB1">
              <w:t>budú ovplyvnené všetky podnikateľské subjekty, ktoré sú existujúcimi účastníkmi</w:t>
            </w:r>
            <w:r>
              <w:t>,</w:t>
            </w:r>
            <w:r w:rsidRPr="009B4CB1">
              <w:t xml:space="preserve"> ako aj každý nový účastník schémy obchodovania</w:t>
            </w:r>
            <w:r>
              <w:t xml:space="preserve">. </w:t>
            </w:r>
            <w:r w:rsidRPr="009B4CB1">
              <w:t>Podľa Správy o uplatňovaní smernice 2003/87/ES o vytvorení systému obchodovania s emisnými kvótami skleníkových p</w:t>
            </w:r>
            <w:r>
              <w:t>lynov v spoločenstve za rok 2017 ide o 119</w:t>
            </w:r>
            <w:r w:rsidRPr="009B4CB1">
              <w:t xml:space="preserve"> prevádzok.</w:t>
            </w:r>
          </w:p>
        </w:tc>
      </w:tr>
      <w:tr w:rsidR="00EA3E23" w:rsidRPr="00B64E2B" w:rsidTr="008E5865">
        <w:trPr>
          <w:trHeight w:val="33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3E23" w:rsidRPr="00B64E2B" w:rsidRDefault="00EA3E23" w:rsidP="008E5865">
            <w:pPr>
              <w:rPr>
                <w:b/>
                <w:sz w:val="24"/>
              </w:rPr>
            </w:pPr>
            <w:r w:rsidRPr="00B64E2B">
              <w:rPr>
                <w:b/>
                <w:sz w:val="24"/>
              </w:rPr>
              <w:t>3.2 Vyhodnotenie konzultácií</w:t>
            </w:r>
          </w:p>
          <w:p w:rsidR="00EA3E23" w:rsidRPr="00B64E2B" w:rsidRDefault="00EA3E23" w:rsidP="008E5865">
            <w:pPr>
              <w:rPr>
                <w:b/>
              </w:rPr>
            </w:pPr>
            <w:r w:rsidRPr="00B64E2B">
              <w:rPr>
                <w:sz w:val="24"/>
              </w:rPr>
              <w:t xml:space="preserve">       - </w:t>
            </w:r>
            <w:r w:rsidRPr="00B64E2B">
              <w:rPr>
                <w:b/>
                <w:sz w:val="24"/>
              </w:rPr>
              <w:t>z toho MSP</w:t>
            </w:r>
          </w:p>
        </w:tc>
      </w:tr>
      <w:tr w:rsidR="00EA3E23" w:rsidRPr="00B64E2B" w:rsidTr="008E5865">
        <w:trPr>
          <w:trHeight w:val="557"/>
        </w:trPr>
        <w:tc>
          <w:tcPr>
            <w:tcW w:w="9062" w:type="dxa"/>
            <w:tcBorders>
              <w:bottom w:val="single" w:sz="4" w:space="0" w:color="auto"/>
            </w:tcBorders>
          </w:tcPr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Uveďte, akou formou (verejné alebo cielené konzultácie a prečo) a s kým bol návrh konzultovaný.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Ako dlho trvali konzultácie?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 xml:space="preserve">Uveďte hlavné body konzultácií a výsledky konzultácií. </w:t>
            </w:r>
          </w:p>
        </w:tc>
      </w:tr>
      <w:tr w:rsidR="00EA3E23" w:rsidRPr="0009173F" w:rsidTr="008E5865">
        <w:trPr>
          <w:trHeight w:val="1440"/>
        </w:trPr>
        <w:tc>
          <w:tcPr>
            <w:tcW w:w="9062" w:type="dxa"/>
            <w:tcBorders>
              <w:bottom w:val="single" w:sz="4" w:space="0" w:color="auto"/>
            </w:tcBorders>
          </w:tcPr>
          <w:p w:rsidR="00EA3E23" w:rsidRDefault="00EA3E23" w:rsidP="008E5865">
            <w:pPr>
              <w:jc w:val="both"/>
            </w:pPr>
            <w:r>
              <w:t>Konzultácie sa n</w:t>
            </w:r>
            <w:r w:rsidRPr="0009173F">
              <w:t>euskutočnili.</w:t>
            </w:r>
          </w:p>
          <w:p w:rsidR="00EA3E23" w:rsidRDefault="00EA3E23" w:rsidP="008E5865">
            <w:pPr>
              <w:jc w:val="both"/>
            </w:pPr>
          </w:p>
          <w:p w:rsidR="00EA3E23" w:rsidRPr="00C7040A" w:rsidRDefault="00EA3E23" w:rsidP="008E5865">
            <w:pPr>
              <w:jc w:val="both"/>
            </w:pPr>
            <w:r w:rsidRPr="00C7040A">
              <w:t xml:space="preserve">Dňa 16.10.2018 a 13.11.2018 sa na Ministerstve životného prostredia SR uskutočnili diskusie s predstaviteľmi priemyslu, energetiky a so zástupcami zväzov ohľadne možnosti využitia </w:t>
            </w:r>
            <w:proofErr w:type="spellStart"/>
            <w:r w:rsidRPr="00C7040A">
              <w:t>nízkouhlíkových</w:t>
            </w:r>
            <w:proofErr w:type="spellEnd"/>
            <w:r w:rsidRPr="00C7040A">
              <w:t xml:space="preserve"> mechanizmov pre 4. obchodovateľné obdobie 2021 – 2030, ktoré ponúka r</w:t>
            </w:r>
            <w:r w:rsidRPr="00C7040A">
              <w:rPr>
                <w:szCs w:val="17"/>
              </w:rPr>
              <w:t xml:space="preserve">evidovaná </w:t>
            </w:r>
            <w:r w:rsidRPr="00C7040A">
              <w:t xml:space="preserve">smernica Európskeho parlamentu a Rady (EÚ) 2018/410 zo 14. marca 2018, ktorou sa mení smernica 2003/87/ES s cieľom zlepšiť nákladovo efektívne znižovanie emisií a investície do </w:t>
            </w:r>
            <w:proofErr w:type="spellStart"/>
            <w:r w:rsidRPr="00C7040A">
              <w:t>nízkouhlíkových</w:t>
            </w:r>
            <w:proofErr w:type="spellEnd"/>
            <w:r w:rsidRPr="00C7040A">
              <w:t xml:space="preserve"> technológií a rozhodnutie (EÚ) 2015/1814 (ďalej len „revidovaná smernica EU ETS“) pre Slovenskú republiku. </w:t>
            </w:r>
          </w:p>
          <w:p w:rsidR="00EA3E23" w:rsidRPr="00C7040A" w:rsidRDefault="00EA3E23" w:rsidP="008E5865">
            <w:pPr>
              <w:jc w:val="both"/>
            </w:pPr>
          </w:p>
          <w:p w:rsidR="00EA3E23" w:rsidRDefault="00EA3E23" w:rsidP="008E5865">
            <w:pPr>
              <w:jc w:val="both"/>
            </w:pPr>
            <w:r w:rsidRPr="00C7040A">
              <w:t>Predbežná informácia k novele zákona bola zverejnená od 28. júna 2018 do 19. júla 2018.</w:t>
            </w:r>
          </w:p>
          <w:p w:rsidR="00EA3E23" w:rsidRPr="0009173F" w:rsidRDefault="00EA3E23" w:rsidP="008E5865">
            <w:pPr>
              <w:jc w:val="both"/>
            </w:pPr>
          </w:p>
        </w:tc>
      </w:tr>
      <w:tr w:rsidR="00EA3E23" w:rsidRPr="00B64E2B" w:rsidTr="008E5865">
        <w:tc>
          <w:tcPr>
            <w:tcW w:w="9062" w:type="dxa"/>
            <w:shd w:val="clear" w:color="auto" w:fill="D9D9D9" w:themeFill="background1" w:themeFillShade="D9"/>
          </w:tcPr>
          <w:p w:rsidR="00EA3E23" w:rsidRPr="00B64E2B" w:rsidRDefault="00EA3E23" w:rsidP="008E5865">
            <w:pPr>
              <w:rPr>
                <w:b/>
                <w:sz w:val="24"/>
              </w:rPr>
            </w:pPr>
            <w:r w:rsidRPr="00B64E2B">
              <w:rPr>
                <w:b/>
                <w:sz w:val="24"/>
              </w:rPr>
              <w:t>3.3 Náklady regulácie</w:t>
            </w:r>
          </w:p>
          <w:p w:rsidR="00EA3E23" w:rsidRPr="00B64E2B" w:rsidRDefault="00EA3E23" w:rsidP="008E5865">
            <w:pPr>
              <w:rPr>
                <w:b/>
              </w:rPr>
            </w:pPr>
            <w:r w:rsidRPr="00B64E2B">
              <w:rPr>
                <w:sz w:val="24"/>
              </w:rPr>
              <w:t xml:space="preserve">      - </w:t>
            </w:r>
            <w:r w:rsidRPr="00B64E2B">
              <w:rPr>
                <w:b/>
                <w:sz w:val="24"/>
              </w:rPr>
              <w:t>z toho MSP</w:t>
            </w:r>
          </w:p>
        </w:tc>
      </w:tr>
      <w:tr w:rsidR="00EA3E23" w:rsidRPr="00B64E2B" w:rsidTr="008E5865">
        <w:tc>
          <w:tcPr>
            <w:tcW w:w="9062" w:type="dxa"/>
            <w:tcBorders>
              <w:bottom w:val="single" w:sz="4" w:space="0" w:color="auto"/>
            </w:tcBorders>
          </w:tcPr>
          <w:p w:rsidR="00EA3E23" w:rsidRPr="00B64E2B" w:rsidRDefault="00EA3E23" w:rsidP="008E5865">
            <w:pPr>
              <w:rPr>
                <w:b/>
                <w:i/>
              </w:rPr>
            </w:pPr>
            <w:r w:rsidRPr="00B64E2B">
              <w:rPr>
                <w:b/>
                <w:i/>
              </w:rPr>
              <w:t>3.3.1 Priame finančné náklady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EA3E23" w:rsidRPr="00B64E2B" w:rsidTr="008E5865">
        <w:tc>
          <w:tcPr>
            <w:tcW w:w="9062" w:type="dxa"/>
            <w:tcBorders>
              <w:bottom w:val="single" w:sz="4" w:space="0" w:color="auto"/>
            </w:tcBorders>
          </w:tcPr>
          <w:p w:rsidR="00EA3E23" w:rsidRPr="0002045C" w:rsidRDefault="00EA3E23" w:rsidP="008E5865">
            <w:r w:rsidRPr="0002045C">
              <w:t>Nedochádza k priamemu zvýšeniu/zníženiu finančných nákladov.</w:t>
            </w:r>
          </w:p>
          <w:p w:rsidR="00EA3E23" w:rsidRPr="001B68AB" w:rsidRDefault="00EA3E23" w:rsidP="008E5865">
            <w:pPr>
              <w:rPr>
                <w:b/>
              </w:rPr>
            </w:pPr>
          </w:p>
          <w:p w:rsidR="00EA3E23" w:rsidRPr="00B64E2B" w:rsidRDefault="00EA3E23" w:rsidP="008E5865">
            <w:pPr>
              <w:rPr>
                <w:b/>
                <w:i/>
              </w:rPr>
            </w:pPr>
          </w:p>
          <w:p w:rsidR="00EA3E23" w:rsidRPr="00B64E2B" w:rsidRDefault="00EA3E23" w:rsidP="008E5865">
            <w:pPr>
              <w:rPr>
                <w:b/>
                <w:i/>
              </w:rPr>
            </w:pPr>
          </w:p>
          <w:p w:rsidR="00EA3E23" w:rsidRPr="00B64E2B" w:rsidRDefault="00EA3E23" w:rsidP="008E5865">
            <w:pPr>
              <w:rPr>
                <w:b/>
                <w:i/>
              </w:rPr>
            </w:pPr>
          </w:p>
          <w:p w:rsidR="00EA3E23" w:rsidRPr="00B64E2B" w:rsidRDefault="00EA3E23" w:rsidP="008E5865">
            <w:pPr>
              <w:rPr>
                <w:b/>
                <w:i/>
              </w:rPr>
            </w:pPr>
          </w:p>
        </w:tc>
      </w:tr>
      <w:tr w:rsidR="00EA3E23" w:rsidRPr="00B64E2B" w:rsidTr="008E5865">
        <w:tc>
          <w:tcPr>
            <w:tcW w:w="9062" w:type="dxa"/>
            <w:tcBorders>
              <w:bottom w:val="single" w:sz="4" w:space="0" w:color="auto"/>
            </w:tcBorders>
          </w:tcPr>
          <w:p w:rsidR="00EA3E23" w:rsidRPr="00B64E2B" w:rsidRDefault="00EA3E23" w:rsidP="008E5865">
            <w:pPr>
              <w:rPr>
                <w:b/>
                <w:i/>
              </w:rPr>
            </w:pPr>
            <w:r w:rsidRPr="00B64E2B">
              <w:rPr>
                <w:b/>
                <w:i/>
              </w:rPr>
              <w:t>3.3.2 Nepriame finančné náklady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 w:rsidR="00EA3E23" w:rsidRPr="00B64E2B" w:rsidTr="008E5865">
        <w:tc>
          <w:tcPr>
            <w:tcW w:w="9062" w:type="dxa"/>
            <w:tcBorders>
              <w:bottom w:val="single" w:sz="4" w:space="0" w:color="auto"/>
            </w:tcBorders>
          </w:tcPr>
          <w:p w:rsidR="00EA3E23" w:rsidRPr="001B68AB" w:rsidRDefault="00EA3E23" w:rsidP="008E5865">
            <w:pPr>
              <w:rPr>
                <w:b/>
              </w:rPr>
            </w:pPr>
            <w:r w:rsidRPr="0002045C">
              <w:t>Návrh si nevyžaduje dodatočné náklady na nákup tovarov alebo služieb</w:t>
            </w:r>
            <w:r>
              <w:t>.</w:t>
            </w:r>
          </w:p>
          <w:p w:rsidR="00EA3E23" w:rsidRPr="00B64E2B" w:rsidRDefault="00EA3E23" w:rsidP="008E5865">
            <w:pPr>
              <w:rPr>
                <w:b/>
                <w:i/>
              </w:rPr>
            </w:pPr>
          </w:p>
          <w:p w:rsidR="00EA3E23" w:rsidRPr="00B64E2B" w:rsidRDefault="00EA3E23" w:rsidP="008E5865">
            <w:pPr>
              <w:rPr>
                <w:b/>
                <w:i/>
              </w:rPr>
            </w:pPr>
          </w:p>
          <w:p w:rsidR="00EA3E23" w:rsidRPr="00B64E2B" w:rsidRDefault="00EA3E23" w:rsidP="008E5865">
            <w:pPr>
              <w:rPr>
                <w:b/>
                <w:i/>
              </w:rPr>
            </w:pPr>
          </w:p>
          <w:p w:rsidR="00EA3E23" w:rsidRPr="00B64E2B" w:rsidRDefault="00EA3E23" w:rsidP="008E5865">
            <w:pPr>
              <w:rPr>
                <w:b/>
                <w:i/>
              </w:rPr>
            </w:pPr>
          </w:p>
        </w:tc>
      </w:tr>
      <w:tr w:rsidR="00EA3E23" w:rsidRPr="00B64E2B" w:rsidTr="008E5865">
        <w:tc>
          <w:tcPr>
            <w:tcW w:w="9062" w:type="dxa"/>
            <w:tcBorders>
              <w:bottom w:val="single" w:sz="4" w:space="0" w:color="auto"/>
            </w:tcBorders>
          </w:tcPr>
          <w:p w:rsidR="00EA3E23" w:rsidRPr="00B64E2B" w:rsidRDefault="00EA3E23" w:rsidP="008E5865">
            <w:pPr>
              <w:rPr>
                <w:b/>
                <w:i/>
              </w:rPr>
            </w:pPr>
            <w:r w:rsidRPr="00B64E2B">
              <w:rPr>
                <w:b/>
                <w:i/>
              </w:rPr>
              <w:t>3.3.3 Administratívne náklady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EA3E23" w:rsidRPr="00B64E2B" w:rsidTr="008E5865">
        <w:tc>
          <w:tcPr>
            <w:tcW w:w="9062" w:type="dxa"/>
            <w:tcBorders>
              <w:bottom w:val="single" w:sz="4" w:space="0" w:color="auto"/>
            </w:tcBorders>
          </w:tcPr>
          <w:p w:rsidR="00EA3E23" w:rsidRDefault="00EA3E23" w:rsidP="008E5865">
            <w:r w:rsidRPr="003B52A3">
              <w:lastRenderedPageBreak/>
              <w:t>Nedochádza k zavedeniu nových informačných p</w:t>
            </w:r>
            <w:r>
              <w:t>ovinností ani k ich odstráneniu, ani k úprave existujúcich informačných povinností.</w:t>
            </w:r>
          </w:p>
          <w:p w:rsidR="00EA3E23" w:rsidRPr="003B52A3" w:rsidRDefault="00EA3E23" w:rsidP="008E5865"/>
          <w:p w:rsidR="00EA3E23" w:rsidRPr="00B64E2B" w:rsidRDefault="00EA3E23" w:rsidP="008E5865">
            <w:pPr>
              <w:rPr>
                <w:b/>
                <w:i/>
              </w:rPr>
            </w:pPr>
          </w:p>
          <w:p w:rsidR="00EA3E23" w:rsidRPr="00B64E2B" w:rsidRDefault="00EA3E23" w:rsidP="008E5865">
            <w:pPr>
              <w:rPr>
                <w:b/>
                <w:i/>
              </w:rPr>
            </w:pPr>
          </w:p>
          <w:p w:rsidR="00EA3E23" w:rsidRPr="00B64E2B" w:rsidRDefault="00EA3E23" w:rsidP="008E5865">
            <w:pPr>
              <w:rPr>
                <w:b/>
                <w:i/>
              </w:rPr>
            </w:pPr>
          </w:p>
        </w:tc>
      </w:tr>
      <w:tr w:rsidR="00EA3E23" w:rsidRPr="00B64E2B" w:rsidTr="008E5865">
        <w:trPr>
          <w:trHeight w:val="2318"/>
        </w:trPr>
        <w:tc>
          <w:tcPr>
            <w:tcW w:w="9062" w:type="dxa"/>
            <w:tcBorders>
              <w:bottom w:val="single" w:sz="4" w:space="0" w:color="auto"/>
            </w:tcBorders>
          </w:tcPr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b/>
                <w:i/>
              </w:rPr>
              <w:t>3.3.4 Súhrnná tabuľka nákladov regulácie</w:t>
            </w:r>
          </w:p>
          <w:p w:rsidR="00EA3E23" w:rsidRPr="00B64E2B" w:rsidRDefault="00EA3E23" w:rsidP="008E5865">
            <w:pPr>
              <w:rPr>
                <w:i/>
              </w:rPr>
            </w:pPr>
          </w:p>
          <w:tbl>
            <w:tblPr>
              <w:tblStyle w:val="Mriekatabuky1"/>
              <w:tblW w:w="0" w:type="auto"/>
              <w:tblLook w:val="04A0" w:firstRow="1" w:lastRow="0" w:firstColumn="1" w:lastColumn="0" w:noHBand="0" w:noVBand="1"/>
            </w:tblPr>
            <w:tblGrid>
              <w:gridCol w:w="2949"/>
              <w:gridCol w:w="2941"/>
              <w:gridCol w:w="2946"/>
            </w:tblGrid>
            <w:tr w:rsidR="00EA3E23" w:rsidRPr="00B64E2B" w:rsidTr="008E5865">
              <w:tc>
                <w:tcPr>
                  <w:tcW w:w="2993" w:type="dxa"/>
                </w:tcPr>
                <w:p w:rsidR="00EA3E23" w:rsidRPr="00B64E2B" w:rsidRDefault="00EA3E23" w:rsidP="008E5865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EA3E23" w:rsidRPr="00B64E2B" w:rsidRDefault="00EA3E23" w:rsidP="008E5865">
                  <w:pPr>
                    <w:jc w:val="center"/>
                    <w:rPr>
                      <w:i/>
                    </w:rPr>
                  </w:pPr>
                  <w:r w:rsidRPr="00B64E2B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EA3E23" w:rsidRPr="00B64E2B" w:rsidRDefault="00EA3E23" w:rsidP="008E5865">
                  <w:pPr>
                    <w:jc w:val="center"/>
                    <w:rPr>
                      <w:i/>
                    </w:rPr>
                  </w:pPr>
                  <w:r w:rsidRPr="00B64E2B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EA3E23" w:rsidRPr="00B64E2B" w:rsidTr="008E5865">
              <w:tc>
                <w:tcPr>
                  <w:tcW w:w="2993" w:type="dxa"/>
                </w:tcPr>
                <w:p w:rsidR="00EA3E23" w:rsidRPr="00B64E2B" w:rsidRDefault="00EA3E23" w:rsidP="008E5865">
                  <w:pPr>
                    <w:rPr>
                      <w:i/>
                    </w:rPr>
                  </w:pPr>
                  <w:r w:rsidRPr="00B64E2B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EA3E23" w:rsidRPr="00B64E2B" w:rsidRDefault="00EA3E23" w:rsidP="008E5865">
                  <w:pPr>
                    <w:jc w:val="center"/>
                    <w:rPr>
                      <w:i/>
                    </w:rPr>
                  </w:pPr>
                  <w:r w:rsidRPr="00B64E2B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EA3E23" w:rsidRPr="00B64E2B" w:rsidRDefault="00EA3E23" w:rsidP="008E5865">
                  <w:pPr>
                    <w:jc w:val="center"/>
                    <w:rPr>
                      <w:i/>
                    </w:rPr>
                  </w:pPr>
                  <w:r w:rsidRPr="00B64E2B">
                    <w:rPr>
                      <w:i/>
                    </w:rPr>
                    <w:t>0</w:t>
                  </w:r>
                </w:p>
              </w:tc>
            </w:tr>
            <w:tr w:rsidR="00EA3E23" w:rsidRPr="00B64E2B" w:rsidTr="008E5865">
              <w:tc>
                <w:tcPr>
                  <w:tcW w:w="2993" w:type="dxa"/>
                </w:tcPr>
                <w:p w:rsidR="00EA3E23" w:rsidRPr="00B64E2B" w:rsidRDefault="00EA3E23" w:rsidP="008E5865">
                  <w:pPr>
                    <w:rPr>
                      <w:i/>
                    </w:rPr>
                  </w:pPr>
                  <w:r w:rsidRPr="00B64E2B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EA3E23" w:rsidRPr="00B64E2B" w:rsidRDefault="00EA3E23" w:rsidP="008E5865">
                  <w:pPr>
                    <w:jc w:val="center"/>
                    <w:rPr>
                      <w:i/>
                    </w:rPr>
                  </w:pPr>
                  <w:r w:rsidRPr="00B64E2B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EA3E23" w:rsidRPr="00B64E2B" w:rsidRDefault="00EA3E23" w:rsidP="008E5865">
                  <w:pPr>
                    <w:jc w:val="center"/>
                    <w:rPr>
                      <w:i/>
                    </w:rPr>
                  </w:pPr>
                  <w:r w:rsidRPr="00B64E2B">
                    <w:rPr>
                      <w:i/>
                    </w:rPr>
                    <w:t>0</w:t>
                  </w:r>
                </w:p>
              </w:tc>
            </w:tr>
            <w:tr w:rsidR="00EA3E23" w:rsidRPr="00B64E2B" w:rsidTr="008E5865">
              <w:tc>
                <w:tcPr>
                  <w:tcW w:w="2993" w:type="dxa"/>
                </w:tcPr>
                <w:p w:rsidR="00EA3E23" w:rsidRPr="00B64E2B" w:rsidRDefault="00EA3E23" w:rsidP="008E5865">
                  <w:pPr>
                    <w:rPr>
                      <w:i/>
                    </w:rPr>
                  </w:pPr>
                  <w:r w:rsidRPr="00B64E2B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EA3E23" w:rsidRPr="00B64E2B" w:rsidRDefault="00EA3E23" w:rsidP="008E5865">
                  <w:pPr>
                    <w:jc w:val="center"/>
                    <w:rPr>
                      <w:i/>
                    </w:rPr>
                  </w:pPr>
                  <w:r w:rsidRPr="00B64E2B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EA3E23" w:rsidRPr="00B64E2B" w:rsidRDefault="00EA3E23" w:rsidP="008E5865">
                  <w:pPr>
                    <w:jc w:val="center"/>
                    <w:rPr>
                      <w:i/>
                    </w:rPr>
                  </w:pPr>
                  <w:r w:rsidRPr="00B64E2B">
                    <w:rPr>
                      <w:i/>
                    </w:rPr>
                    <w:t>0</w:t>
                  </w:r>
                </w:p>
              </w:tc>
            </w:tr>
            <w:tr w:rsidR="00EA3E23" w:rsidRPr="00B64E2B" w:rsidTr="008E5865">
              <w:tc>
                <w:tcPr>
                  <w:tcW w:w="2993" w:type="dxa"/>
                </w:tcPr>
                <w:p w:rsidR="00EA3E23" w:rsidRPr="00B64E2B" w:rsidRDefault="00EA3E23" w:rsidP="008E5865">
                  <w:pPr>
                    <w:rPr>
                      <w:b/>
                      <w:i/>
                    </w:rPr>
                  </w:pPr>
                  <w:r w:rsidRPr="00B64E2B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EA3E23" w:rsidRPr="00B64E2B" w:rsidRDefault="00EA3E23" w:rsidP="008E5865">
                  <w:pPr>
                    <w:jc w:val="center"/>
                    <w:rPr>
                      <w:b/>
                      <w:i/>
                    </w:rPr>
                  </w:pPr>
                  <w:r w:rsidRPr="00B64E2B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EA3E23" w:rsidRPr="00B64E2B" w:rsidRDefault="00EA3E23" w:rsidP="008E5865">
                  <w:pPr>
                    <w:jc w:val="center"/>
                    <w:rPr>
                      <w:b/>
                      <w:i/>
                    </w:rPr>
                  </w:pPr>
                  <w:r w:rsidRPr="00B64E2B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EA3E23" w:rsidRPr="00B64E2B" w:rsidRDefault="00EA3E23" w:rsidP="008E5865">
            <w:pPr>
              <w:rPr>
                <w:i/>
              </w:rPr>
            </w:pPr>
          </w:p>
        </w:tc>
      </w:tr>
      <w:tr w:rsidR="00EA3E23" w:rsidRPr="00B64E2B" w:rsidTr="008E5865">
        <w:tc>
          <w:tcPr>
            <w:tcW w:w="9062" w:type="dxa"/>
            <w:shd w:val="clear" w:color="auto" w:fill="D9D9D9" w:themeFill="background1" w:themeFillShade="D9"/>
          </w:tcPr>
          <w:p w:rsidR="00EA3E23" w:rsidRPr="00B64E2B" w:rsidRDefault="00EA3E23" w:rsidP="008E5865">
            <w:pPr>
              <w:rPr>
                <w:b/>
                <w:sz w:val="24"/>
              </w:rPr>
            </w:pPr>
            <w:r w:rsidRPr="00B64E2B">
              <w:rPr>
                <w:b/>
                <w:sz w:val="24"/>
              </w:rPr>
              <w:t>3.4 Konkurencieschopnosť a správanie sa podnikov na trhu</w:t>
            </w:r>
          </w:p>
          <w:p w:rsidR="00EA3E23" w:rsidRPr="00B64E2B" w:rsidRDefault="00EA3E23" w:rsidP="008E5865">
            <w:r w:rsidRPr="00B64E2B">
              <w:rPr>
                <w:b/>
                <w:sz w:val="24"/>
              </w:rPr>
              <w:t xml:space="preserve">       </w:t>
            </w:r>
            <w:r w:rsidRPr="00B64E2B">
              <w:rPr>
                <w:sz w:val="24"/>
              </w:rPr>
              <w:t xml:space="preserve">- </w:t>
            </w:r>
            <w:r w:rsidRPr="00B64E2B">
              <w:rPr>
                <w:b/>
                <w:sz w:val="24"/>
              </w:rPr>
              <w:t>z toho MSP</w:t>
            </w:r>
          </w:p>
        </w:tc>
      </w:tr>
      <w:tr w:rsidR="00EA3E23" w:rsidRPr="00B64E2B" w:rsidTr="008E5865">
        <w:tc>
          <w:tcPr>
            <w:tcW w:w="9062" w:type="dxa"/>
            <w:tcBorders>
              <w:bottom w:val="single" w:sz="4" w:space="0" w:color="auto"/>
            </w:tcBorders>
          </w:tcPr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 xml:space="preserve"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B64E2B">
              <w:rPr>
                <w:i/>
              </w:rPr>
              <w:t>mikro</w:t>
            </w:r>
            <w:proofErr w:type="spellEnd"/>
            <w:r w:rsidRPr="00B64E2B">
              <w:rPr>
                <w:i/>
              </w:rPr>
              <w:t>, malé a stredné podniky tzv. MSP)? Ak áno, popíšte.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Ako ovplyvní cenu alebo dostupnosť základných zdrojov (suroviny, mechanizmy, pracovná sila, energie atď.)?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Ovplyvňuje prístup k financiám? Ak áno, ako?</w:t>
            </w:r>
          </w:p>
        </w:tc>
      </w:tr>
      <w:tr w:rsidR="00EA3E23" w:rsidRPr="00B44610" w:rsidTr="008E5865">
        <w:trPr>
          <w:trHeight w:val="1282"/>
        </w:trPr>
        <w:tc>
          <w:tcPr>
            <w:tcW w:w="9062" w:type="dxa"/>
            <w:tcBorders>
              <w:bottom w:val="single" w:sz="4" w:space="0" w:color="auto"/>
            </w:tcBorders>
          </w:tcPr>
          <w:p w:rsidR="00EA3E23" w:rsidRDefault="00EA3E23" w:rsidP="008E5865">
            <w:pPr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o</w:t>
            </w:r>
            <w:r w:rsidRPr="003E14B9">
              <w:rPr>
                <w:lang w:eastAsia="en-US"/>
              </w:rPr>
              <w:t>dstr</w:t>
            </w:r>
            <w:r>
              <w:rPr>
                <w:lang w:eastAsia="en-US"/>
              </w:rPr>
              <w:t xml:space="preserve">ánenie </w:t>
            </w:r>
            <w:r w:rsidRPr="003E14B9">
              <w:rPr>
                <w:lang w:eastAsia="en-US"/>
              </w:rPr>
              <w:t>možnos</w:t>
            </w:r>
            <w:r>
              <w:rPr>
                <w:lang w:eastAsia="en-US"/>
              </w:rPr>
              <w:t xml:space="preserve">ti </w:t>
            </w:r>
            <w:r w:rsidRPr="003E14B9">
              <w:rPr>
                <w:lang w:eastAsia="en-US"/>
              </w:rPr>
              <w:t xml:space="preserve">pre účastníkov systému obchodovania využívať medzinárodné kredity na plnenie svojich povinností v systéme obchodovania, </w:t>
            </w:r>
            <w:proofErr w:type="spellStart"/>
            <w:r w:rsidRPr="003E14B9">
              <w:rPr>
                <w:lang w:eastAsia="en-US"/>
              </w:rPr>
              <w:t>t.j</w:t>
            </w:r>
            <w:proofErr w:type="spellEnd"/>
            <w:r w:rsidRPr="003E14B9">
              <w:rPr>
                <w:lang w:eastAsia="en-US"/>
              </w:rPr>
              <w:t>. na pokrytie svojich emisií skleníkových plynov</w:t>
            </w:r>
            <w:r>
              <w:rPr>
                <w:lang w:eastAsia="en-US"/>
              </w:rPr>
              <w:t xml:space="preserve"> (novelizačný  bod č. 6), ako aj </w:t>
            </w:r>
            <w:r w:rsidRPr="003E14B9">
              <w:rPr>
                <w:lang w:eastAsia="en-US"/>
              </w:rPr>
              <w:t>zriadenie Modernizačného fondu</w:t>
            </w:r>
            <w:r>
              <w:rPr>
                <w:lang w:eastAsia="en-US"/>
              </w:rPr>
              <w:t xml:space="preserve"> (novelizačný bod č. 18) sa v</w:t>
            </w:r>
            <w:r w:rsidRPr="008C47F2">
              <w:t>šetk</w:t>
            </w:r>
            <w:r>
              <w:t xml:space="preserve">ých existujúcich </w:t>
            </w:r>
            <w:r w:rsidRPr="008C47F2">
              <w:t>podnikateľsk</w:t>
            </w:r>
            <w:r>
              <w:t xml:space="preserve">ých </w:t>
            </w:r>
            <w:r w:rsidRPr="008C47F2">
              <w:t>subjekt</w:t>
            </w:r>
            <w:r>
              <w:t>ov</w:t>
            </w:r>
            <w:r w:rsidRPr="008C47F2">
              <w:t>, ako aj každ</w:t>
            </w:r>
            <w:r>
              <w:t xml:space="preserve">ého </w:t>
            </w:r>
            <w:r w:rsidRPr="008C47F2">
              <w:t>nov</w:t>
            </w:r>
            <w:r>
              <w:t xml:space="preserve">ého </w:t>
            </w:r>
            <w:r w:rsidRPr="008C47F2">
              <w:t>účastník</w:t>
            </w:r>
            <w:r>
              <w:t>a</w:t>
            </w:r>
            <w:r w:rsidRPr="008C47F2">
              <w:t xml:space="preserve"> s</w:t>
            </w:r>
            <w:r>
              <w:t xml:space="preserve">ystému </w:t>
            </w:r>
            <w:r w:rsidRPr="008C47F2">
              <w:t xml:space="preserve">obchodovania </w:t>
            </w:r>
            <w:r>
              <w:t>dotkne rovnakým spôsobom</w:t>
            </w:r>
            <w:r w:rsidRPr="008C47F2">
              <w:t>.</w:t>
            </w:r>
          </w:p>
          <w:p w:rsidR="00EA3E23" w:rsidRPr="00B44610" w:rsidRDefault="00EA3E23" w:rsidP="008E5865">
            <w:pPr>
              <w:ind w:right="-2"/>
              <w:jc w:val="both"/>
            </w:pPr>
          </w:p>
        </w:tc>
      </w:tr>
      <w:tr w:rsidR="00EA3E23" w:rsidRPr="00B64E2B" w:rsidTr="008E5865">
        <w:tc>
          <w:tcPr>
            <w:tcW w:w="9062" w:type="dxa"/>
            <w:shd w:val="clear" w:color="auto" w:fill="D9D9D9" w:themeFill="background1" w:themeFillShade="D9"/>
          </w:tcPr>
          <w:p w:rsidR="00EA3E23" w:rsidRPr="00B64E2B" w:rsidRDefault="00EA3E23" w:rsidP="008E5865">
            <w:pPr>
              <w:rPr>
                <w:b/>
                <w:sz w:val="24"/>
              </w:rPr>
            </w:pPr>
            <w:r w:rsidRPr="00B64E2B">
              <w:rPr>
                <w:b/>
                <w:sz w:val="24"/>
              </w:rPr>
              <w:t xml:space="preserve">3.5 Inovácie </w:t>
            </w:r>
          </w:p>
          <w:p w:rsidR="00EA3E23" w:rsidRPr="00B64E2B" w:rsidRDefault="00EA3E23" w:rsidP="008E5865">
            <w:pPr>
              <w:rPr>
                <w:b/>
              </w:rPr>
            </w:pPr>
            <w:r w:rsidRPr="00B64E2B">
              <w:rPr>
                <w:sz w:val="24"/>
              </w:rPr>
              <w:t xml:space="preserve">       - </w:t>
            </w:r>
            <w:r w:rsidRPr="00B64E2B">
              <w:rPr>
                <w:b/>
                <w:sz w:val="24"/>
              </w:rPr>
              <w:t>z toho MSP</w:t>
            </w:r>
          </w:p>
        </w:tc>
      </w:tr>
      <w:tr w:rsidR="00EA3E23" w:rsidRPr="00B64E2B" w:rsidTr="008E5865">
        <w:tc>
          <w:tcPr>
            <w:tcW w:w="9062" w:type="dxa"/>
          </w:tcPr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Uveďte, ako podporuje navrhovaná zmena inovácie.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Zjednodušuje uvedenie alebo rozšírenie nových výrobných metód, technológií a výrobkov na trh?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Uveďte, ako vplýva navrhovaná zmena na jednotlivé práva duševného vlastníctva (napr. patenty, ochranné známky, autorské práva, vlastníctvo know-how).</w:t>
            </w:r>
          </w:p>
          <w:p w:rsidR="00EA3E23" w:rsidRPr="00B64E2B" w:rsidRDefault="00EA3E23" w:rsidP="008E5865">
            <w:pPr>
              <w:rPr>
                <w:i/>
              </w:rPr>
            </w:pPr>
            <w:r w:rsidRPr="00B64E2B">
              <w:rPr>
                <w:i/>
              </w:rPr>
              <w:t>Podporuje vyššiu efektivitu výroby/využívania zdrojov? Ak áno, ako?</w:t>
            </w:r>
          </w:p>
          <w:p w:rsidR="00EA3E23" w:rsidRPr="00B64E2B" w:rsidRDefault="00EA3E23" w:rsidP="008E5865">
            <w:r w:rsidRPr="00B64E2B">
              <w:rPr>
                <w:i/>
              </w:rPr>
              <w:t>Vytvorí zmena nové pracovné miesta pre zamestnancov výskumu a vývoja v SR?</w:t>
            </w:r>
          </w:p>
        </w:tc>
      </w:tr>
      <w:tr w:rsidR="00EA3E23" w:rsidRPr="001265E7" w:rsidTr="008E5865">
        <w:trPr>
          <w:trHeight w:val="1747"/>
        </w:trPr>
        <w:tc>
          <w:tcPr>
            <w:tcW w:w="9062" w:type="dxa"/>
          </w:tcPr>
          <w:p w:rsidR="00EA3E23" w:rsidRPr="001265E7" w:rsidRDefault="00EA3E23" w:rsidP="008E5865">
            <w:r w:rsidRPr="008C47F2">
              <w:t>Návrh nemá priamy vplyv na inovácie.</w:t>
            </w:r>
          </w:p>
        </w:tc>
      </w:tr>
      <w:bookmarkEnd w:id="0"/>
    </w:tbl>
    <w:p w:rsidR="00624952" w:rsidRDefault="00624952"/>
    <w:sectPr w:rsidR="006249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D5" w:rsidRDefault="002260D5" w:rsidP="00AE35BA">
      <w:r>
        <w:separator/>
      </w:r>
    </w:p>
  </w:endnote>
  <w:endnote w:type="continuationSeparator" w:id="0">
    <w:p w:rsidR="002260D5" w:rsidRDefault="002260D5" w:rsidP="00AE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263240"/>
      <w:docPartObj>
        <w:docPartGallery w:val="Page Numbers (Bottom of Page)"/>
        <w:docPartUnique/>
      </w:docPartObj>
    </w:sdtPr>
    <w:sdtContent>
      <w:p w:rsidR="00AE35BA" w:rsidRDefault="00AE35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E35BA" w:rsidRDefault="00AE35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D5" w:rsidRDefault="002260D5" w:rsidP="00AE35BA">
      <w:r>
        <w:separator/>
      </w:r>
    </w:p>
  </w:footnote>
  <w:footnote w:type="continuationSeparator" w:id="0">
    <w:p w:rsidR="002260D5" w:rsidRDefault="002260D5" w:rsidP="00AE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3"/>
    <w:rsid w:val="002260D5"/>
    <w:rsid w:val="00624952"/>
    <w:rsid w:val="00AE35BA"/>
    <w:rsid w:val="00EA3E23"/>
    <w:rsid w:val="00F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08DB5-B21F-4D43-AD25-E672B84E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EA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A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E35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35B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E35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35B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35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35B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Rozborilová Monika</dc:creator>
  <cp:keywords/>
  <dc:description/>
  <cp:lastModifiedBy>Beláňová Sylvia</cp:lastModifiedBy>
  <cp:revision>3</cp:revision>
  <cp:lastPrinted>2019-05-30T08:12:00Z</cp:lastPrinted>
  <dcterms:created xsi:type="dcterms:W3CDTF">2019-05-21T05:05:00Z</dcterms:created>
  <dcterms:modified xsi:type="dcterms:W3CDTF">2019-05-30T08:23:00Z</dcterms:modified>
</cp:coreProperties>
</file>