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F04CCD" w:rsidTr="00586429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8A1252" w:rsidP="00586429">
            <w:pPr>
              <w:jc w:val="center"/>
              <w:rPr>
                <w:b/>
                <w:sz w:val="24"/>
              </w:rPr>
            </w:pPr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586429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9F2DFA" w:rsidP="00586429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:rsidTr="00586429">
        <w:trPr>
          <w:trHeight w:val="567"/>
        </w:trPr>
        <w:tc>
          <w:tcPr>
            <w:tcW w:w="9212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F04CCD" w:rsidTr="00586429">
              <w:tc>
                <w:tcPr>
                  <w:tcW w:w="436" w:type="dxa"/>
                </w:tcPr>
                <w:p w:rsidR="009F2DFA" w:rsidRPr="00F04CCD" w:rsidRDefault="005E193C" w:rsidP="00586429">
                  <w:pPr>
                    <w:jc w:val="center"/>
                  </w:pPr>
                  <w:r>
                    <w:rPr>
                      <w:rFonts w:ascii="MS Gothic" w:eastAsia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</w:tcPr>
                <w:p w:rsidR="009F2DFA" w:rsidRPr="00F04CCD" w:rsidRDefault="009F2DFA" w:rsidP="00586429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586429">
              <w:tc>
                <w:tcPr>
                  <w:tcW w:w="436" w:type="dxa"/>
                </w:tcPr>
                <w:p w:rsidR="009F2DFA" w:rsidRPr="00F04CCD" w:rsidRDefault="009F2DFA" w:rsidP="00586429">
                  <w:pPr>
                    <w:jc w:val="center"/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</w:tcPr>
                <w:p w:rsidR="009F2DFA" w:rsidRPr="00F04CCD" w:rsidRDefault="009F2DFA" w:rsidP="00586429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586429">
              <w:tc>
                <w:tcPr>
                  <w:tcW w:w="436" w:type="dxa"/>
                </w:tcPr>
                <w:p w:rsidR="009F2DFA" w:rsidRPr="00F04CCD" w:rsidRDefault="009F2DFA" w:rsidP="00586429">
                  <w:pPr>
                    <w:jc w:val="center"/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</w:tcPr>
                <w:p w:rsidR="009F2DFA" w:rsidRPr="00F04CCD" w:rsidRDefault="009F2DFA" w:rsidP="00586429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586429">
            <w:pPr>
              <w:rPr>
                <w:b/>
              </w:rPr>
            </w:pPr>
          </w:p>
        </w:tc>
      </w:tr>
      <w:tr w:rsidR="009F2DFA" w:rsidRPr="00F04CCD" w:rsidTr="00586429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5864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586429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586429">
        <w:tc>
          <w:tcPr>
            <w:tcW w:w="9212" w:type="dxa"/>
          </w:tcPr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:rsidTr="00350F23">
        <w:trPr>
          <w:trHeight w:val="1440"/>
        </w:trPr>
        <w:tc>
          <w:tcPr>
            <w:tcW w:w="9212" w:type="dxa"/>
          </w:tcPr>
          <w:p w:rsidR="00971BCB" w:rsidRPr="008751BB" w:rsidRDefault="00971BCB" w:rsidP="00B673DA">
            <w:pPr>
              <w:jc w:val="both"/>
              <w:rPr>
                <w:sz w:val="24"/>
                <w:szCs w:val="24"/>
              </w:rPr>
            </w:pPr>
          </w:p>
          <w:p w:rsidR="00971BCB" w:rsidRDefault="00971BCB" w:rsidP="000570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Cieľom predkladanej </w:t>
            </w:r>
            <w:r w:rsidR="00224AB2">
              <w:rPr>
                <w:sz w:val="24"/>
                <w:szCs w:val="24"/>
              </w:rPr>
              <w:t xml:space="preserve">vládnej </w:t>
            </w:r>
            <w:r>
              <w:rPr>
                <w:sz w:val="24"/>
                <w:szCs w:val="24"/>
              </w:rPr>
              <w:t xml:space="preserve">novely </w:t>
            </w:r>
            <w:r w:rsidR="00224AB2">
              <w:rPr>
                <w:sz w:val="24"/>
                <w:szCs w:val="24"/>
              </w:rPr>
              <w:t xml:space="preserve">zákona </w:t>
            </w:r>
            <w:r>
              <w:rPr>
                <w:sz w:val="24"/>
                <w:szCs w:val="24"/>
              </w:rPr>
              <w:t>o sociálnych službách je zefektívnenie manažmentu údajov v systéme sociálnych služieb. Tento cieľ</w:t>
            </w:r>
            <w:r w:rsidR="00DF772F">
              <w:rPr>
                <w:sz w:val="24"/>
                <w:szCs w:val="24"/>
              </w:rPr>
              <w:t xml:space="preserve"> bude dosiahnutý najmä </w:t>
            </w:r>
            <w:r>
              <w:rPr>
                <w:sz w:val="24"/>
                <w:szCs w:val="24"/>
              </w:rPr>
              <w:t>znížením administratívnej záťaže</w:t>
            </w:r>
            <w:r w:rsidR="004527B8">
              <w:rPr>
                <w:sz w:val="24"/>
                <w:szCs w:val="24"/>
              </w:rPr>
              <w:t>, znížením počtu zbieraných údajov, obmedzením papierovej evidencie, zjednodušením žiadostí o finančný príspevok a prepojením údajov na jednom mieste.</w:t>
            </w:r>
          </w:p>
          <w:p w:rsidR="00971BCB" w:rsidRDefault="00971BCB" w:rsidP="000570D0">
            <w:pPr>
              <w:jc w:val="both"/>
              <w:rPr>
                <w:sz w:val="24"/>
                <w:szCs w:val="24"/>
              </w:rPr>
            </w:pPr>
          </w:p>
          <w:p w:rsidR="00971BCB" w:rsidRDefault="00971BCB" w:rsidP="00971B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Predkladaným </w:t>
            </w:r>
            <w:r w:rsidR="00E51FA7">
              <w:rPr>
                <w:sz w:val="24"/>
                <w:szCs w:val="24"/>
              </w:rPr>
              <w:t xml:space="preserve">vládnym </w:t>
            </w:r>
            <w:r>
              <w:rPr>
                <w:sz w:val="24"/>
                <w:szCs w:val="24"/>
              </w:rPr>
              <w:t>návrhom budú pozitívne ovplyvnené všetky p</w:t>
            </w:r>
            <w:r w:rsidRPr="00A6284C">
              <w:rPr>
                <w:sz w:val="24"/>
                <w:szCs w:val="24"/>
              </w:rPr>
              <w:t>rávnické osoby alebo fyzické osoby</w:t>
            </w:r>
            <w:r>
              <w:rPr>
                <w:sz w:val="24"/>
                <w:szCs w:val="24"/>
              </w:rPr>
              <w:t xml:space="preserve"> poskytujúce </w:t>
            </w:r>
            <w:r w:rsidRPr="0080696E">
              <w:rPr>
                <w:sz w:val="24"/>
                <w:szCs w:val="24"/>
              </w:rPr>
              <w:t>sociálne služb</w:t>
            </w:r>
            <w:r w:rsidR="006C52FF">
              <w:rPr>
                <w:sz w:val="24"/>
                <w:szCs w:val="24"/>
              </w:rPr>
              <w:t>y</w:t>
            </w:r>
            <w:r w:rsidR="004527B8">
              <w:rPr>
                <w:sz w:val="24"/>
                <w:szCs w:val="24"/>
              </w:rPr>
              <w:t>.</w:t>
            </w:r>
          </w:p>
          <w:p w:rsidR="00971BCB" w:rsidRDefault="00971BCB" w:rsidP="00971BCB">
            <w:pPr>
              <w:jc w:val="both"/>
              <w:rPr>
                <w:sz w:val="24"/>
                <w:szCs w:val="24"/>
              </w:rPr>
            </w:pPr>
          </w:p>
          <w:p w:rsidR="00971BCB" w:rsidRDefault="007748B8" w:rsidP="00971B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 koncu roka </w:t>
            </w:r>
            <w:r w:rsidR="00971BCB">
              <w:rPr>
                <w:sz w:val="24"/>
                <w:szCs w:val="24"/>
              </w:rPr>
              <w:t xml:space="preserve">2018 bolo registrovaných </w:t>
            </w:r>
            <w:r w:rsidR="004527B8" w:rsidRPr="00183BD3">
              <w:rPr>
                <w:sz w:val="24"/>
                <w:szCs w:val="24"/>
              </w:rPr>
              <w:t>2 </w:t>
            </w:r>
            <w:r w:rsidR="00183BD3" w:rsidRPr="00183BD3">
              <w:rPr>
                <w:sz w:val="24"/>
                <w:szCs w:val="24"/>
              </w:rPr>
              <w:t>262</w:t>
            </w:r>
            <w:r w:rsidR="004527B8" w:rsidRPr="00183BD3">
              <w:rPr>
                <w:sz w:val="24"/>
                <w:szCs w:val="24"/>
              </w:rPr>
              <w:t xml:space="preserve"> subjektov, ktoré spolu poskytovali 5</w:t>
            </w:r>
            <w:r w:rsidR="004A44A3" w:rsidRPr="00183BD3">
              <w:rPr>
                <w:sz w:val="24"/>
                <w:szCs w:val="24"/>
              </w:rPr>
              <w:t xml:space="preserve"> </w:t>
            </w:r>
            <w:r w:rsidR="00183BD3" w:rsidRPr="00183BD3">
              <w:rPr>
                <w:sz w:val="24"/>
                <w:szCs w:val="24"/>
              </w:rPr>
              <w:t>404</w:t>
            </w:r>
            <w:r w:rsidR="004527B8">
              <w:rPr>
                <w:sz w:val="24"/>
                <w:szCs w:val="24"/>
              </w:rPr>
              <w:t xml:space="preserve"> </w:t>
            </w:r>
            <w:r w:rsidR="004A44A3">
              <w:rPr>
                <w:sz w:val="24"/>
                <w:szCs w:val="24"/>
              </w:rPr>
              <w:t xml:space="preserve">sociálnych služieb. </w:t>
            </w:r>
            <w:r w:rsidR="006C52FF" w:rsidRPr="00C20BCB">
              <w:rPr>
                <w:sz w:val="24"/>
                <w:szCs w:val="24"/>
              </w:rPr>
              <w:t xml:space="preserve">Väčšina </w:t>
            </w:r>
            <w:r w:rsidR="006C52FF">
              <w:rPr>
                <w:sz w:val="24"/>
                <w:szCs w:val="24"/>
              </w:rPr>
              <w:t>subjektov</w:t>
            </w:r>
            <w:r w:rsidR="00C20BCB">
              <w:rPr>
                <w:sz w:val="24"/>
                <w:szCs w:val="24"/>
              </w:rPr>
              <w:t xml:space="preserve"> nedosahuje zisk (viac ako 96 %).</w:t>
            </w:r>
            <w:r w:rsidR="006C52FF">
              <w:rPr>
                <w:sz w:val="24"/>
                <w:szCs w:val="24"/>
              </w:rPr>
              <w:t xml:space="preserve"> </w:t>
            </w:r>
            <w:r w:rsidR="00C20BCB">
              <w:rPr>
                <w:sz w:val="24"/>
                <w:szCs w:val="24"/>
              </w:rPr>
              <w:t>Tie majú</w:t>
            </w:r>
            <w:r w:rsidR="006C52FF">
              <w:rPr>
                <w:sz w:val="24"/>
                <w:szCs w:val="24"/>
              </w:rPr>
              <w:t xml:space="preserve"> charakter neziskovej organizácie, občianskeho združenia, </w:t>
            </w:r>
            <w:r w:rsidR="008E76A7">
              <w:rPr>
                <w:sz w:val="24"/>
                <w:szCs w:val="24"/>
              </w:rPr>
              <w:t xml:space="preserve">obce a </w:t>
            </w:r>
            <w:r w:rsidR="006C52FF">
              <w:rPr>
                <w:sz w:val="24"/>
                <w:szCs w:val="24"/>
              </w:rPr>
              <w:t xml:space="preserve">právnickej osoby zriadenej </w:t>
            </w:r>
            <w:r w:rsidR="008E76A7">
              <w:rPr>
                <w:sz w:val="24"/>
                <w:szCs w:val="24"/>
              </w:rPr>
              <w:t xml:space="preserve">alebo založenej </w:t>
            </w:r>
            <w:r w:rsidR="006C52FF">
              <w:rPr>
                <w:sz w:val="24"/>
                <w:szCs w:val="24"/>
              </w:rPr>
              <w:t>obcou alebo vyšším územným celkom.</w:t>
            </w:r>
            <w:r w:rsidR="00C20BCB">
              <w:rPr>
                <w:sz w:val="24"/>
                <w:szCs w:val="24"/>
              </w:rPr>
              <w:t xml:space="preserve"> </w:t>
            </w:r>
          </w:p>
          <w:p w:rsidR="007748B8" w:rsidRDefault="007748B8" w:rsidP="00971BCB">
            <w:pPr>
              <w:jc w:val="both"/>
              <w:rPr>
                <w:sz w:val="24"/>
                <w:szCs w:val="24"/>
              </w:rPr>
            </w:pPr>
          </w:p>
          <w:p w:rsidR="00835F15" w:rsidRDefault="00971BCB" w:rsidP="00971B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4A44A3">
              <w:rPr>
                <w:sz w:val="24"/>
                <w:szCs w:val="24"/>
              </w:rPr>
              <w:t xml:space="preserve"> administratívne </w:t>
            </w:r>
            <w:r>
              <w:rPr>
                <w:sz w:val="24"/>
                <w:szCs w:val="24"/>
              </w:rPr>
              <w:t xml:space="preserve">najviac zaťaženým patrili </w:t>
            </w:r>
            <w:r w:rsidR="007748B8">
              <w:rPr>
                <w:sz w:val="24"/>
                <w:szCs w:val="24"/>
              </w:rPr>
              <w:t>tie subjekty, ktoré</w:t>
            </w:r>
            <w:r w:rsidR="004A44A3">
              <w:rPr>
                <w:sz w:val="24"/>
                <w:szCs w:val="24"/>
              </w:rPr>
              <w:t xml:space="preserve"> poskytovali viac druhov sociálnych služieb. </w:t>
            </w:r>
            <w:r w:rsidR="007748B8">
              <w:rPr>
                <w:sz w:val="24"/>
                <w:szCs w:val="24"/>
              </w:rPr>
              <w:t xml:space="preserve">Okrem </w:t>
            </w:r>
            <w:r w:rsidR="00183BD3">
              <w:rPr>
                <w:sz w:val="24"/>
                <w:szCs w:val="24"/>
              </w:rPr>
              <w:t xml:space="preserve">údajov zbieraných v rámci štatistických zisťovaní musia poskytovatelia sociálnych služieb </w:t>
            </w:r>
            <w:r w:rsidR="00835F15">
              <w:rPr>
                <w:sz w:val="24"/>
                <w:szCs w:val="24"/>
              </w:rPr>
              <w:t xml:space="preserve">zasielať </w:t>
            </w:r>
            <w:r w:rsidR="00995579">
              <w:rPr>
                <w:sz w:val="24"/>
                <w:szCs w:val="24"/>
              </w:rPr>
              <w:t xml:space="preserve">prílohy </w:t>
            </w:r>
            <w:r w:rsidR="00835F15">
              <w:rPr>
                <w:sz w:val="24"/>
                <w:szCs w:val="24"/>
              </w:rPr>
              <w:t>k žiadostiam o finančný príspevok</w:t>
            </w:r>
            <w:r w:rsidR="00995579">
              <w:rPr>
                <w:sz w:val="24"/>
                <w:szCs w:val="24"/>
              </w:rPr>
              <w:t>, ktoré tvorí</w:t>
            </w:r>
            <w:r w:rsidR="00835F15">
              <w:rPr>
                <w:sz w:val="24"/>
                <w:szCs w:val="24"/>
              </w:rPr>
              <w:t xml:space="preserve"> </w:t>
            </w:r>
            <w:r w:rsidR="00835F15" w:rsidRPr="00835F15">
              <w:rPr>
                <w:sz w:val="24"/>
                <w:szCs w:val="24"/>
              </w:rPr>
              <w:t>zoznam prijímateľov a</w:t>
            </w:r>
            <w:r w:rsidR="00995579">
              <w:rPr>
                <w:sz w:val="24"/>
                <w:szCs w:val="24"/>
              </w:rPr>
              <w:t xml:space="preserve"> zoznam </w:t>
            </w:r>
            <w:r w:rsidR="00835F15" w:rsidRPr="00835F15">
              <w:rPr>
                <w:sz w:val="24"/>
                <w:szCs w:val="24"/>
              </w:rPr>
              <w:t>zamestnancov</w:t>
            </w:r>
            <w:r w:rsidR="00F11960">
              <w:rPr>
                <w:sz w:val="24"/>
                <w:szCs w:val="24"/>
              </w:rPr>
              <w:t xml:space="preserve"> poskytovateľa</w:t>
            </w:r>
            <w:r w:rsidR="00835F15" w:rsidRPr="00835F15">
              <w:rPr>
                <w:sz w:val="24"/>
                <w:szCs w:val="24"/>
              </w:rPr>
              <w:t>, výpis z</w:t>
            </w:r>
            <w:r w:rsidR="00835F15">
              <w:rPr>
                <w:sz w:val="24"/>
                <w:szCs w:val="24"/>
              </w:rPr>
              <w:t> Centrálneho registra poskytovateľov sociálnych služieb a</w:t>
            </w:r>
            <w:r w:rsidR="00835F15" w:rsidRPr="00835F15">
              <w:rPr>
                <w:sz w:val="24"/>
                <w:szCs w:val="24"/>
              </w:rPr>
              <w:t xml:space="preserve"> doklad o neexistencii dlhov</w:t>
            </w:r>
            <w:r w:rsidR="00835F15">
              <w:rPr>
                <w:sz w:val="24"/>
                <w:szCs w:val="24"/>
              </w:rPr>
              <w:t xml:space="preserve">. </w:t>
            </w:r>
            <w:r w:rsidR="00835F15" w:rsidRPr="00835F15">
              <w:rPr>
                <w:sz w:val="24"/>
                <w:szCs w:val="24"/>
              </w:rPr>
              <w:t xml:space="preserve"> </w:t>
            </w:r>
          </w:p>
          <w:p w:rsidR="005E2FEF" w:rsidRDefault="005E2FEF" w:rsidP="00971BCB">
            <w:pPr>
              <w:jc w:val="both"/>
              <w:rPr>
                <w:sz w:val="24"/>
                <w:szCs w:val="24"/>
              </w:rPr>
            </w:pPr>
          </w:p>
          <w:p w:rsidR="00223AD4" w:rsidRDefault="004A44A3" w:rsidP="00971B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Spomedzi rôznych druhov sociálnych služieb musia v súčasnosti najvyšší počet údajov oznamovať </w:t>
            </w:r>
            <w:r w:rsidR="008E76A7">
              <w:rPr>
                <w:sz w:val="24"/>
                <w:szCs w:val="24"/>
              </w:rPr>
              <w:t>subjekty poskytujúce služby podmienené odkázanosťou fyzickej osoby na pomoc inej fyzickej osoby. Domovy sociálnych služieb vypĺňajú na</w:t>
            </w:r>
            <w:r w:rsidR="00027EE2">
              <w:rPr>
                <w:sz w:val="24"/>
                <w:szCs w:val="24"/>
              </w:rPr>
              <w:t xml:space="preserve"> štatistické účely, vedenie Centrálneho registra poskytovateľov sociálnych služieb, podanie ž</w:t>
            </w:r>
            <w:r w:rsidR="00027EE2" w:rsidRPr="00027EE2">
              <w:rPr>
                <w:sz w:val="24"/>
                <w:szCs w:val="24"/>
              </w:rPr>
              <w:t>iadosti o</w:t>
            </w:r>
            <w:r w:rsidR="00027EE2">
              <w:rPr>
                <w:sz w:val="24"/>
                <w:szCs w:val="24"/>
              </w:rPr>
              <w:t> finančný príspevok a vyúčtovanie</w:t>
            </w:r>
            <w:r w:rsidR="00027EE2" w:rsidRPr="00027EE2">
              <w:rPr>
                <w:sz w:val="24"/>
                <w:szCs w:val="24"/>
              </w:rPr>
              <w:t xml:space="preserve"> </w:t>
            </w:r>
            <w:r w:rsidR="00027EE2">
              <w:rPr>
                <w:sz w:val="24"/>
                <w:szCs w:val="24"/>
              </w:rPr>
              <w:t>finančného príspevku až 452 údajov</w:t>
            </w:r>
            <w:r w:rsidR="00DF772F">
              <w:rPr>
                <w:sz w:val="24"/>
                <w:szCs w:val="24"/>
              </w:rPr>
              <w:t xml:space="preserve"> – najviac zo všetkých druhov služieb</w:t>
            </w:r>
            <w:r w:rsidR="00027EE2">
              <w:rPr>
                <w:sz w:val="24"/>
                <w:szCs w:val="24"/>
              </w:rPr>
              <w:t xml:space="preserve">. </w:t>
            </w:r>
          </w:p>
          <w:p w:rsidR="00834F32" w:rsidRPr="00A6284C" w:rsidRDefault="00834F32" w:rsidP="007A119E">
            <w:pPr>
              <w:jc w:val="both"/>
              <w:rPr>
                <w:sz w:val="24"/>
                <w:szCs w:val="24"/>
              </w:rPr>
            </w:pPr>
          </w:p>
        </w:tc>
      </w:tr>
      <w:tr w:rsidR="009F2DFA" w:rsidRPr="00F04CCD" w:rsidTr="00586429">
        <w:trPr>
          <w:trHeight w:val="339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5864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:rsidR="009F2DFA" w:rsidRPr="00F04CCD" w:rsidRDefault="009F2DFA" w:rsidP="00586429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586429">
        <w:trPr>
          <w:trHeight w:val="557"/>
        </w:trPr>
        <w:tc>
          <w:tcPr>
            <w:tcW w:w="9212" w:type="dxa"/>
          </w:tcPr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:rsidR="009F2DFA" w:rsidRPr="000D2622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:rsidTr="00586429">
        <w:trPr>
          <w:trHeight w:val="1440"/>
        </w:trPr>
        <w:tc>
          <w:tcPr>
            <w:tcW w:w="9212" w:type="dxa"/>
          </w:tcPr>
          <w:p w:rsidR="007A119E" w:rsidRDefault="007A119E" w:rsidP="001B09C0">
            <w:pPr>
              <w:jc w:val="both"/>
              <w:rPr>
                <w:sz w:val="24"/>
                <w:szCs w:val="24"/>
              </w:rPr>
            </w:pPr>
          </w:p>
          <w:p w:rsidR="001B329C" w:rsidRDefault="007A119E" w:rsidP="001B3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Verejnosť bola s predkladanou novelou</w:t>
            </w:r>
            <w:r w:rsidR="001B329C">
              <w:rPr>
                <w:sz w:val="24"/>
                <w:szCs w:val="24"/>
              </w:rPr>
              <w:t xml:space="preserve"> oboznámená v rámci konzultácií zverejnením predbežnej informácie od </w:t>
            </w:r>
            <w:r w:rsidR="001B329C" w:rsidRPr="001B329C">
              <w:rPr>
                <w:sz w:val="24"/>
                <w:szCs w:val="24"/>
              </w:rPr>
              <w:t xml:space="preserve">21.02.2019 </w:t>
            </w:r>
            <w:r w:rsidR="001B329C">
              <w:rPr>
                <w:sz w:val="24"/>
                <w:szCs w:val="24"/>
              </w:rPr>
              <w:t xml:space="preserve">do </w:t>
            </w:r>
            <w:r w:rsidR="001B329C" w:rsidRPr="001B329C">
              <w:rPr>
                <w:sz w:val="24"/>
                <w:szCs w:val="24"/>
              </w:rPr>
              <w:t>06.03.2019</w:t>
            </w:r>
            <w:r w:rsidR="001B329C">
              <w:rPr>
                <w:sz w:val="24"/>
                <w:szCs w:val="24"/>
              </w:rPr>
              <w:t>.</w:t>
            </w:r>
          </w:p>
          <w:p w:rsidR="001B329C" w:rsidRDefault="001B329C" w:rsidP="001B09C0">
            <w:pPr>
              <w:jc w:val="both"/>
              <w:rPr>
                <w:sz w:val="24"/>
                <w:szCs w:val="24"/>
              </w:rPr>
            </w:pPr>
          </w:p>
          <w:p w:rsidR="007A119E" w:rsidRDefault="001B329C" w:rsidP="001B0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Zároveň sa uskutočnili stretnutia</w:t>
            </w:r>
            <w:r w:rsidR="007A119E">
              <w:rPr>
                <w:sz w:val="24"/>
                <w:szCs w:val="24"/>
              </w:rPr>
              <w:t xml:space="preserve"> 6. marca 2019 so zástupcami neverejných poskytovateľov a 7. marca so zástupcami verejných poskytovateľov zriadených alebo založených obcou alebo vyšším územným celkom. </w:t>
            </w:r>
          </w:p>
          <w:p w:rsidR="007A119E" w:rsidRDefault="007A119E" w:rsidP="001B09C0">
            <w:pPr>
              <w:jc w:val="both"/>
              <w:rPr>
                <w:sz w:val="24"/>
                <w:szCs w:val="24"/>
              </w:rPr>
            </w:pPr>
          </w:p>
          <w:p w:rsidR="001B329C" w:rsidRPr="00294AD0" w:rsidRDefault="002C1743" w:rsidP="001B329C">
            <w:pPr>
              <w:jc w:val="both"/>
              <w:rPr>
                <w:sz w:val="24"/>
                <w:szCs w:val="24"/>
              </w:rPr>
            </w:pPr>
            <w:r w:rsidRPr="00294AD0">
              <w:rPr>
                <w:sz w:val="24"/>
                <w:szCs w:val="24"/>
              </w:rPr>
              <w:t xml:space="preserve">Predstavitelia dotknutých subjektov ocenili pozitívny prínos </w:t>
            </w:r>
            <w:r w:rsidR="006040E4" w:rsidRPr="00294AD0">
              <w:rPr>
                <w:sz w:val="24"/>
                <w:szCs w:val="24"/>
              </w:rPr>
              <w:t>predkladaného návrhu</w:t>
            </w:r>
            <w:r w:rsidRPr="00294AD0">
              <w:rPr>
                <w:sz w:val="24"/>
                <w:szCs w:val="24"/>
              </w:rPr>
              <w:t xml:space="preserve"> a vyjadrili </w:t>
            </w:r>
            <w:r w:rsidR="006040E4" w:rsidRPr="00294AD0">
              <w:rPr>
                <w:sz w:val="24"/>
                <w:szCs w:val="24"/>
              </w:rPr>
              <w:t xml:space="preserve">mu </w:t>
            </w:r>
            <w:r w:rsidRPr="00294AD0">
              <w:rPr>
                <w:sz w:val="24"/>
                <w:szCs w:val="24"/>
              </w:rPr>
              <w:t xml:space="preserve">podporu. </w:t>
            </w:r>
            <w:r w:rsidR="001B329C" w:rsidRPr="00294AD0">
              <w:rPr>
                <w:sz w:val="24"/>
                <w:szCs w:val="24"/>
              </w:rPr>
              <w:t>Vznesené pripomienky sa v zásade týkali funkcionalít informačného systému, ktorý je predmetom predkladaného návrhu.</w:t>
            </w:r>
          </w:p>
          <w:p w:rsidR="00A80082" w:rsidRPr="00350F23" w:rsidRDefault="00A80082" w:rsidP="00A80082">
            <w:pPr>
              <w:jc w:val="both"/>
              <w:rPr>
                <w:sz w:val="24"/>
                <w:szCs w:val="24"/>
              </w:rPr>
            </w:pPr>
          </w:p>
        </w:tc>
      </w:tr>
      <w:tr w:rsidR="009F2DFA" w:rsidRPr="00F04CCD" w:rsidTr="00586429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5864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:rsidR="009F2DFA" w:rsidRPr="00F04CCD" w:rsidRDefault="009F2DFA" w:rsidP="00586429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586429">
        <w:tc>
          <w:tcPr>
            <w:tcW w:w="9212" w:type="dxa"/>
          </w:tcPr>
          <w:p w:rsidR="009F2DFA" w:rsidRPr="00F04CCD" w:rsidRDefault="002B1108" w:rsidP="00586429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:rsidTr="00586429">
        <w:tc>
          <w:tcPr>
            <w:tcW w:w="9212" w:type="dxa"/>
          </w:tcPr>
          <w:p w:rsidR="00301615" w:rsidRPr="00724442" w:rsidRDefault="00301615" w:rsidP="00F805CA">
            <w:pPr>
              <w:jc w:val="both"/>
              <w:rPr>
                <w:sz w:val="24"/>
                <w:szCs w:val="24"/>
              </w:rPr>
            </w:pPr>
          </w:p>
          <w:p w:rsidR="00B06AA4" w:rsidRDefault="00E51FA7" w:rsidP="00B06A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Vládny n</w:t>
            </w:r>
            <w:r w:rsidR="00F805CA" w:rsidRPr="00B06AA4">
              <w:rPr>
                <w:sz w:val="24"/>
                <w:szCs w:val="24"/>
              </w:rPr>
              <w:t xml:space="preserve">ávrh neprináša žiadne nové priame finančné náklady oproti súčasnému právnemu stavu; </w:t>
            </w:r>
            <w:r>
              <w:rPr>
                <w:sz w:val="24"/>
                <w:szCs w:val="24"/>
              </w:rPr>
              <w:t xml:space="preserve">vládny </w:t>
            </w:r>
            <w:r w:rsidR="00F805CA" w:rsidRPr="00B06AA4">
              <w:rPr>
                <w:sz w:val="24"/>
                <w:szCs w:val="24"/>
              </w:rPr>
              <w:t>návrh teda nemá vplyv v tejto časti.</w:t>
            </w:r>
            <w:r w:rsidR="00B06AA4" w:rsidRPr="00B06AA4">
              <w:rPr>
                <w:sz w:val="24"/>
                <w:szCs w:val="24"/>
              </w:rPr>
              <w:t xml:space="preserve"> </w:t>
            </w:r>
          </w:p>
          <w:p w:rsidR="00B06AA4" w:rsidRDefault="00B06AA4" w:rsidP="00B06AA4">
            <w:pPr>
              <w:jc w:val="both"/>
              <w:rPr>
                <w:sz w:val="24"/>
                <w:szCs w:val="24"/>
              </w:rPr>
            </w:pPr>
          </w:p>
          <w:p w:rsidR="009A293F" w:rsidRDefault="00995579" w:rsidP="00B06A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Prístup do </w:t>
            </w:r>
            <w:r w:rsidR="00B06AA4" w:rsidRPr="00B06AA4">
              <w:rPr>
                <w:sz w:val="24"/>
                <w:szCs w:val="24"/>
              </w:rPr>
              <w:t>informačného systému</w:t>
            </w:r>
            <w:r w:rsidRPr="00B06AA4">
              <w:rPr>
                <w:sz w:val="24"/>
                <w:szCs w:val="24"/>
              </w:rPr>
              <w:t xml:space="preserve"> Ministerstvo</w:t>
            </w:r>
            <w:r w:rsidR="00600718">
              <w:rPr>
                <w:sz w:val="24"/>
                <w:szCs w:val="24"/>
              </w:rPr>
              <w:t xml:space="preserve"> práce sociálnych vecí a rodiny SR</w:t>
            </w:r>
            <w:r w:rsidRPr="00B06A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umožní </w:t>
            </w:r>
            <w:r w:rsidRPr="00B06AA4">
              <w:rPr>
                <w:sz w:val="24"/>
                <w:szCs w:val="24"/>
              </w:rPr>
              <w:t>bezodplatne</w:t>
            </w:r>
            <w:r>
              <w:rPr>
                <w:sz w:val="24"/>
                <w:szCs w:val="24"/>
              </w:rPr>
              <w:t>.</w:t>
            </w:r>
            <w:r w:rsidR="00223AD4">
              <w:rPr>
                <w:sz w:val="24"/>
                <w:szCs w:val="24"/>
              </w:rPr>
              <w:t xml:space="preserve"> </w:t>
            </w:r>
          </w:p>
          <w:p w:rsidR="00F805CA" w:rsidRPr="00B06AA4" w:rsidRDefault="00F805CA" w:rsidP="00B06AA4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724442">
              <w:rPr>
                <w:sz w:val="24"/>
                <w:szCs w:val="24"/>
              </w:rPr>
              <w:t xml:space="preserve"> </w:t>
            </w:r>
          </w:p>
        </w:tc>
      </w:tr>
      <w:tr w:rsidR="009F2DFA" w:rsidRPr="00F04CCD" w:rsidTr="00586429">
        <w:tc>
          <w:tcPr>
            <w:tcW w:w="9212" w:type="dxa"/>
          </w:tcPr>
          <w:p w:rsidR="009F2DFA" w:rsidRPr="00724442" w:rsidRDefault="002B1108" w:rsidP="00586429">
            <w:pPr>
              <w:rPr>
                <w:sz w:val="24"/>
                <w:szCs w:val="24"/>
              </w:rPr>
            </w:pPr>
            <w:r w:rsidRPr="00724442">
              <w:rPr>
                <w:sz w:val="24"/>
                <w:szCs w:val="24"/>
              </w:rPr>
              <w:t>3</w:t>
            </w:r>
            <w:r w:rsidR="009F2DFA" w:rsidRPr="00724442">
              <w:rPr>
                <w:sz w:val="24"/>
                <w:szCs w:val="24"/>
              </w:rPr>
              <w:t>.3.2 Nepriame finančné náklady</w:t>
            </w:r>
          </w:p>
          <w:p w:rsidR="009F2DFA" w:rsidRPr="00724442" w:rsidRDefault="009F2DFA" w:rsidP="00B31A8E">
            <w:pPr>
              <w:rPr>
                <w:sz w:val="24"/>
                <w:szCs w:val="24"/>
              </w:rPr>
            </w:pPr>
            <w:r w:rsidRPr="00724442">
              <w:rPr>
                <w:sz w:val="24"/>
                <w:szCs w:val="24"/>
              </w:rPr>
              <w:t xml:space="preserve">Vyžaduje si predkladaný návrh dodatočné náklady na nákup tovarov alebo služieb? </w:t>
            </w:r>
            <w:r w:rsidR="00B31A8E" w:rsidRPr="00724442">
              <w:rPr>
                <w:sz w:val="24"/>
                <w:szCs w:val="24"/>
              </w:rPr>
              <w:t xml:space="preserve">Zvyšuje predkladaný návrh náklady súvisiace so zamestnávaním? </w:t>
            </w:r>
            <w:r w:rsidRPr="00724442">
              <w:rPr>
                <w:sz w:val="24"/>
                <w:szCs w:val="24"/>
              </w:rPr>
              <w:t>Ak áno, popíšte a vyčíslite ich. Uveďte tiež spôsob ich výpočtu.</w:t>
            </w:r>
          </w:p>
        </w:tc>
      </w:tr>
      <w:tr w:rsidR="009F2DFA" w:rsidRPr="00F04CCD" w:rsidTr="00586429">
        <w:tc>
          <w:tcPr>
            <w:tcW w:w="9212" w:type="dxa"/>
          </w:tcPr>
          <w:p w:rsidR="00C54CAF" w:rsidRDefault="00C54CAF" w:rsidP="00301615">
            <w:pPr>
              <w:jc w:val="both"/>
              <w:rPr>
                <w:sz w:val="24"/>
                <w:szCs w:val="24"/>
              </w:rPr>
            </w:pPr>
          </w:p>
          <w:p w:rsidR="00E07B70" w:rsidRDefault="00E51FA7" w:rsidP="003016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Vládnou n</w:t>
            </w:r>
            <w:r w:rsidR="00301615">
              <w:rPr>
                <w:sz w:val="24"/>
                <w:szCs w:val="24"/>
              </w:rPr>
              <w:t xml:space="preserve">ovelou zákona sa nepredpokladajú dodatočné náklady </w:t>
            </w:r>
            <w:r w:rsidR="00B06AA4">
              <w:rPr>
                <w:sz w:val="24"/>
                <w:szCs w:val="24"/>
              </w:rPr>
              <w:t xml:space="preserve">na </w:t>
            </w:r>
            <w:r w:rsidR="00301615">
              <w:rPr>
                <w:sz w:val="24"/>
                <w:szCs w:val="24"/>
              </w:rPr>
              <w:t>nákup</w:t>
            </w:r>
            <w:r w:rsidR="00B06AA4">
              <w:rPr>
                <w:sz w:val="24"/>
                <w:szCs w:val="24"/>
              </w:rPr>
              <w:t xml:space="preserve"> tovarov </w:t>
            </w:r>
            <w:r w:rsidR="00301615">
              <w:rPr>
                <w:sz w:val="24"/>
                <w:szCs w:val="24"/>
              </w:rPr>
              <w:t>alebo služieb.</w:t>
            </w:r>
          </w:p>
          <w:p w:rsidR="009F2DFA" w:rsidRPr="00F04CCD" w:rsidRDefault="009F2DFA" w:rsidP="00301615">
            <w:pPr>
              <w:jc w:val="both"/>
              <w:rPr>
                <w:b/>
                <w:i/>
              </w:rPr>
            </w:pPr>
          </w:p>
        </w:tc>
      </w:tr>
      <w:tr w:rsidR="009F2DFA" w:rsidRPr="00F04CCD" w:rsidTr="00586429">
        <w:tc>
          <w:tcPr>
            <w:tcW w:w="9212" w:type="dxa"/>
          </w:tcPr>
          <w:p w:rsidR="009F2DFA" w:rsidRPr="00F04CCD" w:rsidRDefault="002B1108" w:rsidP="00586429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:rsidTr="00586429">
        <w:tc>
          <w:tcPr>
            <w:tcW w:w="9212" w:type="dxa"/>
          </w:tcPr>
          <w:p w:rsidR="009F2DFA" w:rsidRPr="006823EC" w:rsidRDefault="009F2DFA" w:rsidP="00586429">
            <w:pPr>
              <w:rPr>
                <w:b/>
                <w:i/>
                <w:sz w:val="24"/>
                <w:szCs w:val="24"/>
              </w:rPr>
            </w:pPr>
          </w:p>
          <w:p w:rsidR="00012196" w:rsidRDefault="001B1CD8" w:rsidP="00301615">
            <w:pPr>
              <w:jc w:val="both"/>
              <w:rPr>
                <w:sz w:val="24"/>
                <w:szCs w:val="24"/>
              </w:rPr>
            </w:pPr>
            <w:r w:rsidRPr="008E76A7">
              <w:rPr>
                <w:sz w:val="24"/>
                <w:szCs w:val="24"/>
              </w:rPr>
              <w:t xml:space="preserve">V závislosti od počtu poskytovaných druhov sociálnych služieb </w:t>
            </w:r>
            <w:r w:rsidR="00995579" w:rsidRPr="008E76A7">
              <w:rPr>
                <w:sz w:val="24"/>
                <w:szCs w:val="24"/>
              </w:rPr>
              <w:t xml:space="preserve">a </w:t>
            </w:r>
            <w:r w:rsidR="001A303E" w:rsidRPr="008E76A7">
              <w:rPr>
                <w:sz w:val="24"/>
                <w:szCs w:val="24"/>
              </w:rPr>
              <w:t xml:space="preserve">typu poskytovateľa </w:t>
            </w:r>
            <w:r w:rsidRPr="008E76A7">
              <w:rPr>
                <w:sz w:val="24"/>
                <w:szCs w:val="24"/>
              </w:rPr>
              <w:t xml:space="preserve">dnes jeden subjekt strávi </w:t>
            </w:r>
            <w:r w:rsidR="004F4DAE" w:rsidRPr="008E76A7">
              <w:rPr>
                <w:sz w:val="24"/>
                <w:szCs w:val="24"/>
              </w:rPr>
              <w:t xml:space="preserve">vypĺňaním </w:t>
            </w:r>
            <w:r w:rsidR="006C52FF" w:rsidRPr="008E76A7">
              <w:rPr>
                <w:sz w:val="24"/>
                <w:szCs w:val="24"/>
              </w:rPr>
              <w:t xml:space="preserve">jedného štatistického výkazu </w:t>
            </w:r>
            <w:r w:rsidR="009D467D">
              <w:rPr>
                <w:sz w:val="24"/>
                <w:szCs w:val="24"/>
              </w:rPr>
              <w:t xml:space="preserve">2 </w:t>
            </w:r>
            <w:r w:rsidR="006C52FF" w:rsidRPr="008E76A7">
              <w:rPr>
                <w:sz w:val="24"/>
                <w:szCs w:val="24"/>
              </w:rPr>
              <w:t xml:space="preserve">až 7,6 hodín. </w:t>
            </w:r>
            <w:r w:rsidR="00907285" w:rsidRPr="008E76A7">
              <w:rPr>
                <w:sz w:val="24"/>
                <w:szCs w:val="24"/>
              </w:rPr>
              <w:t xml:space="preserve">Predkladaný </w:t>
            </w:r>
            <w:r w:rsidR="001C2EC4">
              <w:rPr>
                <w:sz w:val="24"/>
                <w:szCs w:val="24"/>
              </w:rPr>
              <w:t xml:space="preserve">vládny </w:t>
            </w:r>
            <w:r w:rsidR="00907285" w:rsidRPr="008E76A7">
              <w:rPr>
                <w:sz w:val="24"/>
                <w:szCs w:val="24"/>
              </w:rPr>
              <w:t xml:space="preserve">návrh </w:t>
            </w:r>
            <w:r w:rsidR="00907285" w:rsidRPr="00D00111">
              <w:rPr>
                <w:sz w:val="24"/>
                <w:szCs w:val="24"/>
              </w:rPr>
              <w:t>o</w:t>
            </w:r>
            <w:r w:rsidRPr="00D00111">
              <w:rPr>
                <w:sz w:val="24"/>
                <w:szCs w:val="24"/>
              </w:rPr>
              <w:t>bmedzí povinnosť viesť papierovú</w:t>
            </w:r>
            <w:r w:rsidR="00907285" w:rsidRPr="00D00111">
              <w:rPr>
                <w:sz w:val="24"/>
                <w:szCs w:val="24"/>
              </w:rPr>
              <w:t xml:space="preserve"> evidenciu a odstráni duplicitne vyžadované údaje. </w:t>
            </w:r>
            <w:r w:rsidR="001C2EC4">
              <w:rPr>
                <w:sz w:val="24"/>
                <w:szCs w:val="24"/>
              </w:rPr>
              <w:t>Vládny n</w:t>
            </w:r>
            <w:bookmarkStart w:id="0" w:name="_GoBack"/>
            <w:bookmarkEnd w:id="0"/>
            <w:r w:rsidR="009D467D" w:rsidRPr="00D00111">
              <w:rPr>
                <w:sz w:val="24"/>
                <w:szCs w:val="24"/>
              </w:rPr>
              <w:t xml:space="preserve">ávrh predpokladá zníženie administratívnej záťaže </w:t>
            </w:r>
            <w:r w:rsidR="00F11960" w:rsidRPr="00D00111">
              <w:rPr>
                <w:sz w:val="24"/>
                <w:szCs w:val="24"/>
              </w:rPr>
              <w:t>spojenej so štatistickým zisťovaním, so žiadosťami o finančné príspevky a s vyúčtovaniami finančných príspevkov</w:t>
            </w:r>
            <w:r w:rsidR="00B14815" w:rsidRPr="00D00111">
              <w:rPr>
                <w:sz w:val="24"/>
                <w:szCs w:val="24"/>
              </w:rPr>
              <w:t xml:space="preserve"> o tretinu</w:t>
            </w:r>
            <w:r w:rsidR="00F11960" w:rsidRPr="00D00111">
              <w:rPr>
                <w:sz w:val="24"/>
                <w:szCs w:val="24"/>
              </w:rPr>
              <w:t xml:space="preserve">. </w:t>
            </w:r>
            <w:r w:rsidR="00B14815" w:rsidRPr="00D00111">
              <w:rPr>
                <w:sz w:val="24"/>
                <w:szCs w:val="24"/>
              </w:rPr>
              <w:t>Kým pri väčšine zariad</w:t>
            </w:r>
            <w:r w:rsidR="00356AF6" w:rsidRPr="00D00111">
              <w:rPr>
                <w:sz w:val="24"/>
                <w:szCs w:val="24"/>
              </w:rPr>
              <w:t>ení podmienených odkázanosťou fyzickej osoby na pomoc inej fyzickej osoby</w:t>
            </w:r>
            <w:r w:rsidR="00B14815" w:rsidRPr="00D00111">
              <w:rPr>
                <w:sz w:val="24"/>
                <w:szCs w:val="24"/>
              </w:rPr>
              <w:t xml:space="preserve"> v súčasnosti dosahuje priemerný počet reportovaných údajov </w:t>
            </w:r>
            <w:r w:rsidR="00F27385" w:rsidRPr="00D00111">
              <w:rPr>
                <w:sz w:val="24"/>
                <w:szCs w:val="24"/>
              </w:rPr>
              <w:t>237, po zavedení  IS SS to bude len 157.</w:t>
            </w:r>
            <w:r w:rsidR="00F27385">
              <w:rPr>
                <w:sz w:val="24"/>
                <w:szCs w:val="24"/>
              </w:rPr>
              <w:t xml:space="preserve"> </w:t>
            </w:r>
          </w:p>
          <w:p w:rsidR="00DF772F" w:rsidRDefault="00DF772F" w:rsidP="00012196">
            <w:pPr>
              <w:jc w:val="both"/>
              <w:rPr>
                <w:sz w:val="24"/>
                <w:szCs w:val="24"/>
              </w:rPr>
            </w:pPr>
          </w:p>
          <w:p w:rsidR="009F2DFA" w:rsidRDefault="00012196" w:rsidP="00012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Administratívne náklady sa nepredpokladajú. </w:t>
            </w:r>
          </w:p>
          <w:p w:rsidR="00DF772F" w:rsidRPr="006823EC" w:rsidRDefault="00DF772F" w:rsidP="0001219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9F2DFA" w:rsidRPr="00F04CCD" w:rsidTr="00586429">
        <w:trPr>
          <w:trHeight w:val="2318"/>
        </w:trPr>
        <w:tc>
          <w:tcPr>
            <w:tcW w:w="9212" w:type="dxa"/>
          </w:tcPr>
          <w:p w:rsidR="009F2DFA" w:rsidRDefault="002B1108" w:rsidP="00586429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:rsidR="0029397E" w:rsidRDefault="0029397E" w:rsidP="00586429">
            <w:pPr>
              <w:rPr>
                <w:b/>
                <w:i/>
              </w:rPr>
            </w:pPr>
          </w:p>
          <w:p w:rsidR="0029397E" w:rsidRPr="0029397E" w:rsidRDefault="0029397E" w:rsidP="00586429">
            <w:r w:rsidRPr="0029397E">
              <w:rPr>
                <w:b/>
              </w:rPr>
              <w:t xml:space="preserve">Náklady regulácie </w:t>
            </w:r>
          </w:p>
          <w:p w:rsidR="009F2DFA" w:rsidRPr="00F04CCD" w:rsidRDefault="009F2DFA" w:rsidP="00586429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9F2DFA" w:rsidRPr="00F04CCD" w:rsidTr="00586429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586429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586429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586429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:rsidTr="00586429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301615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  <w:r w:rsidR="00301615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C00AB1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A42E81">
                  <w:pPr>
                    <w:jc w:val="center"/>
                    <w:rPr>
                      <w:i/>
                    </w:rPr>
                  </w:pPr>
                </w:p>
              </w:tc>
            </w:tr>
            <w:tr w:rsidR="009F2DFA" w:rsidRPr="00F04CCD" w:rsidTr="00586429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97E" w:rsidRPr="00F04CCD" w:rsidRDefault="009F2DFA" w:rsidP="00301615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586429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A42E81">
                  <w:pPr>
                    <w:jc w:val="center"/>
                    <w:rPr>
                      <w:i/>
                    </w:rPr>
                  </w:pPr>
                </w:p>
              </w:tc>
            </w:tr>
            <w:tr w:rsidR="009F2DFA" w:rsidRPr="00F04CCD" w:rsidTr="00586429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586429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586429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A42E81">
                  <w:pPr>
                    <w:jc w:val="center"/>
                    <w:rPr>
                      <w:i/>
                    </w:rPr>
                  </w:pPr>
                </w:p>
              </w:tc>
            </w:tr>
            <w:tr w:rsidR="009F2DFA" w:rsidRPr="00F04CCD" w:rsidTr="00586429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586429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586429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2DFA" w:rsidRPr="00F04CCD" w:rsidRDefault="009F2DFA" w:rsidP="00A42E81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</w:tbl>
          <w:p w:rsidR="009F2DFA" w:rsidRPr="00F04CCD" w:rsidRDefault="009F2DFA" w:rsidP="00586429">
            <w:pPr>
              <w:rPr>
                <w:i/>
              </w:rPr>
            </w:pPr>
          </w:p>
        </w:tc>
      </w:tr>
      <w:tr w:rsidR="009F2DFA" w:rsidRPr="00F04CCD" w:rsidTr="00586429">
        <w:tc>
          <w:tcPr>
            <w:tcW w:w="9212" w:type="dxa"/>
            <w:shd w:val="clear" w:color="auto" w:fill="D9D9D9" w:themeFill="background1" w:themeFillShade="D9"/>
          </w:tcPr>
          <w:p w:rsidR="0094157C" w:rsidRDefault="0094157C" w:rsidP="00586429">
            <w:pPr>
              <w:rPr>
                <w:b/>
                <w:sz w:val="24"/>
              </w:rPr>
            </w:pPr>
          </w:p>
          <w:p w:rsidR="000923DC" w:rsidRDefault="000923DC" w:rsidP="00586429">
            <w:pPr>
              <w:rPr>
                <w:b/>
                <w:sz w:val="24"/>
              </w:rPr>
            </w:pPr>
          </w:p>
          <w:p w:rsidR="009F2DFA" w:rsidRPr="00042C66" w:rsidRDefault="002B1108" w:rsidP="005864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:rsidR="009F2DFA" w:rsidRDefault="009F2DFA" w:rsidP="00586429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  <w:p w:rsidR="0094157C" w:rsidRPr="00F04CCD" w:rsidRDefault="0094157C" w:rsidP="00586429"/>
        </w:tc>
      </w:tr>
      <w:tr w:rsidR="009F2DFA" w:rsidRPr="00F04CCD" w:rsidTr="00586429">
        <w:tc>
          <w:tcPr>
            <w:tcW w:w="9212" w:type="dxa"/>
          </w:tcPr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lastRenderedPageBreak/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 xml:space="preserve">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F04CCD">
              <w:rPr>
                <w:i/>
              </w:rPr>
              <w:t>mikro</w:t>
            </w:r>
            <w:proofErr w:type="spellEnd"/>
            <w:r w:rsidRPr="00F04CCD">
              <w:rPr>
                <w:i/>
              </w:rPr>
              <w:t>, malé a stredné podniky tzv. MSP)? Ak áno, popíšte.</w:t>
            </w:r>
          </w:p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586429">
        <w:trPr>
          <w:trHeight w:val="1282"/>
        </w:trPr>
        <w:tc>
          <w:tcPr>
            <w:tcW w:w="9212" w:type="dxa"/>
          </w:tcPr>
          <w:p w:rsidR="00F11960" w:rsidRDefault="00F11960" w:rsidP="00586429">
            <w:pPr>
              <w:rPr>
                <w:sz w:val="24"/>
                <w:szCs w:val="24"/>
              </w:rPr>
            </w:pPr>
          </w:p>
          <w:p w:rsidR="009F2DFA" w:rsidRPr="00F11960" w:rsidRDefault="00C00AB1" w:rsidP="00586429">
            <w:pPr>
              <w:rPr>
                <w:sz w:val="24"/>
                <w:szCs w:val="24"/>
              </w:rPr>
            </w:pPr>
            <w:r w:rsidRPr="00F11960">
              <w:rPr>
                <w:sz w:val="24"/>
                <w:szCs w:val="24"/>
              </w:rPr>
              <w:t>Bez vplyvu</w:t>
            </w:r>
            <w:r w:rsidR="00AD312C" w:rsidRPr="00F11960">
              <w:rPr>
                <w:sz w:val="24"/>
                <w:szCs w:val="24"/>
              </w:rPr>
              <w:t xml:space="preserve"> na obchodné bariéry</w:t>
            </w:r>
            <w:r w:rsidRPr="00F11960">
              <w:rPr>
                <w:sz w:val="24"/>
                <w:szCs w:val="24"/>
              </w:rPr>
              <w:t>.</w:t>
            </w:r>
          </w:p>
          <w:p w:rsidR="0094157C" w:rsidRPr="007A119E" w:rsidRDefault="009B0F05" w:rsidP="00A80082">
            <w:pPr>
              <w:jc w:val="both"/>
              <w:rPr>
                <w:i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F2DFA" w:rsidRPr="00F04CCD" w:rsidTr="00586429">
        <w:tc>
          <w:tcPr>
            <w:tcW w:w="9212" w:type="dxa"/>
            <w:shd w:val="clear" w:color="auto" w:fill="D9D9D9" w:themeFill="background1" w:themeFillShade="D9"/>
          </w:tcPr>
          <w:p w:rsidR="0094157C" w:rsidRDefault="0094157C" w:rsidP="00586429">
            <w:pPr>
              <w:rPr>
                <w:b/>
                <w:sz w:val="24"/>
              </w:rPr>
            </w:pPr>
          </w:p>
          <w:p w:rsidR="009F2DFA" w:rsidRPr="00042C66" w:rsidRDefault="002B1108" w:rsidP="005864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:rsidR="009F2DFA" w:rsidRDefault="009F2DFA" w:rsidP="00586429">
            <w:pPr>
              <w:rPr>
                <w:b/>
                <w:sz w:val="24"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  <w:p w:rsidR="0094157C" w:rsidRPr="00F04CCD" w:rsidRDefault="0094157C" w:rsidP="00586429">
            <w:pPr>
              <w:rPr>
                <w:b/>
              </w:rPr>
            </w:pPr>
          </w:p>
        </w:tc>
      </w:tr>
      <w:tr w:rsidR="009F2DFA" w:rsidRPr="00F04CCD" w:rsidTr="00586429">
        <w:tc>
          <w:tcPr>
            <w:tcW w:w="9212" w:type="dxa"/>
          </w:tcPr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 xml:space="preserve">, vlastníctvo </w:t>
            </w:r>
            <w:proofErr w:type="spellStart"/>
            <w:r w:rsidRPr="00F04CCD">
              <w:rPr>
                <w:i/>
              </w:rPr>
              <w:t>know-how</w:t>
            </w:r>
            <w:proofErr w:type="spellEnd"/>
            <w:r w:rsidRPr="00F04CCD">
              <w:rPr>
                <w:i/>
              </w:rPr>
              <w:t>).</w:t>
            </w:r>
          </w:p>
          <w:p w:rsidR="009F2DFA" w:rsidRDefault="009F2DFA" w:rsidP="00586429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586429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586429">
        <w:trPr>
          <w:trHeight w:val="1747"/>
        </w:trPr>
        <w:tc>
          <w:tcPr>
            <w:tcW w:w="9212" w:type="dxa"/>
          </w:tcPr>
          <w:p w:rsidR="003349B6" w:rsidRDefault="003349B6" w:rsidP="00586429">
            <w:pPr>
              <w:rPr>
                <w:sz w:val="24"/>
                <w:szCs w:val="24"/>
              </w:rPr>
            </w:pPr>
          </w:p>
          <w:p w:rsidR="009F2DFA" w:rsidRDefault="00BA32E8" w:rsidP="0058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Bez vplyvu.</w:t>
            </w:r>
          </w:p>
          <w:p w:rsidR="00187115" w:rsidRDefault="00187115" w:rsidP="00586429">
            <w:pPr>
              <w:rPr>
                <w:sz w:val="24"/>
                <w:szCs w:val="24"/>
              </w:rPr>
            </w:pPr>
          </w:p>
          <w:p w:rsidR="00187115" w:rsidRDefault="00187115" w:rsidP="00586429">
            <w:pPr>
              <w:rPr>
                <w:sz w:val="24"/>
                <w:szCs w:val="24"/>
              </w:rPr>
            </w:pPr>
          </w:p>
          <w:p w:rsidR="00187115" w:rsidRDefault="00187115" w:rsidP="00586429">
            <w:pPr>
              <w:rPr>
                <w:sz w:val="24"/>
                <w:szCs w:val="24"/>
              </w:rPr>
            </w:pPr>
          </w:p>
          <w:p w:rsidR="00187115" w:rsidRDefault="00187115" w:rsidP="00586429">
            <w:pPr>
              <w:rPr>
                <w:sz w:val="24"/>
                <w:szCs w:val="24"/>
              </w:rPr>
            </w:pPr>
          </w:p>
          <w:p w:rsidR="00187115" w:rsidRDefault="00187115" w:rsidP="00586429">
            <w:pPr>
              <w:rPr>
                <w:sz w:val="24"/>
                <w:szCs w:val="24"/>
              </w:rPr>
            </w:pPr>
          </w:p>
          <w:p w:rsidR="00187115" w:rsidRPr="00A6284C" w:rsidRDefault="00187115" w:rsidP="00586429">
            <w:pPr>
              <w:rPr>
                <w:sz w:val="24"/>
                <w:szCs w:val="24"/>
              </w:rPr>
            </w:pPr>
          </w:p>
        </w:tc>
      </w:tr>
    </w:tbl>
    <w:p w:rsidR="009F2DFA" w:rsidRPr="00F04CCD" w:rsidRDefault="009F2DFA" w:rsidP="009F2DFA"/>
    <w:p w:rsidR="009F2DFA" w:rsidRDefault="009F2DFA" w:rsidP="00FB3EC7">
      <w:pPr>
        <w:spacing w:before="240"/>
        <w:jc w:val="center"/>
        <w:rPr>
          <w:sz w:val="24"/>
          <w:szCs w:val="24"/>
        </w:rPr>
      </w:pPr>
      <w:r w:rsidRPr="00074919">
        <w:rPr>
          <w:b/>
          <w:sz w:val="28"/>
          <w:szCs w:val="24"/>
        </w:rPr>
        <w:t xml:space="preserve"> </w:t>
      </w:r>
    </w:p>
    <w:p w:rsidR="00CB3623" w:rsidRDefault="00CB3623"/>
    <w:sectPr w:rsidR="00CB36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F5" w:rsidRDefault="006D1DF5" w:rsidP="009F2DFA">
      <w:r>
        <w:separator/>
      </w:r>
    </w:p>
  </w:endnote>
  <w:endnote w:type="continuationSeparator" w:id="0">
    <w:p w:rsidR="006D1DF5" w:rsidRDefault="006D1DF5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304898"/>
      <w:docPartObj>
        <w:docPartGallery w:val="Page Numbers (Bottom of Page)"/>
        <w:docPartUnique/>
      </w:docPartObj>
    </w:sdtPr>
    <w:sdtEndPr/>
    <w:sdtContent>
      <w:p w:rsidR="000923DC" w:rsidRDefault="000923D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EC4">
          <w:rPr>
            <w:noProof/>
          </w:rPr>
          <w:t>3</w:t>
        </w:r>
        <w:r>
          <w:fldChar w:fldCharType="end"/>
        </w:r>
      </w:p>
    </w:sdtContent>
  </w:sdt>
  <w:p w:rsidR="00F032BB" w:rsidRDefault="00F032B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F5" w:rsidRDefault="006D1DF5" w:rsidP="009F2DFA">
      <w:r>
        <w:separator/>
      </w:r>
    </w:p>
  </w:footnote>
  <w:footnote w:type="continuationSeparator" w:id="0">
    <w:p w:rsidR="006D1DF5" w:rsidRDefault="006D1DF5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FA22F6"/>
    <w:multiLevelType w:val="hybridMultilevel"/>
    <w:tmpl w:val="422266CC"/>
    <w:lvl w:ilvl="0" w:tplc="3BF81A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552BF"/>
    <w:multiLevelType w:val="hybridMultilevel"/>
    <w:tmpl w:val="5510D0C4"/>
    <w:lvl w:ilvl="0" w:tplc="B1EC2B1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7"/>
  </w:num>
  <w:num w:numId="7">
    <w:abstractNumId w:val="12"/>
  </w:num>
  <w:num w:numId="8">
    <w:abstractNumId w:val="3"/>
  </w:num>
  <w:num w:numId="9">
    <w:abstractNumId w:val="0"/>
  </w:num>
  <w:num w:numId="10">
    <w:abstractNumId w:val="13"/>
  </w:num>
  <w:num w:numId="11">
    <w:abstractNumId w:val="8"/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13"/>
    <w:rsid w:val="00004288"/>
    <w:rsid w:val="00012196"/>
    <w:rsid w:val="00027EE2"/>
    <w:rsid w:val="00035976"/>
    <w:rsid w:val="00042C66"/>
    <w:rsid w:val="000463AE"/>
    <w:rsid w:val="00047744"/>
    <w:rsid w:val="0005056C"/>
    <w:rsid w:val="000570D0"/>
    <w:rsid w:val="00074919"/>
    <w:rsid w:val="00082623"/>
    <w:rsid w:val="000923DC"/>
    <w:rsid w:val="000A15AE"/>
    <w:rsid w:val="000A513C"/>
    <w:rsid w:val="000B1D58"/>
    <w:rsid w:val="000B51E5"/>
    <w:rsid w:val="000B52A2"/>
    <w:rsid w:val="000C2F0C"/>
    <w:rsid w:val="000C6C09"/>
    <w:rsid w:val="000D2622"/>
    <w:rsid w:val="000D6511"/>
    <w:rsid w:val="000D7FB4"/>
    <w:rsid w:val="000E7CFF"/>
    <w:rsid w:val="0013106A"/>
    <w:rsid w:val="001444AC"/>
    <w:rsid w:val="00151237"/>
    <w:rsid w:val="001542A9"/>
    <w:rsid w:val="00154881"/>
    <w:rsid w:val="00163C04"/>
    <w:rsid w:val="0017211C"/>
    <w:rsid w:val="0018183B"/>
    <w:rsid w:val="0018186E"/>
    <w:rsid w:val="00183BD3"/>
    <w:rsid w:val="00185C7E"/>
    <w:rsid w:val="00187115"/>
    <w:rsid w:val="00190010"/>
    <w:rsid w:val="001A303E"/>
    <w:rsid w:val="001B09C0"/>
    <w:rsid w:val="001B1CD8"/>
    <w:rsid w:val="001B329C"/>
    <w:rsid w:val="001B40E6"/>
    <w:rsid w:val="001C2EC4"/>
    <w:rsid w:val="001C43FF"/>
    <w:rsid w:val="001D12CE"/>
    <w:rsid w:val="001F5210"/>
    <w:rsid w:val="00210795"/>
    <w:rsid w:val="002154FD"/>
    <w:rsid w:val="00223814"/>
    <w:rsid w:val="00223AD4"/>
    <w:rsid w:val="00224AB2"/>
    <w:rsid w:val="00232B3F"/>
    <w:rsid w:val="00242FBE"/>
    <w:rsid w:val="00285227"/>
    <w:rsid w:val="0029397E"/>
    <w:rsid w:val="00294AD0"/>
    <w:rsid w:val="002A7A64"/>
    <w:rsid w:val="002B0725"/>
    <w:rsid w:val="002B1108"/>
    <w:rsid w:val="002B4EBF"/>
    <w:rsid w:val="002C0974"/>
    <w:rsid w:val="002C1743"/>
    <w:rsid w:val="002C563C"/>
    <w:rsid w:val="002E63A2"/>
    <w:rsid w:val="002F320A"/>
    <w:rsid w:val="00301615"/>
    <w:rsid w:val="003105D4"/>
    <w:rsid w:val="0031178A"/>
    <w:rsid w:val="0032068C"/>
    <w:rsid w:val="0032442E"/>
    <w:rsid w:val="0033276D"/>
    <w:rsid w:val="003349B6"/>
    <w:rsid w:val="003462B4"/>
    <w:rsid w:val="00350F23"/>
    <w:rsid w:val="00356AF6"/>
    <w:rsid w:val="00362D2F"/>
    <w:rsid w:val="003679A2"/>
    <w:rsid w:val="003806B7"/>
    <w:rsid w:val="00390164"/>
    <w:rsid w:val="00395301"/>
    <w:rsid w:val="003A5C89"/>
    <w:rsid w:val="003A62EA"/>
    <w:rsid w:val="003E251D"/>
    <w:rsid w:val="003F1118"/>
    <w:rsid w:val="003F3A24"/>
    <w:rsid w:val="003F47E8"/>
    <w:rsid w:val="00406D92"/>
    <w:rsid w:val="0041371D"/>
    <w:rsid w:val="00424A6F"/>
    <w:rsid w:val="00440AEE"/>
    <w:rsid w:val="004527B8"/>
    <w:rsid w:val="0048560A"/>
    <w:rsid w:val="004916E5"/>
    <w:rsid w:val="004A44A3"/>
    <w:rsid w:val="004B005D"/>
    <w:rsid w:val="004B6E81"/>
    <w:rsid w:val="004C3B24"/>
    <w:rsid w:val="004C4E55"/>
    <w:rsid w:val="004C76AD"/>
    <w:rsid w:val="004E5541"/>
    <w:rsid w:val="004F4DAE"/>
    <w:rsid w:val="00514260"/>
    <w:rsid w:val="00516E38"/>
    <w:rsid w:val="0052297F"/>
    <w:rsid w:val="00525BD0"/>
    <w:rsid w:val="005343B2"/>
    <w:rsid w:val="0053710D"/>
    <w:rsid w:val="0054411F"/>
    <w:rsid w:val="00546F26"/>
    <w:rsid w:val="0055054D"/>
    <w:rsid w:val="005645D8"/>
    <w:rsid w:val="005862DB"/>
    <w:rsid w:val="00586429"/>
    <w:rsid w:val="00592B78"/>
    <w:rsid w:val="005A28CE"/>
    <w:rsid w:val="005C45F1"/>
    <w:rsid w:val="005D37BD"/>
    <w:rsid w:val="005D6A05"/>
    <w:rsid w:val="005E193C"/>
    <w:rsid w:val="005E2FEF"/>
    <w:rsid w:val="005F49CC"/>
    <w:rsid w:val="00600718"/>
    <w:rsid w:val="00601B6D"/>
    <w:rsid w:val="006040E4"/>
    <w:rsid w:val="00622058"/>
    <w:rsid w:val="00630C8B"/>
    <w:rsid w:val="006322E1"/>
    <w:rsid w:val="00635139"/>
    <w:rsid w:val="00641981"/>
    <w:rsid w:val="00644416"/>
    <w:rsid w:val="006532AB"/>
    <w:rsid w:val="00662E34"/>
    <w:rsid w:val="006823EC"/>
    <w:rsid w:val="00685D1D"/>
    <w:rsid w:val="006A23A3"/>
    <w:rsid w:val="006B1D70"/>
    <w:rsid w:val="006C3854"/>
    <w:rsid w:val="006C52FF"/>
    <w:rsid w:val="006D1AAD"/>
    <w:rsid w:val="006D1DF5"/>
    <w:rsid w:val="006D33A9"/>
    <w:rsid w:val="006D6674"/>
    <w:rsid w:val="006D69F6"/>
    <w:rsid w:val="006E44A3"/>
    <w:rsid w:val="0070643F"/>
    <w:rsid w:val="007239E0"/>
    <w:rsid w:val="00724442"/>
    <w:rsid w:val="00727FCF"/>
    <w:rsid w:val="00730156"/>
    <w:rsid w:val="00736165"/>
    <w:rsid w:val="007457A0"/>
    <w:rsid w:val="00746966"/>
    <w:rsid w:val="00753FDA"/>
    <w:rsid w:val="00756B83"/>
    <w:rsid w:val="007748B8"/>
    <w:rsid w:val="00780BA6"/>
    <w:rsid w:val="007A0186"/>
    <w:rsid w:val="007A119E"/>
    <w:rsid w:val="007A7194"/>
    <w:rsid w:val="007C37BB"/>
    <w:rsid w:val="007D63A7"/>
    <w:rsid w:val="007E1E30"/>
    <w:rsid w:val="007F202B"/>
    <w:rsid w:val="007F6489"/>
    <w:rsid w:val="007F76F8"/>
    <w:rsid w:val="0080696E"/>
    <w:rsid w:val="00817D3C"/>
    <w:rsid w:val="00820C54"/>
    <w:rsid w:val="008317A0"/>
    <w:rsid w:val="008330EB"/>
    <w:rsid w:val="00834F32"/>
    <w:rsid w:val="00835F15"/>
    <w:rsid w:val="00837639"/>
    <w:rsid w:val="00846B2C"/>
    <w:rsid w:val="008627AE"/>
    <w:rsid w:val="00866E34"/>
    <w:rsid w:val="008751BB"/>
    <w:rsid w:val="00876059"/>
    <w:rsid w:val="00883184"/>
    <w:rsid w:val="00896FBA"/>
    <w:rsid w:val="008A006E"/>
    <w:rsid w:val="008A1252"/>
    <w:rsid w:val="008A658D"/>
    <w:rsid w:val="008B43FA"/>
    <w:rsid w:val="008C3902"/>
    <w:rsid w:val="008D0943"/>
    <w:rsid w:val="008D41EF"/>
    <w:rsid w:val="008E3D86"/>
    <w:rsid w:val="008E76A7"/>
    <w:rsid w:val="00903376"/>
    <w:rsid w:val="00904C9B"/>
    <w:rsid w:val="00907285"/>
    <w:rsid w:val="00911057"/>
    <w:rsid w:val="00912EC9"/>
    <w:rsid w:val="00927101"/>
    <w:rsid w:val="009370B6"/>
    <w:rsid w:val="0094157C"/>
    <w:rsid w:val="0094441A"/>
    <w:rsid w:val="0096108E"/>
    <w:rsid w:val="00971BCB"/>
    <w:rsid w:val="009723B9"/>
    <w:rsid w:val="00993E51"/>
    <w:rsid w:val="00995579"/>
    <w:rsid w:val="009A293F"/>
    <w:rsid w:val="009B0F05"/>
    <w:rsid w:val="009B2C9B"/>
    <w:rsid w:val="009C4423"/>
    <w:rsid w:val="009D467D"/>
    <w:rsid w:val="009E3676"/>
    <w:rsid w:val="009E43E4"/>
    <w:rsid w:val="009E4CC4"/>
    <w:rsid w:val="009F2DFA"/>
    <w:rsid w:val="009F5E5E"/>
    <w:rsid w:val="00A30114"/>
    <w:rsid w:val="00A406E8"/>
    <w:rsid w:val="00A42E81"/>
    <w:rsid w:val="00A4401D"/>
    <w:rsid w:val="00A47C73"/>
    <w:rsid w:val="00A6284C"/>
    <w:rsid w:val="00A66B5D"/>
    <w:rsid w:val="00A7578F"/>
    <w:rsid w:val="00A80082"/>
    <w:rsid w:val="00A913E4"/>
    <w:rsid w:val="00A927E8"/>
    <w:rsid w:val="00A94DC3"/>
    <w:rsid w:val="00AC2103"/>
    <w:rsid w:val="00AC6E73"/>
    <w:rsid w:val="00AD312C"/>
    <w:rsid w:val="00AD4845"/>
    <w:rsid w:val="00AE5030"/>
    <w:rsid w:val="00AF4466"/>
    <w:rsid w:val="00AF4979"/>
    <w:rsid w:val="00AF51DB"/>
    <w:rsid w:val="00B0073F"/>
    <w:rsid w:val="00B010A7"/>
    <w:rsid w:val="00B06AA4"/>
    <w:rsid w:val="00B14815"/>
    <w:rsid w:val="00B25F06"/>
    <w:rsid w:val="00B269D5"/>
    <w:rsid w:val="00B31A8E"/>
    <w:rsid w:val="00B40169"/>
    <w:rsid w:val="00B52272"/>
    <w:rsid w:val="00B673DA"/>
    <w:rsid w:val="00B71662"/>
    <w:rsid w:val="00B7719A"/>
    <w:rsid w:val="00B80AC8"/>
    <w:rsid w:val="00BA073A"/>
    <w:rsid w:val="00BA32E8"/>
    <w:rsid w:val="00BA6267"/>
    <w:rsid w:val="00BC2690"/>
    <w:rsid w:val="00BC61BF"/>
    <w:rsid w:val="00BD1F3F"/>
    <w:rsid w:val="00BD7AF5"/>
    <w:rsid w:val="00BE16C5"/>
    <w:rsid w:val="00BE3039"/>
    <w:rsid w:val="00BF2230"/>
    <w:rsid w:val="00C00AB1"/>
    <w:rsid w:val="00C1085F"/>
    <w:rsid w:val="00C12AA4"/>
    <w:rsid w:val="00C20BCB"/>
    <w:rsid w:val="00C43AC9"/>
    <w:rsid w:val="00C47BA8"/>
    <w:rsid w:val="00C54CAF"/>
    <w:rsid w:val="00C72A41"/>
    <w:rsid w:val="00C76B08"/>
    <w:rsid w:val="00C846A6"/>
    <w:rsid w:val="00C84916"/>
    <w:rsid w:val="00C86FB9"/>
    <w:rsid w:val="00C92DA8"/>
    <w:rsid w:val="00CA4812"/>
    <w:rsid w:val="00CB1D39"/>
    <w:rsid w:val="00CB3623"/>
    <w:rsid w:val="00CB4A99"/>
    <w:rsid w:val="00CB52ED"/>
    <w:rsid w:val="00CC57EE"/>
    <w:rsid w:val="00CC6BBB"/>
    <w:rsid w:val="00D00111"/>
    <w:rsid w:val="00D14195"/>
    <w:rsid w:val="00D321A5"/>
    <w:rsid w:val="00D3261F"/>
    <w:rsid w:val="00D502FD"/>
    <w:rsid w:val="00D50589"/>
    <w:rsid w:val="00D564B1"/>
    <w:rsid w:val="00D8003B"/>
    <w:rsid w:val="00D85013"/>
    <w:rsid w:val="00DA2823"/>
    <w:rsid w:val="00DB4F4C"/>
    <w:rsid w:val="00DB60DA"/>
    <w:rsid w:val="00DC17E5"/>
    <w:rsid w:val="00DC3753"/>
    <w:rsid w:val="00DC510B"/>
    <w:rsid w:val="00DD1410"/>
    <w:rsid w:val="00DE7895"/>
    <w:rsid w:val="00DF0FA0"/>
    <w:rsid w:val="00DF772F"/>
    <w:rsid w:val="00E07B70"/>
    <w:rsid w:val="00E16AC2"/>
    <w:rsid w:val="00E22D09"/>
    <w:rsid w:val="00E33F1F"/>
    <w:rsid w:val="00E51FA7"/>
    <w:rsid w:val="00E57A0B"/>
    <w:rsid w:val="00E73C31"/>
    <w:rsid w:val="00E86AD1"/>
    <w:rsid w:val="00EA17A8"/>
    <w:rsid w:val="00EB627D"/>
    <w:rsid w:val="00ED4BCE"/>
    <w:rsid w:val="00EE217A"/>
    <w:rsid w:val="00F02CD8"/>
    <w:rsid w:val="00F032BB"/>
    <w:rsid w:val="00F04CCD"/>
    <w:rsid w:val="00F11960"/>
    <w:rsid w:val="00F27385"/>
    <w:rsid w:val="00F36139"/>
    <w:rsid w:val="00F41620"/>
    <w:rsid w:val="00F424F7"/>
    <w:rsid w:val="00F448E3"/>
    <w:rsid w:val="00F52CBC"/>
    <w:rsid w:val="00F574C2"/>
    <w:rsid w:val="00F61C6E"/>
    <w:rsid w:val="00F6677D"/>
    <w:rsid w:val="00F805CA"/>
    <w:rsid w:val="00F91385"/>
    <w:rsid w:val="00FA7227"/>
    <w:rsid w:val="00FB3EC7"/>
    <w:rsid w:val="00FB40FC"/>
    <w:rsid w:val="00FB5C13"/>
    <w:rsid w:val="00FD6C4A"/>
    <w:rsid w:val="00FF1330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1,Odsek zoznamu2"/>
    <w:basedOn w:val="Normlny"/>
    <w:link w:val="OdsekzoznamuChar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character" w:styleId="Siln">
    <w:name w:val="Strong"/>
    <w:basedOn w:val="Predvolenpsmoodseku"/>
    <w:uiPriority w:val="22"/>
    <w:qFormat/>
    <w:rsid w:val="00A6284C"/>
    <w:rPr>
      <w:rFonts w:cs="Times New Roman"/>
      <w:b/>
      <w:bCs/>
    </w:rPr>
  </w:style>
  <w:style w:type="character" w:customStyle="1" w:styleId="OdsekzoznamuChar">
    <w:name w:val="Odsek zoznamu Char"/>
    <w:aliases w:val="body Char,Odsek zoznamu1 Char,Odsek zoznamu2 Char"/>
    <w:link w:val="Odsekzoznamu"/>
    <w:uiPriority w:val="34"/>
    <w:locked/>
    <w:rsid w:val="00685D1D"/>
  </w:style>
  <w:style w:type="paragraph" w:styleId="Textkomentra">
    <w:name w:val="annotation text"/>
    <w:basedOn w:val="Normlny"/>
    <w:link w:val="TextkomentraChar"/>
    <w:uiPriority w:val="99"/>
    <w:unhideWhenUsed/>
    <w:rsid w:val="00834F32"/>
    <w:pPr>
      <w:spacing w:after="200"/>
    </w:pPr>
    <w:rPr>
      <w:rFonts w:asciiTheme="minorHAnsi" w:eastAsiaTheme="minorEastAsia" w:hAnsiTheme="minorHAnsi"/>
      <w:noProof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34F32"/>
    <w:rPr>
      <w:rFonts w:eastAsiaTheme="minorEastAsia" w:cs="Times New Roman"/>
      <w:noProof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1B09C0"/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1B09C0"/>
    <w:rPr>
      <w:rFonts w:ascii="Calibri" w:hAnsi="Calibri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1,Odsek zoznamu2"/>
    <w:basedOn w:val="Normlny"/>
    <w:link w:val="OdsekzoznamuChar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character" w:styleId="Siln">
    <w:name w:val="Strong"/>
    <w:basedOn w:val="Predvolenpsmoodseku"/>
    <w:uiPriority w:val="22"/>
    <w:qFormat/>
    <w:rsid w:val="00A6284C"/>
    <w:rPr>
      <w:rFonts w:cs="Times New Roman"/>
      <w:b/>
      <w:bCs/>
    </w:rPr>
  </w:style>
  <w:style w:type="character" w:customStyle="1" w:styleId="OdsekzoznamuChar">
    <w:name w:val="Odsek zoznamu Char"/>
    <w:aliases w:val="body Char,Odsek zoznamu1 Char,Odsek zoznamu2 Char"/>
    <w:link w:val="Odsekzoznamu"/>
    <w:uiPriority w:val="34"/>
    <w:locked/>
    <w:rsid w:val="00685D1D"/>
  </w:style>
  <w:style w:type="paragraph" w:styleId="Textkomentra">
    <w:name w:val="annotation text"/>
    <w:basedOn w:val="Normlny"/>
    <w:link w:val="TextkomentraChar"/>
    <w:uiPriority w:val="99"/>
    <w:unhideWhenUsed/>
    <w:rsid w:val="00834F32"/>
    <w:pPr>
      <w:spacing w:after="200"/>
    </w:pPr>
    <w:rPr>
      <w:rFonts w:asciiTheme="minorHAnsi" w:eastAsiaTheme="minorEastAsia" w:hAnsiTheme="minorHAnsi"/>
      <w:noProof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34F32"/>
    <w:rPr>
      <w:rFonts w:eastAsiaTheme="minorEastAsia" w:cs="Times New Roman"/>
      <w:noProof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1B09C0"/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1B09C0"/>
    <w:rPr>
      <w:rFonts w:ascii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93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479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3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93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4790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3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93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79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5</cp:revision>
  <cp:lastPrinted>2019-03-25T13:52:00Z</cp:lastPrinted>
  <dcterms:created xsi:type="dcterms:W3CDTF">2019-05-22T08:02:00Z</dcterms:created>
  <dcterms:modified xsi:type="dcterms:W3CDTF">2019-05-29T10:42:00Z</dcterms:modified>
</cp:coreProperties>
</file>