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CE634D" w:rsidRDefault="00572963" w:rsidP="007B71A4">
            <w:pPr>
              <w:jc w:val="center"/>
              <w:rPr>
                <w:b/>
                <w:sz w:val="22"/>
                <w:szCs w:val="22"/>
              </w:rPr>
            </w:pPr>
            <w:r>
              <w:rPr>
                <w:b/>
                <w:sz w:val="22"/>
                <w:szCs w:val="22"/>
              </w:rPr>
              <w:t>A</w:t>
            </w: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r>
              <w:rPr>
                <w:b/>
                <w:sz w:val="22"/>
                <w:szCs w:val="22"/>
              </w:rPr>
              <w:t>A</w:t>
            </w: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r>
              <w:rPr>
                <w:b/>
                <w:sz w:val="22"/>
                <w:szCs w:val="22"/>
              </w:rPr>
              <w:t>A</w:t>
            </w:r>
          </w:p>
          <w:p w:rsidR="00C227BF" w:rsidRPr="005C4B9C" w:rsidRDefault="00C227BF" w:rsidP="007B71A4">
            <w:pPr>
              <w:jc w:val="center"/>
              <w:rPr>
                <w:b/>
                <w:sz w:val="22"/>
                <w:szCs w:val="22"/>
              </w:rPr>
            </w:pPr>
          </w:p>
        </w:tc>
        <w:tc>
          <w:tcPr>
            <w:tcW w:w="1560" w:type="dxa"/>
          </w:tcPr>
          <w:p w:rsidR="00A93988" w:rsidRPr="00A84BC8" w:rsidRDefault="000365E3" w:rsidP="00A84BC8">
            <w:pPr>
              <w:jc w:val="center"/>
              <w:rPr>
                <w:b/>
                <w:sz w:val="22"/>
                <w:szCs w:val="22"/>
              </w:rPr>
            </w:pPr>
            <w:r w:rsidRPr="00A84BC8">
              <w:rPr>
                <w:b/>
                <w:sz w:val="22"/>
                <w:szCs w:val="22"/>
              </w:rPr>
              <w:t>ks_336659</w:t>
            </w:r>
          </w:p>
          <w:p w:rsidR="00A93988" w:rsidRPr="00A84BC8" w:rsidRDefault="00A93988" w:rsidP="00A84BC8">
            <w:pPr>
              <w:jc w:val="center"/>
              <w:rPr>
                <w:b/>
                <w:sz w:val="22"/>
                <w:szCs w:val="22"/>
              </w:rPr>
            </w:pPr>
          </w:p>
          <w:p w:rsidR="00A84BC8" w:rsidRPr="00A84BC8" w:rsidRDefault="00A84BC8" w:rsidP="00A84BC8">
            <w:pPr>
              <w:jc w:val="center"/>
              <w:rPr>
                <w:b/>
                <w:sz w:val="22"/>
                <w:szCs w:val="22"/>
              </w:rPr>
            </w:pPr>
          </w:p>
          <w:p w:rsidR="00A93988" w:rsidRPr="00A84BC8" w:rsidRDefault="00A93988" w:rsidP="00A84BC8">
            <w:pPr>
              <w:jc w:val="center"/>
              <w:rPr>
                <w:b/>
                <w:sz w:val="22"/>
                <w:szCs w:val="22"/>
              </w:rPr>
            </w:pPr>
          </w:p>
          <w:p w:rsidR="00C227BF" w:rsidRPr="00A84BC8" w:rsidRDefault="00A963A7" w:rsidP="00A84BC8">
            <w:pPr>
              <w:jc w:val="center"/>
              <w:rPr>
                <w:b/>
                <w:sz w:val="22"/>
                <w:szCs w:val="22"/>
              </w:rPr>
            </w:pPr>
            <w:r w:rsidRPr="00A84BC8">
              <w:rPr>
                <w:b/>
                <w:sz w:val="22"/>
                <w:szCs w:val="22"/>
              </w:rPr>
              <w:t>ks_336661</w:t>
            </w:r>
          </w:p>
          <w:p w:rsidR="00C227BF" w:rsidRPr="00A84BC8" w:rsidRDefault="00C227BF" w:rsidP="00A84BC8">
            <w:pPr>
              <w:jc w:val="center"/>
              <w:rPr>
                <w:b/>
                <w:sz w:val="22"/>
                <w:szCs w:val="22"/>
              </w:rPr>
            </w:pPr>
          </w:p>
          <w:p w:rsidR="00A84BC8" w:rsidRPr="00A84BC8" w:rsidRDefault="00A84BC8" w:rsidP="00A84BC8">
            <w:pPr>
              <w:jc w:val="center"/>
              <w:rPr>
                <w:b/>
                <w:sz w:val="22"/>
                <w:szCs w:val="22"/>
              </w:rPr>
            </w:pPr>
          </w:p>
          <w:p w:rsidR="00C227BF" w:rsidRPr="00A84BC8" w:rsidRDefault="00C227BF" w:rsidP="00A84BC8">
            <w:pPr>
              <w:jc w:val="center"/>
              <w:rPr>
                <w:b/>
                <w:sz w:val="22"/>
                <w:szCs w:val="22"/>
              </w:rPr>
            </w:pPr>
          </w:p>
          <w:p w:rsidR="00C227BF" w:rsidRPr="005C4B9C" w:rsidRDefault="00E4336D" w:rsidP="00A84BC8">
            <w:pPr>
              <w:jc w:val="center"/>
              <w:rPr>
                <w:b/>
                <w:sz w:val="22"/>
                <w:szCs w:val="22"/>
              </w:rPr>
            </w:pPr>
            <w:r w:rsidRPr="00A84BC8">
              <w:rPr>
                <w:b/>
                <w:sz w:val="22"/>
                <w:szCs w:val="22"/>
              </w:rPr>
              <w:t>ks_336662</w:t>
            </w:r>
          </w:p>
        </w:tc>
        <w:tc>
          <w:tcPr>
            <w:tcW w:w="1701" w:type="dxa"/>
            <w:gridSpan w:val="2"/>
          </w:tcPr>
          <w:p w:rsidR="00CE634D" w:rsidRPr="00BE6A69" w:rsidRDefault="00A93988" w:rsidP="004B0C24">
            <w:pPr>
              <w:rPr>
                <w:b/>
                <w:sz w:val="22"/>
                <w:szCs w:val="22"/>
              </w:rPr>
            </w:pPr>
            <w:r w:rsidRPr="00BE6A69">
              <w:rPr>
                <w:b/>
                <w:sz w:val="22"/>
                <w:szCs w:val="22"/>
              </w:rPr>
              <w:t>E</w:t>
            </w:r>
            <w:r w:rsidR="004B0C24" w:rsidRPr="00BE6A69">
              <w:rPr>
                <w:b/>
                <w:sz w:val="22"/>
                <w:szCs w:val="22"/>
              </w:rPr>
              <w:t xml:space="preserve">vidovanie </w:t>
            </w:r>
            <w:r w:rsidRPr="00BE6A69">
              <w:rPr>
                <w:b/>
                <w:sz w:val="22"/>
                <w:szCs w:val="22"/>
              </w:rPr>
              <w:t>poskytovateľa sociálnej služby</w:t>
            </w:r>
          </w:p>
          <w:p w:rsidR="00A93988" w:rsidRPr="00A93988" w:rsidRDefault="00A93988" w:rsidP="004B0C24">
            <w:pPr>
              <w:rPr>
                <w:b/>
                <w:sz w:val="22"/>
                <w:szCs w:val="22"/>
                <w:highlight w:val="yellow"/>
              </w:rPr>
            </w:pPr>
          </w:p>
          <w:p w:rsidR="00A93988" w:rsidRDefault="00A93988" w:rsidP="004B0C24">
            <w:pPr>
              <w:rPr>
                <w:b/>
                <w:sz w:val="22"/>
                <w:szCs w:val="22"/>
              </w:rPr>
            </w:pPr>
            <w:r w:rsidRPr="00A963A7">
              <w:rPr>
                <w:b/>
                <w:sz w:val="22"/>
                <w:szCs w:val="22"/>
              </w:rPr>
              <w:t>Evid</w:t>
            </w:r>
            <w:r w:rsidR="004B0C24" w:rsidRPr="00A963A7">
              <w:rPr>
                <w:b/>
                <w:sz w:val="22"/>
                <w:szCs w:val="22"/>
              </w:rPr>
              <w:t xml:space="preserve">ovanie </w:t>
            </w:r>
            <w:r w:rsidRPr="00A963A7">
              <w:rPr>
                <w:b/>
                <w:sz w:val="22"/>
                <w:szCs w:val="22"/>
              </w:rPr>
              <w:t>prijímateľa sociálnej služby</w:t>
            </w:r>
          </w:p>
          <w:p w:rsidR="00C227BF" w:rsidRDefault="00C227BF" w:rsidP="004B0C24">
            <w:pPr>
              <w:rPr>
                <w:b/>
                <w:sz w:val="22"/>
                <w:szCs w:val="22"/>
              </w:rPr>
            </w:pPr>
          </w:p>
          <w:p w:rsidR="00C227BF" w:rsidRPr="005C4B9C" w:rsidRDefault="00C227BF" w:rsidP="004B0C24">
            <w:pPr>
              <w:rPr>
                <w:b/>
                <w:sz w:val="22"/>
                <w:szCs w:val="22"/>
              </w:rPr>
            </w:pPr>
            <w:r w:rsidRPr="00A84BC8">
              <w:rPr>
                <w:b/>
                <w:sz w:val="22"/>
                <w:szCs w:val="22"/>
              </w:rPr>
              <w:t>Publik</w:t>
            </w:r>
            <w:r w:rsidR="004B0C24" w:rsidRPr="00A84BC8">
              <w:rPr>
                <w:b/>
                <w:sz w:val="22"/>
                <w:szCs w:val="22"/>
              </w:rPr>
              <w:t>ovanie údajov o poskytovateľoch sociálnych služieb</w:t>
            </w:r>
          </w:p>
        </w:tc>
        <w:tc>
          <w:tcPr>
            <w:tcW w:w="992" w:type="dxa"/>
          </w:tcPr>
          <w:p w:rsidR="00CE634D" w:rsidRPr="005C4B9C" w:rsidRDefault="00CE634D" w:rsidP="007B71A4">
            <w:pPr>
              <w:rPr>
                <w:b/>
                <w:i/>
                <w:sz w:val="22"/>
                <w:szCs w:val="22"/>
              </w:rPr>
            </w:pPr>
          </w:p>
          <w:p w:rsidR="00CE634D" w:rsidRPr="005C4B9C" w:rsidRDefault="00572963" w:rsidP="007B71A4">
            <w:pPr>
              <w:jc w:val="center"/>
              <w:rPr>
                <w:b/>
                <w:sz w:val="22"/>
                <w:szCs w:val="22"/>
              </w:rPr>
            </w:pPr>
            <w:r>
              <w:rPr>
                <w:b/>
                <w:sz w:val="22"/>
                <w:szCs w:val="22"/>
              </w:rPr>
              <w:t>4</w:t>
            </w:r>
          </w:p>
          <w:p w:rsidR="00CE634D" w:rsidRDefault="00CE634D"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p>
          <w:p w:rsidR="00A93988" w:rsidRDefault="00A93988" w:rsidP="007B71A4">
            <w:pPr>
              <w:jc w:val="center"/>
              <w:rPr>
                <w:b/>
                <w:sz w:val="22"/>
                <w:szCs w:val="22"/>
              </w:rPr>
            </w:pPr>
            <w:r>
              <w:rPr>
                <w:b/>
                <w:sz w:val="22"/>
                <w:szCs w:val="22"/>
              </w:rPr>
              <w:t>4</w:t>
            </w:r>
          </w:p>
          <w:p w:rsidR="00C227BF" w:rsidRDefault="00C227BF" w:rsidP="007B71A4">
            <w:pPr>
              <w:jc w:val="center"/>
              <w:rPr>
                <w:b/>
                <w:sz w:val="22"/>
                <w:szCs w:val="22"/>
              </w:rPr>
            </w:pPr>
          </w:p>
          <w:p w:rsidR="00C227BF" w:rsidRDefault="00C227BF" w:rsidP="007B71A4">
            <w:pPr>
              <w:jc w:val="center"/>
              <w:rPr>
                <w:b/>
                <w:sz w:val="22"/>
                <w:szCs w:val="22"/>
              </w:rPr>
            </w:pPr>
          </w:p>
          <w:p w:rsidR="00C227BF" w:rsidRDefault="00C227BF" w:rsidP="007B71A4">
            <w:pPr>
              <w:jc w:val="center"/>
              <w:rPr>
                <w:b/>
                <w:sz w:val="22"/>
                <w:szCs w:val="22"/>
              </w:rPr>
            </w:pPr>
          </w:p>
          <w:p w:rsidR="00C227BF" w:rsidRPr="005C4B9C" w:rsidRDefault="004B0C24" w:rsidP="007B71A4">
            <w:pPr>
              <w:jc w:val="center"/>
              <w:rPr>
                <w:b/>
                <w:sz w:val="22"/>
                <w:szCs w:val="22"/>
              </w:rPr>
            </w:pPr>
            <w:r w:rsidRPr="004B0C24">
              <w:rPr>
                <w:b/>
                <w:sz w:val="22"/>
                <w:szCs w:val="22"/>
              </w:rPr>
              <w:t>4</w:t>
            </w: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Pr="005632E1" w:rsidRDefault="00572963" w:rsidP="005632E1">
            <w:pPr>
              <w:jc w:val="center"/>
              <w:rPr>
                <w:b/>
                <w:sz w:val="22"/>
                <w:szCs w:val="22"/>
              </w:rPr>
            </w:pPr>
            <w:r w:rsidRPr="005632E1">
              <w:rPr>
                <w:b/>
                <w:sz w:val="22"/>
                <w:szCs w:val="22"/>
              </w:rPr>
              <w:t>A</w:t>
            </w:r>
          </w:p>
        </w:tc>
        <w:tc>
          <w:tcPr>
            <w:tcW w:w="1560" w:type="dxa"/>
          </w:tcPr>
          <w:p w:rsidR="00CE634D" w:rsidRPr="005632E1" w:rsidRDefault="00572963" w:rsidP="007B71A4">
            <w:pPr>
              <w:rPr>
                <w:b/>
                <w:sz w:val="22"/>
                <w:szCs w:val="22"/>
              </w:rPr>
            </w:pPr>
            <w:r w:rsidRPr="005632E1">
              <w:rPr>
                <w:b/>
                <w:sz w:val="22"/>
                <w:szCs w:val="22"/>
              </w:rPr>
              <w:t>isvs_9627</w:t>
            </w:r>
          </w:p>
        </w:tc>
        <w:tc>
          <w:tcPr>
            <w:tcW w:w="2693" w:type="dxa"/>
            <w:gridSpan w:val="3"/>
          </w:tcPr>
          <w:p w:rsidR="00CE634D" w:rsidRPr="005632E1" w:rsidRDefault="00572963" w:rsidP="007B71A4">
            <w:pPr>
              <w:rPr>
                <w:b/>
                <w:sz w:val="22"/>
                <w:szCs w:val="22"/>
              </w:rPr>
            </w:pPr>
            <w:r w:rsidRPr="005632E1">
              <w:rPr>
                <w:b/>
                <w:sz w:val="22"/>
                <w:szCs w:val="22"/>
              </w:rPr>
              <w:t>Informačný systém Sociálnych služieb</w:t>
            </w:r>
            <w:r w:rsidR="00BE6A69" w:rsidRPr="005632E1">
              <w:rPr>
                <w:b/>
                <w:sz w:val="22"/>
                <w:szCs w:val="22"/>
              </w:rPr>
              <w:t xml:space="preserve"> (IS SocS)</w:t>
            </w: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632E1" w:rsidRDefault="00572963" w:rsidP="005632E1">
            <w:pPr>
              <w:jc w:val="center"/>
              <w:rPr>
                <w:b/>
                <w:sz w:val="22"/>
                <w:szCs w:val="22"/>
              </w:rPr>
            </w:pPr>
            <w:r w:rsidRPr="005632E1">
              <w:rPr>
                <w:b/>
                <w:sz w:val="22"/>
                <w:szCs w:val="22"/>
              </w:rPr>
              <w:t>X</w:t>
            </w:r>
          </w:p>
        </w:tc>
        <w:tc>
          <w:tcPr>
            <w:tcW w:w="2268" w:type="dxa"/>
            <w:gridSpan w:val="2"/>
          </w:tcPr>
          <w:p w:rsidR="00CE634D" w:rsidRPr="005632E1" w:rsidRDefault="00CE634D" w:rsidP="005632E1">
            <w:pPr>
              <w:jc w:val="center"/>
              <w:rPr>
                <w:b/>
                <w:sz w:val="22"/>
                <w:szCs w:val="22"/>
              </w:rPr>
            </w:pPr>
          </w:p>
        </w:tc>
        <w:tc>
          <w:tcPr>
            <w:tcW w:w="1985" w:type="dxa"/>
            <w:gridSpan w:val="2"/>
          </w:tcPr>
          <w:p w:rsidR="00CE634D" w:rsidRPr="005632E1" w:rsidRDefault="00CE634D" w:rsidP="005632E1">
            <w:pPr>
              <w:jc w:val="center"/>
              <w:rPr>
                <w:b/>
                <w:sz w:val="22"/>
                <w:szCs w:val="22"/>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8"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9"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lastRenderedPageBreak/>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10"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1"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w:t>
      </w:r>
      <w:r w:rsidRPr="005C4B9C">
        <w:rPr>
          <w:rFonts w:eastAsia="Calibri"/>
          <w:color w:val="000000"/>
          <w:sz w:val="24"/>
          <w:szCs w:val="24"/>
          <w:lang w:eastAsia="en-US"/>
        </w:rPr>
        <w:lastRenderedPageBreak/>
        <w:t xml:space="preserve">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741A86" w:rsidRDefault="00741A86" w:rsidP="00CE634D">
      <w:pPr>
        <w:spacing w:before="240" w:after="200" w:line="276" w:lineRule="auto"/>
        <w:jc w:val="both"/>
        <w:rPr>
          <w:rFonts w:eastAsia="Calibri"/>
          <w:color w:val="000000"/>
          <w:sz w:val="24"/>
          <w:szCs w:val="24"/>
          <w:lang w:eastAsia="en-US"/>
        </w:rPr>
      </w:pP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9F" w:rsidRDefault="00D9079F" w:rsidP="00CE634D">
      <w:r>
        <w:separator/>
      </w:r>
    </w:p>
  </w:endnote>
  <w:endnote w:type="continuationSeparator" w:id="0">
    <w:p w:rsidR="00D9079F" w:rsidRDefault="00D9079F"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589195"/>
      <w:docPartObj>
        <w:docPartGallery w:val="Page Numbers (Bottom of Page)"/>
        <w:docPartUnique/>
      </w:docPartObj>
    </w:sdtPr>
    <w:sdtEndPr/>
    <w:sdtContent>
      <w:p w:rsidR="00741A86" w:rsidRDefault="00741A86">
        <w:pPr>
          <w:pStyle w:val="Pta"/>
          <w:jc w:val="center"/>
        </w:pPr>
        <w:r>
          <w:fldChar w:fldCharType="begin"/>
        </w:r>
        <w:r>
          <w:instrText>PAGE   \* MERGEFORMAT</w:instrText>
        </w:r>
        <w:r>
          <w:fldChar w:fldCharType="separate"/>
        </w:r>
        <w:r w:rsidR="00150A6E">
          <w:rPr>
            <w:noProof/>
          </w:rPr>
          <w:t>2</w:t>
        </w:r>
        <w:r>
          <w:fldChar w:fldCharType="end"/>
        </w:r>
      </w:p>
    </w:sdtContent>
  </w:sdt>
  <w:p w:rsidR="00CE634D" w:rsidRDefault="00CE6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9F" w:rsidRDefault="00D9079F" w:rsidP="00CE634D">
      <w:r>
        <w:separator/>
      </w:r>
    </w:p>
  </w:footnote>
  <w:footnote w:type="continuationSeparator" w:id="0">
    <w:p w:rsidR="00D9079F" w:rsidRDefault="00D9079F" w:rsidP="00C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0365E3"/>
    <w:rsid w:val="00150A6E"/>
    <w:rsid w:val="003E60F8"/>
    <w:rsid w:val="0048312D"/>
    <w:rsid w:val="004B0C24"/>
    <w:rsid w:val="005632E1"/>
    <w:rsid w:val="00572963"/>
    <w:rsid w:val="005C4B9C"/>
    <w:rsid w:val="00741A86"/>
    <w:rsid w:val="00755831"/>
    <w:rsid w:val="007B4139"/>
    <w:rsid w:val="0082585D"/>
    <w:rsid w:val="0087273F"/>
    <w:rsid w:val="00951366"/>
    <w:rsid w:val="00A84BC8"/>
    <w:rsid w:val="00A93988"/>
    <w:rsid w:val="00A963A7"/>
    <w:rsid w:val="00BE6A69"/>
    <w:rsid w:val="00C227BF"/>
    <w:rsid w:val="00CB3623"/>
    <w:rsid w:val="00CB52A5"/>
    <w:rsid w:val="00CE634D"/>
    <w:rsid w:val="00D9079F"/>
    <w:rsid w:val="00DB23EE"/>
    <w:rsid w:val="00E4336D"/>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centralny-metainformacny-system-verejnej-spravy/10346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zacia.sk/pristup-do-metais/16150s" TargetMode="External"/><Relationship Id="rId5" Type="http://schemas.openxmlformats.org/officeDocument/2006/relationships/webSettings" Target="webSettings.xml"/><Relationship Id="rId10" Type="http://schemas.openxmlformats.org/officeDocument/2006/relationships/hyperlink" Target="http://www.informatizacia.sk/centralny-metainformacny-system-verejnej-spravy/10346s" TargetMode="External"/><Relationship Id="rId4" Type="http://schemas.openxmlformats.org/officeDocument/2006/relationships/settings" Target="settings.xml"/><Relationship Id="rId9" Type="http://schemas.openxmlformats.org/officeDocument/2006/relationships/hyperlink" Target="http://www.informatizacia.sk/pristup-do-metais/16150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2019-03-25T13:53:00Z</cp:lastPrinted>
  <dcterms:created xsi:type="dcterms:W3CDTF">2019-05-22T08:01:00Z</dcterms:created>
  <dcterms:modified xsi:type="dcterms:W3CDTF">2019-05-22T08:01:00Z</dcterms:modified>
</cp:coreProperties>
</file>