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aps/>
          <w:color w:val="000000"/>
          <w:sz w:val="24"/>
          <w:lang w:val="sk-SK" w:eastAsia="hi-IN"/>
        </w:rPr>
        <w:t>Národná rada Slovenskej republiky</w:t>
      </w:r>
      <w:r/>
    </w:p>
    <w:p>
      <w:pPr>
        <w:pStyle w:val="Normal"/>
        <w:widowControl w:val="false"/>
        <w:pBdr>
          <w:bottom w:val="single" w:sz="12" w:space="1" w:color="00000A"/>
        </w:pBdr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aps/>
          <w:color w:val="000000"/>
          <w:sz w:val="24"/>
          <w:lang w:val="sk-SK" w:eastAsia="hi-IN"/>
        </w:rPr>
        <w:t>VII. volebné obdobie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left"/>
        <w:textAlignment w:val="baseline"/>
        <w:rPr>
          <w:sz w:val="24"/>
          <w:i/>
          <w:sz w:val="24"/>
          <w:i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i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Návrh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Zákon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z ......... 2019,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tabs>
          <w:tab w:val="left" w:pos="7215" w:leader="none"/>
          <w:tab w:val="left" w:pos="8902" w:leader="dot"/>
        </w:tabs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 xml:space="preserve">ktorým sa dopĺňa zákon Národnej rady Slovenskej republiky č. 245/2008 Z. z. o </w:t>
      </w:r>
      <w:r>
        <w:rPr>
          <w:rFonts w:eastAsia="Times New Roman" w:ascii="Times New Roman" w:hAnsi="Times New Roman"/>
          <w:b w:val="false"/>
          <w:color w:val="000000"/>
          <w:sz w:val="24"/>
          <w:lang w:val="sk-SK" w:eastAsia="ar-SA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 xml:space="preserve">výchove a vzdelávaní (školský zákon)  </w:t>
      </w:r>
      <w:r>
        <w:rPr>
          <w:rFonts w:eastAsia="Times New Roman" w:ascii="Times New Roman" w:hAnsi="Times New Roman"/>
          <w:b/>
          <w:i w:val="false"/>
          <w:caps w:val="false"/>
          <w:smallCaps w:val="false"/>
          <w:color w:val="070707"/>
          <w:spacing w:val="0"/>
          <w:sz w:val="24"/>
          <w:lang w:val="sk-SK" w:eastAsia="ar-SA"/>
        </w:rPr>
        <w:t>a o zmene a doplnení niektorých zákonov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.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lang w:val="sk-SK"/>
        </w:rPr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Národná rada Slovenskej republiky sa uzniesla na tomto zákone: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Čl. I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Zákon Národnej rady Slovenskej republiky č. 245</w:t>
      </w:r>
      <w:r>
        <w:rPr>
          <w:rFonts w:eastAsia="Liberation Serif" w:ascii="Times New Roman" w:hAnsi="Times New Roman"/>
          <w:b w:val="false"/>
          <w:color w:val="000000"/>
          <w:sz w:val="24"/>
          <w:lang w:val="sk-SK" w:eastAsia="hi-IN"/>
        </w:rPr>
        <w:t xml:space="preserve">/2008 Z. z. </w:t>
      </w:r>
      <w:r>
        <w:rPr>
          <w:rFonts w:eastAsia="Times New Roman" w:ascii="Times New Roman" w:hAnsi="Times New Roman"/>
          <w:b w:val="false"/>
          <w:color w:val="000000"/>
          <w:sz w:val="24"/>
          <w:lang w:val="sk-SK" w:eastAsia="ar-SA"/>
        </w:rPr>
        <w:t xml:space="preserve">o výchove a vzdelávaní (školský zákon) </w:t>
      </w:r>
      <w:r>
        <w:rPr>
          <w:rFonts w:eastAsia="Liberation Serif" w:ascii="Times New Roman" w:hAnsi="Times New Roman"/>
          <w:b w:val="false"/>
          <w:color w:val="000000"/>
          <w:sz w:val="24"/>
          <w:lang w:val="sk-SK" w:eastAsia="hi-IN"/>
        </w:rPr>
        <w:t>v znení zákona Národnej rady Slovenskej republiky č. 462/2008 Z. z., zákona Národnej rady Slovenskej republiky č. 37/2009 Z. z., zákona Národnej rady Slovenskej republiky č. 184/2009 Z. z., zákona Národnej rady Slovenskej republiky č. 37/2011 Z. z., zákona Národnej rady Slovenskej republiky č. 390/2011 Z. z., zákona Národnej rady Slovenskej republiky č. 390/2011 Z. z., zákona Národnej rady Slovenskej republiky č. 324/2012 Z. z., zákona Národnej rady Slovenskej republiky č. 324/2012 Z. z., zákona Národnej rady Slovenskej republiky č. 324/2012 Z. z., zákona Národnej rady Slovenskej republiky č. 125/2013 Z. z., zákona Národnej rady Slovenskej republiky č. 464/2013 Z. z., zákona Národnej rady Slovenskej republiky č. 464/2013 Z. z., zákona Národnej rady Slovenskej republiky č. 464/2013 Z. z., zákona Národnej rady Slovenskej republiky č. 464/2013 Z. z., zákona Národnej rady Slovenskej republiky č. 307/2014 Z. z., zákona Národnej rady Slovenskej republiky č. 377/2014 Z. z., zákona Národnej rady Slovenskej republiky č. 61/2015 Z. z., zákona Národnej rady Slovenskej republiky č. 61/2015 Z. z., zákona Národnej rady Slovenskej republiky č. 188/2015 Z. z.,  zákona Národnej rady Slovenskej republiky č. 188/2015 Z. z.,  zákona Národnej rady Slovenskej republiky č. 188/2015 Z. z.,  zákona Národnej rady Slovenskej republiky č. 188/2015 Z. z.,  zákona Národnej rady Slovenskej republiky č. 125/2016 Z. z., zákona Národnej rady Slovenskej republiky č. 216/2016 Z. z., zákona Národnej rady Slovenskej republiky č. 56/2017 Z. z., zákona Národnej rady Slovenskej republiky č. 178/2017 Z. z., zákona Národnej rady Slovenskej republiky č. 182/2017 Z. z., zákona Národnej rady Slovenskej republiky č. 182/2017 Z. z., zákona Národnej rady Slovenskej republiky č. 182/2017 Z. z., zákona Národnej rady Slovenskej republiky č. 62/2018 Z. z., zákona Národnej rady Slovenskej republiky č. 62/2018 Z. z., zákona Národnej rady Slovenskej republiky č. 209/2018 Z. z., zákona Národnej rady Slovenskej republiky č. 210/2018 Z. z., zákona Národnej rady Slovenskej republiky č. 365/2018 Z. z., zákona Národnej rady Slovenskej republiky č. 375/2018 Z. z. sa dopĺňa takto: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b w:val="false"/>
          <w:sz w:val="24"/>
          <w:b w:val="false"/>
          <w:szCs w:val="24"/>
          <w:rFonts w:ascii="Times New Roman" w:hAnsi="Times New Roman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 w:ascii="Times New Roman" w:hAnsi="Times New Roman"/>
          <w:b w:val="false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ab/>
        <w:t xml:space="preserve">1.  V </w:t>
      </w:r>
      <w:r>
        <w:rPr>
          <w:rFonts w:eastAsia="Times New Roman" w:ascii="Times New Roman" w:hAnsi="Times New Roman"/>
          <w:color w:val="000000"/>
          <w:sz w:val="24"/>
          <w:lang w:val="sk-SK" w:eastAsia="hi-IN"/>
        </w:rPr>
        <w:t>§ 76 ods. 1 sa text za prvou vetou ruší a nahrádza sa  novým ustanovením, ktoré znie: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sk-SK"/>
        </w:rPr>
        <w:t>„</w:t>
      </w:r>
      <w:r>
        <w:rPr>
          <w:rStyle w:val="5yl5"/>
          <w:rFonts w:eastAsia="Times New Roman" w:ascii="Times New Roman" w:hAnsi="Times New Roman"/>
          <w:color w:val="000000"/>
          <w:sz w:val="24"/>
          <w:u w:val="none" w:color="000000"/>
          <w:lang w:val="sk-SK" w:eastAsia="hi-IN"/>
        </w:rPr>
        <w:t>Termíny a organizáciu externej časti maturitnej skúšky určí ministerstvo. Dozor pri vykonávaní externej časti maturitnej skúšky vykonáva externý administrátor, ktorým je vymenovaný pedagogický zamestnanec, ktorý nie je zamestnancom školy a nemá rovnakú aprobáciu, ako je vykonávaná externá maturitná skúška (ďalej len „externý administrátor“).  Externý administrátor je vymenovaný na danú pozíciu na rovnakej škole raz za päť rokov.“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  <w:rPr>
          <w:sz w:val="24"/>
          <w:b w:val="false"/>
          <w:sz w:val="24"/>
          <w:b w:val="false"/>
          <w:szCs w:val="24"/>
          <w:rFonts w:ascii="Liberation Serif" w:hAnsi="Liberation Serif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b w:val="false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ab/>
        <w:t xml:space="preserve">2.  V </w:t>
      </w:r>
      <w:r>
        <w:rPr>
          <w:rFonts w:eastAsia="Times New Roman" w:ascii="Times New Roman" w:hAnsi="Times New Roman"/>
          <w:color w:val="000000"/>
          <w:sz w:val="24"/>
          <w:lang w:val="sk-SK" w:eastAsia="hi-IN"/>
        </w:rPr>
        <w:t>§ 80 ods. 9  v prvej vete sa za slovným spojením „školskej maturitnej komisie“ ruší spojka „a“ a nahrádza sa čiarkou, za slovné spojenie „predmetovej maturitnej komisie“ sa vkladá nové slovné spojenie, ktoré znie: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sk-SK" w:bidi="hi-IN"/>
        </w:rPr>
        <w:t xml:space="preserve">„ </w:t>
      </w:r>
      <w:r>
        <w:rPr>
          <w:rStyle w:val="5yl5"/>
          <w:rFonts w:eastAsia="Liberation Serif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sk-SK" w:bidi="hi-IN"/>
        </w:rPr>
        <w:t>a externých administrátorov“.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  <w:rPr>
          <w:sz w:val="24"/>
          <w:u w:val="none" w:color="000000"/>
          <w:sz w:val="24"/>
          <w:szCs w:val="24"/>
          <w:rFonts w:ascii="Times New Roman" w:hAnsi="Times New Roman" w:eastAsia="Liberation Serif" w:cs="Liberation Serif"/>
          <w:color w:val="000000"/>
          <w:lang w:val="sk-SK" w:eastAsia="sk-SK" w:bidi="hi-IN"/>
        </w:rPr>
      </w:pPr>
      <w:r>
        <w:rPr>
          <w:rFonts w:eastAsia="Liberation Serif" w:cs="Liberation Serif" w:ascii="Times New Roman" w:hAnsi="Times New Roman"/>
          <w:color w:val="000000"/>
          <w:sz w:val="24"/>
          <w:szCs w:val="24"/>
          <w:u w:val="none" w:color="000000"/>
          <w:lang w:val="sk-SK" w:eastAsia="sk-SK" w:bidi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hi-IN" w:bidi="hi-IN"/>
        </w:rPr>
        <w:tab/>
        <w:t xml:space="preserve">3.  V </w:t>
      </w:r>
      <w:r>
        <w:rPr>
          <w:rStyle w:val="5yl5"/>
          <w:rFonts w:eastAsia="Times New Roman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hi-IN" w:bidi="hi-IN"/>
        </w:rPr>
        <w:t xml:space="preserve">§ 80 ods. 9 sa ruší poznámka pod čiarou 50) a </w:t>
      </w:r>
      <w:r>
        <w:rPr>
          <w:rStyle w:val="5yl5"/>
          <w:rFonts w:eastAsia="Liberation Serif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sk-SK" w:bidi="hi-IN"/>
        </w:rPr>
        <w:t>za poslednú vetu sa vkladá nov</w:t>
      </w:r>
      <w:r>
        <w:rPr>
          <w:rStyle w:val="5yl5"/>
          <w:rFonts w:eastAsia="Liberation Serif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sk-SK" w:bidi="hi-IN"/>
        </w:rPr>
        <w:t>á</w:t>
      </w:r>
      <w:r>
        <w:rPr>
          <w:rStyle w:val="5yl5"/>
          <w:rFonts w:eastAsia="Liberation Serif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sk-SK" w:bidi="hi-IN"/>
        </w:rPr>
        <w:t xml:space="preserve"> </w:t>
      </w:r>
      <w:r>
        <w:rPr>
          <w:rStyle w:val="5yl5"/>
          <w:rFonts w:eastAsia="Liberation Serif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sk-SK" w:bidi="hi-IN"/>
        </w:rPr>
        <w:t>veta</w:t>
      </w:r>
      <w:r>
        <w:rPr>
          <w:rStyle w:val="5yl5"/>
          <w:rFonts w:eastAsia="Liberation Serif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sk-SK" w:bidi="hi-IN"/>
        </w:rPr>
        <w:t>, ktor</w:t>
      </w:r>
      <w:r>
        <w:rPr>
          <w:rStyle w:val="5yl5"/>
          <w:rFonts w:eastAsia="Liberation Serif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sk-SK" w:bidi="hi-IN"/>
        </w:rPr>
        <w:t>á</w:t>
      </w:r>
      <w:r>
        <w:rPr>
          <w:rStyle w:val="5yl5"/>
          <w:rFonts w:eastAsia="Liberation Serif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sk-SK" w:bidi="hi-IN"/>
        </w:rPr>
        <w:t xml:space="preserve"> znie: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Fonts w:eastAsia="Liberation Serif" w:cs="Liberation Serif"/>
          <w:b w:val="false"/>
          <w:color w:val="000000"/>
          <w:sz w:val="24"/>
          <w:szCs w:val="24"/>
          <w:lang w:val="sk-SK" w:eastAsia="hi-IN" w:bidi="hi-IN"/>
        </w:rPr>
        <w:t>„</w:t>
      </w:r>
      <w:r>
        <w:rPr>
          <w:rFonts w:eastAsia="Times New Roman" w:cs="Liberation Serif" w:ascii="Times New Roman" w:hAnsi="Times New Roman"/>
          <w:b w:val="false"/>
          <w:bCs w:val="false"/>
          <w:color w:val="000000"/>
          <w:sz w:val="24"/>
          <w:szCs w:val="24"/>
          <w:lang w:val="sk-SK" w:eastAsia="hi-IN" w:bidi="hi-IN"/>
        </w:rPr>
        <w:t>Príslušný orgán miestnej štátnej správy v školstve na základe žiadosti Národného ústavu certifikovaných meraní vzdelávania vymenuje aj predsedov predmetovej maturitnej komisie pre účely hodnotenia externej časti maturitnej skúšky vykonávaných centrálne.“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  <w:rPr>
          <w:sz w:val="24"/>
          <w:b w:val="false"/>
          <w:sz w:val="24"/>
          <w:b w:val="false"/>
          <w:szCs w:val="24"/>
          <w:rFonts w:ascii="Liberation Serif" w:hAnsi="Liberation Serif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b w:val="false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hi-IN" w:bidi="hi-IN"/>
        </w:rPr>
        <w:tab/>
        <w:t xml:space="preserve">4.  V </w:t>
      </w:r>
      <w:r>
        <w:rPr>
          <w:rStyle w:val="5yl5"/>
          <w:rFonts w:eastAsia="Times New Roman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hi-IN" w:bidi="hi-IN"/>
        </w:rPr>
        <w:t>§ 81 sa vkladá nový ods. 9</w:t>
      </w:r>
      <w:r>
        <w:rPr>
          <w:rStyle w:val="5yl5"/>
          <w:rFonts w:eastAsia="Liberation Serif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sk-SK" w:bidi="hi-IN"/>
        </w:rPr>
        <w:t>, ktorý znie: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Fonts w:eastAsia="Times New Roman" w:cs="Liberation Serif" w:ascii="Times New Roman" w:hAnsi="Times New Roman"/>
          <w:b w:val="false"/>
          <w:color w:val="000000"/>
          <w:sz w:val="24"/>
          <w:szCs w:val="24"/>
          <w:lang w:val="sk-SK" w:eastAsia="hi-IN" w:bidi="hi-IN"/>
        </w:rPr>
        <w:t>„</w:t>
      </w:r>
      <w:r>
        <w:rPr>
          <w:rFonts w:eastAsia="Times New Roman" w:cs="Liberation Serif" w:ascii="Times New Roman" w:hAnsi="Times New Roman"/>
          <w:b w:val="false"/>
          <w:color w:val="000000"/>
          <w:sz w:val="24"/>
          <w:szCs w:val="24"/>
          <w:lang w:val="sk-SK" w:eastAsia="hi-IN" w:bidi="hi-IN"/>
        </w:rPr>
        <w:t xml:space="preserve">Externým administrátorom môže byť len pedagogický zamestnanec, ktorý spĺňa kvalifikačné predpoklady pre výkon práce pedagóga na strednej škole, ktorý nemá aprobáciu na testovaný predmet a nie je zamestnancom školy, na ktorej dozor pri externej časti maturitnej skúšky vykonáva.“ 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  <w:rPr>
          <w:sz w:val="24"/>
          <w:b w:val="false"/>
          <w:sz w:val="24"/>
          <w:b w:val="false"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 w:val="false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hi-IN" w:bidi="hi-IN"/>
        </w:rPr>
        <w:tab/>
        <w:t xml:space="preserve">5.  V </w:t>
      </w:r>
      <w:r>
        <w:rPr>
          <w:rStyle w:val="5yl5"/>
          <w:rFonts w:eastAsia="Times New Roman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hi-IN" w:bidi="hi-IN"/>
        </w:rPr>
        <w:t>§ 82 sa vkladá nový ods. 6</w:t>
      </w:r>
      <w:r>
        <w:rPr>
          <w:rStyle w:val="5yl5"/>
          <w:rFonts w:eastAsia="Liberation Serif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sk-SK" w:bidi="hi-IN"/>
        </w:rPr>
        <w:t>, ktorý znie: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Fonts w:eastAsia="Liberation Serif" w:cs="Liberation Serif"/>
          <w:b w:val="false"/>
          <w:color w:val="000000"/>
          <w:sz w:val="24"/>
          <w:szCs w:val="24"/>
          <w:lang w:val="sk-SK" w:eastAsia="hi-IN" w:bidi="hi-IN"/>
        </w:rPr>
        <w:t>„</w:t>
      </w:r>
      <w:r>
        <w:rPr>
          <w:rFonts w:eastAsia="Times New Roman" w:cs="Liberation Serif" w:ascii="Times New Roman" w:hAnsi="Times New Roman"/>
          <w:b w:val="false"/>
          <w:bCs w:val="false"/>
          <w:color w:val="000000"/>
          <w:sz w:val="24"/>
          <w:szCs w:val="24"/>
          <w:lang w:val="sk-SK" w:eastAsia="hi-IN" w:bidi="hi-IN"/>
        </w:rPr>
        <w:t xml:space="preserve">Hodnotenie odpovedí na úlohy s krátkou odpoveďou v externej časti maturitnej skúšky môže zabezpečovať aj Národný ústav certifikovaných meraní vzdelávania.“ 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  <w:rPr>
          <w:sz w:val="24"/>
          <w:sz w:val="24"/>
          <w:szCs w:val="24"/>
          <w:rFonts w:ascii="Liberation Serif" w:hAnsi="Liberation Serif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  <w:rPr>
          <w:sz w:val="24"/>
          <w:sz w:val="24"/>
          <w:szCs w:val="24"/>
          <w:rFonts w:ascii="Liberation Serif" w:hAnsi="Liberation Serif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Čl. II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</w:pPr>
      <w:r>
        <w:rPr>
          <w:rFonts w:eastAsia="Liberation Serif" w:cs="Liberation Serif" w:ascii="Times New Roman" w:hAnsi="Times New Roman"/>
          <w:b w:val="false"/>
          <w:bCs w:val="false"/>
          <w:color w:val="000000"/>
          <w:sz w:val="24"/>
          <w:szCs w:val="24"/>
          <w:lang w:val="sk-SK" w:eastAsia="hi-IN" w:bidi="hi-IN"/>
        </w:rPr>
        <w:t xml:space="preserve">Zákon Národnej rady Slovenskej republiky č. 596/2003 Z. z. o </w:t>
      </w:r>
      <w:r>
        <w:rPr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70707"/>
          <w:spacing w:val="0"/>
          <w:sz w:val="24"/>
          <w:szCs w:val="24"/>
          <w:lang w:val="sk-SK" w:eastAsia="hi-IN" w:bidi="hi-IN"/>
        </w:rPr>
        <w:t xml:space="preserve">štátnej správe v školstve a školskej samospráve </w:t>
      </w:r>
      <w:r>
        <w:rPr>
          <w:rFonts w:eastAsia="Liberation Serif" w:cs="Liberation Serif" w:ascii="Times New Roman" w:hAnsi="Times New Roman"/>
          <w:b w:val="false"/>
          <w:bCs w:val="false"/>
          <w:color w:val="000000"/>
          <w:sz w:val="24"/>
          <w:szCs w:val="24"/>
          <w:lang w:val="sk-SK" w:eastAsia="hi-IN" w:bidi="hi-IN"/>
        </w:rPr>
        <w:t xml:space="preserve">v znení zákona Národnej rady Slovenskej republiky č. </w:t>
      </w:r>
      <w:hyperlink r:id="rId2">
        <w:r>
          <w:rPr>
            <w:rStyle w:val="Internetovodkaz"/>
            <w:rFonts w:eastAsia="Liberation Serif" w:cs="Liberation Serif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365/2004 Z. z.</w:t>
        </w:r>
      </w:hyperlink>
      <w:r>
        <w:rPr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3">
        <w:r>
          <w:rPr>
            <w:rStyle w:val="Internetovodkaz"/>
            <w:rFonts w:eastAsia="Liberation Serif" w:cs="Liberation Serif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564/2004 Z. z.</w:t>
        </w:r>
      </w:hyperlink>
      <w:r>
        <w:rPr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, zákona N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árodnej rady Slovenskej republiky č. </w:t>
      </w:r>
      <w:hyperlink r:id="rId4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5/2005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5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475/2005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6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279/2006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7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689/2006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8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245/2008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9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462/2008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10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179/2009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 republiky č. </w:t>
      </w:r>
      <w:hyperlink r:id="rId11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179/2009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12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184/2009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13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214/2009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14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38/2011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 č. </w:t>
      </w:r>
      <w:hyperlink r:id="rId15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325/2012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16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345/2012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17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312/2013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18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464/2013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19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464/2013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20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61/2015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21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61/2015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22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188/2015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 č. </w:t>
      </w:r>
      <w:hyperlink r:id="rId23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422/2015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24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91/2016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 č. 177</w:t>
      </w:r>
      <w:hyperlink r:id="rId25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/2017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, zákona Národnej rady Slovenskej republiky č. 182</w:t>
      </w:r>
      <w:hyperlink r:id="rId26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/2017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       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182</w:t>
      </w:r>
      <w:hyperlink r:id="rId27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/2017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54</w:t>
      </w:r>
      <w:hyperlink r:id="rId28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177</w:t>
      </w:r>
      <w:hyperlink r:id="rId29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209</w:t>
      </w:r>
      <w:hyperlink r:id="rId30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365</w:t>
      </w:r>
      <w:hyperlink r:id="rId31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365</w:t>
      </w:r>
      <w:hyperlink r:id="rId32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 </w:t>
      </w:r>
      <w:r>
        <w:rPr>
          <w:rFonts w:eastAsia="Liberation Serif" w:cs="Liberation Serif" w:ascii="Times New Roman" w:hAnsi="Times New Roman"/>
          <w:b w:val="false"/>
          <w:bCs w:val="false"/>
          <w:color w:val="000000"/>
          <w:sz w:val="24"/>
          <w:szCs w:val="24"/>
          <w:lang w:val="sk-SK" w:eastAsia="hi-IN" w:bidi="hi-IN"/>
        </w:rPr>
        <w:t>sa dopĺňa takto: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 w:val="false"/>
          <w:bCs w:val="false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ab/>
        <w:t xml:space="preserve">1.  V </w:t>
      </w:r>
      <w:r>
        <w:rPr>
          <w:rFonts w:eastAsia="Times New Roman" w:ascii="Times New Roman" w:hAnsi="Times New Roman"/>
          <w:color w:val="000000"/>
          <w:sz w:val="24"/>
          <w:lang w:val="sk-SK" w:eastAsia="hi-IN"/>
        </w:rPr>
        <w:t xml:space="preserve">§ 10 ods. 9 sa za poslednú vetu vkladá nová veta, ktorá znie: 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cs="Liberation Serif" w:ascii="Times New Roman" w:hAnsi="Times New Roman"/>
          <w:color w:val="000000"/>
          <w:sz w:val="24"/>
          <w:szCs w:val="24"/>
          <w:u w:val="none" w:color="000000"/>
          <w:lang w:val="sk-SK" w:eastAsia="sk-SK" w:bidi="hi-IN"/>
        </w:rPr>
        <w:t>„</w:t>
      </w:r>
      <w:r>
        <w:rPr>
          <w:rStyle w:val="5yl5"/>
          <w:rFonts w:eastAsia="Liberation Serif" w:cs="Liberation Serif" w:ascii="Times New Roman" w:hAnsi="Times New Roman"/>
          <w:color w:val="000000"/>
          <w:sz w:val="24"/>
          <w:szCs w:val="24"/>
          <w:u w:val="none" w:color="000000"/>
          <w:lang w:val="sk-SK" w:eastAsia="sk-SK" w:bidi="hi-IN"/>
        </w:rPr>
        <w:t>Rovnako vymenúva aj externých administrátorov pre externé maturitné skúšky a externých administrátorov pre ostatné externé celoslovenské testovania.“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0"/>
        <w:ind w:left="737" w:right="0" w:hanging="397"/>
        <w:contextualSpacing/>
        <w:jc w:val="both"/>
        <w:textAlignment w:val="auto"/>
        <w:rPr>
          <w:sz w:val="22"/>
          <w:sz w:val="22"/>
          <w:szCs w:val="24"/>
          <w:rFonts w:ascii="Calibri" w:hAnsi="Calibri" w:eastAsia="Liberation Serif" w:cs="Liberation Serif"/>
          <w:color w:val="000000"/>
          <w:lang w:val="sk-SK" w:eastAsia="ar-SA" w:bidi="hi-IN"/>
        </w:rPr>
      </w:pPr>
      <w:r>
        <w:rPr>
          <w:rFonts w:eastAsia="Liberation Serif" w:cs="Liberation Serif"/>
          <w:color w:val="000000"/>
          <w:sz w:val="22"/>
          <w:szCs w:val="24"/>
          <w:lang w:val="sk-SK" w:eastAsia="ar-SA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Čl. III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jc w:val="both"/>
        <w:textAlignment w:val="baseline"/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shd w:fill="FFFFFF" w:val="clear"/>
          <w:lang w:val="sk-SK" w:eastAsia="hi-IN" w:bidi="ar-SA"/>
        </w:rPr>
        <w:t>Tento zákon nadobúda účinnosť 1. septembra 2019.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 w:cs="Liberation Serif"/>
      <w:color w:val="000000"/>
      <w:sz w:val="24"/>
      <w:szCs w:val="24"/>
      <w:lang w:val="sk-SK" w:eastAsia="hi-IN" w:bidi="hi-IN"/>
    </w:rPr>
  </w:style>
  <w:style w:type="paragraph" w:styleId="Nadpis1">
    <w:name w:val="Nadpis 1"/>
    <w:basedOn w:val="Normal"/>
    <w:pPr>
      <w:widowControl w:val="false"/>
      <w:spacing w:lineRule="auto" w:line="276" w:before="0" w:after="200"/>
      <w:ind w:left="138" w:right="0" w:hanging="0"/>
      <w:jc w:val="left"/>
      <w:textAlignment w:val="baseline"/>
    </w:pPr>
    <w:rPr>
      <w:rFonts w:ascii="Times New Roman" w:hAnsi="Times New Roman" w:eastAsia="Liberation Serif"/>
      <w:color w:val="000000"/>
      <w:sz w:val="24"/>
      <w:u w:val="single" w:color="000000"/>
      <w:lang w:val="sk-SK" w:eastAsia="hi-IN"/>
    </w:rPr>
  </w:style>
  <w:style w:type="paragraph" w:styleId="Nadpis3">
    <w:name w:val="Nadpis 3"/>
    <w:basedOn w:val="Nadpis"/>
    <w:pPr>
      <w:keepNext/>
      <w:widowControl w:val="false"/>
      <w:spacing w:lineRule="auto" w:line="276" w:before="240" w:after="120"/>
      <w:ind w:left="0" w:right="0" w:hanging="0"/>
      <w:jc w:val="left"/>
      <w:textAlignment w:val="baseline"/>
    </w:pPr>
    <w:rPr>
      <w:rFonts w:ascii="Liberation Sans" w:hAnsi="Liberation Sans" w:eastAsia="Mangal"/>
      <w:color w:val="000000"/>
      <w:sz w:val="28"/>
      <w:lang w:val="sk-SK" w:eastAsia="hi-IN"/>
    </w:rPr>
  </w:style>
  <w:style w:type="character" w:styleId="DefaultParagraphFont">
    <w:name w:val="Default Paragraph Font"/>
    <w:rPr/>
  </w:style>
  <w:style w:type="character" w:styleId="Nadpis1Char">
    <w:name w:val="Nadpis 1 Char"/>
    <w:basedOn w:val="DefaultParagraphFont"/>
    <w:rPr>
      <w:rFonts w:ascii="Calibri Light" w:hAnsi="Calibri Light" w:eastAsia="Calibri Light"/>
      <w:b/>
      <w:color w:val="000000"/>
      <w:sz w:val="29"/>
      <w:lang w:eastAsia="hi-IN"/>
    </w:rPr>
  </w:style>
  <w:style w:type="character" w:styleId="Internetovfdodkaz">
    <w:name w:val="Internetovýfd odkaz"/>
    <w:basedOn w:val="DefaultParagraphFont"/>
    <w:rPr>
      <w:rFonts w:eastAsia="Times New Roman"/>
      <w:color w:val="0000FF"/>
      <w:u w:val="single" w:color="000000"/>
      <w:lang w:eastAsia="zxx"/>
    </w:rPr>
  </w:style>
  <w:style w:type="character" w:styleId="Appleconvertedspace">
    <w:name w:val="apple-converted-space"/>
    <w:basedOn w:val="DefaultParagraphFont"/>
    <w:rPr>
      <w:rFonts w:eastAsia="Times New Roman"/>
    </w:rPr>
  </w:style>
  <w:style w:type="character" w:styleId="ListLabel1">
    <w:name w:val="ListLabel 1"/>
    <w:rPr>
      <w:rFonts w:eastAsia="Times New Roman"/>
    </w:rPr>
  </w:style>
  <w:style w:type="character" w:styleId="ListLabel2">
    <w:name w:val="ListLabel 2"/>
    <w:rPr>
      <w:rFonts w:eastAsia="Times New Roman"/>
    </w:rPr>
  </w:style>
  <w:style w:type="character" w:styleId="5yl5">
    <w:name w:val="_5yl5"/>
    <w:basedOn w:val="DefaultParagraphFont"/>
    <w:rPr>
      <w:rFonts w:eastAsia="Times New Roman"/>
    </w:rPr>
  </w:style>
  <w:style w:type="character" w:styleId="Premennfd">
    <w:name w:val="Premennýfd"/>
    <w:rPr>
      <w:i/>
    </w:rPr>
  </w:style>
  <w:style w:type="character" w:styleId="TextbublinyChar">
    <w:name w:val="Text bubliny Char"/>
    <w:basedOn w:val="DefaultParagraphFont"/>
    <w:rPr>
      <w:rFonts w:ascii="Segoe UI" w:hAnsi="Segoe UI" w:eastAsia="Mangal"/>
      <w:color w:val="000000"/>
      <w:sz w:val="16"/>
      <w:lang w:eastAsia="hi-IN"/>
    </w:rPr>
  </w:style>
  <w:style w:type="character" w:styleId="Internetovodkaz">
    <w:name w:val="Internetový odkaz"/>
    <w:rPr>
      <w:color w:val="000080"/>
      <w:u w:val="single" w:color="000000"/>
      <w:lang w:val="zxx" w:eastAsia="zxx" w:bidi="zxx"/>
    </w:rPr>
  </w:style>
  <w:style w:type="character" w:styleId="Premenn">
    <w:name w:val="Premenný"/>
    <w:rPr>
      <w:i/>
      <w:iCs/>
    </w:rPr>
  </w:style>
  <w:style w:type="paragraph" w:styleId="Nadpis">
    <w:name w:val="Nadpis"/>
    <w:basedOn w:val="Normal"/>
    <w:next w:val="Telotextu"/>
    <w:pPr>
      <w:keepNext/>
      <w:widowControl w:val="false"/>
      <w:spacing w:lineRule="auto" w:line="276" w:before="240" w:after="120"/>
      <w:ind w:left="0" w:right="0" w:hanging="0"/>
      <w:jc w:val="left"/>
      <w:textAlignment w:val="baseline"/>
    </w:pPr>
    <w:rPr>
      <w:rFonts w:ascii="Liberation Sans" w:hAnsi="Liberation Sans" w:eastAsia="Mangal" w:cs="Mangal"/>
      <w:color w:val="000000"/>
      <w:sz w:val="28"/>
      <w:szCs w:val="28"/>
      <w:lang w:val="sk-SK" w:eastAsia="hi-IN"/>
    </w:rPr>
  </w:style>
  <w:style w:type="paragraph" w:styleId="Telotextu">
    <w:name w:val="Telo textu"/>
    <w:basedOn w:val="Normal"/>
    <w:pPr>
      <w:widowControl w:val="false"/>
      <w:spacing w:lineRule="auto" w:line="288" w:before="0" w:after="14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Zoznam">
    <w:name w:val="Zoznam"/>
    <w:basedOn w:val="Telotextu"/>
    <w:pPr>
      <w:widowControl w:val="false"/>
      <w:spacing w:lineRule="auto" w:line="288" w:before="0" w:after="140"/>
      <w:ind w:left="0" w:right="0" w:hanging="0"/>
      <w:jc w:val="left"/>
      <w:textAlignment w:val="baseline"/>
    </w:pPr>
    <w:rPr>
      <w:rFonts w:ascii="Liberation Serif" w:hAnsi="Liberation Serif" w:eastAsia="Mangal" w:cs="Mangal"/>
      <w:color w:val="000000"/>
      <w:sz w:val="24"/>
      <w:lang w:val="sk-SK" w:eastAsia="hi-IN"/>
    </w:rPr>
  </w:style>
  <w:style w:type="paragraph" w:styleId="Popis">
    <w:name w:val="Popis"/>
    <w:basedOn w:val="Normal"/>
    <w:pPr>
      <w:widowControl w:val="false"/>
      <w:suppressLineNumbers/>
      <w:spacing w:lineRule="auto" w:line="276" w:before="120" w:after="120"/>
      <w:ind w:left="0" w:right="0" w:hanging="0"/>
      <w:jc w:val="left"/>
      <w:textAlignment w:val="baseline"/>
    </w:pPr>
    <w:rPr>
      <w:rFonts w:ascii="Liberation Serif" w:hAnsi="Liberation Serif" w:eastAsia="Mangal" w:cs="Mangal"/>
      <w:i/>
      <w:iCs/>
      <w:color w:val="000000"/>
      <w:sz w:val="24"/>
      <w:szCs w:val="24"/>
      <w:lang w:val="sk-SK" w:eastAsia="hi-IN"/>
    </w:rPr>
  </w:style>
  <w:style w:type="paragraph" w:styleId="Index">
    <w:name w:val="Index"/>
    <w:basedOn w:val="Normal"/>
    <w:pPr>
      <w:widowControl w:val="false"/>
      <w:suppressLineNumbers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Mangal" w:cs="Mangal"/>
      <w:color w:val="000000"/>
      <w:sz w:val="24"/>
      <w:lang w:val="sk-SK" w:eastAsia="hi-IN"/>
    </w:rPr>
  </w:style>
  <w:style w:type="paragraph" w:styleId="Caption">
    <w:name w:val="caption"/>
    <w:basedOn w:val="Normal"/>
    <w:pPr>
      <w:widowControl w:val="false"/>
      <w:spacing w:lineRule="auto" w:line="276" w:before="120" w:after="120"/>
      <w:ind w:left="0" w:right="0" w:hanging="0"/>
      <w:jc w:val="left"/>
      <w:textAlignment w:val="baseline"/>
    </w:pPr>
    <w:rPr>
      <w:rFonts w:ascii="Liberation Serif" w:hAnsi="Liberation Serif" w:eastAsia="Liberation Serif"/>
      <w:i/>
      <w:color w:val="000000"/>
      <w:sz w:val="24"/>
      <w:lang w:val="sk-SK" w:eastAsia="hi-IN"/>
    </w:rPr>
  </w:style>
  <w:style w:type="paragraph" w:styleId="ListParagraph">
    <w:name w:val="List Paragraph"/>
    <w:basedOn w:val="Normal"/>
    <w:pPr>
      <w:widowControl/>
      <w:spacing w:lineRule="auto" w:line="276" w:before="0" w:after="200"/>
      <w:ind w:left="720" w:right="0" w:hanging="0"/>
      <w:contextualSpacing/>
      <w:jc w:val="left"/>
      <w:textAlignment w:val="auto"/>
    </w:pPr>
    <w:rPr>
      <w:rFonts w:ascii="Calibri" w:hAnsi="Calibri" w:eastAsia="Liberation Serif"/>
      <w:color w:val="000000"/>
      <w:sz w:val="22"/>
      <w:lang w:val="sk-SK" w:eastAsia="ar-SA"/>
    </w:rPr>
  </w:style>
  <w:style w:type="paragraph" w:styleId="Obsahtabubeky">
    <w:name w:val="Obsah tabuľbeky"/>
    <w:basedOn w:val="Normal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Nadpistabubeky">
    <w:name w:val="Nadpis tabuľbeky"/>
    <w:basedOn w:val="Obsahtabubeky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BalloonText">
    <w:name w:val="Balloon Text"/>
    <w:basedOn w:val="Normal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Segoe UI" w:hAnsi="Segoe UI" w:eastAsia="Liberation Serif"/>
      <w:color w:val="000000"/>
      <w:sz w:val="18"/>
      <w:lang w:val="sk-SK" w:eastAsia="hi-IN"/>
    </w:rPr>
  </w:style>
  <w:style w:type="paragraph" w:styleId="Obsahtabuky">
    <w:name w:val="Obsah tabuľky"/>
    <w:basedOn w:val="Normal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Nadpistabuky">
    <w:name w:val="Nadpis tabuľky"/>
    <w:basedOn w:val="Obsahtabuky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Default">
    <w:name w:val="Default"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Liberation Serif" w:hAnsi="Liberation Serif" w:eastAsia="Calibri Light" w:cs="Liberation Serif"/>
      <w:color w:val="000000"/>
      <w:sz w:val="24"/>
      <w:szCs w:val="24"/>
      <w:lang w:val="sk-SK" w:eastAsia="sk-SK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konypreludi.sk/zz/2004-365" TargetMode="External"/><Relationship Id="rId3" Type="http://schemas.openxmlformats.org/officeDocument/2006/relationships/hyperlink" Target="http://www.zakonypreludi.sk/zz/2004-564" TargetMode="External"/><Relationship Id="rId4" Type="http://schemas.openxmlformats.org/officeDocument/2006/relationships/hyperlink" Target="http://www.zakonypreludi.sk/zz/2005-5" TargetMode="External"/><Relationship Id="rId5" Type="http://schemas.openxmlformats.org/officeDocument/2006/relationships/hyperlink" Target="http://www.zakonypreludi.sk/zz/2005-475" TargetMode="External"/><Relationship Id="rId6" Type="http://schemas.openxmlformats.org/officeDocument/2006/relationships/hyperlink" Target="http://www.zakonypreludi.sk/zz/2006-279" TargetMode="External"/><Relationship Id="rId7" Type="http://schemas.openxmlformats.org/officeDocument/2006/relationships/hyperlink" Target="http://www.zakonypreludi.sk/zz/2006-689" TargetMode="External"/><Relationship Id="rId8" Type="http://schemas.openxmlformats.org/officeDocument/2006/relationships/hyperlink" Target="http://www.zakonypreludi.sk/zz/2008-245" TargetMode="External"/><Relationship Id="rId9" Type="http://schemas.openxmlformats.org/officeDocument/2006/relationships/hyperlink" Target="http://www.zakonypreludi.sk/zz/2008-462" TargetMode="External"/><Relationship Id="rId10" Type="http://schemas.openxmlformats.org/officeDocument/2006/relationships/hyperlink" Target="http://www.zakonypreludi.sk/zz/2009-179" TargetMode="External"/><Relationship Id="rId11" Type="http://schemas.openxmlformats.org/officeDocument/2006/relationships/hyperlink" Target="http://www.zakonypreludi.sk/zz/2009-179" TargetMode="External"/><Relationship Id="rId12" Type="http://schemas.openxmlformats.org/officeDocument/2006/relationships/hyperlink" Target="http://www.zakonypreludi.sk/zz/2009-184" TargetMode="External"/><Relationship Id="rId13" Type="http://schemas.openxmlformats.org/officeDocument/2006/relationships/hyperlink" Target="http://www.zakonypreludi.sk/zz/2009-214" TargetMode="External"/><Relationship Id="rId14" Type="http://schemas.openxmlformats.org/officeDocument/2006/relationships/hyperlink" Target="http://www.zakonypreludi.sk/zz/2011-38" TargetMode="External"/><Relationship Id="rId15" Type="http://schemas.openxmlformats.org/officeDocument/2006/relationships/hyperlink" Target="http://www.zakonypreludi.sk/zz/2012-325" TargetMode="External"/><Relationship Id="rId16" Type="http://schemas.openxmlformats.org/officeDocument/2006/relationships/hyperlink" Target="http://www.zakonypreludi.sk/zz/2012-345" TargetMode="External"/><Relationship Id="rId17" Type="http://schemas.openxmlformats.org/officeDocument/2006/relationships/hyperlink" Target="http://www.zakonypreludi.sk/zz/2013-312" TargetMode="External"/><Relationship Id="rId18" Type="http://schemas.openxmlformats.org/officeDocument/2006/relationships/hyperlink" Target="http://www.zakonypreludi.sk/zz/2013-464" TargetMode="External"/><Relationship Id="rId19" Type="http://schemas.openxmlformats.org/officeDocument/2006/relationships/hyperlink" Target="http://www.zakonypreludi.sk/zz/2013-464" TargetMode="External"/><Relationship Id="rId20" Type="http://schemas.openxmlformats.org/officeDocument/2006/relationships/hyperlink" Target="http://www.zakonypreludi.sk/zz/2015-61" TargetMode="External"/><Relationship Id="rId21" Type="http://schemas.openxmlformats.org/officeDocument/2006/relationships/hyperlink" Target="http://www.zakonypreludi.sk/zz/2015-61" TargetMode="External"/><Relationship Id="rId22" Type="http://schemas.openxmlformats.org/officeDocument/2006/relationships/hyperlink" Target="http://www.zakonypreludi.sk/zz/2015-188" TargetMode="External"/><Relationship Id="rId23" Type="http://schemas.openxmlformats.org/officeDocument/2006/relationships/hyperlink" Target="http://www.zakonypreludi.sk/zz/2015-422" TargetMode="External"/><Relationship Id="rId24" Type="http://schemas.openxmlformats.org/officeDocument/2006/relationships/hyperlink" Target="http://www.zakonypreludi.sk/zz/2016-91" TargetMode="External"/><Relationship Id="rId25" Type="http://schemas.openxmlformats.org/officeDocument/2006/relationships/hyperlink" Target="http://www.zakonypreludi.sk/zz/2015-422" TargetMode="External"/><Relationship Id="rId26" Type="http://schemas.openxmlformats.org/officeDocument/2006/relationships/hyperlink" Target="http://www.zakonypreludi.sk/zz/2016-91" TargetMode="External"/><Relationship Id="rId27" Type="http://schemas.openxmlformats.org/officeDocument/2006/relationships/hyperlink" Target="http://www.zakonypreludi.sk/zz/2016-91" TargetMode="External"/><Relationship Id="rId28" Type="http://schemas.openxmlformats.org/officeDocument/2006/relationships/hyperlink" Target="http://www.zakonypreludi.sk/zz/2016-91" TargetMode="External"/><Relationship Id="rId29" Type="http://schemas.openxmlformats.org/officeDocument/2006/relationships/hyperlink" Target="http://www.zakonypreludi.sk/zz/2016-91" TargetMode="External"/><Relationship Id="rId30" Type="http://schemas.openxmlformats.org/officeDocument/2006/relationships/hyperlink" Target="http://www.zakonypreludi.sk/zz/2016-91" TargetMode="External"/><Relationship Id="rId31" Type="http://schemas.openxmlformats.org/officeDocument/2006/relationships/hyperlink" Target="http://www.zakonypreludi.sk/zz/2016-91" TargetMode="External"/><Relationship Id="rId32" Type="http://schemas.openxmlformats.org/officeDocument/2006/relationships/hyperlink" Target="http://www.zakonypreludi.sk/zz/2016-91" TargetMode="External"/><Relationship Id="rId33" Type="http://schemas.openxmlformats.org/officeDocument/2006/relationships/fontTable" Target="fontTable.xml"/><Relationship Id="rId3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6910</TotalTime>
  <Application>LibreOffice/4.3.5.2$Windows_x86 LibreOffice_project/3a87456aaa6a95c63eea1c1b3201acedf0751bd5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2016-10-26T10:10:00Z</dcterms:created>
  <dc:creator>PC</dc:creator>
  <dc:language>sk-SK</dc:language>
  <cp:lastPrinted>2016-10-26T09:24:00Z</cp:lastPrinted>
  <dcterms:modified xsi:type="dcterms:W3CDTF">2019-05-29T09:04:16Z</dcterms:modified>
  <cp:revision>9</cp:revision>
</cp:coreProperties>
</file>