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036" w:rsidRPr="002E32C0" w14:paraId="4B6C2166" w14:textId="77777777" w:rsidTr="00FB58E2">
        <w:trPr>
          <w:trHeight w:val="566"/>
          <w:jc w:val="center"/>
        </w:trPr>
        <w:tc>
          <w:tcPr>
            <w:tcW w:w="9062" w:type="dxa"/>
            <w:shd w:val="clear" w:color="auto" w:fill="D9D9D9"/>
            <w:vAlign w:val="center"/>
            <w:hideMark/>
          </w:tcPr>
          <w:p w14:paraId="13F8D0BA" w14:textId="213AE873" w:rsidR="00116036" w:rsidRPr="002E32C0" w:rsidRDefault="00115717" w:rsidP="00B51CD5">
            <w:pPr>
              <w:jc w:val="center"/>
            </w:pPr>
            <w:bookmarkStart w:id="0" w:name="_GoBack"/>
            <w:bookmarkEnd w:id="0"/>
            <w:r>
              <w:rPr>
                <w:rFonts w:eastAsia="Calibri"/>
                <w:sz w:val="22"/>
                <w:szCs w:val="22"/>
              </w:rPr>
              <w:tab/>
            </w:r>
            <w:r w:rsidR="00116036" w:rsidRPr="002E32C0">
              <w:rPr>
                <w:b/>
                <w:sz w:val="28"/>
              </w:rPr>
              <w:t>Analýza vplyvov na životné prostredie</w:t>
            </w:r>
          </w:p>
        </w:tc>
      </w:tr>
      <w:tr w:rsidR="00116036" w:rsidRPr="002E32C0" w14:paraId="4B82D3B3" w14:textId="77777777" w:rsidTr="00FB58E2">
        <w:trPr>
          <w:trHeight w:val="688"/>
          <w:jc w:val="center"/>
        </w:trPr>
        <w:tc>
          <w:tcPr>
            <w:tcW w:w="9062" w:type="dxa"/>
            <w:shd w:val="clear" w:color="auto" w:fill="D9D9D9"/>
            <w:vAlign w:val="center"/>
            <w:hideMark/>
          </w:tcPr>
          <w:p w14:paraId="0E4A17E1" w14:textId="77777777" w:rsidR="00116036" w:rsidRPr="002E32C0" w:rsidRDefault="00116036" w:rsidP="00C63C06">
            <w:pPr>
              <w:jc w:val="both"/>
              <w:rPr>
                <w:i/>
              </w:rPr>
            </w:pPr>
            <w:r w:rsidRPr="002E32C0">
              <w:rPr>
                <w:b/>
              </w:rPr>
              <w:t>5.1 Ktoré zložky životného prostredia (najmä ovzdušie, voda, horniny, pôda, organizmy) budú predkladaným materiálom ovplyvnené a aký bude ich vplyv ?</w:t>
            </w:r>
          </w:p>
        </w:tc>
      </w:tr>
      <w:tr w:rsidR="00116036" w:rsidRPr="002E32C0" w14:paraId="175290E5" w14:textId="77777777" w:rsidTr="00FB58E2">
        <w:trPr>
          <w:trHeight w:val="995"/>
          <w:jc w:val="center"/>
        </w:trPr>
        <w:tc>
          <w:tcPr>
            <w:tcW w:w="9062" w:type="dxa"/>
          </w:tcPr>
          <w:p w14:paraId="7500665F" w14:textId="77777777" w:rsidR="00116036" w:rsidRPr="003477FA" w:rsidRDefault="00116036" w:rsidP="00B51CD5">
            <w:pPr>
              <w:jc w:val="both"/>
            </w:pPr>
            <w:r w:rsidRPr="003477FA">
              <w:t>Predložený materiál má za cieľ podporiť rozvoj trhu alternatívnych palív v odvetví dopravy   a rozvoj príslušnej infraštruktúry, ktorý ma pozitívny vplyv na zníženie CO</w:t>
            </w:r>
            <w:r w:rsidRPr="003477FA">
              <w:rPr>
                <w:vertAlign w:val="subscript"/>
              </w:rPr>
              <w:t>2</w:t>
            </w:r>
            <w:r w:rsidRPr="003477FA">
              <w:t xml:space="preserve"> emisií, znečistenia a hluku.</w:t>
            </w:r>
          </w:p>
          <w:p w14:paraId="2B643D61" w14:textId="35404ED6" w:rsidR="00116036" w:rsidRDefault="000864A0" w:rsidP="00B51CD5">
            <w:pPr>
              <w:jc w:val="both"/>
            </w:pPr>
            <w:r>
              <w:t xml:space="preserve">Najmä </w:t>
            </w:r>
            <w:proofErr w:type="spellStart"/>
            <w:r>
              <w:t>e</w:t>
            </w:r>
            <w:r w:rsidR="00116036">
              <w:t>lektromobilita</w:t>
            </w:r>
            <w:proofErr w:type="spellEnd"/>
            <w:r w:rsidR="00116036" w:rsidRPr="003477FA">
              <w:t xml:space="preserve"> m</w:t>
            </w:r>
            <w:r w:rsidR="00116036">
              <w:t>á</w:t>
            </w:r>
            <w:r w:rsidR="00116036" w:rsidRPr="003477FA">
              <w:t xml:space="preserve"> výrazne pozitívny vplyv na kvalitu životného prostredia, vďaka úspore emisií zdraviu škodlivých látok</w:t>
            </w:r>
            <w:r w:rsidR="00116036">
              <w:t>, pevných častíc</w:t>
            </w:r>
            <w:r w:rsidR="00116036" w:rsidRPr="003477FA">
              <w:t xml:space="preserve"> a skleníkových </w:t>
            </w:r>
            <w:r w:rsidR="00116036" w:rsidRPr="005F6EBA">
              <w:t>plynov</w:t>
            </w:r>
            <w:r w:rsidR="005F6EBA" w:rsidRPr="005F6EBA">
              <w:rPr>
                <w:sz w:val="18"/>
                <w:szCs w:val="18"/>
              </w:rPr>
              <w:t>,</w:t>
            </w:r>
            <w:r w:rsidR="00116036" w:rsidRPr="005F6EBA">
              <w:t xml:space="preserve"> </w:t>
            </w:r>
            <w:r w:rsidR="00116036" w:rsidRPr="003477FA">
              <w:t>a</w:t>
            </w:r>
            <w:r w:rsidR="00116036">
              <w:t>ko aj zníženiu hladín hluku</w:t>
            </w:r>
            <w:r w:rsidR="00116036" w:rsidRPr="003477FA">
              <w:t xml:space="preserve"> z</w:t>
            </w:r>
            <w:r w:rsidR="00116036">
              <w:t> </w:t>
            </w:r>
            <w:r w:rsidR="00116036" w:rsidRPr="003477FA">
              <w:t>dopravy</w:t>
            </w:r>
            <w:r w:rsidR="00116036">
              <w:t xml:space="preserve">. </w:t>
            </w:r>
            <w:r w:rsidR="00116036" w:rsidRPr="003477FA">
              <w:t>Najväčší prínos pre kvalitu životného prostredia je v husto obývaných oblastiach s intenzívnou dopravou, nakoľko využívaním alternatívnych zdrojov sa zdroj znečisťujúcich látok v ovzduší plynúci z dopravy odstraňuje na lokálnej úrovni úplne.</w:t>
            </w:r>
          </w:p>
          <w:p w14:paraId="3F93773F" w14:textId="77777777" w:rsidR="00116036" w:rsidRPr="002E32C0" w:rsidRDefault="00116036" w:rsidP="00B51CD5">
            <w:pPr>
              <w:jc w:val="both"/>
              <w:rPr>
                <w:i/>
              </w:rPr>
            </w:pPr>
          </w:p>
        </w:tc>
      </w:tr>
      <w:tr w:rsidR="00116036" w:rsidRPr="002E32C0" w14:paraId="291B7FA0" w14:textId="77777777" w:rsidTr="00FB58E2">
        <w:trPr>
          <w:trHeight w:val="404"/>
          <w:jc w:val="center"/>
        </w:trPr>
        <w:tc>
          <w:tcPr>
            <w:tcW w:w="9062" w:type="dxa"/>
            <w:shd w:val="clear" w:color="auto" w:fill="D9D9D9"/>
            <w:vAlign w:val="center"/>
            <w:hideMark/>
          </w:tcPr>
          <w:p w14:paraId="558D4EF9" w14:textId="77777777" w:rsidR="00116036" w:rsidRPr="002E32C0" w:rsidRDefault="00116036" w:rsidP="00B51CD5">
            <w:pPr>
              <w:jc w:val="both"/>
              <w:rPr>
                <w:b/>
              </w:rPr>
            </w:pPr>
            <w:r w:rsidRPr="002E32C0">
              <w:rPr>
                <w:b/>
              </w:rPr>
              <w:t xml:space="preserve">5.2 Bude mať predkladaný materiál vplyv na chránené územia a ak áno, aký? </w:t>
            </w:r>
          </w:p>
        </w:tc>
      </w:tr>
      <w:tr w:rsidR="00116036" w:rsidRPr="002E32C0" w14:paraId="3E5EAB88" w14:textId="77777777" w:rsidTr="00FB58E2">
        <w:trPr>
          <w:trHeight w:val="987"/>
          <w:jc w:val="center"/>
        </w:trPr>
        <w:tc>
          <w:tcPr>
            <w:tcW w:w="9062" w:type="dxa"/>
          </w:tcPr>
          <w:p w14:paraId="1EFBD673" w14:textId="77777777" w:rsidR="00116036" w:rsidRPr="002E32C0" w:rsidRDefault="00116036" w:rsidP="00B51CD5">
            <w:pPr>
              <w:jc w:val="both"/>
              <w:rPr>
                <w:i/>
              </w:rPr>
            </w:pPr>
            <w:r>
              <w:rPr>
                <w:i/>
              </w:rPr>
              <w:t>Nie</w:t>
            </w:r>
          </w:p>
        </w:tc>
      </w:tr>
      <w:tr w:rsidR="00116036" w:rsidRPr="002E32C0" w14:paraId="543F0E6C" w14:textId="77777777" w:rsidTr="00FB58E2">
        <w:trPr>
          <w:trHeight w:val="698"/>
          <w:jc w:val="center"/>
        </w:trPr>
        <w:tc>
          <w:tcPr>
            <w:tcW w:w="9062" w:type="dxa"/>
            <w:shd w:val="clear" w:color="auto" w:fill="D9D9D9"/>
            <w:vAlign w:val="center"/>
          </w:tcPr>
          <w:p w14:paraId="50E74B42" w14:textId="77777777" w:rsidR="00116036" w:rsidRPr="002E32C0" w:rsidRDefault="00116036" w:rsidP="00B51CD5">
            <w:pPr>
              <w:jc w:val="both"/>
              <w:rPr>
                <w:b/>
              </w:rPr>
            </w:pPr>
            <w:r w:rsidRPr="002E32C0">
              <w:rPr>
                <w:b/>
              </w:rPr>
              <w:t>5.3 Bude mať predkladaný materiál vplyvy na životné prostredie presahujúce štátne hranice? (ktoré zložky a ako budú najviac ovplyvnené)?</w:t>
            </w:r>
          </w:p>
        </w:tc>
      </w:tr>
      <w:tr w:rsidR="00116036" w:rsidRPr="002E32C0" w14:paraId="6B818E46" w14:textId="77777777" w:rsidTr="00FB58E2">
        <w:trPr>
          <w:trHeight w:val="969"/>
          <w:jc w:val="center"/>
        </w:trPr>
        <w:tc>
          <w:tcPr>
            <w:tcW w:w="9062" w:type="dxa"/>
          </w:tcPr>
          <w:p w14:paraId="12193136" w14:textId="77777777" w:rsidR="00116036" w:rsidRPr="002E32C0" w:rsidRDefault="00116036" w:rsidP="00B51CD5">
            <w:pPr>
              <w:jc w:val="both"/>
              <w:rPr>
                <w:b/>
              </w:rPr>
            </w:pPr>
            <w:r>
              <w:rPr>
                <w:i/>
              </w:rPr>
              <w:t>Nie</w:t>
            </w:r>
          </w:p>
        </w:tc>
      </w:tr>
      <w:tr w:rsidR="00116036" w:rsidRPr="002E32C0" w14:paraId="6FBE801D" w14:textId="77777777" w:rsidTr="00FB58E2">
        <w:trPr>
          <w:trHeight w:val="713"/>
          <w:jc w:val="center"/>
        </w:trPr>
        <w:tc>
          <w:tcPr>
            <w:tcW w:w="9062" w:type="dxa"/>
            <w:shd w:val="clear" w:color="auto" w:fill="D9D9D9"/>
            <w:vAlign w:val="center"/>
          </w:tcPr>
          <w:p w14:paraId="643C1355" w14:textId="77777777" w:rsidR="00116036" w:rsidRPr="002E32C0" w:rsidRDefault="00116036" w:rsidP="00B51CD5">
            <w:pPr>
              <w:jc w:val="both"/>
              <w:rPr>
                <w:b/>
              </w:rPr>
            </w:pPr>
            <w:r w:rsidRPr="002E32C0">
              <w:rPr>
                <w:b/>
              </w:rPr>
              <w:t>5.4 Aké opatrenia budú prijaté na zmiernenie negatívneho vplyvu na životné prostredie?</w:t>
            </w:r>
          </w:p>
        </w:tc>
      </w:tr>
      <w:tr w:rsidR="00116036" w:rsidRPr="002E32C0" w14:paraId="624B56FE" w14:textId="77777777" w:rsidTr="00FB58E2">
        <w:trPr>
          <w:trHeight w:val="979"/>
          <w:jc w:val="center"/>
        </w:trPr>
        <w:tc>
          <w:tcPr>
            <w:tcW w:w="9062" w:type="dxa"/>
            <w:shd w:val="clear" w:color="auto" w:fill="FFFFFF"/>
          </w:tcPr>
          <w:p w14:paraId="7A45C960" w14:textId="77777777" w:rsidR="00116036" w:rsidRPr="002E32C0" w:rsidRDefault="00116036" w:rsidP="00B51CD5">
            <w:pPr>
              <w:jc w:val="both"/>
              <w:rPr>
                <w:b/>
              </w:rPr>
            </w:pPr>
            <w:r w:rsidRPr="00A83A21">
              <w:rPr>
                <w:i/>
              </w:rPr>
              <w:t>Navrhované opatrenia nepredpokladajú negatívne vplyvy na životné prostredie.</w:t>
            </w:r>
            <w:r>
              <w:rPr>
                <w:b/>
              </w:rPr>
              <w:t xml:space="preserve"> </w:t>
            </w:r>
          </w:p>
        </w:tc>
      </w:tr>
    </w:tbl>
    <w:p w14:paraId="2AC475F8" w14:textId="5AA6CA50" w:rsidR="00010EC9" w:rsidRPr="00975CBF" w:rsidRDefault="00010EC9" w:rsidP="00975CBF">
      <w:pPr>
        <w:tabs>
          <w:tab w:val="left" w:pos="12906"/>
        </w:tabs>
      </w:pPr>
    </w:p>
    <w:sectPr w:rsidR="00010EC9" w:rsidRPr="00975CBF" w:rsidSect="005522C5">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8D63F" w14:textId="77777777" w:rsidR="00B33BD6" w:rsidRDefault="00B33BD6">
      <w:r>
        <w:separator/>
      </w:r>
    </w:p>
  </w:endnote>
  <w:endnote w:type="continuationSeparator" w:id="0">
    <w:p w14:paraId="19E0D061" w14:textId="77777777" w:rsidR="00B33BD6" w:rsidRDefault="00B3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2196"/>
      <w:docPartObj>
        <w:docPartGallery w:val="Page Numbers (Bottom of Page)"/>
        <w:docPartUnique/>
      </w:docPartObj>
    </w:sdtPr>
    <w:sdtContent>
      <w:p w14:paraId="57B6BCF6" w14:textId="684EDD07" w:rsidR="00DE707C" w:rsidRDefault="00DE707C">
        <w:pPr>
          <w:pStyle w:val="Pta"/>
          <w:jc w:val="center"/>
        </w:pPr>
        <w:r>
          <w:fldChar w:fldCharType="begin"/>
        </w:r>
        <w:r>
          <w:instrText>PAGE   \* MERGEFORMAT</w:instrText>
        </w:r>
        <w:r>
          <w:fldChar w:fldCharType="separate"/>
        </w:r>
        <w:r>
          <w:rPr>
            <w:noProof/>
          </w:rPr>
          <w:t>1</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52667"/>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0A9C" w14:textId="77777777" w:rsidR="00B33BD6" w:rsidRDefault="00B33BD6">
      <w:r>
        <w:separator/>
      </w:r>
    </w:p>
  </w:footnote>
  <w:footnote w:type="continuationSeparator" w:id="0">
    <w:p w14:paraId="0FFA90FC" w14:textId="77777777" w:rsidR="00B33BD6" w:rsidRDefault="00B3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4A0"/>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5DF8"/>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2FE"/>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6EBA"/>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1B68"/>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BD6"/>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C06"/>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07C"/>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58E2"/>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C7E2-0F38-4C74-8BA9-873C6221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1064</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1230</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cp:revision>3</cp:revision>
  <cp:lastPrinted>2018-11-23T08:06:00Z</cp:lastPrinted>
  <dcterms:created xsi:type="dcterms:W3CDTF">2019-05-15T08:41:00Z</dcterms:created>
  <dcterms:modified xsi:type="dcterms:W3CDTF">2019-05-21T06:58:00Z</dcterms:modified>
</cp:coreProperties>
</file>