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jc w:val="center"/>
        <w:tblLook w:val="04A0" w:firstRow="1" w:lastRow="0" w:firstColumn="1" w:lastColumn="0" w:noHBand="0" w:noVBand="1"/>
      </w:tblPr>
      <w:tblGrid>
        <w:gridCol w:w="9212"/>
      </w:tblGrid>
      <w:tr w:rsidR="00E006A7" w:rsidRPr="00847178" w14:paraId="777D2444" w14:textId="77777777" w:rsidTr="00E006A7">
        <w:trPr>
          <w:trHeight w:val="567"/>
          <w:jc w:val="center"/>
        </w:trPr>
        <w:tc>
          <w:tcPr>
            <w:tcW w:w="9212" w:type="dxa"/>
            <w:shd w:val="clear" w:color="auto" w:fill="D9D9D9" w:themeFill="background1" w:themeFillShade="D9"/>
          </w:tcPr>
          <w:p w14:paraId="32740E3E" w14:textId="74FAC544" w:rsidR="00E006A7" w:rsidRPr="00847178" w:rsidRDefault="00115717" w:rsidP="00B51CD5">
            <w:pPr>
              <w:jc w:val="center"/>
              <w:rPr>
                <w:b/>
              </w:rPr>
            </w:pPr>
            <w:r>
              <w:rPr>
                <w:rFonts w:eastAsia="Calibri"/>
                <w:sz w:val="22"/>
                <w:szCs w:val="22"/>
              </w:rPr>
              <w:tab/>
            </w:r>
            <w:r w:rsidR="00E006A7" w:rsidRPr="00847178">
              <w:rPr>
                <w:b/>
                <w:sz w:val="28"/>
              </w:rPr>
              <w:t xml:space="preserve">Analýza vplyvov na podnikateľské prostredie </w:t>
            </w:r>
          </w:p>
          <w:p w14:paraId="295330A0" w14:textId="77777777" w:rsidR="00E006A7" w:rsidRPr="00847178" w:rsidRDefault="00E006A7" w:rsidP="00B51CD5">
            <w:pPr>
              <w:jc w:val="center"/>
              <w:rPr>
                <w:b/>
              </w:rPr>
            </w:pPr>
            <w:r w:rsidRPr="00847178">
              <w:rPr>
                <w:b/>
              </w:rPr>
              <w:t>(vrátane testu MSP)</w:t>
            </w:r>
          </w:p>
        </w:tc>
      </w:tr>
      <w:tr w:rsidR="00E006A7" w:rsidRPr="00847178" w14:paraId="744C4D21" w14:textId="77777777" w:rsidTr="00E006A7">
        <w:trPr>
          <w:trHeight w:val="567"/>
          <w:jc w:val="center"/>
        </w:trPr>
        <w:tc>
          <w:tcPr>
            <w:tcW w:w="9212" w:type="dxa"/>
            <w:shd w:val="clear" w:color="auto" w:fill="D9D9D9" w:themeFill="background1" w:themeFillShade="D9"/>
          </w:tcPr>
          <w:p w14:paraId="16E5431C" w14:textId="77777777" w:rsidR="00E006A7" w:rsidRPr="00847178" w:rsidRDefault="00E006A7" w:rsidP="00B51CD5">
            <w:pPr>
              <w:rPr>
                <w:b/>
              </w:rPr>
            </w:pPr>
            <w:r w:rsidRPr="00847178">
              <w:rPr>
                <w:b/>
              </w:rPr>
              <w:t>Materiál bude mať vplyv s ohľadom na veľkostnú kategóriu podnikov:</w:t>
            </w:r>
          </w:p>
        </w:tc>
      </w:tr>
      <w:tr w:rsidR="00E006A7" w:rsidRPr="00847178" w14:paraId="18C20418" w14:textId="77777777" w:rsidTr="00E006A7">
        <w:trPr>
          <w:trHeight w:val="567"/>
          <w:jc w:val="center"/>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40"/>
            </w:tblGrid>
            <w:tr w:rsidR="00E006A7" w:rsidRPr="00847178" w14:paraId="4578C731" w14:textId="77777777" w:rsidTr="00B51CD5">
              <w:sdt>
                <w:sdtPr>
                  <w:id w:val="43339831"/>
                  <w14:checkbox>
                    <w14:checked w14:val="0"/>
                    <w14:checkedState w14:val="2612" w14:font="MS Gothic"/>
                    <w14:uncheckedState w14:val="2610" w14:font="MS Gothic"/>
                  </w14:checkbox>
                </w:sdtPr>
                <w:sdtEndPr/>
                <w:sdtContent>
                  <w:tc>
                    <w:tcPr>
                      <w:tcW w:w="436" w:type="dxa"/>
                    </w:tcPr>
                    <w:p w14:paraId="2E37E187" w14:textId="77777777" w:rsidR="00E006A7" w:rsidRPr="00847178" w:rsidRDefault="00E006A7" w:rsidP="00B51CD5">
                      <w:pPr>
                        <w:jc w:val="center"/>
                      </w:pPr>
                      <w:r w:rsidRPr="00847178">
                        <w:rPr>
                          <w:rFonts w:ascii="MS Gothic" w:eastAsia="MS Gothic" w:hAnsi="MS Gothic"/>
                        </w:rPr>
                        <w:t>☐</w:t>
                      </w:r>
                    </w:p>
                  </w:tc>
                </w:sdtContent>
              </w:sdt>
              <w:tc>
                <w:tcPr>
                  <w:tcW w:w="8545" w:type="dxa"/>
                </w:tcPr>
                <w:p w14:paraId="30D3B94F" w14:textId="77777777" w:rsidR="00E006A7" w:rsidRPr="00847178" w:rsidRDefault="00E006A7" w:rsidP="00B51CD5">
                  <w:pPr>
                    <w:rPr>
                      <w:b/>
                    </w:rPr>
                  </w:pPr>
                  <w:r w:rsidRPr="00847178">
                    <w:rPr>
                      <w:b/>
                    </w:rPr>
                    <w:t>iba na MSP (0 - 249 zamestnancov)</w:t>
                  </w:r>
                </w:p>
              </w:tc>
            </w:tr>
            <w:tr w:rsidR="00E006A7" w:rsidRPr="00847178" w14:paraId="15E0A52E" w14:textId="77777777" w:rsidTr="00B51CD5">
              <w:sdt>
                <w:sdtPr>
                  <w:id w:val="-79453833"/>
                  <w14:checkbox>
                    <w14:checked w14:val="0"/>
                    <w14:checkedState w14:val="2612" w14:font="MS Gothic"/>
                    <w14:uncheckedState w14:val="2610" w14:font="MS Gothic"/>
                  </w14:checkbox>
                </w:sdtPr>
                <w:sdtEndPr/>
                <w:sdtContent>
                  <w:tc>
                    <w:tcPr>
                      <w:tcW w:w="436" w:type="dxa"/>
                    </w:tcPr>
                    <w:p w14:paraId="457E852E" w14:textId="77777777" w:rsidR="00E006A7" w:rsidRPr="00847178" w:rsidRDefault="00E006A7" w:rsidP="00B51CD5">
                      <w:pPr>
                        <w:jc w:val="center"/>
                      </w:pPr>
                      <w:r w:rsidRPr="00847178">
                        <w:rPr>
                          <w:rFonts w:ascii="MS Gothic" w:eastAsia="MS Gothic" w:hAnsi="MS Gothic"/>
                        </w:rPr>
                        <w:t>☐</w:t>
                      </w:r>
                    </w:p>
                  </w:tc>
                </w:sdtContent>
              </w:sdt>
              <w:tc>
                <w:tcPr>
                  <w:tcW w:w="8545" w:type="dxa"/>
                </w:tcPr>
                <w:p w14:paraId="21C82282" w14:textId="77777777" w:rsidR="00E006A7" w:rsidRPr="00847178" w:rsidRDefault="00E006A7" w:rsidP="00B51CD5">
                  <w:pPr>
                    <w:rPr>
                      <w:b/>
                    </w:rPr>
                  </w:pPr>
                  <w:r w:rsidRPr="00847178">
                    <w:rPr>
                      <w:b/>
                    </w:rPr>
                    <w:t>iba na veľké podniky (250 a viac zamestnancov)</w:t>
                  </w:r>
                </w:p>
              </w:tc>
            </w:tr>
            <w:tr w:rsidR="00E006A7" w:rsidRPr="00847178" w14:paraId="2FFF942B" w14:textId="77777777" w:rsidTr="00B51CD5">
              <w:sdt>
                <w:sdtPr>
                  <w:id w:val="1290634502"/>
                  <w14:checkbox>
                    <w14:checked w14:val="1"/>
                    <w14:checkedState w14:val="2612" w14:font="MS Gothic"/>
                    <w14:uncheckedState w14:val="2610" w14:font="MS Gothic"/>
                  </w14:checkbox>
                </w:sdtPr>
                <w:sdtEndPr/>
                <w:sdtContent>
                  <w:tc>
                    <w:tcPr>
                      <w:tcW w:w="436" w:type="dxa"/>
                    </w:tcPr>
                    <w:p w14:paraId="662D81EB" w14:textId="77777777" w:rsidR="00E006A7" w:rsidRPr="00847178" w:rsidRDefault="00E006A7" w:rsidP="00B51CD5">
                      <w:pPr>
                        <w:jc w:val="center"/>
                      </w:pPr>
                      <w:r w:rsidRPr="00847178">
                        <w:rPr>
                          <w:rFonts w:ascii="MS Gothic" w:eastAsia="MS Gothic" w:hAnsi="MS Gothic"/>
                        </w:rPr>
                        <w:t>☒</w:t>
                      </w:r>
                    </w:p>
                  </w:tc>
                </w:sdtContent>
              </w:sdt>
              <w:tc>
                <w:tcPr>
                  <w:tcW w:w="8545" w:type="dxa"/>
                </w:tcPr>
                <w:p w14:paraId="7ADDF4A7" w14:textId="77777777" w:rsidR="00E006A7" w:rsidRPr="00847178" w:rsidRDefault="00E006A7" w:rsidP="00B51CD5">
                  <w:r w:rsidRPr="00847178">
                    <w:rPr>
                      <w:b/>
                    </w:rPr>
                    <w:t>na všetky kategórie podnikov</w:t>
                  </w:r>
                </w:p>
              </w:tc>
            </w:tr>
          </w:tbl>
          <w:p w14:paraId="7AE405DE" w14:textId="77777777" w:rsidR="00E006A7" w:rsidRPr="00847178" w:rsidRDefault="00E006A7" w:rsidP="00B51CD5">
            <w:pPr>
              <w:rPr>
                <w:b/>
              </w:rPr>
            </w:pPr>
          </w:p>
        </w:tc>
      </w:tr>
      <w:tr w:rsidR="00E006A7" w:rsidRPr="00847178" w14:paraId="7C9E8C95" w14:textId="77777777" w:rsidTr="00E006A7">
        <w:trPr>
          <w:jc w:val="center"/>
        </w:trPr>
        <w:tc>
          <w:tcPr>
            <w:tcW w:w="9212" w:type="dxa"/>
            <w:shd w:val="clear" w:color="auto" w:fill="D9D9D9" w:themeFill="background1" w:themeFillShade="D9"/>
          </w:tcPr>
          <w:p w14:paraId="6623DCAA" w14:textId="77777777" w:rsidR="00E006A7" w:rsidRPr="00847178" w:rsidRDefault="00E006A7" w:rsidP="00B51CD5">
            <w:pPr>
              <w:rPr>
                <w:b/>
              </w:rPr>
            </w:pPr>
            <w:r w:rsidRPr="00847178">
              <w:rPr>
                <w:b/>
              </w:rPr>
              <w:t>3.1 Dotknuté podnikateľské subjekty</w:t>
            </w:r>
          </w:p>
          <w:p w14:paraId="08D55EB2" w14:textId="77777777" w:rsidR="00E006A7" w:rsidRPr="00847178" w:rsidRDefault="00E006A7" w:rsidP="00B51CD5">
            <w:pPr>
              <w:ind w:left="284"/>
              <w:rPr>
                <w:b/>
              </w:rPr>
            </w:pPr>
            <w:r w:rsidRPr="00847178">
              <w:t xml:space="preserve"> - </w:t>
            </w:r>
            <w:r w:rsidRPr="00847178">
              <w:rPr>
                <w:b/>
              </w:rPr>
              <w:t>z toho MSP</w:t>
            </w:r>
          </w:p>
        </w:tc>
      </w:tr>
      <w:tr w:rsidR="00E006A7" w:rsidRPr="00847178" w14:paraId="0BD805BD" w14:textId="77777777" w:rsidTr="00E006A7">
        <w:trPr>
          <w:trHeight w:val="1440"/>
          <w:jc w:val="center"/>
        </w:trPr>
        <w:tc>
          <w:tcPr>
            <w:tcW w:w="9212" w:type="dxa"/>
            <w:tcBorders>
              <w:bottom w:val="single" w:sz="4" w:space="0" w:color="auto"/>
            </w:tcBorders>
          </w:tcPr>
          <w:p w14:paraId="388A6193" w14:textId="197AC995" w:rsidR="00D83442" w:rsidRDefault="00E006A7" w:rsidP="00F31AFE">
            <w:pPr>
              <w:jc w:val="both"/>
            </w:pPr>
            <w:r w:rsidRPr="00005674">
              <w:t xml:space="preserve">Navrhovaný materiál </w:t>
            </w:r>
            <w:r w:rsidR="00AF7967">
              <w:t>predpokladá</w:t>
            </w:r>
            <w:r w:rsidRPr="00005674">
              <w:t xml:space="preserve"> pozitívny vplyv </w:t>
            </w:r>
            <w:r w:rsidR="00D83442">
              <w:t xml:space="preserve">na strane </w:t>
            </w:r>
            <w:r w:rsidR="00D83442" w:rsidRPr="00842E68">
              <w:t xml:space="preserve">podnikateľov FO, PO, ktorí požiadajú o dotáciu. </w:t>
            </w:r>
            <w:r w:rsidR="00D83442">
              <w:t>I</w:t>
            </w:r>
            <w:r w:rsidR="00D83442" w:rsidRPr="00842E68">
              <w:t xml:space="preserve">ch </w:t>
            </w:r>
            <w:r w:rsidR="00D83442">
              <w:t xml:space="preserve">celkový </w:t>
            </w:r>
            <w:r w:rsidR="00D83442" w:rsidRPr="00842E68">
              <w:t>počet n</w:t>
            </w:r>
            <w:r w:rsidR="00D83442">
              <w:t xml:space="preserve">ie je možné </w:t>
            </w:r>
            <w:r w:rsidR="00635FE3">
              <w:t>pri príprave materiálu identifikovať.</w:t>
            </w:r>
            <w:r w:rsidR="00D83442">
              <w:t xml:space="preserve"> V prípade realizácie </w:t>
            </w:r>
            <w:r w:rsidR="00635FE3">
              <w:t>poskytovania dotácií, vyplývajúcej z opatrenia</w:t>
            </w:r>
            <w:r w:rsidR="00D83442">
              <w:t xml:space="preserve"> č. 2</w:t>
            </w:r>
            <w:r w:rsidR="00635FE3">
              <w:t xml:space="preserve">, dokumentu  </w:t>
            </w:r>
            <w:r w:rsidR="00D91F7F">
              <w:t>„</w:t>
            </w:r>
            <w:r w:rsidR="00D83442" w:rsidRPr="00D91F7F">
              <w:rPr>
                <w:i/>
              </w:rPr>
              <w:t>Akčn</w:t>
            </w:r>
            <w:r w:rsidR="00635FE3" w:rsidRPr="00D91F7F">
              <w:rPr>
                <w:i/>
              </w:rPr>
              <w:t>ý</w:t>
            </w:r>
            <w:r w:rsidR="00D83442" w:rsidRPr="00D91F7F">
              <w:rPr>
                <w:i/>
              </w:rPr>
              <w:t xml:space="preserve"> plán rozvoja </w:t>
            </w:r>
            <w:proofErr w:type="spellStart"/>
            <w:r w:rsidR="00D83442" w:rsidRPr="00D91F7F">
              <w:rPr>
                <w:i/>
              </w:rPr>
              <w:t>elektromobility</w:t>
            </w:r>
            <w:proofErr w:type="spellEnd"/>
            <w:r w:rsidR="00D83442" w:rsidRPr="00D91F7F">
              <w:rPr>
                <w:i/>
              </w:rPr>
              <w:t xml:space="preserve"> v Slovenskej republike</w:t>
            </w:r>
            <w:r w:rsidR="00D91F7F">
              <w:rPr>
                <w:i/>
              </w:rPr>
              <w:t>“</w:t>
            </w:r>
            <w:r w:rsidR="00635FE3" w:rsidRPr="00D91F7F">
              <w:rPr>
                <w:i/>
              </w:rPr>
              <w:t>,</w:t>
            </w:r>
            <w:r w:rsidR="00D83442">
              <w:t xml:space="preserve"> je predpoklad dotačnej podpory do 1 000 žiadateľov.</w:t>
            </w:r>
          </w:p>
          <w:p w14:paraId="6DA3CF27" w14:textId="5F3A2C1A" w:rsidR="00842E68" w:rsidRDefault="00842E68" w:rsidP="00F31AFE">
            <w:pPr>
              <w:jc w:val="both"/>
            </w:pPr>
            <w:r>
              <w:t>P</w:t>
            </w:r>
            <w:r w:rsidRPr="00842E68">
              <w:t xml:space="preserve">ozitívny vplyv </w:t>
            </w:r>
            <w:r>
              <w:t xml:space="preserve">možno predpokladať aj </w:t>
            </w:r>
            <w:r w:rsidR="00635FE3">
              <w:t>pre</w:t>
            </w:r>
            <w:r w:rsidR="00D83442" w:rsidRPr="00005674">
              <w:t xml:space="preserve"> niektoré podnikateľské subjekty v</w:t>
            </w:r>
            <w:r w:rsidR="00D83442">
              <w:t> </w:t>
            </w:r>
            <w:r w:rsidR="00D83442" w:rsidRPr="00005674">
              <w:t>SR</w:t>
            </w:r>
            <w:r w:rsidR="00D83442">
              <w:t>.</w:t>
            </w:r>
            <w:r w:rsidR="00D83442" w:rsidRPr="00005674">
              <w:t xml:space="preserve">           </w:t>
            </w:r>
            <w:r w:rsidR="00D83442">
              <w:t xml:space="preserve">Priamo ide najmä o </w:t>
            </w:r>
            <w:r w:rsidR="00D83442" w:rsidRPr="00C41C1C">
              <w:t xml:space="preserve">výrobcov </w:t>
            </w:r>
            <w:r w:rsidR="00D83442">
              <w:t>(SK NACE 2910) a predajcov vozidiel (SK NACE 4511) na alternatívny pohon</w:t>
            </w:r>
            <w:r w:rsidR="00D83442" w:rsidRPr="00C41C1C">
              <w:t>,</w:t>
            </w:r>
            <w:r w:rsidR="00D83442">
              <w:t xml:space="preserve"> nepriamo o výrobcov komponentov pre automobilový priemysel,</w:t>
            </w:r>
            <w:r w:rsidR="00D83442" w:rsidRPr="00C41C1C">
              <w:t xml:space="preserve"> batérií, prevádzkovate</w:t>
            </w:r>
            <w:r w:rsidR="00D83442">
              <w:t>ľov</w:t>
            </w:r>
            <w:r w:rsidR="00D83442" w:rsidRPr="00C41C1C">
              <w:t xml:space="preserve"> </w:t>
            </w:r>
            <w:r w:rsidR="00D83442">
              <w:t>na</w:t>
            </w:r>
            <w:r w:rsidR="00D83442" w:rsidRPr="00C41C1C">
              <w:t>bíjacích</w:t>
            </w:r>
            <w:r w:rsidR="00D83442">
              <w:t xml:space="preserve"> a čerpacích staníc s alternatívnymi palivami</w:t>
            </w:r>
            <w:r w:rsidR="00D83442" w:rsidRPr="00C41C1C">
              <w:t xml:space="preserve"> a</w:t>
            </w:r>
            <w:r w:rsidR="00D83442">
              <w:t> </w:t>
            </w:r>
            <w:r w:rsidR="00D83442" w:rsidRPr="00C41C1C">
              <w:t>pod</w:t>
            </w:r>
            <w:r w:rsidR="00D83442">
              <w:t>.</w:t>
            </w:r>
          </w:p>
          <w:p w14:paraId="24D5A53D" w14:textId="50F41A70" w:rsidR="00F31AFE" w:rsidRDefault="00F31AFE" w:rsidP="00F31AFE">
            <w:pPr>
              <w:jc w:val="both"/>
            </w:pPr>
            <w:r>
              <w:t>N</w:t>
            </w:r>
            <w:r w:rsidRPr="00005674">
              <w:t xml:space="preserve">avrhovaný materiál </w:t>
            </w:r>
            <w:r>
              <w:t>z</w:t>
            </w:r>
            <w:r w:rsidRPr="00005674">
              <w:t xml:space="preserve">ároveň môže mať negatívny vplyv na tie podnikateľské subjekty, ktoré uvádzajú na trh iné </w:t>
            </w:r>
            <w:r w:rsidR="00ED2F3A">
              <w:t xml:space="preserve">palivá, ako sú alternatívne palivá v zmysle </w:t>
            </w:r>
            <w:r w:rsidR="00ED2F3A" w:rsidRPr="00B533CE">
              <w:t>Smernice</w:t>
            </w:r>
            <w:r w:rsidR="00ED2F3A">
              <w:t> </w:t>
            </w:r>
            <w:r w:rsidR="00ED2F3A" w:rsidRPr="00B533CE">
              <w:t>Európskeho parlamentu a Rady 2014/94/EÚ o</w:t>
            </w:r>
            <w:r w:rsidR="00ED2F3A">
              <w:t> </w:t>
            </w:r>
            <w:r w:rsidR="00ED2F3A" w:rsidRPr="00B533CE">
              <w:t>zavádzaní infraštruktúry pre alternatívne</w:t>
            </w:r>
            <w:r w:rsidR="00ED2F3A" w:rsidRPr="004244AB">
              <w:t xml:space="preserve"> palivá</w:t>
            </w:r>
            <w:r w:rsidR="00ED2F3A">
              <w:t>.</w:t>
            </w:r>
          </w:p>
          <w:p w14:paraId="698419A0" w14:textId="2544B833" w:rsidR="00E006A7" w:rsidRPr="00005674" w:rsidRDefault="00E006A7" w:rsidP="00635FE3">
            <w:pPr>
              <w:jc w:val="both"/>
            </w:pPr>
          </w:p>
        </w:tc>
      </w:tr>
      <w:tr w:rsidR="00E006A7" w:rsidRPr="00847178" w14:paraId="49730E5D" w14:textId="77777777" w:rsidTr="00E006A7">
        <w:trPr>
          <w:trHeight w:val="339"/>
          <w:jc w:val="center"/>
        </w:trPr>
        <w:tc>
          <w:tcPr>
            <w:tcW w:w="9212" w:type="dxa"/>
            <w:tcBorders>
              <w:bottom w:val="single" w:sz="4" w:space="0" w:color="auto"/>
            </w:tcBorders>
            <w:shd w:val="clear" w:color="auto" w:fill="D9D9D9" w:themeFill="background1" w:themeFillShade="D9"/>
          </w:tcPr>
          <w:p w14:paraId="7960EBBD" w14:textId="77777777" w:rsidR="00E006A7" w:rsidRPr="002F0026" w:rsidRDefault="00E006A7" w:rsidP="00B51CD5">
            <w:pPr>
              <w:rPr>
                <w:b/>
              </w:rPr>
            </w:pPr>
            <w:r w:rsidRPr="002F0026">
              <w:rPr>
                <w:b/>
              </w:rPr>
              <w:t>3.2 Vyhodnotenie konzultácií</w:t>
            </w:r>
          </w:p>
          <w:p w14:paraId="1640A7D3" w14:textId="77777777" w:rsidR="00E006A7" w:rsidRPr="002F0026" w:rsidRDefault="00E006A7" w:rsidP="00B51CD5">
            <w:pPr>
              <w:rPr>
                <w:b/>
              </w:rPr>
            </w:pPr>
            <w:r w:rsidRPr="002F0026">
              <w:t xml:space="preserve">       - </w:t>
            </w:r>
            <w:r w:rsidRPr="002F0026">
              <w:rPr>
                <w:b/>
              </w:rPr>
              <w:t>z toho MSP</w:t>
            </w:r>
          </w:p>
        </w:tc>
      </w:tr>
      <w:tr w:rsidR="00E006A7" w:rsidRPr="00847178" w14:paraId="3FF103E2" w14:textId="77777777" w:rsidTr="00E006A7">
        <w:trPr>
          <w:trHeight w:val="1440"/>
          <w:jc w:val="center"/>
        </w:trPr>
        <w:tc>
          <w:tcPr>
            <w:tcW w:w="9212" w:type="dxa"/>
            <w:tcBorders>
              <w:bottom w:val="single" w:sz="4" w:space="0" w:color="auto"/>
            </w:tcBorders>
          </w:tcPr>
          <w:p w14:paraId="20A4CFDD" w14:textId="1694147A" w:rsidR="009B5DED" w:rsidRDefault="00CE6A61" w:rsidP="00B51CD5">
            <w:pPr>
              <w:jc w:val="both"/>
            </w:pPr>
            <w:r w:rsidRPr="00CE6A61">
              <w:rPr>
                <w:color w:val="000000"/>
              </w:rPr>
              <w:t xml:space="preserve">Materiál </w:t>
            </w:r>
            <w:r w:rsidRPr="004B7614">
              <w:rPr>
                <w:color w:val="000000"/>
              </w:rPr>
              <w:t>bol</w:t>
            </w:r>
            <w:r w:rsidR="00B472AD">
              <w:rPr>
                <w:color w:val="000000"/>
              </w:rPr>
              <w:t xml:space="preserve"> </w:t>
            </w:r>
            <w:r w:rsidRPr="00CE6A61">
              <w:rPr>
                <w:color w:val="000000"/>
              </w:rPr>
              <w:t xml:space="preserve">predmetom konzultačného procesu aj so zástupcami </w:t>
            </w:r>
            <w:r w:rsidR="00D221AF">
              <w:rPr>
                <w:color w:val="000000"/>
              </w:rPr>
              <w:t xml:space="preserve">súkromného sektora (Zväz automobilového priemyslu SR, Slovenská asociácia pre </w:t>
            </w:r>
            <w:proofErr w:type="spellStart"/>
            <w:r w:rsidR="00D221AF">
              <w:rPr>
                <w:color w:val="000000"/>
              </w:rPr>
              <w:t>elektromobilitu</w:t>
            </w:r>
            <w:proofErr w:type="spellEnd"/>
            <w:r w:rsidR="00D221AF">
              <w:rPr>
                <w:color w:val="000000"/>
              </w:rPr>
              <w:t>, Národná vodíková asociácia Slovenska, SPP</w:t>
            </w:r>
            <w:r w:rsidR="000F6427">
              <w:rPr>
                <w:color w:val="000000"/>
              </w:rPr>
              <w:t xml:space="preserve"> </w:t>
            </w:r>
            <w:r w:rsidR="00D221AF">
              <w:rPr>
                <w:color w:val="000000"/>
              </w:rPr>
              <w:t>a.</w:t>
            </w:r>
            <w:r w:rsidR="00D91F7F">
              <w:rPr>
                <w:color w:val="000000"/>
              </w:rPr>
              <w:t xml:space="preserve"> </w:t>
            </w:r>
            <w:r w:rsidR="00D221AF">
              <w:rPr>
                <w:color w:val="000000"/>
              </w:rPr>
              <w:t>s.)</w:t>
            </w:r>
            <w:r w:rsidR="000F6427">
              <w:rPr>
                <w:color w:val="000000"/>
              </w:rPr>
              <w:t xml:space="preserve"> </w:t>
            </w:r>
            <w:r w:rsidR="0024589D">
              <w:rPr>
                <w:color w:val="000000"/>
              </w:rPr>
              <w:t xml:space="preserve">dňa 12. marca 2019 </w:t>
            </w:r>
            <w:r w:rsidR="0024589D" w:rsidRPr="00CE6A61">
              <w:rPr>
                <w:color w:val="000000"/>
              </w:rPr>
              <w:t xml:space="preserve">v rámci </w:t>
            </w:r>
            <w:r w:rsidR="0024589D">
              <w:rPr>
                <w:color w:val="000000"/>
              </w:rPr>
              <w:t>pracovnej skupiny pre alternatívne palivá a</w:t>
            </w:r>
            <w:r w:rsidR="000F6427">
              <w:rPr>
                <w:color w:val="000000"/>
              </w:rPr>
              <w:t> </w:t>
            </w:r>
            <w:r w:rsidR="0024589D">
              <w:rPr>
                <w:color w:val="000000"/>
              </w:rPr>
              <w:t>následne</w:t>
            </w:r>
            <w:r w:rsidR="000F6427">
              <w:rPr>
                <w:color w:val="000000"/>
              </w:rPr>
              <w:t>,</w:t>
            </w:r>
            <w:r w:rsidR="0024589D">
              <w:rPr>
                <w:color w:val="000000"/>
              </w:rPr>
              <w:t xml:space="preserve"> aj v elektronickej komunikácií v mesiaci apríl.</w:t>
            </w:r>
          </w:p>
          <w:p w14:paraId="79E0CBA2" w14:textId="0C67503C" w:rsidR="00ED2F3A" w:rsidRPr="00ED2F3A" w:rsidRDefault="0024589D" w:rsidP="00440AF8">
            <w:pPr>
              <w:jc w:val="both"/>
            </w:pPr>
            <w:r>
              <w:t>Výsledkom konzultácií je presné vymedzenie a technická definícia podporovaných alternatívnych pohonov</w:t>
            </w:r>
            <w:r w:rsidR="000F6427">
              <w:t>,</w:t>
            </w:r>
            <w:r>
              <w:t xml:space="preserve"> ako aj stanovenie optimálnej maximálnej výšky dotácie na úrovni 25 % z celkovej obstarávacej ceny vozidla.</w:t>
            </w:r>
            <w:r w:rsidR="00CA7550">
              <w:t xml:space="preserve"> Zo strany MH SR boli všetky p</w:t>
            </w:r>
            <w:r w:rsidR="00CA7550" w:rsidRPr="00CA7550">
              <w:t xml:space="preserve">ripomienky </w:t>
            </w:r>
            <w:r w:rsidR="00CA7550">
              <w:t xml:space="preserve">v rámci konzultácie s oslovenými </w:t>
            </w:r>
            <w:proofErr w:type="spellStart"/>
            <w:r w:rsidR="00CA7550">
              <w:t>subjektami</w:t>
            </w:r>
            <w:proofErr w:type="spellEnd"/>
            <w:r w:rsidR="00CA7550">
              <w:t xml:space="preserve"> prediskutované a</w:t>
            </w:r>
            <w:r w:rsidR="0040144A">
              <w:t> ich konečné znenie bolo oboma stranami akceptované</w:t>
            </w:r>
            <w:r w:rsidR="00CA7550">
              <w:t xml:space="preserve">. </w:t>
            </w:r>
          </w:p>
        </w:tc>
      </w:tr>
      <w:tr w:rsidR="00E006A7" w:rsidRPr="00847178" w14:paraId="050F07C7" w14:textId="77777777" w:rsidTr="00E006A7">
        <w:trPr>
          <w:jc w:val="center"/>
        </w:trPr>
        <w:tc>
          <w:tcPr>
            <w:tcW w:w="9212" w:type="dxa"/>
            <w:shd w:val="clear" w:color="auto" w:fill="D9D9D9" w:themeFill="background1" w:themeFillShade="D9"/>
          </w:tcPr>
          <w:p w14:paraId="1C2EBCA9" w14:textId="77777777" w:rsidR="00E006A7" w:rsidRPr="002F0026" w:rsidRDefault="00E006A7" w:rsidP="00B51CD5">
            <w:pPr>
              <w:rPr>
                <w:b/>
              </w:rPr>
            </w:pPr>
            <w:r w:rsidRPr="002F0026">
              <w:rPr>
                <w:b/>
              </w:rPr>
              <w:t>3.3 Náklady regulácie</w:t>
            </w:r>
          </w:p>
          <w:p w14:paraId="480864C7" w14:textId="77777777" w:rsidR="00E006A7" w:rsidRPr="002F0026" w:rsidRDefault="00E006A7" w:rsidP="00B51CD5">
            <w:pPr>
              <w:rPr>
                <w:b/>
              </w:rPr>
            </w:pPr>
            <w:r w:rsidRPr="002F0026">
              <w:t xml:space="preserve">      - </w:t>
            </w:r>
            <w:r w:rsidRPr="002F0026">
              <w:rPr>
                <w:b/>
              </w:rPr>
              <w:t>z toho MSP</w:t>
            </w:r>
          </w:p>
        </w:tc>
      </w:tr>
      <w:tr w:rsidR="00E006A7" w:rsidRPr="00847178" w14:paraId="1520F26B" w14:textId="77777777" w:rsidTr="00E006A7">
        <w:trPr>
          <w:jc w:val="center"/>
        </w:trPr>
        <w:tc>
          <w:tcPr>
            <w:tcW w:w="9212" w:type="dxa"/>
            <w:tcBorders>
              <w:bottom w:val="single" w:sz="4" w:space="0" w:color="auto"/>
            </w:tcBorders>
          </w:tcPr>
          <w:p w14:paraId="2CAA1CD5" w14:textId="77777777" w:rsidR="00E006A7" w:rsidRPr="002F0026" w:rsidRDefault="00E006A7" w:rsidP="00B51CD5">
            <w:pPr>
              <w:rPr>
                <w:b/>
                <w:i/>
              </w:rPr>
            </w:pPr>
            <w:r w:rsidRPr="002F0026">
              <w:rPr>
                <w:b/>
                <w:i/>
              </w:rPr>
              <w:t>3.3.1 Priame finančné náklady</w:t>
            </w:r>
          </w:p>
        </w:tc>
      </w:tr>
      <w:tr w:rsidR="00E006A7" w:rsidRPr="00847178" w14:paraId="236C1930" w14:textId="77777777" w:rsidTr="00E006A7">
        <w:trPr>
          <w:jc w:val="center"/>
        </w:trPr>
        <w:tc>
          <w:tcPr>
            <w:tcW w:w="9212" w:type="dxa"/>
            <w:tcBorders>
              <w:bottom w:val="single" w:sz="4" w:space="0" w:color="auto"/>
            </w:tcBorders>
          </w:tcPr>
          <w:p w14:paraId="5074945A" w14:textId="08D0BF1D" w:rsidR="00F31AFE" w:rsidRPr="00F31AFE" w:rsidRDefault="003269AC" w:rsidP="00445896">
            <w:pPr>
              <w:jc w:val="both"/>
              <w:rPr>
                <w:i/>
              </w:rPr>
            </w:pPr>
            <w:r>
              <w:t>Návrh zákona</w:t>
            </w:r>
            <w:r w:rsidR="00445896" w:rsidRPr="00005674">
              <w:t xml:space="preserve"> </w:t>
            </w:r>
            <w:r w:rsidR="00445896">
              <w:t xml:space="preserve">nepredpokladá </w:t>
            </w:r>
            <w:r w:rsidR="00445896" w:rsidRPr="00005674">
              <w:t>priame finančné náklad</w:t>
            </w:r>
            <w:r w:rsidR="00445896">
              <w:t>y.</w:t>
            </w:r>
          </w:p>
        </w:tc>
      </w:tr>
      <w:tr w:rsidR="00E006A7" w:rsidRPr="00847178" w14:paraId="2D901569" w14:textId="77777777" w:rsidTr="00E006A7">
        <w:trPr>
          <w:jc w:val="center"/>
        </w:trPr>
        <w:tc>
          <w:tcPr>
            <w:tcW w:w="9212" w:type="dxa"/>
            <w:tcBorders>
              <w:bottom w:val="single" w:sz="4" w:space="0" w:color="auto"/>
            </w:tcBorders>
          </w:tcPr>
          <w:p w14:paraId="050F0DC6" w14:textId="77777777" w:rsidR="00E006A7" w:rsidRPr="002F0026" w:rsidRDefault="00E006A7" w:rsidP="00B51CD5">
            <w:pPr>
              <w:jc w:val="both"/>
              <w:rPr>
                <w:b/>
                <w:i/>
              </w:rPr>
            </w:pPr>
            <w:r w:rsidRPr="002F0026">
              <w:rPr>
                <w:b/>
                <w:i/>
              </w:rPr>
              <w:t>3.3.2 Nepriame finančné náklady</w:t>
            </w:r>
          </w:p>
        </w:tc>
      </w:tr>
      <w:tr w:rsidR="00E006A7" w:rsidRPr="00847178" w14:paraId="46DA6D85" w14:textId="77777777" w:rsidTr="00E006A7">
        <w:trPr>
          <w:jc w:val="center"/>
        </w:trPr>
        <w:tc>
          <w:tcPr>
            <w:tcW w:w="9212" w:type="dxa"/>
            <w:tcBorders>
              <w:bottom w:val="single" w:sz="4" w:space="0" w:color="auto"/>
            </w:tcBorders>
          </w:tcPr>
          <w:p w14:paraId="0093F2E8" w14:textId="594B8856" w:rsidR="00E006A7" w:rsidRPr="00005674" w:rsidRDefault="003269AC" w:rsidP="002A4A5A">
            <w:pPr>
              <w:jc w:val="both"/>
            </w:pPr>
            <w:r>
              <w:t>Návrh zákona</w:t>
            </w:r>
            <w:r w:rsidRPr="00005674">
              <w:t xml:space="preserve"> </w:t>
            </w:r>
            <w:r w:rsidR="00B31862">
              <w:t>ne</w:t>
            </w:r>
            <w:r w:rsidR="00E006A7" w:rsidRPr="00005674">
              <w:t>predpokladá nepriame finančné náklad</w:t>
            </w:r>
            <w:r w:rsidR="00E006A7">
              <w:t>y</w:t>
            </w:r>
            <w:r w:rsidR="00B31862">
              <w:t>.</w:t>
            </w:r>
          </w:p>
        </w:tc>
      </w:tr>
      <w:tr w:rsidR="00E006A7" w:rsidRPr="00847178" w14:paraId="0C64847F" w14:textId="77777777" w:rsidTr="00E006A7">
        <w:trPr>
          <w:jc w:val="center"/>
        </w:trPr>
        <w:tc>
          <w:tcPr>
            <w:tcW w:w="9212" w:type="dxa"/>
            <w:tcBorders>
              <w:bottom w:val="single" w:sz="4" w:space="0" w:color="auto"/>
            </w:tcBorders>
          </w:tcPr>
          <w:p w14:paraId="44A86CD8" w14:textId="77777777" w:rsidR="00E006A7" w:rsidRPr="002F0026" w:rsidRDefault="00E006A7" w:rsidP="00B51CD5">
            <w:pPr>
              <w:jc w:val="both"/>
              <w:rPr>
                <w:b/>
                <w:i/>
              </w:rPr>
            </w:pPr>
            <w:r w:rsidRPr="002F0026">
              <w:rPr>
                <w:b/>
                <w:i/>
              </w:rPr>
              <w:t>3.3.3 Administratívne náklady</w:t>
            </w:r>
          </w:p>
        </w:tc>
      </w:tr>
      <w:tr w:rsidR="00E006A7" w:rsidRPr="00847178" w14:paraId="6881E4F0" w14:textId="77777777" w:rsidTr="00E006A7">
        <w:trPr>
          <w:jc w:val="center"/>
        </w:trPr>
        <w:tc>
          <w:tcPr>
            <w:tcW w:w="9212" w:type="dxa"/>
            <w:tcBorders>
              <w:bottom w:val="single" w:sz="4" w:space="0" w:color="auto"/>
            </w:tcBorders>
          </w:tcPr>
          <w:p w14:paraId="420098F4" w14:textId="420051AB" w:rsidR="004E4F65" w:rsidRDefault="003269AC">
            <w:pPr>
              <w:jc w:val="both"/>
            </w:pPr>
            <w:r>
              <w:t>Návrh zákona</w:t>
            </w:r>
            <w:r w:rsidRPr="00005674">
              <w:t xml:space="preserve"> </w:t>
            </w:r>
            <w:r w:rsidR="00E006A7" w:rsidRPr="00005674">
              <w:t xml:space="preserve">predpokladá </w:t>
            </w:r>
            <w:r w:rsidR="00445896">
              <w:t>administratívne náklady, ktoré budú spojené s </w:t>
            </w:r>
            <w:r w:rsidR="00D221AF">
              <w:t>predkladaním</w:t>
            </w:r>
            <w:r w:rsidR="00445896">
              <w:t xml:space="preserve"> žiadosti a jej príloh v rámci konania o žiadosti. </w:t>
            </w:r>
            <w:r w:rsidR="004E4F65">
              <w:t>Konkrétne ide o:</w:t>
            </w:r>
          </w:p>
          <w:p w14:paraId="7C5E7BC6" w14:textId="5EC469ED" w:rsidR="004E4F65" w:rsidRPr="000C2CFD" w:rsidRDefault="004E4F65" w:rsidP="004E4F65">
            <w:pPr>
              <w:pStyle w:val="Odsekzoznamu"/>
              <w:widowControl w:val="0"/>
              <w:numPr>
                <w:ilvl w:val="0"/>
                <w:numId w:val="49"/>
              </w:numPr>
              <w:autoSpaceDE w:val="0"/>
              <w:autoSpaceDN w:val="0"/>
              <w:adjustRightInd w:val="0"/>
              <w:jc w:val="both"/>
            </w:pPr>
            <w:r w:rsidRPr="000C2CFD">
              <w:t>doklady preukazujúce splnenie podm</w:t>
            </w:r>
            <w:r>
              <w:t xml:space="preserve">ienok podľa </w:t>
            </w:r>
            <w:r w:rsidRPr="004E4F65">
              <w:t>§ 8a ods. 5 zákona č. 523/2004 Z. z. v</w:t>
            </w:r>
            <w:r w:rsidR="000F6427">
              <w:t> </w:t>
            </w:r>
            <w:r w:rsidRPr="004E4F65">
              <w:t>znení neskor</w:t>
            </w:r>
            <w:r>
              <w:t>ších predpisov</w:t>
            </w:r>
            <w:r w:rsidR="000F6427">
              <w:t>,</w:t>
            </w:r>
          </w:p>
          <w:p w14:paraId="4FBF61A6" w14:textId="0476C9AB" w:rsidR="004E4F65" w:rsidRDefault="00EB50C4" w:rsidP="004E4F65">
            <w:pPr>
              <w:pStyle w:val="Odsekzoznamu"/>
              <w:widowControl w:val="0"/>
              <w:numPr>
                <w:ilvl w:val="0"/>
                <w:numId w:val="49"/>
              </w:numPr>
              <w:autoSpaceDE w:val="0"/>
              <w:autoSpaceDN w:val="0"/>
              <w:adjustRightInd w:val="0"/>
              <w:jc w:val="both"/>
            </w:pPr>
            <w:r>
              <w:t xml:space="preserve">úradne osvedčenú </w:t>
            </w:r>
            <w:r w:rsidR="00D221AF">
              <w:t>kópiu</w:t>
            </w:r>
            <w:r w:rsidR="004E4F65">
              <w:t xml:space="preserve"> o</w:t>
            </w:r>
            <w:r w:rsidR="004E4F65" w:rsidRPr="00AA5F0E">
              <w:t>svedčeni</w:t>
            </w:r>
            <w:r w:rsidR="004E4F65">
              <w:t>a</w:t>
            </w:r>
            <w:r w:rsidR="004E4F65" w:rsidRPr="00AA5F0E">
              <w:t xml:space="preserve"> o evidencii časť II,</w:t>
            </w:r>
          </w:p>
          <w:p w14:paraId="7C120DEB" w14:textId="6E00E757" w:rsidR="004E4F65" w:rsidRDefault="00D221AF" w:rsidP="000F6427">
            <w:pPr>
              <w:pStyle w:val="Odsekzoznamu"/>
              <w:widowControl w:val="0"/>
              <w:numPr>
                <w:ilvl w:val="0"/>
                <w:numId w:val="49"/>
              </w:numPr>
              <w:autoSpaceDE w:val="0"/>
              <w:autoSpaceDN w:val="0"/>
              <w:adjustRightInd w:val="0"/>
              <w:jc w:val="both"/>
            </w:pPr>
            <w:r>
              <w:t>faktúru</w:t>
            </w:r>
            <w:r w:rsidR="004E4F65" w:rsidRPr="00AA5F0E">
              <w:t xml:space="preserve"> alebo iný doklad preukazujúci nadobudnutie vlastníctva vozidla</w:t>
            </w:r>
            <w:r w:rsidR="004E4F65">
              <w:t>,</w:t>
            </w:r>
            <w:r w:rsidR="004E4F65" w:rsidRPr="00AA5F0E">
              <w:t xml:space="preserve"> </w:t>
            </w:r>
          </w:p>
          <w:p w14:paraId="5BACF0CC" w14:textId="1A822D4D" w:rsidR="004E4F65" w:rsidRDefault="004E4F65" w:rsidP="000F6427">
            <w:pPr>
              <w:pStyle w:val="Odsekzoznamu"/>
              <w:widowControl w:val="0"/>
              <w:numPr>
                <w:ilvl w:val="0"/>
                <w:numId w:val="49"/>
              </w:numPr>
              <w:autoSpaceDE w:val="0"/>
              <w:autoSpaceDN w:val="0"/>
              <w:adjustRightInd w:val="0"/>
              <w:jc w:val="both"/>
            </w:pPr>
            <w:r>
              <w:t>čestné vyhlásenie, že žiadateľ nepožaduje alebo nečerpá finančné prostriedky na nákup z rozpočtu iného orgánu verejnej správy alebo inej osoby hospodáriacej s prostriedkami štátneho rozpočtu,</w:t>
            </w:r>
          </w:p>
          <w:p w14:paraId="5C2358AC" w14:textId="6641FBD7" w:rsidR="00EB50C4" w:rsidRDefault="00EB50C4" w:rsidP="000F6427">
            <w:pPr>
              <w:pStyle w:val="Odsekzoznamu"/>
              <w:widowControl w:val="0"/>
              <w:numPr>
                <w:ilvl w:val="0"/>
                <w:numId w:val="49"/>
              </w:numPr>
              <w:autoSpaceDE w:val="0"/>
              <w:autoSpaceDN w:val="0"/>
              <w:adjustRightInd w:val="0"/>
              <w:jc w:val="both"/>
            </w:pPr>
            <w:r w:rsidRPr="009C4F79">
              <w:t xml:space="preserve">doklad preukazujúci vyradenie vozidla so spaľovacím motorom, staršieho ako 15 rokov </w:t>
            </w:r>
            <w:r>
              <w:t xml:space="preserve">             </w:t>
            </w:r>
            <w:r w:rsidRPr="009C4F79">
              <w:t>z evidencie vozidiel z dôvodu odovzdania vozidla na spracovanie autorizovanému spracovateľovi starých vozidiel</w:t>
            </w:r>
            <w:r>
              <w:t>,</w:t>
            </w:r>
          </w:p>
          <w:p w14:paraId="149EA8D7" w14:textId="7BB94B67" w:rsidR="004E4F65" w:rsidRDefault="00702EAD" w:rsidP="00702EAD">
            <w:pPr>
              <w:pStyle w:val="Odsekzoznamu"/>
              <w:widowControl w:val="0"/>
              <w:numPr>
                <w:ilvl w:val="0"/>
                <w:numId w:val="49"/>
              </w:numPr>
              <w:autoSpaceDE w:val="0"/>
              <w:autoSpaceDN w:val="0"/>
              <w:adjustRightInd w:val="0"/>
              <w:jc w:val="both"/>
            </w:pPr>
            <w:r w:rsidRPr="00702EAD">
              <w:lastRenderedPageBreak/>
              <w:t xml:space="preserve">vyhlásenie žiadateľa o tom, že štatutárny orgán alebo člen štatutárneho orgánu alebo iná osoba oprávnená konať v jeho mene nekonala v mene právnickej osoby, ktorá zanikla </w:t>
            </w:r>
            <w:r>
              <w:t xml:space="preserve">                    </w:t>
            </w:r>
            <w:bookmarkStart w:id="0" w:name="_GoBack"/>
            <w:bookmarkEnd w:id="0"/>
            <w:r w:rsidRPr="00702EAD">
              <w:t xml:space="preserve">a </w:t>
            </w:r>
            <w:proofErr w:type="spellStart"/>
            <w:r w:rsidRPr="00702EAD">
              <w:t>nevysporiadala</w:t>
            </w:r>
            <w:proofErr w:type="spellEnd"/>
            <w:r w:rsidRPr="00702EAD">
              <w:t xml:space="preserve"> finančné vzťahy so štátnym rozpočtom a nie je fyzickou osobou, ktorá nesmie vykonávať funkciu člena štatutárneho orgánu alebo člena dozorného orgánu </w:t>
            </w:r>
            <w:r>
              <w:t xml:space="preserve">                         </w:t>
            </w:r>
            <w:r w:rsidRPr="00702EAD">
              <w:t>v obchodnej spoločnosti alebo v</w:t>
            </w:r>
            <w:r>
              <w:t> </w:t>
            </w:r>
            <w:r w:rsidRPr="00702EAD">
              <w:t>družstve</w:t>
            </w:r>
            <w:r>
              <w:t xml:space="preserve"> </w:t>
            </w:r>
            <w:r w:rsidR="004E4F65">
              <w:t xml:space="preserve">podľa </w:t>
            </w:r>
            <w:r w:rsidR="004E4F65" w:rsidRPr="004E4F65">
              <w:t>§ 13a ods. 1 Obchodného zákonníka.</w:t>
            </w:r>
          </w:p>
          <w:p w14:paraId="788633C9" w14:textId="77777777" w:rsidR="00CA7550" w:rsidRDefault="00CA7550" w:rsidP="00CA7550">
            <w:pPr>
              <w:widowControl w:val="0"/>
              <w:autoSpaceDE w:val="0"/>
              <w:autoSpaceDN w:val="0"/>
              <w:adjustRightInd w:val="0"/>
              <w:jc w:val="both"/>
            </w:pPr>
          </w:p>
          <w:p w14:paraId="7851A264" w14:textId="5783F570" w:rsidR="00CA7550" w:rsidRDefault="00CA7550" w:rsidP="00CA7550">
            <w:pPr>
              <w:widowControl w:val="0"/>
              <w:autoSpaceDE w:val="0"/>
              <w:autoSpaceDN w:val="0"/>
              <w:adjustRightInd w:val="0"/>
              <w:jc w:val="both"/>
            </w:pPr>
            <w:r>
              <w:t xml:space="preserve">Predpokladané administratívne náklady </w:t>
            </w:r>
            <w:r w:rsidRPr="00CA7550">
              <w:t xml:space="preserve">na 1 podnikateľa a celé podnikateľské prostredie </w:t>
            </w:r>
            <w:r>
              <w:t xml:space="preserve">boli vyčíslené pomocou kalkulačky nákladov regulácie použitím údajov a </w:t>
            </w:r>
            <w:r w:rsidR="00E94F1D">
              <w:t>vzorca</w:t>
            </w:r>
            <w:r>
              <w:t xml:space="preserve"> 200 (čas) x </w:t>
            </w:r>
            <w:r w:rsidR="00E94F1D">
              <w:t xml:space="preserve">916 </w:t>
            </w:r>
            <w:r>
              <w:t xml:space="preserve">(tarifa) x 0,1 (frekvencia), resp. 200 (čas) x </w:t>
            </w:r>
            <w:r w:rsidR="00E94F1D">
              <w:t xml:space="preserve">916 </w:t>
            </w:r>
            <w:r>
              <w:t>(tarifa) x 0,1 (frekvencia) x 1000 (počet dotknutých podnikateľov).</w:t>
            </w:r>
          </w:p>
          <w:p w14:paraId="17EC8A4A" w14:textId="77777777" w:rsidR="00E006A7" w:rsidRPr="002F0026" w:rsidRDefault="00E006A7" w:rsidP="006A3FC9">
            <w:pPr>
              <w:jc w:val="both"/>
              <w:rPr>
                <w:b/>
                <w:i/>
              </w:rPr>
            </w:pPr>
          </w:p>
        </w:tc>
      </w:tr>
      <w:tr w:rsidR="00E006A7" w:rsidRPr="00847178" w14:paraId="25FBF551" w14:textId="77777777" w:rsidTr="00E006A7">
        <w:trPr>
          <w:trHeight w:val="2318"/>
          <w:jc w:val="center"/>
        </w:trPr>
        <w:tc>
          <w:tcPr>
            <w:tcW w:w="9212" w:type="dxa"/>
            <w:tcBorders>
              <w:bottom w:val="single" w:sz="4" w:space="0" w:color="auto"/>
            </w:tcBorders>
          </w:tcPr>
          <w:p w14:paraId="5A38C3E5" w14:textId="77777777" w:rsidR="00E006A7" w:rsidRPr="002F0026" w:rsidRDefault="00E006A7" w:rsidP="00B51CD5">
            <w:pPr>
              <w:rPr>
                <w:i/>
              </w:rPr>
            </w:pPr>
            <w:r w:rsidRPr="002F0026">
              <w:rPr>
                <w:b/>
                <w:i/>
              </w:rPr>
              <w:lastRenderedPageBreak/>
              <w:t>3.3.4 Súhrnná tabuľka nákladov regulácie</w:t>
            </w:r>
          </w:p>
          <w:tbl>
            <w:tblPr>
              <w:tblStyle w:val="Mriekatabuky"/>
              <w:tblW w:w="0" w:type="auto"/>
              <w:tblLook w:val="04A0" w:firstRow="1" w:lastRow="0" w:firstColumn="1" w:lastColumn="0" w:noHBand="0" w:noVBand="1"/>
            </w:tblPr>
            <w:tblGrid>
              <w:gridCol w:w="2993"/>
              <w:gridCol w:w="2994"/>
              <w:gridCol w:w="2994"/>
            </w:tblGrid>
            <w:tr w:rsidR="00E006A7" w:rsidRPr="002F0026" w14:paraId="0A337671" w14:textId="77777777" w:rsidTr="00B51CD5">
              <w:tc>
                <w:tcPr>
                  <w:tcW w:w="2993" w:type="dxa"/>
                </w:tcPr>
                <w:p w14:paraId="4EC019EF" w14:textId="77777777" w:rsidR="00E006A7" w:rsidRPr="002F0026" w:rsidRDefault="00E006A7" w:rsidP="00B51CD5">
                  <w:pPr>
                    <w:rPr>
                      <w:i/>
                    </w:rPr>
                  </w:pPr>
                </w:p>
              </w:tc>
              <w:tc>
                <w:tcPr>
                  <w:tcW w:w="2994" w:type="dxa"/>
                </w:tcPr>
                <w:p w14:paraId="3AAFB553" w14:textId="77777777" w:rsidR="00E006A7" w:rsidRPr="002F0026" w:rsidRDefault="00E006A7" w:rsidP="00B51CD5">
                  <w:pPr>
                    <w:jc w:val="center"/>
                    <w:rPr>
                      <w:i/>
                    </w:rPr>
                  </w:pPr>
                  <w:r w:rsidRPr="002F0026">
                    <w:rPr>
                      <w:i/>
                    </w:rPr>
                    <w:t>Náklady na 1 podnikateľa</w:t>
                  </w:r>
                </w:p>
              </w:tc>
              <w:tc>
                <w:tcPr>
                  <w:tcW w:w="2994" w:type="dxa"/>
                </w:tcPr>
                <w:p w14:paraId="01CC0048" w14:textId="77777777" w:rsidR="00E006A7" w:rsidRPr="002F0026" w:rsidRDefault="00E006A7" w:rsidP="00B51CD5">
                  <w:pPr>
                    <w:jc w:val="center"/>
                    <w:rPr>
                      <w:i/>
                    </w:rPr>
                  </w:pPr>
                  <w:r w:rsidRPr="002F0026">
                    <w:rPr>
                      <w:i/>
                    </w:rPr>
                    <w:t>Náklady na celé podnikateľské prostredie</w:t>
                  </w:r>
                </w:p>
              </w:tc>
            </w:tr>
            <w:tr w:rsidR="00E006A7" w:rsidRPr="002F0026" w14:paraId="15862586" w14:textId="77777777" w:rsidTr="00B51CD5">
              <w:tc>
                <w:tcPr>
                  <w:tcW w:w="2993" w:type="dxa"/>
                </w:tcPr>
                <w:p w14:paraId="73538DF0" w14:textId="77777777" w:rsidR="00E006A7" w:rsidRPr="002F0026" w:rsidRDefault="00E006A7" w:rsidP="00B51CD5">
                  <w:pPr>
                    <w:rPr>
                      <w:i/>
                    </w:rPr>
                  </w:pPr>
                  <w:r w:rsidRPr="002F0026">
                    <w:rPr>
                      <w:i/>
                    </w:rPr>
                    <w:t>Priame finančné náklady</w:t>
                  </w:r>
                </w:p>
              </w:tc>
              <w:tc>
                <w:tcPr>
                  <w:tcW w:w="2994" w:type="dxa"/>
                </w:tcPr>
                <w:p w14:paraId="67792C8F" w14:textId="77777777" w:rsidR="00E006A7" w:rsidRPr="002F0026" w:rsidRDefault="00E006A7" w:rsidP="00B51CD5">
                  <w:pPr>
                    <w:jc w:val="center"/>
                    <w:rPr>
                      <w:i/>
                    </w:rPr>
                  </w:pPr>
                  <w:r w:rsidRPr="002F0026">
                    <w:rPr>
                      <w:i/>
                    </w:rPr>
                    <w:t>0</w:t>
                  </w:r>
                </w:p>
              </w:tc>
              <w:tc>
                <w:tcPr>
                  <w:tcW w:w="2994" w:type="dxa"/>
                </w:tcPr>
                <w:p w14:paraId="2EAF48BC" w14:textId="77777777" w:rsidR="00E006A7" w:rsidRPr="002F0026" w:rsidRDefault="00E006A7" w:rsidP="00B51CD5">
                  <w:pPr>
                    <w:jc w:val="center"/>
                    <w:rPr>
                      <w:i/>
                    </w:rPr>
                  </w:pPr>
                  <w:r w:rsidRPr="002F0026">
                    <w:rPr>
                      <w:i/>
                    </w:rPr>
                    <w:t>0</w:t>
                  </w:r>
                </w:p>
              </w:tc>
            </w:tr>
            <w:tr w:rsidR="00E006A7" w:rsidRPr="002F0026" w14:paraId="530F4ED6" w14:textId="77777777" w:rsidTr="00B51CD5">
              <w:tc>
                <w:tcPr>
                  <w:tcW w:w="2993" w:type="dxa"/>
                </w:tcPr>
                <w:p w14:paraId="565A3542" w14:textId="77777777" w:rsidR="00E006A7" w:rsidRPr="002F0026" w:rsidRDefault="00E006A7" w:rsidP="00B51CD5">
                  <w:pPr>
                    <w:rPr>
                      <w:i/>
                    </w:rPr>
                  </w:pPr>
                  <w:r w:rsidRPr="002F0026">
                    <w:rPr>
                      <w:i/>
                    </w:rPr>
                    <w:t>Nepriame finančné náklady</w:t>
                  </w:r>
                </w:p>
              </w:tc>
              <w:tc>
                <w:tcPr>
                  <w:tcW w:w="2994" w:type="dxa"/>
                </w:tcPr>
                <w:p w14:paraId="5DBA0BED" w14:textId="77777777" w:rsidR="00E006A7" w:rsidRPr="002F0026" w:rsidRDefault="00E006A7" w:rsidP="00B51CD5">
                  <w:pPr>
                    <w:jc w:val="center"/>
                    <w:rPr>
                      <w:i/>
                    </w:rPr>
                  </w:pPr>
                  <w:r w:rsidRPr="002F0026">
                    <w:rPr>
                      <w:i/>
                    </w:rPr>
                    <w:t>0</w:t>
                  </w:r>
                </w:p>
              </w:tc>
              <w:tc>
                <w:tcPr>
                  <w:tcW w:w="2994" w:type="dxa"/>
                </w:tcPr>
                <w:p w14:paraId="456872F7" w14:textId="77777777" w:rsidR="00E006A7" w:rsidRPr="002F0026" w:rsidRDefault="00E006A7" w:rsidP="00B51CD5">
                  <w:pPr>
                    <w:jc w:val="center"/>
                    <w:rPr>
                      <w:i/>
                    </w:rPr>
                  </w:pPr>
                  <w:r w:rsidRPr="002F0026">
                    <w:rPr>
                      <w:i/>
                    </w:rPr>
                    <w:t>0</w:t>
                  </w:r>
                </w:p>
              </w:tc>
            </w:tr>
            <w:tr w:rsidR="00E006A7" w:rsidRPr="002F0026" w14:paraId="03CB15B1" w14:textId="77777777" w:rsidTr="00B51CD5">
              <w:tc>
                <w:tcPr>
                  <w:tcW w:w="2993" w:type="dxa"/>
                </w:tcPr>
                <w:p w14:paraId="0D50512B" w14:textId="77777777" w:rsidR="00E006A7" w:rsidRPr="002F0026" w:rsidRDefault="00E006A7" w:rsidP="00B51CD5">
                  <w:pPr>
                    <w:rPr>
                      <w:i/>
                    </w:rPr>
                  </w:pPr>
                  <w:r w:rsidRPr="002F0026">
                    <w:rPr>
                      <w:i/>
                    </w:rPr>
                    <w:t>Administratívne náklady</w:t>
                  </w:r>
                </w:p>
              </w:tc>
              <w:tc>
                <w:tcPr>
                  <w:tcW w:w="2994" w:type="dxa"/>
                </w:tcPr>
                <w:p w14:paraId="5D46A7E6" w14:textId="4AB8771E" w:rsidR="00E006A7" w:rsidRPr="002F0026" w:rsidRDefault="00D83442" w:rsidP="00B51CD5">
                  <w:pPr>
                    <w:jc w:val="center"/>
                    <w:rPr>
                      <w:i/>
                    </w:rPr>
                  </w:pPr>
                  <w:r>
                    <w:rPr>
                      <w:i/>
                    </w:rPr>
                    <w:t>19,08</w:t>
                  </w:r>
                </w:p>
              </w:tc>
              <w:tc>
                <w:tcPr>
                  <w:tcW w:w="2994" w:type="dxa"/>
                </w:tcPr>
                <w:p w14:paraId="7AA4151E" w14:textId="21BE947D" w:rsidR="00E006A7" w:rsidRPr="002F0026" w:rsidRDefault="00D83442" w:rsidP="00B51CD5">
                  <w:pPr>
                    <w:jc w:val="center"/>
                    <w:rPr>
                      <w:i/>
                    </w:rPr>
                  </w:pPr>
                  <w:r>
                    <w:rPr>
                      <w:i/>
                    </w:rPr>
                    <w:t>19 083,33</w:t>
                  </w:r>
                </w:p>
              </w:tc>
            </w:tr>
            <w:tr w:rsidR="00E006A7" w:rsidRPr="002F0026" w14:paraId="59FF09A2" w14:textId="77777777" w:rsidTr="00B51CD5">
              <w:tc>
                <w:tcPr>
                  <w:tcW w:w="2993" w:type="dxa"/>
                </w:tcPr>
                <w:p w14:paraId="210BC918" w14:textId="77777777" w:rsidR="00E006A7" w:rsidRPr="002F0026" w:rsidRDefault="00E006A7" w:rsidP="00B51CD5">
                  <w:pPr>
                    <w:rPr>
                      <w:b/>
                      <w:i/>
                    </w:rPr>
                  </w:pPr>
                  <w:r w:rsidRPr="002F0026">
                    <w:rPr>
                      <w:b/>
                      <w:i/>
                    </w:rPr>
                    <w:t>Celkové náklady regulácie</w:t>
                  </w:r>
                </w:p>
              </w:tc>
              <w:tc>
                <w:tcPr>
                  <w:tcW w:w="2994" w:type="dxa"/>
                </w:tcPr>
                <w:p w14:paraId="5C2E747C" w14:textId="27534A0A" w:rsidR="00E006A7" w:rsidRPr="002F0026" w:rsidRDefault="00D83442" w:rsidP="00B51CD5">
                  <w:pPr>
                    <w:jc w:val="center"/>
                    <w:rPr>
                      <w:b/>
                      <w:i/>
                    </w:rPr>
                  </w:pPr>
                  <w:r>
                    <w:rPr>
                      <w:b/>
                      <w:i/>
                    </w:rPr>
                    <w:t>19,08</w:t>
                  </w:r>
                </w:p>
              </w:tc>
              <w:tc>
                <w:tcPr>
                  <w:tcW w:w="2994" w:type="dxa"/>
                </w:tcPr>
                <w:p w14:paraId="7D379FEC" w14:textId="414C382D" w:rsidR="00E006A7" w:rsidRPr="002F0026" w:rsidRDefault="00D83442" w:rsidP="00B51CD5">
                  <w:pPr>
                    <w:jc w:val="center"/>
                    <w:rPr>
                      <w:b/>
                      <w:i/>
                    </w:rPr>
                  </w:pPr>
                  <w:r>
                    <w:rPr>
                      <w:b/>
                      <w:i/>
                    </w:rPr>
                    <w:t>19 083,33</w:t>
                  </w:r>
                </w:p>
              </w:tc>
            </w:tr>
          </w:tbl>
          <w:p w14:paraId="28217115" w14:textId="77777777" w:rsidR="00E006A7" w:rsidRPr="002F0026" w:rsidRDefault="00E006A7" w:rsidP="00B51CD5">
            <w:pPr>
              <w:rPr>
                <w:i/>
              </w:rPr>
            </w:pPr>
          </w:p>
        </w:tc>
      </w:tr>
      <w:tr w:rsidR="00E006A7" w:rsidRPr="00847178" w14:paraId="69A26B49" w14:textId="77777777" w:rsidTr="00E006A7">
        <w:trPr>
          <w:jc w:val="center"/>
        </w:trPr>
        <w:tc>
          <w:tcPr>
            <w:tcW w:w="9212" w:type="dxa"/>
            <w:shd w:val="clear" w:color="auto" w:fill="D9D9D9" w:themeFill="background1" w:themeFillShade="D9"/>
          </w:tcPr>
          <w:p w14:paraId="4DFEF13A" w14:textId="77777777" w:rsidR="00E006A7" w:rsidRPr="002F0026" w:rsidRDefault="00E006A7" w:rsidP="00B51CD5">
            <w:pPr>
              <w:rPr>
                <w:b/>
              </w:rPr>
            </w:pPr>
            <w:r w:rsidRPr="002F0026">
              <w:rPr>
                <w:b/>
              </w:rPr>
              <w:t>3.4 Konkurencieschopnosť a správanie sa podnikov na trhu</w:t>
            </w:r>
          </w:p>
          <w:p w14:paraId="48791EE1" w14:textId="77777777" w:rsidR="00E006A7" w:rsidRPr="002F0026" w:rsidRDefault="00E006A7" w:rsidP="00B51CD5">
            <w:r w:rsidRPr="002F0026">
              <w:rPr>
                <w:b/>
              </w:rPr>
              <w:t xml:space="preserve">       </w:t>
            </w:r>
            <w:r w:rsidRPr="002F0026">
              <w:t xml:space="preserve">- </w:t>
            </w:r>
            <w:r w:rsidRPr="002F0026">
              <w:rPr>
                <w:b/>
              </w:rPr>
              <w:t>z toho MSP</w:t>
            </w:r>
          </w:p>
        </w:tc>
      </w:tr>
      <w:tr w:rsidR="00E006A7" w:rsidRPr="00847178" w14:paraId="35DDD03D" w14:textId="77777777" w:rsidTr="00E006A7">
        <w:trPr>
          <w:trHeight w:val="1202"/>
          <w:jc w:val="center"/>
        </w:trPr>
        <w:tc>
          <w:tcPr>
            <w:tcW w:w="9212" w:type="dxa"/>
            <w:tcBorders>
              <w:bottom w:val="single" w:sz="4" w:space="0" w:color="auto"/>
            </w:tcBorders>
          </w:tcPr>
          <w:p w14:paraId="2EFCDE02" w14:textId="0ABEC793" w:rsidR="00E006A7" w:rsidRPr="00005674" w:rsidRDefault="003269AC" w:rsidP="000F6427">
            <w:pPr>
              <w:jc w:val="both"/>
            </w:pPr>
            <w:r>
              <w:t>Návrh zákona</w:t>
            </w:r>
            <w:r w:rsidRPr="00005674">
              <w:t xml:space="preserve"> </w:t>
            </w:r>
            <w:r w:rsidR="00E006A7" w:rsidRPr="00005674">
              <w:t>predpokladá zlepšenie podnikateľského prostredia v oblasti rozvoja alternatívnych palív tak</w:t>
            </w:r>
            <w:r w:rsidR="000F6427">
              <w:t>,</w:t>
            </w:r>
            <w:r w:rsidR="00E006A7" w:rsidRPr="00005674">
              <w:t xml:space="preserve"> ako to vyplýva</w:t>
            </w:r>
            <w:r>
              <w:t xml:space="preserve"> </w:t>
            </w:r>
            <w:r w:rsidR="00E006A7" w:rsidRPr="00005674">
              <w:t xml:space="preserve">z </w:t>
            </w:r>
            <w:r w:rsidRPr="00B533CE">
              <w:t>dôvodu rozšírenia poskytovania dotácií o oblasť podpory používania vozidiel využívajúcich alternatívne palivá</w:t>
            </w:r>
            <w:r>
              <w:t>.</w:t>
            </w:r>
            <w:r w:rsidRPr="00B533CE">
              <w:t xml:space="preserve"> </w:t>
            </w:r>
            <w:r w:rsidR="00E006A7" w:rsidRPr="00005674">
              <w:t xml:space="preserve">Zároveň sa však           predpokladá zhoršenie konkurencieschopnosti pre podniky, ktoré uvádzajú na trh iné pohonné </w:t>
            </w:r>
            <w:r w:rsidR="00E006A7" w:rsidRPr="004B7614">
              <w:t>látky</w:t>
            </w:r>
            <w:r w:rsidR="004B7614" w:rsidRPr="004B7614">
              <w:t>,</w:t>
            </w:r>
            <w:r w:rsidR="00E006A7" w:rsidRPr="004B7614">
              <w:t xml:space="preserve"> </w:t>
            </w:r>
            <w:r w:rsidR="00E006A7" w:rsidRPr="00005674">
              <w:t>ako sú alternatívne palivá.</w:t>
            </w:r>
          </w:p>
        </w:tc>
      </w:tr>
      <w:tr w:rsidR="00E006A7" w:rsidRPr="00847178" w14:paraId="3471DC5E" w14:textId="77777777" w:rsidTr="00E006A7">
        <w:trPr>
          <w:jc w:val="center"/>
        </w:trPr>
        <w:tc>
          <w:tcPr>
            <w:tcW w:w="9212" w:type="dxa"/>
            <w:shd w:val="clear" w:color="auto" w:fill="D9D9D9" w:themeFill="background1" w:themeFillShade="D9"/>
          </w:tcPr>
          <w:p w14:paraId="198A8203" w14:textId="77777777" w:rsidR="00E006A7" w:rsidRPr="002F0026" w:rsidRDefault="00E006A7" w:rsidP="00B51CD5">
            <w:pPr>
              <w:jc w:val="both"/>
              <w:rPr>
                <w:b/>
              </w:rPr>
            </w:pPr>
            <w:r w:rsidRPr="002F0026">
              <w:rPr>
                <w:b/>
              </w:rPr>
              <w:t xml:space="preserve">3.5 Inovácie </w:t>
            </w:r>
          </w:p>
          <w:p w14:paraId="71AA7C5C" w14:textId="77777777" w:rsidR="00E006A7" w:rsidRPr="002F0026" w:rsidRDefault="00E006A7" w:rsidP="00B51CD5">
            <w:pPr>
              <w:jc w:val="both"/>
              <w:rPr>
                <w:b/>
              </w:rPr>
            </w:pPr>
            <w:r w:rsidRPr="002F0026">
              <w:t xml:space="preserve">       - </w:t>
            </w:r>
            <w:r w:rsidRPr="002F0026">
              <w:rPr>
                <w:b/>
              </w:rPr>
              <w:t>z toho MSP</w:t>
            </w:r>
          </w:p>
        </w:tc>
      </w:tr>
      <w:tr w:rsidR="00E006A7" w:rsidRPr="00847178" w14:paraId="754603DD" w14:textId="77777777" w:rsidTr="00E006A7">
        <w:trPr>
          <w:trHeight w:val="823"/>
          <w:jc w:val="center"/>
        </w:trPr>
        <w:tc>
          <w:tcPr>
            <w:tcW w:w="9212" w:type="dxa"/>
          </w:tcPr>
          <w:p w14:paraId="55108187" w14:textId="2413E852" w:rsidR="00E006A7" w:rsidRPr="00005674" w:rsidRDefault="003269AC" w:rsidP="003269AC">
            <w:pPr>
              <w:jc w:val="both"/>
            </w:pPr>
            <w:r>
              <w:t>Návrh zákona</w:t>
            </w:r>
            <w:r w:rsidRPr="00005674">
              <w:t xml:space="preserve"> </w:t>
            </w:r>
            <w:r>
              <w:t xml:space="preserve">predpokladá </w:t>
            </w:r>
            <w:r w:rsidR="00E006A7" w:rsidRPr="00005674">
              <w:rPr>
                <w:iCs/>
              </w:rPr>
              <w:t>vplyv na inovácie</w:t>
            </w:r>
            <w:r w:rsidR="00157A43">
              <w:rPr>
                <w:iCs/>
              </w:rPr>
              <w:t xml:space="preserve"> v oblasti rozvoja alternatívnych palív</w:t>
            </w:r>
            <w:r>
              <w:rPr>
                <w:iCs/>
                <w:color w:val="1F497D"/>
              </w:rPr>
              <w:t>.</w:t>
            </w:r>
          </w:p>
        </w:tc>
      </w:tr>
    </w:tbl>
    <w:p w14:paraId="687AF54D" w14:textId="15A16ECD" w:rsidR="001E496D" w:rsidRDefault="001E496D" w:rsidP="00E006A7"/>
    <w:p w14:paraId="2AC475F8" w14:textId="1311150A" w:rsidR="00010EC9" w:rsidRPr="00975CBF" w:rsidRDefault="00010EC9" w:rsidP="00253F68"/>
    <w:sectPr w:rsidR="00010EC9" w:rsidRPr="00975CBF" w:rsidSect="00440AF8">
      <w:footerReference w:type="default" r:id="rId9"/>
      <w:headerReference w:type="first" r:id="rId10"/>
      <w:footerReference w:type="first" r:id="rId11"/>
      <w:pgSz w:w="11906" w:h="16838"/>
      <w:pgMar w:top="851"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D1112" w14:textId="77777777" w:rsidR="00F8368F" w:rsidRDefault="00F8368F">
      <w:r>
        <w:separator/>
      </w:r>
    </w:p>
  </w:endnote>
  <w:endnote w:type="continuationSeparator" w:id="0">
    <w:p w14:paraId="67EB359D" w14:textId="77777777" w:rsidR="00F8368F" w:rsidRDefault="00F8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307820"/>
      <w:docPartObj>
        <w:docPartGallery w:val="Page Numbers (Bottom of Page)"/>
        <w:docPartUnique/>
      </w:docPartObj>
    </w:sdtPr>
    <w:sdtContent>
      <w:p w14:paraId="19790270" w14:textId="2AC76E42" w:rsidR="00702EAD" w:rsidRDefault="00702EAD">
        <w:pPr>
          <w:pStyle w:val="Pta"/>
          <w:jc w:val="center"/>
        </w:pPr>
        <w:r>
          <w:fldChar w:fldCharType="begin"/>
        </w:r>
        <w:r>
          <w:instrText>PAGE   \* MERGEFORMAT</w:instrText>
        </w:r>
        <w:r>
          <w:fldChar w:fldCharType="separate"/>
        </w:r>
        <w:r>
          <w:rPr>
            <w:noProof/>
          </w:rPr>
          <w:t>1</w:t>
        </w:r>
        <w:r>
          <w:fldChar w:fldCharType="end"/>
        </w:r>
      </w:p>
    </w:sdtContent>
  </w:sdt>
  <w:p w14:paraId="22303919" w14:textId="77777777" w:rsidR="00212828" w:rsidRPr="001D6749" w:rsidRDefault="00212828">
    <w:pPr>
      <w:pStyle w:val="Pt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440640"/>
      <w:docPartObj>
        <w:docPartGallery w:val="Page Numbers (Bottom of Page)"/>
        <w:docPartUnique/>
      </w:docPartObj>
    </w:sdtPr>
    <w:sdtEndPr/>
    <w:sdtContent>
      <w:p w14:paraId="2D628FD3" w14:textId="28B0ED9B" w:rsidR="00212828" w:rsidRDefault="00212828">
        <w:pPr>
          <w:pStyle w:val="Pta"/>
          <w:jc w:val="right"/>
        </w:pPr>
        <w:r>
          <w:fldChar w:fldCharType="begin"/>
        </w:r>
        <w:r>
          <w:instrText>PAGE   \* MERGEFORMAT</w:instrText>
        </w:r>
        <w:r>
          <w:fldChar w:fldCharType="separate"/>
        </w:r>
        <w:r>
          <w:rPr>
            <w:noProof/>
          </w:rPr>
          <w:t>8</w:t>
        </w:r>
        <w:r>
          <w:fldChar w:fldCharType="end"/>
        </w:r>
      </w:p>
    </w:sdtContent>
  </w:sdt>
  <w:p w14:paraId="4ED290FE" w14:textId="77777777" w:rsidR="00212828" w:rsidRDefault="0021282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6F80C" w14:textId="77777777" w:rsidR="00F8368F" w:rsidRDefault="00F8368F">
      <w:r>
        <w:separator/>
      </w:r>
    </w:p>
  </w:footnote>
  <w:footnote w:type="continuationSeparator" w:id="0">
    <w:p w14:paraId="52F46247" w14:textId="77777777" w:rsidR="00F8368F" w:rsidRDefault="00F8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80030" w14:textId="09DDE897" w:rsidR="00212828" w:rsidRPr="0024067A" w:rsidRDefault="00212828" w:rsidP="00E006A7">
    <w:pPr>
      <w:pStyle w:val="Hlavika"/>
      <w:jc w:val="right"/>
    </w:pPr>
  </w:p>
  <w:p w14:paraId="5DEC2307" w14:textId="77777777" w:rsidR="00212828" w:rsidRDefault="00212828">
    <w:pPr>
      <w:pStyle w:val="Hlavika"/>
      <w:rPr>
        <w:noProof/>
        <w:lang w:eastAsia="sk-SK"/>
      </w:rPr>
    </w:pPr>
  </w:p>
  <w:p w14:paraId="4708AB78" w14:textId="77777777" w:rsidR="00212828" w:rsidRDefault="0021282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60A"/>
    <w:multiLevelType w:val="hybridMultilevel"/>
    <w:tmpl w:val="86B8D38C"/>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70F0DB3"/>
    <w:multiLevelType w:val="hybridMultilevel"/>
    <w:tmpl w:val="3A38D1A6"/>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
    <w:nsid w:val="097C0328"/>
    <w:multiLevelType w:val="hybridMultilevel"/>
    <w:tmpl w:val="67B270B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4">
    <w:nsid w:val="0D471133"/>
    <w:multiLevelType w:val="hybridMultilevel"/>
    <w:tmpl w:val="15EA2648"/>
    <w:lvl w:ilvl="0" w:tplc="49FE04AC">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0FCB195C"/>
    <w:multiLevelType w:val="hybridMultilevel"/>
    <w:tmpl w:val="BA109C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E93C51"/>
    <w:multiLevelType w:val="hybridMultilevel"/>
    <w:tmpl w:val="9A8C9538"/>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12061723"/>
    <w:multiLevelType w:val="hybridMultilevel"/>
    <w:tmpl w:val="B5783B42"/>
    <w:lvl w:ilvl="0" w:tplc="49FE04A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124633FD"/>
    <w:multiLevelType w:val="hybridMultilevel"/>
    <w:tmpl w:val="75EA2EB6"/>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1483092B"/>
    <w:multiLevelType w:val="hybridMultilevel"/>
    <w:tmpl w:val="A9FCB43C"/>
    <w:lvl w:ilvl="0" w:tplc="B972E48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18CB67E0"/>
    <w:multiLevelType w:val="hybridMultilevel"/>
    <w:tmpl w:val="0F5C81C8"/>
    <w:lvl w:ilvl="0" w:tplc="7D9C6B6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nsid w:val="1E084959"/>
    <w:multiLevelType w:val="hybridMultilevel"/>
    <w:tmpl w:val="41000650"/>
    <w:lvl w:ilvl="0" w:tplc="6FC2BE4E">
      <w:start w:val="7"/>
      <w:numFmt w:val="bullet"/>
      <w:lvlText w:val="-"/>
      <w:lvlJc w:val="left"/>
      <w:pPr>
        <w:ind w:left="720" w:hanging="360"/>
      </w:pPr>
      <w:rPr>
        <w:rFonts w:ascii="Calibri Light" w:eastAsia="Times New Roman" w:hAnsi="Calibri Light" w:cs="Calibri Light"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FA774BE"/>
    <w:multiLevelType w:val="hybridMultilevel"/>
    <w:tmpl w:val="01A455D0"/>
    <w:lvl w:ilvl="0" w:tplc="041B000F">
      <w:start w:val="1"/>
      <w:numFmt w:val="decimal"/>
      <w:lvlText w:val="%1."/>
      <w:lvlJc w:val="left"/>
      <w:pPr>
        <w:ind w:left="360" w:hanging="360"/>
      </w:pPr>
    </w:lvl>
    <w:lvl w:ilvl="1" w:tplc="04090019">
      <w:start w:val="1"/>
      <w:numFmt w:val="lowerLetter"/>
      <w:lvlText w:val="%2."/>
      <w:lvlJc w:val="left"/>
      <w:pPr>
        <w:ind w:left="1221" w:hanging="360"/>
      </w:pPr>
      <w:rPr>
        <w:rFonts w:cs="Times New Roman"/>
      </w:rPr>
    </w:lvl>
    <w:lvl w:ilvl="2" w:tplc="0409001B">
      <w:start w:val="1"/>
      <w:numFmt w:val="lowerRoman"/>
      <w:lvlText w:val="%3."/>
      <w:lvlJc w:val="right"/>
      <w:pPr>
        <w:ind w:left="1941" w:hanging="180"/>
      </w:pPr>
      <w:rPr>
        <w:rFonts w:cs="Times New Roman"/>
      </w:rPr>
    </w:lvl>
    <w:lvl w:ilvl="3" w:tplc="0409000F">
      <w:start w:val="1"/>
      <w:numFmt w:val="decimal"/>
      <w:lvlText w:val="%4."/>
      <w:lvlJc w:val="left"/>
      <w:pPr>
        <w:ind w:left="2661" w:hanging="360"/>
      </w:pPr>
      <w:rPr>
        <w:rFonts w:cs="Times New Roman"/>
      </w:rPr>
    </w:lvl>
    <w:lvl w:ilvl="4" w:tplc="04090019">
      <w:start w:val="1"/>
      <w:numFmt w:val="lowerLetter"/>
      <w:lvlText w:val="%5."/>
      <w:lvlJc w:val="left"/>
      <w:pPr>
        <w:ind w:left="3381" w:hanging="360"/>
      </w:pPr>
      <w:rPr>
        <w:rFonts w:cs="Times New Roman"/>
      </w:rPr>
    </w:lvl>
    <w:lvl w:ilvl="5" w:tplc="0409001B">
      <w:start w:val="1"/>
      <w:numFmt w:val="lowerRoman"/>
      <w:lvlText w:val="%6."/>
      <w:lvlJc w:val="right"/>
      <w:pPr>
        <w:ind w:left="4101" w:hanging="180"/>
      </w:pPr>
      <w:rPr>
        <w:rFonts w:cs="Times New Roman"/>
      </w:rPr>
    </w:lvl>
    <w:lvl w:ilvl="6" w:tplc="0409000F">
      <w:start w:val="1"/>
      <w:numFmt w:val="decimal"/>
      <w:lvlText w:val="%7."/>
      <w:lvlJc w:val="left"/>
      <w:pPr>
        <w:ind w:left="4821" w:hanging="360"/>
      </w:pPr>
      <w:rPr>
        <w:rFonts w:cs="Times New Roman"/>
      </w:rPr>
    </w:lvl>
    <w:lvl w:ilvl="7" w:tplc="04090019">
      <w:start w:val="1"/>
      <w:numFmt w:val="lowerLetter"/>
      <w:lvlText w:val="%8."/>
      <w:lvlJc w:val="left"/>
      <w:pPr>
        <w:ind w:left="5541" w:hanging="360"/>
      </w:pPr>
      <w:rPr>
        <w:rFonts w:cs="Times New Roman"/>
      </w:rPr>
    </w:lvl>
    <w:lvl w:ilvl="8" w:tplc="0409001B">
      <w:start w:val="1"/>
      <w:numFmt w:val="lowerRoman"/>
      <w:lvlText w:val="%9."/>
      <w:lvlJc w:val="right"/>
      <w:pPr>
        <w:ind w:left="6261" w:hanging="180"/>
      </w:pPr>
      <w:rPr>
        <w:rFonts w:cs="Times New Roman"/>
      </w:rPr>
    </w:lvl>
  </w:abstractNum>
  <w:abstractNum w:abstractNumId="14">
    <w:nsid w:val="24505461"/>
    <w:multiLevelType w:val="hybridMultilevel"/>
    <w:tmpl w:val="366409E8"/>
    <w:lvl w:ilvl="0" w:tplc="49FE04AC">
      <w:start w:val="1"/>
      <w:numFmt w:val="bullet"/>
      <w:lvlText w:val=""/>
      <w:lvlJc w:val="left"/>
      <w:pPr>
        <w:ind w:left="375" w:hanging="360"/>
      </w:pPr>
      <w:rPr>
        <w:rFonts w:ascii="Symbol" w:hAnsi="Symbol" w:hint="default"/>
      </w:rPr>
    </w:lvl>
    <w:lvl w:ilvl="1" w:tplc="041B0003" w:tentative="1">
      <w:start w:val="1"/>
      <w:numFmt w:val="bullet"/>
      <w:lvlText w:val="o"/>
      <w:lvlJc w:val="left"/>
      <w:pPr>
        <w:ind w:left="1095" w:hanging="360"/>
      </w:pPr>
      <w:rPr>
        <w:rFonts w:ascii="Courier New" w:hAnsi="Courier New" w:cs="Courier New" w:hint="default"/>
      </w:rPr>
    </w:lvl>
    <w:lvl w:ilvl="2" w:tplc="041B0005" w:tentative="1">
      <w:start w:val="1"/>
      <w:numFmt w:val="bullet"/>
      <w:lvlText w:val=""/>
      <w:lvlJc w:val="left"/>
      <w:pPr>
        <w:ind w:left="1815" w:hanging="360"/>
      </w:pPr>
      <w:rPr>
        <w:rFonts w:ascii="Wingdings" w:hAnsi="Wingdings" w:hint="default"/>
      </w:rPr>
    </w:lvl>
    <w:lvl w:ilvl="3" w:tplc="041B0001" w:tentative="1">
      <w:start w:val="1"/>
      <w:numFmt w:val="bullet"/>
      <w:lvlText w:val=""/>
      <w:lvlJc w:val="left"/>
      <w:pPr>
        <w:ind w:left="2535" w:hanging="360"/>
      </w:pPr>
      <w:rPr>
        <w:rFonts w:ascii="Symbol" w:hAnsi="Symbol" w:hint="default"/>
      </w:rPr>
    </w:lvl>
    <w:lvl w:ilvl="4" w:tplc="041B0003" w:tentative="1">
      <w:start w:val="1"/>
      <w:numFmt w:val="bullet"/>
      <w:lvlText w:val="o"/>
      <w:lvlJc w:val="left"/>
      <w:pPr>
        <w:ind w:left="3255" w:hanging="360"/>
      </w:pPr>
      <w:rPr>
        <w:rFonts w:ascii="Courier New" w:hAnsi="Courier New" w:cs="Courier New" w:hint="default"/>
      </w:rPr>
    </w:lvl>
    <w:lvl w:ilvl="5" w:tplc="041B0005" w:tentative="1">
      <w:start w:val="1"/>
      <w:numFmt w:val="bullet"/>
      <w:lvlText w:val=""/>
      <w:lvlJc w:val="left"/>
      <w:pPr>
        <w:ind w:left="3975" w:hanging="360"/>
      </w:pPr>
      <w:rPr>
        <w:rFonts w:ascii="Wingdings" w:hAnsi="Wingdings" w:hint="default"/>
      </w:rPr>
    </w:lvl>
    <w:lvl w:ilvl="6" w:tplc="041B0001" w:tentative="1">
      <w:start w:val="1"/>
      <w:numFmt w:val="bullet"/>
      <w:lvlText w:val=""/>
      <w:lvlJc w:val="left"/>
      <w:pPr>
        <w:ind w:left="4695" w:hanging="360"/>
      </w:pPr>
      <w:rPr>
        <w:rFonts w:ascii="Symbol" w:hAnsi="Symbol" w:hint="default"/>
      </w:rPr>
    </w:lvl>
    <w:lvl w:ilvl="7" w:tplc="041B0003" w:tentative="1">
      <w:start w:val="1"/>
      <w:numFmt w:val="bullet"/>
      <w:lvlText w:val="o"/>
      <w:lvlJc w:val="left"/>
      <w:pPr>
        <w:ind w:left="5415" w:hanging="360"/>
      </w:pPr>
      <w:rPr>
        <w:rFonts w:ascii="Courier New" w:hAnsi="Courier New" w:cs="Courier New" w:hint="default"/>
      </w:rPr>
    </w:lvl>
    <w:lvl w:ilvl="8" w:tplc="041B0005" w:tentative="1">
      <w:start w:val="1"/>
      <w:numFmt w:val="bullet"/>
      <w:lvlText w:val=""/>
      <w:lvlJc w:val="left"/>
      <w:pPr>
        <w:ind w:left="6135" w:hanging="360"/>
      </w:pPr>
      <w:rPr>
        <w:rFonts w:ascii="Wingdings" w:hAnsi="Wingdings" w:hint="default"/>
      </w:rPr>
    </w:lvl>
  </w:abstractNum>
  <w:abstractNum w:abstractNumId="15">
    <w:nsid w:val="24580BB4"/>
    <w:multiLevelType w:val="hybridMultilevel"/>
    <w:tmpl w:val="498499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nsid w:val="27A93704"/>
    <w:multiLevelType w:val="hybridMultilevel"/>
    <w:tmpl w:val="FA90F3A4"/>
    <w:lvl w:ilvl="0" w:tplc="041B000F">
      <w:start w:val="3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27DE2596"/>
    <w:multiLevelType w:val="hybridMultilevel"/>
    <w:tmpl w:val="3B1888C4"/>
    <w:lvl w:ilvl="0" w:tplc="49FE04AC">
      <w:start w:val="1"/>
      <w:numFmt w:val="bullet"/>
      <w:lvlText w:val=""/>
      <w:lvlJc w:val="left"/>
      <w:pPr>
        <w:ind w:left="735" w:hanging="360"/>
      </w:pPr>
      <w:rPr>
        <w:rFonts w:ascii="Symbol" w:hAnsi="Symbol" w:hint="default"/>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19">
    <w:nsid w:val="28AA3C0D"/>
    <w:multiLevelType w:val="hybridMultilevel"/>
    <w:tmpl w:val="9FF04590"/>
    <w:lvl w:ilvl="0" w:tplc="041B000F">
      <w:start w:val="3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F296D73"/>
    <w:multiLevelType w:val="hybridMultilevel"/>
    <w:tmpl w:val="4E4E6272"/>
    <w:lvl w:ilvl="0" w:tplc="B972E48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nsid w:val="30C413AE"/>
    <w:multiLevelType w:val="hybridMultilevel"/>
    <w:tmpl w:val="6904268C"/>
    <w:lvl w:ilvl="0" w:tplc="D8FCB7A4">
      <w:start w:val="1"/>
      <w:numFmt w:val="bullet"/>
      <w:lvlText w:val="-"/>
      <w:lvlJc w:val="left"/>
      <w:pPr>
        <w:ind w:left="720" w:hanging="360"/>
      </w:pPr>
      <w:rPr>
        <w:rFonts w:ascii="Calibri Light" w:eastAsia="Calibr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2341F1C"/>
    <w:multiLevelType w:val="hybridMultilevel"/>
    <w:tmpl w:val="2EEECBB6"/>
    <w:lvl w:ilvl="0" w:tplc="6FC2BE4E">
      <w:start w:val="7"/>
      <w:numFmt w:val="bullet"/>
      <w:lvlText w:val="-"/>
      <w:lvlJc w:val="left"/>
      <w:pPr>
        <w:ind w:left="720" w:hanging="36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4">
    <w:nsid w:val="3EEE616B"/>
    <w:multiLevelType w:val="hybridMultilevel"/>
    <w:tmpl w:val="1B66904E"/>
    <w:lvl w:ilvl="0" w:tplc="C172B8E0">
      <w:start w:val="1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42B25E07"/>
    <w:multiLevelType w:val="hybridMultilevel"/>
    <w:tmpl w:val="028ABCD4"/>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nsid w:val="42E0558A"/>
    <w:multiLevelType w:val="hybridMultilevel"/>
    <w:tmpl w:val="8FB0D980"/>
    <w:lvl w:ilvl="0" w:tplc="49FE04A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nsid w:val="45B205A6"/>
    <w:multiLevelType w:val="hybridMultilevel"/>
    <w:tmpl w:val="8A06996A"/>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3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1">
    <w:nsid w:val="47B771D7"/>
    <w:multiLevelType w:val="hybridMultilevel"/>
    <w:tmpl w:val="A0AA0FD0"/>
    <w:lvl w:ilvl="0" w:tplc="2254616A">
      <w:start w:val="1"/>
      <w:numFmt w:val="decimal"/>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32">
    <w:nsid w:val="49C25F9E"/>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33">
    <w:nsid w:val="4AAF4E28"/>
    <w:multiLevelType w:val="hybridMultilevel"/>
    <w:tmpl w:val="65F6EDD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0DA00A9"/>
    <w:multiLevelType w:val="hybridMultilevel"/>
    <w:tmpl w:val="053E8916"/>
    <w:lvl w:ilvl="0" w:tplc="8DE615EA">
      <w:start w:val="1"/>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nsid w:val="54742E70"/>
    <w:multiLevelType w:val="hybridMultilevel"/>
    <w:tmpl w:val="D44CE6FC"/>
    <w:lvl w:ilvl="0" w:tplc="FBA230A6">
      <w:start w:val="1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nsid w:val="57425073"/>
    <w:multiLevelType w:val="hybridMultilevel"/>
    <w:tmpl w:val="43405646"/>
    <w:lvl w:ilvl="0" w:tplc="ADC6FE98">
      <w:start w:val="5"/>
      <w:numFmt w:val="decimal"/>
      <w:lvlText w:val="%1."/>
      <w:lvlJc w:val="left"/>
      <w:pPr>
        <w:tabs>
          <w:tab w:val="num" w:pos="540"/>
        </w:tabs>
        <w:ind w:left="5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38">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69F11C3C"/>
    <w:multiLevelType w:val="hybridMultilevel"/>
    <w:tmpl w:val="AB348A18"/>
    <w:lvl w:ilvl="0" w:tplc="64B8417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AA213B4"/>
    <w:multiLevelType w:val="hybridMultilevel"/>
    <w:tmpl w:val="A1BA0F6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nsid w:val="6C513955"/>
    <w:multiLevelType w:val="hybridMultilevel"/>
    <w:tmpl w:val="7D4E802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nsid w:val="72417971"/>
    <w:multiLevelType w:val="hybridMultilevel"/>
    <w:tmpl w:val="6D3AA53E"/>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nsid w:val="73C77A99"/>
    <w:multiLevelType w:val="hybridMultilevel"/>
    <w:tmpl w:val="0FC09930"/>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nsid w:val="762700E6"/>
    <w:multiLevelType w:val="hybridMultilevel"/>
    <w:tmpl w:val="FFD2E028"/>
    <w:lvl w:ilvl="0" w:tplc="FB4059A8">
      <w:start w:val="1"/>
      <w:numFmt w:val="decimal"/>
      <w:lvlText w:val="%1."/>
      <w:lvlJc w:val="left"/>
      <w:pPr>
        <w:ind w:left="720" w:hanging="360"/>
      </w:pPr>
      <w:rPr>
        <w:rFonts w:hint="default"/>
        <w:b/>
        <w:sz w:val="3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B0D031B"/>
    <w:multiLevelType w:val="hybridMultilevel"/>
    <w:tmpl w:val="8920F6F4"/>
    <w:lvl w:ilvl="0" w:tplc="016C0336">
      <w:start w:val="3"/>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7CF926B5"/>
    <w:multiLevelType w:val="hybridMultilevel"/>
    <w:tmpl w:val="5B842E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F3852E1"/>
    <w:multiLevelType w:val="hybridMultilevel"/>
    <w:tmpl w:val="6F56B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num>
  <w:num w:numId="2">
    <w:abstractNumId w:val="11"/>
  </w:num>
  <w:num w:numId="3">
    <w:abstractNumId w:val="29"/>
  </w:num>
  <w:num w:numId="4">
    <w:abstractNumId w:val="30"/>
  </w:num>
  <w:num w:numId="5">
    <w:abstractNumId w:val="23"/>
  </w:num>
  <w:num w:numId="6">
    <w:abstractNumId w:val="25"/>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7"/>
  </w:num>
  <w:num w:numId="10">
    <w:abstractNumId w:val="33"/>
  </w:num>
  <w:num w:numId="11">
    <w:abstractNumId w:val="4"/>
  </w:num>
  <w:num w:numId="12">
    <w:abstractNumId w:val="9"/>
  </w:num>
  <w:num w:numId="13">
    <w:abstractNumId w:val="22"/>
  </w:num>
  <w:num w:numId="14">
    <w:abstractNumId w:val="43"/>
  </w:num>
  <w:num w:numId="15">
    <w:abstractNumId w:val="8"/>
  </w:num>
  <w:num w:numId="16">
    <w:abstractNumId w:val="0"/>
  </w:num>
  <w:num w:numId="17">
    <w:abstractNumId w:val="12"/>
  </w:num>
  <w:num w:numId="18">
    <w:abstractNumId w:val="7"/>
  </w:num>
  <w:num w:numId="19">
    <w:abstractNumId w:val="42"/>
  </w:num>
  <w:num w:numId="20">
    <w:abstractNumId w:val="2"/>
  </w:num>
  <w:num w:numId="21">
    <w:abstractNumId w:val="44"/>
  </w:num>
  <w:num w:numId="22">
    <w:abstractNumId w:val="20"/>
  </w:num>
  <w:num w:numId="23">
    <w:abstractNumId w:val="35"/>
  </w:num>
  <w:num w:numId="24">
    <w:abstractNumId w:val="24"/>
  </w:num>
  <w:num w:numId="25">
    <w:abstractNumId w:val="6"/>
  </w:num>
  <w:num w:numId="26">
    <w:abstractNumId w:val="17"/>
  </w:num>
  <w:num w:numId="27">
    <w:abstractNumId w:val="19"/>
  </w:num>
  <w:num w:numId="28">
    <w:abstractNumId w:val="34"/>
  </w:num>
  <w:num w:numId="29">
    <w:abstractNumId w:val="31"/>
  </w:num>
  <w:num w:numId="30">
    <w:abstractNumId w:val="14"/>
  </w:num>
  <w:num w:numId="31">
    <w:abstractNumId w:val="18"/>
  </w:num>
  <w:num w:numId="32">
    <w:abstractNumId w:val="45"/>
  </w:num>
  <w:num w:numId="33">
    <w:abstractNumId w:val="28"/>
  </w:num>
  <w:num w:numId="34">
    <w:abstractNumId w:val="16"/>
  </w:num>
  <w:num w:numId="35">
    <w:abstractNumId w:val="27"/>
  </w:num>
  <w:num w:numId="36">
    <w:abstractNumId w:val="41"/>
  </w:num>
  <w:num w:numId="37">
    <w:abstractNumId w:val="5"/>
  </w:num>
  <w:num w:numId="38">
    <w:abstractNumId w:val="21"/>
  </w:num>
  <w:num w:numId="39">
    <w:abstractNumId w:val="26"/>
  </w:num>
  <w:num w:numId="40">
    <w:abstractNumId w:val="32"/>
  </w:num>
  <w:num w:numId="41">
    <w:abstractNumId w:val="1"/>
  </w:num>
  <w:num w:numId="42">
    <w:abstractNumId w:val="36"/>
  </w:num>
  <w:num w:numId="43">
    <w:abstractNumId w:val="10"/>
  </w:num>
  <w:num w:numId="44">
    <w:abstractNumId w:val="15"/>
  </w:num>
  <w:num w:numId="45">
    <w:abstractNumId w:val="46"/>
  </w:num>
  <w:num w:numId="46">
    <w:abstractNumId w:val="47"/>
  </w:num>
  <w:num w:numId="47">
    <w:abstractNumId w:val="39"/>
  </w:num>
  <w:num w:numId="48">
    <w:abstractNumId w:val="40"/>
  </w:num>
  <w:num w:numId="49">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18"/>
    <w:rsid w:val="000021CE"/>
    <w:rsid w:val="00002D60"/>
    <w:rsid w:val="000047CE"/>
    <w:rsid w:val="00005081"/>
    <w:rsid w:val="00005578"/>
    <w:rsid w:val="0000668E"/>
    <w:rsid w:val="000066CF"/>
    <w:rsid w:val="00007530"/>
    <w:rsid w:val="000108F8"/>
    <w:rsid w:val="00010D2B"/>
    <w:rsid w:val="00010EC9"/>
    <w:rsid w:val="0001102F"/>
    <w:rsid w:val="00011338"/>
    <w:rsid w:val="00012083"/>
    <w:rsid w:val="000135F1"/>
    <w:rsid w:val="00013A5D"/>
    <w:rsid w:val="00013F4F"/>
    <w:rsid w:val="00017179"/>
    <w:rsid w:val="000177E9"/>
    <w:rsid w:val="0002045F"/>
    <w:rsid w:val="00020743"/>
    <w:rsid w:val="0002109C"/>
    <w:rsid w:val="00022935"/>
    <w:rsid w:val="000238F5"/>
    <w:rsid w:val="0002698D"/>
    <w:rsid w:val="0002716F"/>
    <w:rsid w:val="00030D29"/>
    <w:rsid w:val="000319DA"/>
    <w:rsid w:val="00032D7C"/>
    <w:rsid w:val="00033BF8"/>
    <w:rsid w:val="00033DCA"/>
    <w:rsid w:val="00033FFE"/>
    <w:rsid w:val="00034934"/>
    <w:rsid w:val="00034F62"/>
    <w:rsid w:val="00035512"/>
    <w:rsid w:val="000356E7"/>
    <w:rsid w:val="00036B88"/>
    <w:rsid w:val="00036E65"/>
    <w:rsid w:val="0004031A"/>
    <w:rsid w:val="00041C3B"/>
    <w:rsid w:val="0004367A"/>
    <w:rsid w:val="000436C5"/>
    <w:rsid w:val="00043733"/>
    <w:rsid w:val="00044D0A"/>
    <w:rsid w:val="0004616C"/>
    <w:rsid w:val="00046AC8"/>
    <w:rsid w:val="000476FE"/>
    <w:rsid w:val="0005369A"/>
    <w:rsid w:val="000609D3"/>
    <w:rsid w:val="00060D0C"/>
    <w:rsid w:val="000611E9"/>
    <w:rsid w:val="000617B3"/>
    <w:rsid w:val="00063C01"/>
    <w:rsid w:val="00064C09"/>
    <w:rsid w:val="000659F3"/>
    <w:rsid w:val="00067330"/>
    <w:rsid w:val="00067BF3"/>
    <w:rsid w:val="00071982"/>
    <w:rsid w:val="00072EE8"/>
    <w:rsid w:val="00073BF2"/>
    <w:rsid w:val="0007479F"/>
    <w:rsid w:val="000757CE"/>
    <w:rsid w:val="00075C81"/>
    <w:rsid w:val="00077E38"/>
    <w:rsid w:val="00080335"/>
    <w:rsid w:val="0008284E"/>
    <w:rsid w:val="00084484"/>
    <w:rsid w:val="000855B6"/>
    <w:rsid w:val="00086284"/>
    <w:rsid w:val="0008674B"/>
    <w:rsid w:val="000904C3"/>
    <w:rsid w:val="00090545"/>
    <w:rsid w:val="000911F4"/>
    <w:rsid w:val="00091327"/>
    <w:rsid w:val="000933F0"/>
    <w:rsid w:val="000946BD"/>
    <w:rsid w:val="00094E2B"/>
    <w:rsid w:val="00096993"/>
    <w:rsid w:val="00096CCE"/>
    <w:rsid w:val="000972AA"/>
    <w:rsid w:val="0009750F"/>
    <w:rsid w:val="000A0451"/>
    <w:rsid w:val="000A1443"/>
    <w:rsid w:val="000A1B0D"/>
    <w:rsid w:val="000A2505"/>
    <w:rsid w:val="000A328C"/>
    <w:rsid w:val="000A6C18"/>
    <w:rsid w:val="000A7F59"/>
    <w:rsid w:val="000B022D"/>
    <w:rsid w:val="000B0F93"/>
    <w:rsid w:val="000B27FD"/>
    <w:rsid w:val="000B2AED"/>
    <w:rsid w:val="000B54C6"/>
    <w:rsid w:val="000B59A7"/>
    <w:rsid w:val="000B5AEA"/>
    <w:rsid w:val="000B5F3A"/>
    <w:rsid w:val="000B7711"/>
    <w:rsid w:val="000C088E"/>
    <w:rsid w:val="000C0A48"/>
    <w:rsid w:val="000C2CC3"/>
    <w:rsid w:val="000C3D60"/>
    <w:rsid w:val="000C40A5"/>
    <w:rsid w:val="000C4A08"/>
    <w:rsid w:val="000C59C9"/>
    <w:rsid w:val="000C5AAE"/>
    <w:rsid w:val="000C5ACC"/>
    <w:rsid w:val="000C5B60"/>
    <w:rsid w:val="000D0E40"/>
    <w:rsid w:val="000D12FB"/>
    <w:rsid w:val="000D283D"/>
    <w:rsid w:val="000D293C"/>
    <w:rsid w:val="000D482C"/>
    <w:rsid w:val="000D48EA"/>
    <w:rsid w:val="000D49EC"/>
    <w:rsid w:val="000D5B2B"/>
    <w:rsid w:val="000D7A0F"/>
    <w:rsid w:val="000E10D8"/>
    <w:rsid w:val="000E139C"/>
    <w:rsid w:val="000E1560"/>
    <w:rsid w:val="000E1726"/>
    <w:rsid w:val="000E2783"/>
    <w:rsid w:val="000E4E86"/>
    <w:rsid w:val="000E4FBC"/>
    <w:rsid w:val="000E5021"/>
    <w:rsid w:val="000F04C7"/>
    <w:rsid w:val="000F05C1"/>
    <w:rsid w:val="000F131C"/>
    <w:rsid w:val="000F1DE2"/>
    <w:rsid w:val="000F200C"/>
    <w:rsid w:val="000F350C"/>
    <w:rsid w:val="000F3982"/>
    <w:rsid w:val="000F487C"/>
    <w:rsid w:val="000F5EF6"/>
    <w:rsid w:val="000F6427"/>
    <w:rsid w:val="000F6B06"/>
    <w:rsid w:val="00100168"/>
    <w:rsid w:val="00100940"/>
    <w:rsid w:val="00100DAF"/>
    <w:rsid w:val="00103CA8"/>
    <w:rsid w:val="00104706"/>
    <w:rsid w:val="00106F90"/>
    <w:rsid w:val="00110117"/>
    <w:rsid w:val="00110363"/>
    <w:rsid w:val="00111AC6"/>
    <w:rsid w:val="00112E3C"/>
    <w:rsid w:val="0011407E"/>
    <w:rsid w:val="001156F1"/>
    <w:rsid w:val="00115717"/>
    <w:rsid w:val="00115EC8"/>
    <w:rsid w:val="00116036"/>
    <w:rsid w:val="00116D86"/>
    <w:rsid w:val="00117295"/>
    <w:rsid w:val="00117338"/>
    <w:rsid w:val="001178F0"/>
    <w:rsid w:val="0011798C"/>
    <w:rsid w:val="00117EB7"/>
    <w:rsid w:val="00120357"/>
    <w:rsid w:val="00121B1A"/>
    <w:rsid w:val="00121E3C"/>
    <w:rsid w:val="00122E0A"/>
    <w:rsid w:val="00124A1F"/>
    <w:rsid w:val="00125646"/>
    <w:rsid w:val="00127064"/>
    <w:rsid w:val="0012710C"/>
    <w:rsid w:val="00127135"/>
    <w:rsid w:val="00130C09"/>
    <w:rsid w:val="001314A8"/>
    <w:rsid w:val="00131E4D"/>
    <w:rsid w:val="00135965"/>
    <w:rsid w:val="00136077"/>
    <w:rsid w:val="00140FE6"/>
    <w:rsid w:val="00141B73"/>
    <w:rsid w:val="00143C8C"/>
    <w:rsid w:val="00144EDE"/>
    <w:rsid w:val="0014571C"/>
    <w:rsid w:val="001479A3"/>
    <w:rsid w:val="00150607"/>
    <w:rsid w:val="001513B5"/>
    <w:rsid w:val="001547F1"/>
    <w:rsid w:val="0015494A"/>
    <w:rsid w:val="00156EEC"/>
    <w:rsid w:val="00157A43"/>
    <w:rsid w:val="001615BE"/>
    <w:rsid w:val="00161ADF"/>
    <w:rsid w:val="00161B60"/>
    <w:rsid w:val="00162002"/>
    <w:rsid w:val="001639DF"/>
    <w:rsid w:val="00165D2C"/>
    <w:rsid w:val="00166371"/>
    <w:rsid w:val="001675BE"/>
    <w:rsid w:val="0017015D"/>
    <w:rsid w:val="00170246"/>
    <w:rsid w:val="001705D1"/>
    <w:rsid w:val="00174177"/>
    <w:rsid w:val="00174246"/>
    <w:rsid w:val="001745EF"/>
    <w:rsid w:val="00175A8B"/>
    <w:rsid w:val="00175E12"/>
    <w:rsid w:val="0017716C"/>
    <w:rsid w:val="00180A20"/>
    <w:rsid w:val="00181A19"/>
    <w:rsid w:val="001824F9"/>
    <w:rsid w:val="00182652"/>
    <w:rsid w:val="001830C7"/>
    <w:rsid w:val="0018494B"/>
    <w:rsid w:val="00184C81"/>
    <w:rsid w:val="001856FC"/>
    <w:rsid w:val="001869A4"/>
    <w:rsid w:val="00187C03"/>
    <w:rsid w:val="00190FA0"/>
    <w:rsid w:val="00191DC5"/>
    <w:rsid w:val="00192547"/>
    <w:rsid w:val="00192963"/>
    <w:rsid w:val="00197B59"/>
    <w:rsid w:val="001A0DA1"/>
    <w:rsid w:val="001A165C"/>
    <w:rsid w:val="001A2280"/>
    <w:rsid w:val="001A56F4"/>
    <w:rsid w:val="001A6405"/>
    <w:rsid w:val="001A7A7E"/>
    <w:rsid w:val="001B0648"/>
    <w:rsid w:val="001B47B6"/>
    <w:rsid w:val="001B58B9"/>
    <w:rsid w:val="001C001B"/>
    <w:rsid w:val="001C021E"/>
    <w:rsid w:val="001C03CF"/>
    <w:rsid w:val="001C0AB9"/>
    <w:rsid w:val="001C1423"/>
    <w:rsid w:val="001C14CC"/>
    <w:rsid w:val="001C28F6"/>
    <w:rsid w:val="001C3EC5"/>
    <w:rsid w:val="001C4504"/>
    <w:rsid w:val="001C49A8"/>
    <w:rsid w:val="001D0B90"/>
    <w:rsid w:val="001D3350"/>
    <w:rsid w:val="001D4848"/>
    <w:rsid w:val="001D52EA"/>
    <w:rsid w:val="001D62AA"/>
    <w:rsid w:val="001E05C9"/>
    <w:rsid w:val="001E1057"/>
    <w:rsid w:val="001E13F8"/>
    <w:rsid w:val="001E1C9C"/>
    <w:rsid w:val="001E1EB2"/>
    <w:rsid w:val="001E2F8C"/>
    <w:rsid w:val="001E320E"/>
    <w:rsid w:val="001E327B"/>
    <w:rsid w:val="001E3C45"/>
    <w:rsid w:val="001E4186"/>
    <w:rsid w:val="001E41AD"/>
    <w:rsid w:val="001E496D"/>
    <w:rsid w:val="001F0536"/>
    <w:rsid w:val="001F0BB1"/>
    <w:rsid w:val="001F2770"/>
    <w:rsid w:val="001F2BB1"/>
    <w:rsid w:val="001F5F89"/>
    <w:rsid w:val="002000B7"/>
    <w:rsid w:val="00200EF1"/>
    <w:rsid w:val="00201DDC"/>
    <w:rsid w:val="00203E4B"/>
    <w:rsid w:val="0020416B"/>
    <w:rsid w:val="002044D9"/>
    <w:rsid w:val="0020507B"/>
    <w:rsid w:val="00206C6C"/>
    <w:rsid w:val="00207628"/>
    <w:rsid w:val="00207C26"/>
    <w:rsid w:val="00210113"/>
    <w:rsid w:val="00212828"/>
    <w:rsid w:val="00212C2E"/>
    <w:rsid w:val="00212C83"/>
    <w:rsid w:val="00214FCF"/>
    <w:rsid w:val="00215DC9"/>
    <w:rsid w:val="00216102"/>
    <w:rsid w:val="00217629"/>
    <w:rsid w:val="0022045C"/>
    <w:rsid w:val="002209F7"/>
    <w:rsid w:val="00220E0C"/>
    <w:rsid w:val="00221066"/>
    <w:rsid w:val="0022639C"/>
    <w:rsid w:val="0022705F"/>
    <w:rsid w:val="002270C4"/>
    <w:rsid w:val="002313AE"/>
    <w:rsid w:val="00231947"/>
    <w:rsid w:val="002336D5"/>
    <w:rsid w:val="00235152"/>
    <w:rsid w:val="00235192"/>
    <w:rsid w:val="00236149"/>
    <w:rsid w:val="00237715"/>
    <w:rsid w:val="00237A35"/>
    <w:rsid w:val="00240198"/>
    <w:rsid w:val="00242589"/>
    <w:rsid w:val="002442F6"/>
    <w:rsid w:val="0024589D"/>
    <w:rsid w:val="002458A9"/>
    <w:rsid w:val="00246736"/>
    <w:rsid w:val="00246F4E"/>
    <w:rsid w:val="00251FC1"/>
    <w:rsid w:val="00252924"/>
    <w:rsid w:val="00252CED"/>
    <w:rsid w:val="00253F68"/>
    <w:rsid w:val="00254E0F"/>
    <w:rsid w:val="00255325"/>
    <w:rsid w:val="00255B55"/>
    <w:rsid w:val="0025722C"/>
    <w:rsid w:val="00260307"/>
    <w:rsid w:val="0026045B"/>
    <w:rsid w:val="002606DB"/>
    <w:rsid w:val="00260EA5"/>
    <w:rsid w:val="00261384"/>
    <w:rsid w:val="00262BCC"/>
    <w:rsid w:val="0026609A"/>
    <w:rsid w:val="002666CE"/>
    <w:rsid w:val="00272DEF"/>
    <w:rsid w:val="00272FEF"/>
    <w:rsid w:val="00273527"/>
    <w:rsid w:val="00276477"/>
    <w:rsid w:val="002807BE"/>
    <w:rsid w:val="0028135E"/>
    <w:rsid w:val="002819EA"/>
    <w:rsid w:val="0028456B"/>
    <w:rsid w:val="002871CB"/>
    <w:rsid w:val="00291F1E"/>
    <w:rsid w:val="0029227E"/>
    <w:rsid w:val="00293038"/>
    <w:rsid w:val="00293726"/>
    <w:rsid w:val="00293FC2"/>
    <w:rsid w:val="00295488"/>
    <w:rsid w:val="00296182"/>
    <w:rsid w:val="00296BD3"/>
    <w:rsid w:val="002A1342"/>
    <w:rsid w:val="002A150E"/>
    <w:rsid w:val="002A25BC"/>
    <w:rsid w:val="002A2EFA"/>
    <w:rsid w:val="002A3E82"/>
    <w:rsid w:val="002A401A"/>
    <w:rsid w:val="002A4290"/>
    <w:rsid w:val="002A4431"/>
    <w:rsid w:val="002A4461"/>
    <w:rsid w:val="002A4A5A"/>
    <w:rsid w:val="002A56F7"/>
    <w:rsid w:val="002A77B9"/>
    <w:rsid w:val="002B1871"/>
    <w:rsid w:val="002B35FB"/>
    <w:rsid w:val="002B43F0"/>
    <w:rsid w:val="002B4EB1"/>
    <w:rsid w:val="002B6C23"/>
    <w:rsid w:val="002B78B9"/>
    <w:rsid w:val="002C2001"/>
    <w:rsid w:val="002C5FCE"/>
    <w:rsid w:val="002C61BA"/>
    <w:rsid w:val="002C669B"/>
    <w:rsid w:val="002C72EC"/>
    <w:rsid w:val="002C7310"/>
    <w:rsid w:val="002D0B47"/>
    <w:rsid w:val="002D1872"/>
    <w:rsid w:val="002D21DC"/>
    <w:rsid w:val="002D2228"/>
    <w:rsid w:val="002D5E54"/>
    <w:rsid w:val="002D686C"/>
    <w:rsid w:val="002D6AC0"/>
    <w:rsid w:val="002D741D"/>
    <w:rsid w:val="002E1577"/>
    <w:rsid w:val="002E18BF"/>
    <w:rsid w:val="002E3748"/>
    <w:rsid w:val="002E3943"/>
    <w:rsid w:val="002E4DE7"/>
    <w:rsid w:val="002E5206"/>
    <w:rsid w:val="002F01EF"/>
    <w:rsid w:val="002F05A3"/>
    <w:rsid w:val="002F05BB"/>
    <w:rsid w:val="002F0BFB"/>
    <w:rsid w:val="002F19EB"/>
    <w:rsid w:val="002F2120"/>
    <w:rsid w:val="002F2C91"/>
    <w:rsid w:val="002F3937"/>
    <w:rsid w:val="00300966"/>
    <w:rsid w:val="00301E30"/>
    <w:rsid w:val="00301F0F"/>
    <w:rsid w:val="00303F5A"/>
    <w:rsid w:val="0030497C"/>
    <w:rsid w:val="00307101"/>
    <w:rsid w:val="0030784F"/>
    <w:rsid w:val="00307D76"/>
    <w:rsid w:val="0031304A"/>
    <w:rsid w:val="00313504"/>
    <w:rsid w:val="00313A43"/>
    <w:rsid w:val="00316678"/>
    <w:rsid w:val="00316EDF"/>
    <w:rsid w:val="00317C4E"/>
    <w:rsid w:val="003209CB"/>
    <w:rsid w:val="00322A63"/>
    <w:rsid w:val="00323A70"/>
    <w:rsid w:val="0032476E"/>
    <w:rsid w:val="00325E62"/>
    <w:rsid w:val="003269AC"/>
    <w:rsid w:val="00326C0B"/>
    <w:rsid w:val="00327B95"/>
    <w:rsid w:val="003307A2"/>
    <w:rsid w:val="00331F8C"/>
    <w:rsid w:val="003320C6"/>
    <w:rsid w:val="00334C2D"/>
    <w:rsid w:val="00335D6C"/>
    <w:rsid w:val="00336995"/>
    <w:rsid w:val="0034160C"/>
    <w:rsid w:val="003422F5"/>
    <w:rsid w:val="003455CE"/>
    <w:rsid w:val="00347EDC"/>
    <w:rsid w:val="0035193A"/>
    <w:rsid w:val="00352871"/>
    <w:rsid w:val="00352E21"/>
    <w:rsid w:val="00354830"/>
    <w:rsid w:val="00356DD3"/>
    <w:rsid w:val="00360865"/>
    <w:rsid w:val="00363B1D"/>
    <w:rsid w:val="003660B2"/>
    <w:rsid w:val="00367D9E"/>
    <w:rsid w:val="00370015"/>
    <w:rsid w:val="003706C6"/>
    <w:rsid w:val="00372C00"/>
    <w:rsid w:val="003745F3"/>
    <w:rsid w:val="003746AA"/>
    <w:rsid w:val="00375E42"/>
    <w:rsid w:val="00376CDD"/>
    <w:rsid w:val="003772FE"/>
    <w:rsid w:val="0038082D"/>
    <w:rsid w:val="00381131"/>
    <w:rsid w:val="0038151F"/>
    <w:rsid w:val="003816DC"/>
    <w:rsid w:val="00381B69"/>
    <w:rsid w:val="00381B86"/>
    <w:rsid w:val="003827E7"/>
    <w:rsid w:val="003829F1"/>
    <w:rsid w:val="0038338E"/>
    <w:rsid w:val="003835AC"/>
    <w:rsid w:val="00383EDE"/>
    <w:rsid w:val="00384DD2"/>
    <w:rsid w:val="0038580F"/>
    <w:rsid w:val="00385997"/>
    <w:rsid w:val="00385B24"/>
    <w:rsid w:val="00386BFB"/>
    <w:rsid w:val="00386E9E"/>
    <w:rsid w:val="00387B7C"/>
    <w:rsid w:val="003901FF"/>
    <w:rsid w:val="00391A17"/>
    <w:rsid w:val="00392BC7"/>
    <w:rsid w:val="00394D77"/>
    <w:rsid w:val="00395104"/>
    <w:rsid w:val="00396546"/>
    <w:rsid w:val="003A0073"/>
    <w:rsid w:val="003A07BF"/>
    <w:rsid w:val="003A1ECD"/>
    <w:rsid w:val="003A2AC2"/>
    <w:rsid w:val="003A2D07"/>
    <w:rsid w:val="003A36F2"/>
    <w:rsid w:val="003A4294"/>
    <w:rsid w:val="003A59E9"/>
    <w:rsid w:val="003A5AE6"/>
    <w:rsid w:val="003A5CA6"/>
    <w:rsid w:val="003A6784"/>
    <w:rsid w:val="003B02D5"/>
    <w:rsid w:val="003B1129"/>
    <w:rsid w:val="003B2394"/>
    <w:rsid w:val="003B28BF"/>
    <w:rsid w:val="003B363A"/>
    <w:rsid w:val="003B3A76"/>
    <w:rsid w:val="003B3F9F"/>
    <w:rsid w:val="003B4900"/>
    <w:rsid w:val="003B777D"/>
    <w:rsid w:val="003B787D"/>
    <w:rsid w:val="003B7D3F"/>
    <w:rsid w:val="003C0D02"/>
    <w:rsid w:val="003C2CDD"/>
    <w:rsid w:val="003C353F"/>
    <w:rsid w:val="003C3693"/>
    <w:rsid w:val="003C3DBC"/>
    <w:rsid w:val="003C4998"/>
    <w:rsid w:val="003C4BD4"/>
    <w:rsid w:val="003C5514"/>
    <w:rsid w:val="003C5EF5"/>
    <w:rsid w:val="003C739A"/>
    <w:rsid w:val="003D1390"/>
    <w:rsid w:val="003D1983"/>
    <w:rsid w:val="003D2043"/>
    <w:rsid w:val="003D306E"/>
    <w:rsid w:val="003D55FD"/>
    <w:rsid w:val="003D5DF7"/>
    <w:rsid w:val="003D634A"/>
    <w:rsid w:val="003D7D0D"/>
    <w:rsid w:val="003E039E"/>
    <w:rsid w:val="003E16B3"/>
    <w:rsid w:val="003E3E8C"/>
    <w:rsid w:val="003E4AA1"/>
    <w:rsid w:val="003E5782"/>
    <w:rsid w:val="003E6336"/>
    <w:rsid w:val="003E7290"/>
    <w:rsid w:val="003F0875"/>
    <w:rsid w:val="003F0FFE"/>
    <w:rsid w:val="003F1AF7"/>
    <w:rsid w:val="003F2EAC"/>
    <w:rsid w:val="003F6600"/>
    <w:rsid w:val="003F7A1D"/>
    <w:rsid w:val="00401248"/>
    <w:rsid w:val="0040144A"/>
    <w:rsid w:val="004017EC"/>
    <w:rsid w:val="00401C18"/>
    <w:rsid w:val="00402ADB"/>
    <w:rsid w:val="00403E90"/>
    <w:rsid w:val="0040446A"/>
    <w:rsid w:val="00404A44"/>
    <w:rsid w:val="00406859"/>
    <w:rsid w:val="00410613"/>
    <w:rsid w:val="00412846"/>
    <w:rsid w:val="004136FD"/>
    <w:rsid w:val="0041605F"/>
    <w:rsid w:val="004207F6"/>
    <w:rsid w:val="00421041"/>
    <w:rsid w:val="004216F5"/>
    <w:rsid w:val="0042191B"/>
    <w:rsid w:val="004222C5"/>
    <w:rsid w:val="00423E32"/>
    <w:rsid w:val="004254B5"/>
    <w:rsid w:val="00426110"/>
    <w:rsid w:val="00426A32"/>
    <w:rsid w:val="004275FC"/>
    <w:rsid w:val="0043018D"/>
    <w:rsid w:val="00430E44"/>
    <w:rsid w:val="00430EA0"/>
    <w:rsid w:val="00432590"/>
    <w:rsid w:val="004336E1"/>
    <w:rsid w:val="0043418A"/>
    <w:rsid w:val="00434857"/>
    <w:rsid w:val="00435060"/>
    <w:rsid w:val="004369C3"/>
    <w:rsid w:val="00436CC0"/>
    <w:rsid w:val="00440AF8"/>
    <w:rsid w:val="004427F4"/>
    <w:rsid w:val="00442BB0"/>
    <w:rsid w:val="00443903"/>
    <w:rsid w:val="00444304"/>
    <w:rsid w:val="004443E8"/>
    <w:rsid w:val="004445E5"/>
    <w:rsid w:val="004446F0"/>
    <w:rsid w:val="004446F7"/>
    <w:rsid w:val="00444815"/>
    <w:rsid w:val="0044537E"/>
    <w:rsid w:val="00445896"/>
    <w:rsid w:val="0044790F"/>
    <w:rsid w:val="0045129D"/>
    <w:rsid w:val="004513F4"/>
    <w:rsid w:val="00452C47"/>
    <w:rsid w:val="00453454"/>
    <w:rsid w:val="00453612"/>
    <w:rsid w:val="004541E8"/>
    <w:rsid w:val="0045562E"/>
    <w:rsid w:val="00457402"/>
    <w:rsid w:val="00461064"/>
    <w:rsid w:val="004620D4"/>
    <w:rsid w:val="0046270F"/>
    <w:rsid w:val="00464B30"/>
    <w:rsid w:val="00466A8B"/>
    <w:rsid w:val="004670F5"/>
    <w:rsid w:val="004673FE"/>
    <w:rsid w:val="00467E20"/>
    <w:rsid w:val="004706A2"/>
    <w:rsid w:val="004716C3"/>
    <w:rsid w:val="0047227A"/>
    <w:rsid w:val="00472F58"/>
    <w:rsid w:val="0047372D"/>
    <w:rsid w:val="0047442D"/>
    <w:rsid w:val="00475FDE"/>
    <w:rsid w:val="00477A80"/>
    <w:rsid w:val="00480729"/>
    <w:rsid w:val="0048088A"/>
    <w:rsid w:val="00482553"/>
    <w:rsid w:val="00483179"/>
    <w:rsid w:val="00486847"/>
    <w:rsid w:val="00487554"/>
    <w:rsid w:val="0049193F"/>
    <w:rsid w:val="004933B9"/>
    <w:rsid w:val="00494229"/>
    <w:rsid w:val="0049540D"/>
    <w:rsid w:val="004A0CDE"/>
    <w:rsid w:val="004A228C"/>
    <w:rsid w:val="004A2906"/>
    <w:rsid w:val="004A3585"/>
    <w:rsid w:val="004A48A7"/>
    <w:rsid w:val="004A4B96"/>
    <w:rsid w:val="004A6CC4"/>
    <w:rsid w:val="004A6F06"/>
    <w:rsid w:val="004B0C21"/>
    <w:rsid w:val="004B14F5"/>
    <w:rsid w:val="004B168A"/>
    <w:rsid w:val="004B18A5"/>
    <w:rsid w:val="004B1F8F"/>
    <w:rsid w:val="004B29A0"/>
    <w:rsid w:val="004B350D"/>
    <w:rsid w:val="004B404E"/>
    <w:rsid w:val="004B4377"/>
    <w:rsid w:val="004B5641"/>
    <w:rsid w:val="004B7614"/>
    <w:rsid w:val="004B7F8E"/>
    <w:rsid w:val="004C00AE"/>
    <w:rsid w:val="004C1A70"/>
    <w:rsid w:val="004C36E6"/>
    <w:rsid w:val="004C3705"/>
    <w:rsid w:val="004C3B4B"/>
    <w:rsid w:val="004C3C08"/>
    <w:rsid w:val="004C4CB1"/>
    <w:rsid w:val="004C5EC9"/>
    <w:rsid w:val="004C6261"/>
    <w:rsid w:val="004C64D0"/>
    <w:rsid w:val="004D04E6"/>
    <w:rsid w:val="004D1E3C"/>
    <w:rsid w:val="004D265D"/>
    <w:rsid w:val="004D3FCD"/>
    <w:rsid w:val="004D4FBB"/>
    <w:rsid w:val="004D68D7"/>
    <w:rsid w:val="004D7A17"/>
    <w:rsid w:val="004D7EE2"/>
    <w:rsid w:val="004E0D6F"/>
    <w:rsid w:val="004E1919"/>
    <w:rsid w:val="004E234D"/>
    <w:rsid w:val="004E3E74"/>
    <w:rsid w:val="004E402F"/>
    <w:rsid w:val="004E426E"/>
    <w:rsid w:val="004E498E"/>
    <w:rsid w:val="004E4F65"/>
    <w:rsid w:val="004E55D6"/>
    <w:rsid w:val="004E6480"/>
    <w:rsid w:val="004E6B5D"/>
    <w:rsid w:val="004E7030"/>
    <w:rsid w:val="004E713D"/>
    <w:rsid w:val="004F14BF"/>
    <w:rsid w:val="004F1EF3"/>
    <w:rsid w:val="004F2E4F"/>
    <w:rsid w:val="004F3841"/>
    <w:rsid w:val="004F4859"/>
    <w:rsid w:val="004F4967"/>
    <w:rsid w:val="004F703B"/>
    <w:rsid w:val="004F7365"/>
    <w:rsid w:val="004F7D3C"/>
    <w:rsid w:val="005004C3"/>
    <w:rsid w:val="00501D97"/>
    <w:rsid w:val="00501F27"/>
    <w:rsid w:val="00504100"/>
    <w:rsid w:val="00506057"/>
    <w:rsid w:val="00506E65"/>
    <w:rsid w:val="00506EC0"/>
    <w:rsid w:val="00507F7B"/>
    <w:rsid w:val="00510B42"/>
    <w:rsid w:val="00512882"/>
    <w:rsid w:val="00512E2A"/>
    <w:rsid w:val="00514B48"/>
    <w:rsid w:val="00522397"/>
    <w:rsid w:val="00523FCA"/>
    <w:rsid w:val="005255AF"/>
    <w:rsid w:val="00525733"/>
    <w:rsid w:val="005259D0"/>
    <w:rsid w:val="00526080"/>
    <w:rsid w:val="00527D1B"/>
    <w:rsid w:val="00532578"/>
    <w:rsid w:val="00534E2C"/>
    <w:rsid w:val="00536802"/>
    <w:rsid w:val="00536E7D"/>
    <w:rsid w:val="00537005"/>
    <w:rsid w:val="0054150F"/>
    <w:rsid w:val="00541AAD"/>
    <w:rsid w:val="00542B59"/>
    <w:rsid w:val="005432C6"/>
    <w:rsid w:val="005435AB"/>
    <w:rsid w:val="005439F8"/>
    <w:rsid w:val="0054594D"/>
    <w:rsid w:val="005474AF"/>
    <w:rsid w:val="0054777D"/>
    <w:rsid w:val="0055039F"/>
    <w:rsid w:val="00550B92"/>
    <w:rsid w:val="00551C6D"/>
    <w:rsid w:val="005522C5"/>
    <w:rsid w:val="00552624"/>
    <w:rsid w:val="0055509A"/>
    <w:rsid w:val="00562708"/>
    <w:rsid w:val="00563409"/>
    <w:rsid w:val="00563A49"/>
    <w:rsid w:val="00563D8D"/>
    <w:rsid w:val="00564017"/>
    <w:rsid w:val="005649B1"/>
    <w:rsid w:val="00565015"/>
    <w:rsid w:val="0056677A"/>
    <w:rsid w:val="00570282"/>
    <w:rsid w:val="00571FF0"/>
    <w:rsid w:val="00580B27"/>
    <w:rsid w:val="00580FDF"/>
    <w:rsid w:val="00582D38"/>
    <w:rsid w:val="005854A1"/>
    <w:rsid w:val="00586989"/>
    <w:rsid w:val="00587E4C"/>
    <w:rsid w:val="00590A59"/>
    <w:rsid w:val="00590AF2"/>
    <w:rsid w:val="005911A1"/>
    <w:rsid w:val="005917A6"/>
    <w:rsid w:val="0059240A"/>
    <w:rsid w:val="0059394C"/>
    <w:rsid w:val="00593B43"/>
    <w:rsid w:val="00593CA0"/>
    <w:rsid w:val="00594037"/>
    <w:rsid w:val="0059510A"/>
    <w:rsid w:val="00595CA8"/>
    <w:rsid w:val="00595D7F"/>
    <w:rsid w:val="005971BE"/>
    <w:rsid w:val="005A0303"/>
    <w:rsid w:val="005A19CC"/>
    <w:rsid w:val="005A378E"/>
    <w:rsid w:val="005A4C65"/>
    <w:rsid w:val="005A5FE3"/>
    <w:rsid w:val="005A744C"/>
    <w:rsid w:val="005A7792"/>
    <w:rsid w:val="005B004A"/>
    <w:rsid w:val="005B0CEF"/>
    <w:rsid w:val="005B121E"/>
    <w:rsid w:val="005B1EF8"/>
    <w:rsid w:val="005B21B5"/>
    <w:rsid w:val="005B25AD"/>
    <w:rsid w:val="005B2968"/>
    <w:rsid w:val="005B34C9"/>
    <w:rsid w:val="005B6406"/>
    <w:rsid w:val="005C1CA0"/>
    <w:rsid w:val="005C4707"/>
    <w:rsid w:val="005C58AB"/>
    <w:rsid w:val="005C5B66"/>
    <w:rsid w:val="005C6814"/>
    <w:rsid w:val="005D1E9B"/>
    <w:rsid w:val="005D3941"/>
    <w:rsid w:val="005D7539"/>
    <w:rsid w:val="005E04A5"/>
    <w:rsid w:val="005E26BD"/>
    <w:rsid w:val="005E56DF"/>
    <w:rsid w:val="005E73DA"/>
    <w:rsid w:val="005F047D"/>
    <w:rsid w:val="005F2422"/>
    <w:rsid w:val="005F405C"/>
    <w:rsid w:val="005F4833"/>
    <w:rsid w:val="005F4B11"/>
    <w:rsid w:val="005F5DAF"/>
    <w:rsid w:val="005F6B17"/>
    <w:rsid w:val="005F76D3"/>
    <w:rsid w:val="005F7D83"/>
    <w:rsid w:val="005F7E81"/>
    <w:rsid w:val="00600AF0"/>
    <w:rsid w:val="00600B0D"/>
    <w:rsid w:val="00600DFC"/>
    <w:rsid w:val="00601126"/>
    <w:rsid w:val="00602ABE"/>
    <w:rsid w:val="0060418C"/>
    <w:rsid w:val="00604514"/>
    <w:rsid w:val="00607418"/>
    <w:rsid w:val="00612550"/>
    <w:rsid w:val="00614E39"/>
    <w:rsid w:val="00615258"/>
    <w:rsid w:val="00615395"/>
    <w:rsid w:val="00615F86"/>
    <w:rsid w:val="00617F1A"/>
    <w:rsid w:val="00620B6E"/>
    <w:rsid w:val="00621C2B"/>
    <w:rsid w:val="00623257"/>
    <w:rsid w:val="00623E68"/>
    <w:rsid w:val="00624EC1"/>
    <w:rsid w:val="0062613C"/>
    <w:rsid w:val="006264B9"/>
    <w:rsid w:val="0062787A"/>
    <w:rsid w:val="00627BAC"/>
    <w:rsid w:val="00631271"/>
    <w:rsid w:val="006326A2"/>
    <w:rsid w:val="00633076"/>
    <w:rsid w:val="006347D2"/>
    <w:rsid w:val="00635E99"/>
    <w:rsid w:val="00635FE3"/>
    <w:rsid w:val="00636B44"/>
    <w:rsid w:val="00640477"/>
    <w:rsid w:val="006416B9"/>
    <w:rsid w:val="0064184D"/>
    <w:rsid w:val="00641C31"/>
    <w:rsid w:val="00642F22"/>
    <w:rsid w:val="00642F7B"/>
    <w:rsid w:val="00642FAA"/>
    <w:rsid w:val="0064565B"/>
    <w:rsid w:val="006463C5"/>
    <w:rsid w:val="006467EB"/>
    <w:rsid w:val="00647624"/>
    <w:rsid w:val="00647957"/>
    <w:rsid w:val="00647A9B"/>
    <w:rsid w:val="00650B20"/>
    <w:rsid w:val="006539D9"/>
    <w:rsid w:val="00655999"/>
    <w:rsid w:val="00656634"/>
    <w:rsid w:val="006578E3"/>
    <w:rsid w:val="00664A0A"/>
    <w:rsid w:val="0066514A"/>
    <w:rsid w:val="00665A6C"/>
    <w:rsid w:val="00666B49"/>
    <w:rsid w:val="00667A4D"/>
    <w:rsid w:val="00667AC8"/>
    <w:rsid w:val="00670D4F"/>
    <w:rsid w:val="0067148A"/>
    <w:rsid w:val="00672C43"/>
    <w:rsid w:val="006731F5"/>
    <w:rsid w:val="0067435A"/>
    <w:rsid w:val="00674578"/>
    <w:rsid w:val="00675DC0"/>
    <w:rsid w:val="006761A3"/>
    <w:rsid w:val="00676A59"/>
    <w:rsid w:val="0067751F"/>
    <w:rsid w:val="00677836"/>
    <w:rsid w:val="006803E3"/>
    <w:rsid w:val="00680B41"/>
    <w:rsid w:val="00680B8A"/>
    <w:rsid w:val="0068100A"/>
    <w:rsid w:val="0068206F"/>
    <w:rsid w:val="00683CB2"/>
    <w:rsid w:val="0068413C"/>
    <w:rsid w:val="00684236"/>
    <w:rsid w:val="00684E35"/>
    <w:rsid w:val="006851FD"/>
    <w:rsid w:val="00685889"/>
    <w:rsid w:val="00687A9D"/>
    <w:rsid w:val="0069258E"/>
    <w:rsid w:val="0069291B"/>
    <w:rsid w:val="00692A25"/>
    <w:rsid w:val="006930FA"/>
    <w:rsid w:val="00693402"/>
    <w:rsid w:val="00694E70"/>
    <w:rsid w:val="00694F99"/>
    <w:rsid w:val="00695209"/>
    <w:rsid w:val="006958E3"/>
    <w:rsid w:val="00695977"/>
    <w:rsid w:val="00697EB1"/>
    <w:rsid w:val="006A162C"/>
    <w:rsid w:val="006A2E7C"/>
    <w:rsid w:val="006A31DC"/>
    <w:rsid w:val="006A3D8B"/>
    <w:rsid w:val="006A3FC9"/>
    <w:rsid w:val="006A40B7"/>
    <w:rsid w:val="006A4BD2"/>
    <w:rsid w:val="006A4EEF"/>
    <w:rsid w:val="006A766D"/>
    <w:rsid w:val="006A7F80"/>
    <w:rsid w:val="006B010B"/>
    <w:rsid w:val="006B1202"/>
    <w:rsid w:val="006B1AB3"/>
    <w:rsid w:val="006B1CFB"/>
    <w:rsid w:val="006B1E70"/>
    <w:rsid w:val="006B31A5"/>
    <w:rsid w:val="006B32A6"/>
    <w:rsid w:val="006B5B81"/>
    <w:rsid w:val="006B5D0A"/>
    <w:rsid w:val="006B5E0B"/>
    <w:rsid w:val="006B6685"/>
    <w:rsid w:val="006B6FDE"/>
    <w:rsid w:val="006B75EE"/>
    <w:rsid w:val="006B7EAD"/>
    <w:rsid w:val="006C05AA"/>
    <w:rsid w:val="006C144D"/>
    <w:rsid w:val="006C1DE2"/>
    <w:rsid w:val="006C1EB2"/>
    <w:rsid w:val="006C48F1"/>
    <w:rsid w:val="006C4BE2"/>
    <w:rsid w:val="006C64C0"/>
    <w:rsid w:val="006C6740"/>
    <w:rsid w:val="006C7A30"/>
    <w:rsid w:val="006D094B"/>
    <w:rsid w:val="006D179E"/>
    <w:rsid w:val="006D2375"/>
    <w:rsid w:val="006D2BBE"/>
    <w:rsid w:val="006D316A"/>
    <w:rsid w:val="006D464E"/>
    <w:rsid w:val="006D5B35"/>
    <w:rsid w:val="006D604F"/>
    <w:rsid w:val="006D6798"/>
    <w:rsid w:val="006D6BF9"/>
    <w:rsid w:val="006D7D05"/>
    <w:rsid w:val="006E17E3"/>
    <w:rsid w:val="006E3762"/>
    <w:rsid w:val="006E3A8F"/>
    <w:rsid w:val="006E3AB3"/>
    <w:rsid w:val="006E4A2B"/>
    <w:rsid w:val="006E4B53"/>
    <w:rsid w:val="006E5738"/>
    <w:rsid w:val="006E7D05"/>
    <w:rsid w:val="006E7DD3"/>
    <w:rsid w:val="006F002C"/>
    <w:rsid w:val="006F12A0"/>
    <w:rsid w:val="006F25B9"/>
    <w:rsid w:val="006F26FE"/>
    <w:rsid w:val="006F3051"/>
    <w:rsid w:val="006F3092"/>
    <w:rsid w:val="006F3151"/>
    <w:rsid w:val="006F33DB"/>
    <w:rsid w:val="006F38EA"/>
    <w:rsid w:val="006F3E3E"/>
    <w:rsid w:val="006F47C9"/>
    <w:rsid w:val="006F5368"/>
    <w:rsid w:val="006F61A1"/>
    <w:rsid w:val="006F7DDD"/>
    <w:rsid w:val="00702EAD"/>
    <w:rsid w:val="00703621"/>
    <w:rsid w:val="00703BBC"/>
    <w:rsid w:val="00707EAF"/>
    <w:rsid w:val="007101C7"/>
    <w:rsid w:val="00710A08"/>
    <w:rsid w:val="007138F9"/>
    <w:rsid w:val="00713B1C"/>
    <w:rsid w:val="00714CAF"/>
    <w:rsid w:val="007155BD"/>
    <w:rsid w:val="00715D07"/>
    <w:rsid w:val="0071789A"/>
    <w:rsid w:val="00721DA9"/>
    <w:rsid w:val="007226C6"/>
    <w:rsid w:val="00723389"/>
    <w:rsid w:val="00723BA8"/>
    <w:rsid w:val="007242D7"/>
    <w:rsid w:val="00726D2F"/>
    <w:rsid w:val="00726FF7"/>
    <w:rsid w:val="00727533"/>
    <w:rsid w:val="00727ACA"/>
    <w:rsid w:val="00730BE6"/>
    <w:rsid w:val="007317BA"/>
    <w:rsid w:val="00732D1C"/>
    <w:rsid w:val="00732D3A"/>
    <w:rsid w:val="00732FB7"/>
    <w:rsid w:val="0073321F"/>
    <w:rsid w:val="0073369F"/>
    <w:rsid w:val="00735436"/>
    <w:rsid w:val="0073658F"/>
    <w:rsid w:val="007365A2"/>
    <w:rsid w:val="00736DD4"/>
    <w:rsid w:val="007406AB"/>
    <w:rsid w:val="00740871"/>
    <w:rsid w:val="00740D1D"/>
    <w:rsid w:val="00742FC0"/>
    <w:rsid w:val="007435A8"/>
    <w:rsid w:val="007445FC"/>
    <w:rsid w:val="0074592B"/>
    <w:rsid w:val="00745A5D"/>
    <w:rsid w:val="00747BE1"/>
    <w:rsid w:val="00750538"/>
    <w:rsid w:val="00750C13"/>
    <w:rsid w:val="00751012"/>
    <w:rsid w:val="0075433A"/>
    <w:rsid w:val="00754729"/>
    <w:rsid w:val="00755FD5"/>
    <w:rsid w:val="007562BF"/>
    <w:rsid w:val="00756EDD"/>
    <w:rsid w:val="00757707"/>
    <w:rsid w:val="007608E0"/>
    <w:rsid w:val="00761A09"/>
    <w:rsid w:val="007620DD"/>
    <w:rsid w:val="00762555"/>
    <w:rsid w:val="00763CC8"/>
    <w:rsid w:val="0076518F"/>
    <w:rsid w:val="00765210"/>
    <w:rsid w:val="0076617C"/>
    <w:rsid w:val="00766E11"/>
    <w:rsid w:val="0077284C"/>
    <w:rsid w:val="00772ABA"/>
    <w:rsid w:val="00772B11"/>
    <w:rsid w:val="00773B21"/>
    <w:rsid w:val="007765A0"/>
    <w:rsid w:val="0077793A"/>
    <w:rsid w:val="007802FF"/>
    <w:rsid w:val="007811CC"/>
    <w:rsid w:val="00781C7B"/>
    <w:rsid w:val="00781F5E"/>
    <w:rsid w:val="007825D8"/>
    <w:rsid w:val="00783361"/>
    <w:rsid w:val="00783566"/>
    <w:rsid w:val="00783CF1"/>
    <w:rsid w:val="007846D5"/>
    <w:rsid w:val="007867D8"/>
    <w:rsid w:val="007874C6"/>
    <w:rsid w:val="00790295"/>
    <w:rsid w:val="00790333"/>
    <w:rsid w:val="00791D09"/>
    <w:rsid w:val="007921D2"/>
    <w:rsid w:val="007924A2"/>
    <w:rsid w:val="007924C8"/>
    <w:rsid w:val="0079255D"/>
    <w:rsid w:val="00792B8E"/>
    <w:rsid w:val="007953F5"/>
    <w:rsid w:val="0079604B"/>
    <w:rsid w:val="00796EB2"/>
    <w:rsid w:val="00797B9F"/>
    <w:rsid w:val="00797DD6"/>
    <w:rsid w:val="007A1F97"/>
    <w:rsid w:val="007A422E"/>
    <w:rsid w:val="007A497D"/>
    <w:rsid w:val="007B07AD"/>
    <w:rsid w:val="007B0DA4"/>
    <w:rsid w:val="007B10DE"/>
    <w:rsid w:val="007B1516"/>
    <w:rsid w:val="007B2377"/>
    <w:rsid w:val="007B3FC2"/>
    <w:rsid w:val="007B449F"/>
    <w:rsid w:val="007B55B6"/>
    <w:rsid w:val="007B76FC"/>
    <w:rsid w:val="007B7812"/>
    <w:rsid w:val="007B793E"/>
    <w:rsid w:val="007C012E"/>
    <w:rsid w:val="007C08F7"/>
    <w:rsid w:val="007C27EA"/>
    <w:rsid w:val="007C4E31"/>
    <w:rsid w:val="007D0E61"/>
    <w:rsid w:val="007D10DB"/>
    <w:rsid w:val="007D2C2C"/>
    <w:rsid w:val="007D5463"/>
    <w:rsid w:val="007D5A23"/>
    <w:rsid w:val="007D6B5D"/>
    <w:rsid w:val="007E0FBD"/>
    <w:rsid w:val="007E12D0"/>
    <w:rsid w:val="007E18E8"/>
    <w:rsid w:val="007E1B5E"/>
    <w:rsid w:val="007E1FB4"/>
    <w:rsid w:val="007E394A"/>
    <w:rsid w:val="007E428F"/>
    <w:rsid w:val="007E598A"/>
    <w:rsid w:val="007E7F75"/>
    <w:rsid w:val="007F26CA"/>
    <w:rsid w:val="007F5BEA"/>
    <w:rsid w:val="007F769D"/>
    <w:rsid w:val="008012ED"/>
    <w:rsid w:val="008030D3"/>
    <w:rsid w:val="00803A15"/>
    <w:rsid w:val="00811520"/>
    <w:rsid w:val="00813250"/>
    <w:rsid w:val="00814C99"/>
    <w:rsid w:val="008155C0"/>
    <w:rsid w:val="00816D92"/>
    <w:rsid w:val="00817374"/>
    <w:rsid w:val="008206D7"/>
    <w:rsid w:val="00825072"/>
    <w:rsid w:val="0082558B"/>
    <w:rsid w:val="0082600D"/>
    <w:rsid w:val="0083025D"/>
    <w:rsid w:val="0083145B"/>
    <w:rsid w:val="008319DB"/>
    <w:rsid w:val="00831D9F"/>
    <w:rsid w:val="00831FE3"/>
    <w:rsid w:val="00833500"/>
    <w:rsid w:val="00833A65"/>
    <w:rsid w:val="00834469"/>
    <w:rsid w:val="00834694"/>
    <w:rsid w:val="008360C7"/>
    <w:rsid w:val="00836272"/>
    <w:rsid w:val="008375AA"/>
    <w:rsid w:val="00841CEB"/>
    <w:rsid w:val="00842E68"/>
    <w:rsid w:val="008439BD"/>
    <w:rsid w:val="00843B11"/>
    <w:rsid w:val="00846469"/>
    <w:rsid w:val="00846587"/>
    <w:rsid w:val="00847153"/>
    <w:rsid w:val="00847C55"/>
    <w:rsid w:val="00850532"/>
    <w:rsid w:val="00852EB7"/>
    <w:rsid w:val="008531BB"/>
    <w:rsid w:val="008534CE"/>
    <w:rsid w:val="0085394E"/>
    <w:rsid w:val="00853C11"/>
    <w:rsid w:val="00854444"/>
    <w:rsid w:val="00855450"/>
    <w:rsid w:val="00855B7B"/>
    <w:rsid w:val="00855CF1"/>
    <w:rsid w:val="00856411"/>
    <w:rsid w:val="00856717"/>
    <w:rsid w:val="008574A4"/>
    <w:rsid w:val="00864C1C"/>
    <w:rsid w:val="008663BF"/>
    <w:rsid w:val="00873ABF"/>
    <w:rsid w:val="008753EA"/>
    <w:rsid w:val="00876E55"/>
    <w:rsid w:val="0087732B"/>
    <w:rsid w:val="008778E3"/>
    <w:rsid w:val="00881D93"/>
    <w:rsid w:val="00883E2B"/>
    <w:rsid w:val="00884016"/>
    <w:rsid w:val="008876BB"/>
    <w:rsid w:val="0089045C"/>
    <w:rsid w:val="00890944"/>
    <w:rsid w:val="00890DE7"/>
    <w:rsid w:val="00895253"/>
    <w:rsid w:val="00896075"/>
    <w:rsid w:val="0089660D"/>
    <w:rsid w:val="008A0A87"/>
    <w:rsid w:val="008A10A7"/>
    <w:rsid w:val="008A1468"/>
    <w:rsid w:val="008A15E6"/>
    <w:rsid w:val="008A1D35"/>
    <w:rsid w:val="008A1FB0"/>
    <w:rsid w:val="008A295F"/>
    <w:rsid w:val="008A30C4"/>
    <w:rsid w:val="008A34E0"/>
    <w:rsid w:val="008A42FB"/>
    <w:rsid w:val="008A61FA"/>
    <w:rsid w:val="008B01B9"/>
    <w:rsid w:val="008B0AD1"/>
    <w:rsid w:val="008B16F7"/>
    <w:rsid w:val="008B18B0"/>
    <w:rsid w:val="008B1A97"/>
    <w:rsid w:val="008B5E42"/>
    <w:rsid w:val="008B6A54"/>
    <w:rsid w:val="008C0542"/>
    <w:rsid w:val="008C12DD"/>
    <w:rsid w:val="008C16C5"/>
    <w:rsid w:val="008C221B"/>
    <w:rsid w:val="008C362A"/>
    <w:rsid w:val="008C3EF8"/>
    <w:rsid w:val="008C4A50"/>
    <w:rsid w:val="008C6625"/>
    <w:rsid w:val="008D0083"/>
    <w:rsid w:val="008D0853"/>
    <w:rsid w:val="008D2918"/>
    <w:rsid w:val="008D39F0"/>
    <w:rsid w:val="008D4496"/>
    <w:rsid w:val="008D4AB2"/>
    <w:rsid w:val="008D4DFD"/>
    <w:rsid w:val="008D58A1"/>
    <w:rsid w:val="008D6B98"/>
    <w:rsid w:val="008D7668"/>
    <w:rsid w:val="008E0541"/>
    <w:rsid w:val="008E118E"/>
    <w:rsid w:val="008E11F8"/>
    <w:rsid w:val="008E1568"/>
    <w:rsid w:val="008E4C2C"/>
    <w:rsid w:val="008E573A"/>
    <w:rsid w:val="008E6956"/>
    <w:rsid w:val="008F09DC"/>
    <w:rsid w:val="008F194F"/>
    <w:rsid w:val="008F4D56"/>
    <w:rsid w:val="008F5499"/>
    <w:rsid w:val="008F73F3"/>
    <w:rsid w:val="008F7F47"/>
    <w:rsid w:val="00901705"/>
    <w:rsid w:val="00901C1E"/>
    <w:rsid w:val="0090394D"/>
    <w:rsid w:val="00907415"/>
    <w:rsid w:val="00907BBB"/>
    <w:rsid w:val="0091049C"/>
    <w:rsid w:val="009109FB"/>
    <w:rsid w:val="00911D97"/>
    <w:rsid w:val="00911E30"/>
    <w:rsid w:val="00912C48"/>
    <w:rsid w:val="00912DB5"/>
    <w:rsid w:val="00912DC4"/>
    <w:rsid w:val="00915331"/>
    <w:rsid w:val="00916B94"/>
    <w:rsid w:val="00917036"/>
    <w:rsid w:val="009173E4"/>
    <w:rsid w:val="009175F1"/>
    <w:rsid w:val="00917980"/>
    <w:rsid w:val="00920203"/>
    <w:rsid w:val="00921193"/>
    <w:rsid w:val="00921FDC"/>
    <w:rsid w:val="0092272D"/>
    <w:rsid w:val="0092294B"/>
    <w:rsid w:val="00922E24"/>
    <w:rsid w:val="00923032"/>
    <w:rsid w:val="009230B0"/>
    <w:rsid w:val="009257B6"/>
    <w:rsid w:val="00926A0A"/>
    <w:rsid w:val="00926DB0"/>
    <w:rsid w:val="00931B32"/>
    <w:rsid w:val="0093209F"/>
    <w:rsid w:val="009320A7"/>
    <w:rsid w:val="00934FFB"/>
    <w:rsid w:val="00935A60"/>
    <w:rsid w:val="00941339"/>
    <w:rsid w:val="00944085"/>
    <w:rsid w:val="009444E3"/>
    <w:rsid w:val="00945852"/>
    <w:rsid w:val="00951AB6"/>
    <w:rsid w:val="00952543"/>
    <w:rsid w:val="00952A42"/>
    <w:rsid w:val="0095398F"/>
    <w:rsid w:val="009559C2"/>
    <w:rsid w:val="009576B7"/>
    <w:rsid w:val="00960556"/>
    <w:rsid w:val="00960EAF"/>
    <w:rsid w:val="00961345"/>
    <w:rsid w:val="009614B3"/>
    <w:rsid w:val="00961B05"/>
    <w:rsid w:val="00962B25"/>
    <w:rsid w:val="00962D5D"/>
    <w:rsid w:val="009649B4"/>
    <w:rsid w:val="00965E0D"/>
    <w:rsid w:val="00966074"/>
    <w:rsid w:val="00966C66"/>
    <w:rsid w:val="009671CE"/>
    <w:rsid w:val="009678EA"/>
    <w:rsid w:val="00970068"/>
    <w:rsid w:val="00971A55"/>
    <w:rsid w:val="0097288B"/>
    <w:rsid w:val="009730FB"/>
    <w:rsid w:val="009738DE"/>
    <w:rsid w:val="00975CBF"/>
    <w:rsid w:val="00980498"/>
    <w:rsid w:val="00981201"/>
    <w:rsid w:val="009825CA"/>
    <w:rsid w:val="00982F31"/>
    <w:rsid w:val="0098417B"/>
    <w:rsid w:val="00985351"/>
    <w:rsid w:val="00985720"/>
    <w:rsid w:val="009858CC"/>
    <w:rsid w:val="00985ECE"/>
    <w:rsid w:val="00986351"/>
    <w:rsid w:val="009921FF"/>
    <w:rsid w:val="00992E13"/>
    <w:rsid w:val="009946F6"/>
    <w:rsid w:val="00994C2F"/>
    <w:rsid w:val="00994C3D"/>
    <w:rsid w:val="0099586F"/>
    <w:rsid w:val="009A06BF"/>
    <w:rsid w:val="009A12A4"/>
    <w:rsid w:val="009A1FF5"/>
    <w:rsid w:val="009A4184"/>
    <w:rsid w:val="009A51CF"/>
    <w:rsid w:val="009A5745"/>
    <w:rsid w:val="009A5EAC"/>
    <w:rsid w:val="009A607F"/>
    <w:rsid w:val="009B0CAA"/>
    <w:rsid w:val="009B1AB9"/>
    <w:rsid w:val="009B28E1"/>
    <w:rsid w:val="009B301B"/>
    <w:rsid w:val="009B38AD"/>
    <w:rsid w:val="009B5DED"/>
    <w:rsid w:val="009B74AE"/>
    <w:rsid w:val="009B7DC5"/>
    <w:rsid w:val="009C24C0"/>
    <w:rsid w:val="009C36F5"/>
    <w:rsid w:val="009C3DA2"/>
    <w:rsid w:val="009C6601"/>
    <w:rsid w:val="009C755B"/>
    <w:rsid w:val="009C7E15"/>
    <w:rsid w:val="009D2A4B"/>
    <w:rsid w:val="009D4C44"/>
    <w:rsid w:val="009D5B69"/>
    <w:rsid w:val="009E0AD6"/>
    <w:rsid w:val="009E1E6C"/>
    <w:rsid w:val="009E3F75"/>
    <w:rsid w:val="009E4DB9"/>
    <w:rsid w:val="009E7112"/>
    <w:rsid w:val="009E7A9F"/>
    <w:rsid w:val="009F2242"/>
    <w:rsid w:val="009F2687"/>
    <w:rsid w:val="009F519D"/>
    <w:rsid w:val="009F51D1"/>
    <w:rsid w:val="009F520B"/>
    <w:rsid w:val="009F528F"/>
    <w:rsid w:val="009F5477"/>
    <w:rsid w:val="009F7089"/>
    <w:rsid w:val="009F772B"/>
    <w:rsid w:val="00A037C5"/>
    <w:rsid w:val="00A06230"/>
    <w:rsid w:val="00A079BD"/>
    <w:rsid w:val="00A07D10"/>
    <w:rsid w:val="00A1152D"/>
    <w:rsid w:val="00A11CDC"/>
    <w:rsid w:val="00A13050"/>
    <w:rsid w:val="00A161BF"/>
    <w:rsid w:val="00A16A7D"/>
    <w:rsid w:val="00A16C4D"/>
    <w:rsid w:val="00A16F89"/>
    <w:rsid w:val="00A17033"/>
    <w:rsid w:val="00A205C4"/>
    <w:rsid w:val="00A20A1D"/>
    <w:rsid w:val="00A21793"/>
    <w:rsid w:val="00A217FC"/>
    <w:rsid w:val="00A23224"/>
    <w:rsid w:val="00A23AFF"/>
    <w:rsid w:val="00A258CF"/>
    <w:rsid w:val="00A30EF6"/>
    <w:rsid w:val="00A31ADF"/>
    <w:rsid w:val="00A33338"/>
    <w:rsid w:val="00A34D45"/>
    <w:rsid w:val="00A35202"/>
    <w:rsid w:val="00A3713A"/>
    <w:rsid w:val="00A40C38"/>
    <w:rsid w:val="00A4260C"/>
    <w:rsid w:val="00A431B0"/>
    <w:rsid w:val="00A43A97"/>
    <w:rsid w:val="00A46BC6"/>
    <w:rsid w:val="00A47FD0"/>
    <w:rsid w:val="00A50126"/>
    <w:rsid w:val="00A530AF"/>
    <w:rsid w:val="00A54300"/>
    <w:rsid w:val="00A54C67"/>
    <w:rsid w:val="00A556C5"/>
    <w:rsid w:val="00A565A2"/>
    <w:rsid w:val="00A578B8"/>
    <w:rsid w:val="00A606EA"/>
    <w:rsid w:val="00A61633"/>
    <w:rsid w:val="00A61D7D"/>
    <w:rsid w:val="00A62946"/>
    <w:rsid w:val="00A62B55"/>
    <w:rsid w:val="00A63810"/>
    <w:rsid w:val="00A6426A"/>
    <w:rsid w:val="00A64871"/>
    <w:rsid w:val="00A66AB3"/>
    <w:rsid w:val="00A676EB"/>
    <w:rsid w:val="00A677B3"/>
    <w:rsid w:val="00A712F7"/>
    <w:rsid w:val="00A75F5F"/>
    <w:rsid w:val="00A75FCE"/>
    <w:rsid w:val="00A766C6"/>
    <w:rsid w:val="00A76F62"/>
    <w:rsid w:val="00A76FE5"/>
    <w:rsid w:val="00A77B13"/>
    <w:rsid w:val="00A819B8"/>
    <w:rsid w:val="00A8269F"/>
    <w:rsid w:val="00A84E81"/>
    <w:rsid w:val="00A85977"/>
    <w:rsid w:val="00A86A5F"/>
    <w:rsid w:val="00A90B4F"/>
    <w:rsid w:val="00A914DF"/>
    <w:rsid w:val="00A92173"/>
    <w:rsid w:val="00A9272E"/>
    <w:rsid w:val="00A9315A"/>
    <w:rsid w:val="00A93B79"/>
    <w:rsid w:val="00A94197"/>
    <w:rsid w:val="00A975C5"/>
    <w:rsid w:val="00A97DB7"/>
    <w:rsid w:val="00AA126B"/>
    <w:rsid w:val="00AA34B6"/>
    <w:rsid w:val="00AA4CFC"/>
    <w:rsid w:val="00AA5EFC"/>
    <w:rsid w:val="00AB05D0"/>
    <w:rsid w:val="00AB12BE"/>
    <w:rsid w:val="00AB3799"/>
    <w:rsid w:val="00AB3A08"/>
    <w:rsid w:val="00AB48D3"/>
    <w:rsid w:val="00AB49DB"/>
    <w:rsid w:val="00AB567F"/>
    <w:rsid w:val="00AB5B9A"/>
    <w:rsid w:val="00AB609E"/>
    <w:rsid w:val="00AC025E"/>
    <w:rsid w:val="00AC0B8C"/>
    <w:rsid w:val="00AC259E"/>
    <w:rsid w:val="00AC4E0F"/>
    <w:rsid w:val="00AC5069"/>
    <w:rsid w:val="00AC5938"/>
    <w:rsid w:val="00AC7720"/>
    <w:rsid w:val="00AD0030"/>
    <w:rsid w:val="00AD0D24"/>
    <w:rsid w:val="00AD0E6C"/>
    <w:rsid w:val="00AD1E1B"/>
    <w:rsid w:val="00AD3CD8"/>
    <w:rsid w:val="00AD4A91"/>
    <w:rsid w:val="00AD5F51"/>
    <w:rsid w:val="00AD5FF5"/>
    <w:rsid w:val="00AD65AA"/>
    <w:rsid w:val="00AD768C"/>
    <w:rsid w:val="00AD76DD"/>
    <w:rsid w:val="00AD7741"/>
    <w:rsid w:val="00AE0274"/>
    <w:rsid w:val="00AE05E4"/>
    <w:rsid w:val="00AE16F4"/>
    <w:rsid w:val="00AE2167"/>
    <w:rsid w:val="00AE240B"/>
    <w:rsid w:val="00AE4BB6"/>
    <w:rsid w:val="00AE5892"/>
    <w:rsid w:val="00AE5FC1"/>
    <w:rsid w:val="00AE7666"/>
    <w:rsid w:val="00AE78DA"/>
    <w:rsid w:val="00AE7973"/>
    <w:rsid w:val="00AF021B"/>
    <w:rsid w:val="00AF61E2"/>
    <w:rsid w:val="00AF6504"/>
    <w:rsid w:val="00AF6623"/>
    <w:rsid w:val="00AF7967"/>
    <w:rsid w:val="00AF7A1E"/>
    <w:rsid w:val="00B00F3B"/>
    <w:rsid w:val="00B03487"/>
    <w:rsid w:val="00B041FE"/>
    <w:rsid w:val="00B05537"/>
    <w:rsid w:val="00B05DB0"/>
    <w:rsid w:val="00B0693F"/>
    <w:rsid w:val="00B06E5F"/>
    <w:rsid w:val="00B109F9"/>
    <w:rsid w:val="00B1118F"/>
    <w:rsid w:val="00B13E50"/>
    <w:rsid w:val="00B14FED"/>
    <w:rsid w:val="00B15E5B"/>
    <w:rsid w:val="00B164A6"/>
    <w:rsid w:val="00B16DA0"/>
    <w:rsid w:val="00B2083B"/>
    <w:rsid w:val="00B21C83"/>
    <w:rsid w:val="00B22B62"/>
    <w:rsid w:val="00B255FE"/>
    <w:rsid w:val="00B271BC"/>
    <w:rsid w:val="00B31862"/>
    <w:rsid w:val="00B31B7D"/>
    <w:rsid w:val="00B3262F"/>
    <w:rsid w:val="00B32BEE"/>
    <w:rsid w:val="00B32D56"/>
    <w:rsid w:val="00B32FAC"/>
    <w:rsid w:val="00B33D73"/>
    <w:rsid w:val="00B34235"/>
    <w:rsid w:val="00B35C0D"/>
    <w:rsid w:val="00B37FA7"/>
    <w:rsid w:val="00B4130C"/>
    <w:rsid w:val="00B42F32"/>
    <w:rsid w:val="00B43401"/>
    <w:rsid w:val="00B43D17"/>
    <w:rsid w:val="00B44D50"/>
    <w:rsid w:val="00B44FF7"/>
    <w:rsid w:val="00B4542E"/>
    <w:rsid w:val="00B466F0"/>
    <w:rsid w:val="00B46923"/>
    <w:rsid w:val="00B472AD"/>
    <w:rsid w:val="00B4781F"/>
    <w:rsid w:val="00B4793E"/>
    <w:rsid w:val="00B47FF8"/>
    <w:rsid w:val="00B50C30"/>
    <w:rsid w:val="00B51CD5"/>
    <w:rsid w:val="00B5307B"/>
    <w:rsid w:val="00B5362C"/>
    <w:rsid w:val="00B536D9"/>
    <w:rsid w:val="00B537AB"/>
    <w:rsid w:val="00B5389E"/>
    <w:rsid w:val="00B56FD4"/>
    <w:rsid w:val="00B57457"/>
    <w:rsid w:val="00B57F9A"/>
    <w:rsid w:val="00B60A05"/>
    <w:rsid w:val="00B61186"/>
    <w:rsid w:val="00B623E5"/>
    <w:rsid w:val="00B63145"/>
    <w:rsid w:val="00B634DB"/>
    <w:rsid w:val="00B644EE"/>
    <w:rsid w:val="00B656FE"/>
    <w:rsid w:val="00B6664E"/>
    <w:rsid w:val="00B70D87"/>
    <w:rsid w:val="00B72342"/>
    <w:rsid w:val="00B75758"/>
    <w:rsid w:val="00B77454"/>
    <w:rsid w:val="00B81187"/>
    <w:rsid w:val="00B81912"/>
    <w:rsid w:val="00B81A02"/>
    <w:rsid w:val="00B82C90"/>
    <w:rsid w:val="00B82D77"/>
    <w:rsid w:val="00B851FC"/>
    <w:rsid w:val="00B8557A"/>
    <w:rsid w:val="00B85B56"/>
    <w:rsid w:val="00B86154"/>
    <w:rsid w:val="00B87221"/>
    <w:rsid w:val="00B91F46"/>
    <w:rsid w:val="00B93A03"/>
    <w:rsid w:val="00B944CB"/>
    <w:rsid w:val="00B94596"/>
    <w:rsid w:val="00B94628"/>
    <w:rsid w:val="00B96574"/>
    <w:rsid w:val="00B96744"/>
    <w:rsid w:val="00B969E0"/>
    <w:rsid w:val="00B974E5"/>
    <w:rsid w:val="00B9750B"/>
    <w:rsid w:val="00B97C87"/>
    <w:rsid w:val="00B97DD0"/>
    <w:rsid w:val="00BA0E27"/>
    <w:rsid w:val="00BA36E9"/>
    <w:rsid w:val="00BB141B"/>
    <w:rsid w:val="00BB1EDA"/>
    <w:rsid w:val="00BB2090"/>
    <w:rsid w:val="00BB32F6"/>
    <w:rsid w:val="00BB513D"/>
    <w:rsid w:val="00BB551A"/>
    <w:rsid w:val="00BB60D4"/>
    <w:rsid w:val="00BB65BD"/>
    <w:rsid w:val="00BB69AD"/>
    <w:rsid w:val="00BC10B8"/>
    <w:rsid w:val="00BC14E6"/>
    <w:rsid w:val="00BC44CB"/>
    <w:rsid w:val="00BC4C4A"/>
    <w:rsid w:val="00BC57CF"/>
    <w:rsid w:val="00BC6516"/>
    <w:rsid w:val="00BD090F"/>
    <w:rsid w:val="00BD0E9E"/>
    <w:rsid w:val="00BD27A2"/>
    <w:rsid w:val="00BD3F7C"/>
    <w:rsid w:val="00BD4002"/>
    <w:rsid w:val="00BD4AA2"/>
    <w:rsid w:val="00BD4DDE"/>
    <w:rsid w:val="00BD6916"/>
    <w:rsid w:val="00BE0052"/>
    <w:rsid w:val="00BE1B9E"/>
    <w:rsid w:val="00BE2622"/>
    <w:rsid w:val="00BE3CD0"/>
    <w:rsid w:val="00BE40A0"/>
    <w:rsid w:val="00BE65F8"/>
    <w:rsid w:val="00BE7F7A"/>
    <w:rsid w:val="00BF0B7F"/>
    <w:rsid w:val="00BF2625"/>
    <w:rsid w:val="00BF3C11"/>
    <w:rsid w:val="00C00736"/>
    <w:rsid w:val="00C0118D"/>
    <w:rsid w:val="00C02490"/>
    <w:rsid w:val="00C02BF0"/>
    <w:rsid w:val="00C04B0F"/>
    <w:rsid w:val="00C04C84"/>
    <w:rsid w:val="00C07F35"/>
    <w:rsid w:val="00C152F8"/>
    <w:rsid w:val="00C155C1"/>
    <w:rsid w:val="00C20BC4"/>
    <w:rsid w:val="00C20D55"/>
    <w:rsid w:val="00C219CD"/>
    <w:rsid w:val="00C22B0D"/>
    <w:rsid w:val="00C23C5A"/>
    <w:rsid w:val="00C241C1"/>
    <w:rsid w:val="00C25BD6"/>
    <w:rsid w:val="00C2646E"/>
    <w:rsid w:val="00C272F8"/>
    <w:rsid w:val="00C274A2"/>
    <w:rsid w:val="00C27F23"/>
    <w:rsid w:val="00C3024C"/>
    <w:rsid w:val="00C31115"/>
    <w:rsid w:val="00C3356D"/>
    <w:rsid w:val="00C337A2"/>
    <w:rsid w:val="00C33A20"/>
    <w:rsid w:val="00C33D9C"/>
    <w:rsid w:val="00C375FE"/>
    <w:rsid w:val="00C37C62"/>
    <w:rsid w:val="00C401F6"/>
    <w:rsid w:val="00C413C2"/>
    <w:rsid w:val="00C41590"/>
    <w:rsid w:val="00C41C1C"/>
    <w:rsid w:val="00C41F18"/>
    <w:rsid w:val="00C44DD6"/>
    <w:rsid w:val="00C46161"/>
    <w:rsid w:val="00C52184"/>
    <w:rsid w:val="00C52846"/>
    <w:rsid w:val="00C52E0F"/>
    <w:rsid w:val="00C52EDD"/>
    <w:rsid w:val="00C538B9"/>
    <w:rsid w:val="00C538E0"/>
    <w:rsid w:val="00C540DD"/>
    <w:rsid w:val="00C54308"/>
    <w:rsid w:val="00C54F7B"/>
    <w:rsid w:val="00C55982"/>
    <w:rsid w:val="00C566BD"/>
    <w:rsid w:val="00C571BF"/>
    <w:rsid w:val="00C60CA3"/>
    <w:rsid w:val="00C6170B"/>
    <w:rsid w:val="00C625E8"/>
    <w:rsid w:val="00C6360E"/>
    <w:rsid w:val="00C63D4D"/>
    <w:rsid w:val="00C63E75"/>
    <w:rsid w:val="00C64BF9"/>
    <w:rsid w:val="00C658F3"/>
    <w:rsid w:val="00C709CE"/>
    <w:rsid w:val="00C715CE"/>
    <w:rsid w:val="00C72E63"/>
    <w:rsid w:val="00C73130"/>
    <w:rsid w:val="00C73239"/>
    <w:rsid w:val="00C73923"/>
    <w:rsid w:val="00C73AAD"/>
    <w:rsid w:val="00C73BE7"/>
    <w:rsid w:val="00C7546F"/>
    <w:rsid w:val="00C75DC7"/>
    <w:rsid w:val="00C802AC"/>
    <w:rsid w:val="00C81A6E"/>
    <w:rsid w:val="00C81D52"/>
    <w:rsid w:val="00C83940"/>
    <w:rsid w:val="00C8394E"/>
    <w:rsid w:val="00C83E7A"/>
    <w:rsid w:val="00C8498E"/>
    <w:rsid w:val="00C909DF"/>
    <w:rsid w:val="00C93E7D"/>
    <w:rsid w:val="00C94675"/>
    <w:rsid w:val="00C953C7"/>
    <w:rsid w:val="00C96EF8"/>
    <w:rsid w:val="00C97389"/>
    <w:rsid w:val="00C975C5"/>
    <w:rsid w:val="00C9773B"/>
    <w:rsid w:val="00C97C63"/>
    <w:rsid w:val="00C97EC3"/>
    <w:rsid w:val="00CA2088"/>
    <w:rsid w:val="00CA5236"/>
    <w:rsid w:val="00CA631C"/>
    <w:rsid w:val="00CA7550"/>
    <w:rsid w:val="00CB2271"/>
    <w:rsid w:val="00CB2BB3"/>
    <w:rsid w:val="00CB2DE0"/>
    <w:rsid w:val="00CB5D6B"/>
    <w:rsid w:val="00CB7189"/>
    <w:rsid w:val="00CB7DD5"/>
    <w:rsid w:val="00CC1429"/>
    <w:rsid w:val="00CC1D1A"/>
    <w:rsid w:val="00CC21DB"/>
    <w:rsid w:val="00CC2A81"/>
    <w:rsid w:val="00CC399B"/>
    <w:rsid w:val="00CC5AB6"/>
    <w:rsid w:val="00CC6A3E"/>
    <w:rsid w:val="00CC6BD8"/>
    <w:rsid w:val="00CD007D"/>
    <w:rsid w:val="00CD0446"/>
    <w:rsid w:val="00CD0694"/>
    <w:rsid w:val="00CD23B6"/>
    <w:rsid w:val="00CD295B"/>
    <w:rsid w:val="00CD2CFC"/>
    <w:rsid w:val="00CD2E2F"/>
    <w:rsid w:val="00CD38A2"/>
    <w:rsid w:val="00CD63F6"/>
    <w:rsid w:val="00CE1F53"/>
    <w:rsid w:val="00CE4CFD"/>
    <w:rsid w:val="00CE6A61"/>
    <w:rsid w:val="00CE7740"/>
    <w:rsid w:val="00CE7B54"/>
    <w:rsid w:val="00CE7F87"/>
    <w:rsid w:val="00CF0AFA"/>
    <w:rsid w:val="00CF1FEA"/>
    <w:rsid w:val="00CF203B"/>
    <w:rsid w:val="00CF3D58"/>
    <w:rsid w:val="00CF6BF9"/>
    <w:rsid w:val="00CF6D79"/>
    <w:rsid w:val="00D028A0"/>
    <w:rsid w:val="00D052AE"/>
    <w:rsid w:val="00D059FC"/>
    <w:rsid w:val="00D10309"/>
    <w:rsid w:val="00D108EA"/>
    <w:rsid w:val="00D11367"/>
    <w:rsid w:val="00D13329"/>
    <w:rsid w:val="00D1415E"/>
    <w:rsid w:val="00D144F7"/>
    <w:rsid w:val="00D14D75"/>
    <w:rsid w:val="00D1668A"/>
    <w:rsid w:val="00D208D9"/>
    <w:rsid w:val="00D211FE"/>
    <w:rsid w:val="00D21581"/>
    <w:rsid w:val="00D221AF"/>
    <w:rsid w:val="00D25F16"/>
    <w:rsid w:val="00D2767F"/>
    <w:rsid w:val="00D2777A"/>
    <w:rsid w:val="00D3091C"/>
    <w:rsid w:val="00D32508"/>
    <w:rsid w:val="00D34326"/>
    <w:rsid w:val="00D34A2A"/>
    <w:rsid w:val="00D34E5B"/>
    <w:rsid w:val="00D354F3"/>
    <w:rsid w:val="00D357D4"/>
    <w:rsid w:val="00D36782"/>
    <w:rsid w:val="00D37FED"/>
    <w:rsid w:val="00D406DB"/>
    <w:rsid w:val="00D41B61"/>
    <w:rsid w:val="00D4231E"/>
    <w:rsid w:val="00D4253D"/>
    <w:rsid w:val="00D43693"/>
    <w:rsid w:val="00D44CC2"/>
    <w:rsid w:val="00D44E04"/>
    <w:rsid w:val="00D455B4"/>
    <w:rsid w:val="00D456A0"/>
    <w:rsid w:val="00D46AE0"/>
    <w:rsid w:val="00D501B8"/>
    <w:rsid w:val="00D50570"/>
    <w:rsid w:val="00D509B1"/>
    <w:rsid w:val="00D50E24"/>
    <w:rsid w:val="00D53486"/>
    <w:rsid w:val="00D540FB"/>
    <w:rsid w:val="00D57F62"/>
    <w:rsid w:val="00D6027B"/>
    <w:rsid w:val="00D6102E"/>
    <w:rsid w:val="00D624E6"/>
    <w:rsid w:val="00D629B6"/>
    <w:rsid w:val="00D62A30"/>
    <w:rsid w:val="00D64EE8"/>
    <w:rsid w:val="00D672A2"/>
    <w:rsid w:val="00D67618"/>
    <w:rsid w:val="00D70773"/>
    <w:rsid w:val="00D71671"/>
    <w:rsid w:val="00D71A45"/>
    <w:rsid w:val="00D71AC6"/>
    <w:rsid w:val="00D72361"/>
    <w:rsid w:val="00D7280C"/>
    <w:rsid w:val="00D73367"/>
    <w:rsid w:val="00D7632D"/>
    <w:rsid w:val="00D7777D"/>
    <w:rsid w:val="00D80D25"/>
    <w:rsid w:val="00D80F6D"/>
    <w:rsid w:val="00D8165D"/>
    <w:rsid w:val="00D82939"/>
    <w:rsid w:val="00D83442"/>
    <w:rsid w:val="00D84333"/>
    <w:rsid w:val="00D85885"/>
    <w:rsid w:val="00D86287"/>
    <w:rsid w:val="00D86F8D"/>
    <w:rsid w:val="00D91F7F"/>
    <w:rsid w:val="00D928C4"/>
    <w:rsid w:val="00D93305"/>
    <w:rsid w:val="00D94623"/>
    <w:rsid w:val="00D975A5"/>
    <w:rsid w:val="00DA0F7A"/>
    <w:rsid w:val="00DA27C1"/>
    <w:rsid w:val="00DA2EB2"/>
    <w:rsid w:val="00DA43CF"/>
    <w:rsid w:val="00DA49D0"/>
    <w:rsid w:val="00DA49E2"/>
    <w:rsid w:val="00DA60F9"/>
    <w:rsid w:val="00DA748B"/>
    <w:rsid w:val="00DA7B9C"/>
    <w:rsid w:val="00DB1A27"/>
    <w:rsid w:val="00DB1EE4"/>
    <w:rsid w:val="00DB2664"/>
    <w:rsid w:val="00DC1990"/>
    <w:rsid w:val="00DC1D2A"/>
    <w:rsid w:val="00DC240E"/>
    <w:rsid w:val="00DC2530"/>
    <w:rsid w:val="00DC2751"/>
    <w:rsid w:val="00DC2D25"/>
    <w:rsid w:val="00DC2E1C"/>
    <w:rsid w:val="00DC4614"/>
    <w:rsid w:val="00DC54F5"/>
    <w:rsid w:val="00DC627F"/>
    <w:rsid w:val="00DC6B6A"/>
    <w:rsid w:val="00DD280F"/>
    <w:rsid w:val="00DD4A79"/>
    <w:rsid w:val="00DD6B07"/>
    <w:rsid w:val="00DD6CDD"/>
    <w:rsid w:val="00DD770C"/>
    <w:rsid w:val="00DD7CAC"/>
    <w:rsid w:val="00DE0468"/>
    <w:rsid w:val="00DE063B"/>
    <w:rsid w:val="00DE07FF"/>
    <w:rsid w:val="00DE1758"/>
    <w:rsid w:val="00DE196E"/>
    <w:rsid w:val="00DE1B50"/>
    <w:rsid w:val="00DE28AC"/>
    <w:rsid w:val="00DE2F11"/>
    <w:rsid w:val="00DE4464"/>
    <w:rsid w:val="00DE4B79"/>
    <w:rsid w:val="00DE5E41"/>
    <w:rsid w:val="00DE64BE"/>
    <w:rsid w:val="00DE77F6"/>
    <w:rsid w:val="00DE7CD2"/>
    <w:rsid w:val="00DF3138"/>
    <w:rsid w:val="00DF38A3"/>
    <w:rsid w:val="00DF3CA8"/>
    <w:rsid w:val="00DF519B"/>
    <w:rsid w:val="00DF5444"/>
    <w:rsid w:val="00DF5DAC"/>
    <w:rsid w:val="00DF7D32"/>
    <w:rsid w:val="00E006A7"/>
    <w:rsid w:val="00E00A1F"/>
    <w:rsid w:val="00E012A7"/>
    <w:rsid w:val="00E025AE"/>
    <w:rsid w:val="00E0283D"/>
    <w:rsid w:val="00E0378C"/>
    <w:rsid w:val="00E049CD"/>
    <w:rsid w:val="00E0572B"/>
    <w:rsid w:val="00E067E1"/>
    <w:rsid w:val="00E11B61"/>
    <w:rsid w:val="00E12852"/>
    <w:rsid w:val="00E13780"/>
    <w:rsid w:val="00E143D5"/>
    <w:rsid w:val="00E149E9"/>
    <w:rsid w:val="00E166E9"/>
    <w:rsid w:val="00E2133A"/>
    <w:rsid w:val="00E22C05"/>
    <w:rsid w:val="00E264FA"/>
    <w:rsid w:val="00E26F70"/>
    <w:rsid w:val="00E302ED"/>
    <w:rsid w:val="00E32C61"/>
    <w:rsid w:val="00E32DBB"/>
    <w:rsid w:val="00E33228"/>
    <w:rsid w:val="00E33DFC"/>
    <w:rsid w:val="00E33F77"/>
    <w:rsid w:val="00E362DF"/>
    <w:rsid w:val="00E37469"/>
    <w:rsid w:val="00E37A44"/>
    <w:rsid w:val="00E408FD"/>
    <w:rsid w:val="00E4434C"/>
    <w:rsid w:val="00E4581C"/>
    <w:rsid w:val="00E45D3E"/>
    <w:rsid w:val="00E46C7A"/>
    <w:rsid w:val="00E50958"/>
    <w:rsid w:val="00E51EF7"/>
    <w:rsid w:val="00E52DF0"/>
    <w:rsid w:val="00E5357C"/>
    <w:rsid w:val="00E53C5A"/>
    <w:rsid w:val="00E53EC7"/>
    <w:rsid w:val="00E555E1"/>
    <w:rsid w:val="00E56706"/>
    <w:rsid w:val="00E56787"/>
    <w:rsid w:val="00E5765C"/>
    <w:rsid w:val="00E60300"/>
    <w:rsid w:val="00E61508"/>
    <w:rsid w:val="00E6248B"/>
    <w:rsid w:val="00E65FAD"/>
    <w:rsid w:val="00E66D3D"/>
    <w:rsid w:val="00E677B3"/>
    <w:rsid w:val="00E707EA"/>
    <w:rsid w:val="00E71643"/>
    <w:rsid w:val="00E717AA"/>
    <w:rsid w:val="00E72B97"/>
    <w:rsid w:val="00E72E07"/>
    <w:rsid w:val="00E73B25"/>
    <w:rsid w:val="00E74C61"/>
    <w:rsid w:val="00E75080"/>
    <w:rsid w:val="00E75F5A"/>
    <w:rsid w:val="00E76415"/>
    <w:rsid w:val="00E81CF0"/>
    <w:rsid w:val="00E83418"/>
    <w:rsid w:val="00E83677"/>
    <w:rsid w:val="00E8418B"/>
    <w:rsid w:val="00E84A20"/>
    <w:rsid w:val="00E84FA8"/>
    <w:rsid w:val="00E860BA"/>
    <w:rsid w:val="00E90848"/>
    <w:rsid w:val="00E908B5"/>
    <w:rsid w:val="00E91AC6"/>
    <w:rsid w:val="00E94596"/>
    <w:rsid w:val="00E94F1D"/>
    <w:rsid w:val="00E97051"/>
    <w:rsid w:val="00E9760F"/>
    <w:rsid w:val="00EA0B45"/>
    <w:rsid w:val="00EA0BB8"/>
    <w:rsid w:val="00EA34C7"/>
    <w:rsid w:val="00EA3A65"/>
    <w:rsid w:val="00EA5FAB"/>
    <w:rsid w:val="00EA620D"/>
    <w:rsid w:val="00EA6498"/>
    <w:rsid w:val="00EA6AED"/>
    <w:rsid w:val="00EB0E94"/>
    <w:rsid w:val="00EB31FC"/>
    <w:rsid w:val="00EB3F29"/>
    <w:rsid w:val="00EB50C4"/>
    <w:rsid w:val="00EB659C"/>
    <w:rsid w:val="00EC200A"/>
    <w:rsid w:val="00EC276C"/>
    <w:rsid w:val="00EC2EF0"/>
    <w:rsid w:val="00EC37D7"/>
    <w:rsid w:val="00EC495D"/>
    <w:rsid w:val="00EC50A9"/>
    <w:rsid w:val="00EC5DF8"/>
    <w:rsid w:val="00EC60BF"/>
    <w:rsid w:val="00EC6D70"/>
    <w:rsid w:val="00EC77AC"/>
    <w:rsid w:val="00ED09E0"/>
    <w:rsid w:val="00ED2F3A"/>
    <w:rsid w:val="00ED3B2F"/>
    <w:rsid w:val="00EE146D"/>
    <w:rsid w:val="00EE4AA4"/>
    <w:rsid w:val="00EE7746"/>
    <w:rsid w:val="00EE7D9D"/>
    <w:rsid w:val="00EF12BC"/>
    <w:rsid w:val="00EF2015"/>
    <w:rsid w:val="00EF268A"/>
    <w:rsid w:val="00EF2B75"/>
    <w:rsid w:val="00EF3935"/>
    <w:rsid w:val="00EF7758"/>
    <w:rsid w:val="00F016E9"/>
    <w:rsid w:val="00F017A8"/>
    <w:rsid w:val="00F03BA9"/>
    <w:rsid w:val="00F05AB1"/>
    <w:rsid w:val="00F07867"/>
    <w:rsid w:val="00F07874"/>
    <w:rsid w:val="00F07C60"/>
    <w:rsid w:val="00F07E62"/>
    <w:rsid w:val="00F1012F"/>
    <w:rsid w:val="00F13A7F"/>
    <w:rsid w:val="00F14C94"/>
    <w:rsid w:val="00F14F91"/>
    <w:rsid w:val="00F156C4"/>
    <w:rsid w:val="00F178C9"/>
    <w:rsid w:val="00F20898"/>
    <w:rsid w:val="00F21CCF"/>
    <w:rsid w:val="00F227D0"/>
    <w:rsid w:val="00F238E1"/>
    <w:rsid w:val="00F240FF"/>
    <w:rsid w:val="00F24CCE"/>
    <w:rsid w:val="00F25496"/>
    <w:rsid w:val="00F25677"/>
    <w:rsid w:val="00F262F5"/>
    <w:rsid w:val="00F26C37"/>
    <w:rsid w:val="00F30018"/>
    <w:rsid w:val="00F30733"/>
    <w:rsid w:val="00F31AFE"/>
    <w:rsid w:val="00F321E4"/>
    <w:rsid w:val="00F32BE8"/>
    <w:rsid w:val="00F334D1"/>
    <w:rsid w:val="00F359AE"/>
    <w:rsid w:val="00F404A8"/>
    <w:rsid w:val="00F40770"/>
    <w:rsid w:val="00F40A16"/>
    <w:rsid w:val="00F43117"/>
    <w:rsid w:val="00F43667"/>
    <w:rsid w:val="00F43E8C"/>
    <w:rsid w:val="00F448D1"/>
    <w:rsid w:val="00F458BE"/>
    <w:rsid w:val="00F472A3"/>
    <w:rsid w:val="00F50B2B"/>
    <w:rsid w:val="00F50EFD"/>
    <w:rsid w:val="00F52810"/>
    <w:rsid w:val="00F55D27"/>
    <w:rsid w:val="00F5633E"/>
    <w:rsid w:val="00F56E42"/>
    <w:rsid w:val="00F5793C"/>
    <w:rsid w:val="00F57E6B"/>
    <w:rsid w:val="00F60B4D"/>
    <w:rsid w:val="00F61537"/>
    <w:rsid w:val="00F6183F"/>
    <w:rsid w:val="00F61D40"/>
    <w:rsid w:val="00F62308"/>
    <w:rsid w:val="00F634AE"/>
    <w:rsid w:val="00F65C6A"/>
    <w:rsid w:val="00F65D34"/>
    <w:rsid w:val="00F6618B"/>
    <w:rsid w:val="00F704E0"/>
    <w:rsid w:val="00F70A47"/>
    <w:rsid w:val="00F70AF9"/>
    <w:rsid w:val="00F7197E"/>
    <w:rsid w:val="00F71D8D"/>
    <w:rsid w:val="00F72FE1"/>
    <w:rsid w:val="00F73814"/>
    <w:rsid w:val="00F75A27"/>
    <w:rsid w:val="00F7672F"/>
    <w:rsid w:val="00F76743"/>
    <w:rsid w:val="00F76E11"/>
    <w:rsid w:val="00F77824"/>
    <w:rsid w:val="00F810F4"/>
    <w:rsid w:val="00F81183"/>
    <w:rsid w:val="00F81791"/>
    <w:rsid w:val="00F821A3"/>
    <w:rsid w:val="00F821ED"/>
    <w:rsid w:val="00F8368F"/>
    <w:rsid w:val="00F840CA"/>
    <w:rsid w:val="00F84513"/>
    <w:rsid w:val="00F8681D"/>
    <w:rsid w:val="00F86B0D"/>
    <w:rsid w:val="00F86E53"/>
    <w:rsid w:val="00F90FA3"/>
    <w:rsid w:val="00F91113"/>
    <w:rsid w:val="00F91FD5"/>
    <w:rsid w:val="00F931CB"/>
    <w:rsid w:val="00F93508"/>
    <w:rsid w:val="00F93D0C"/>
    <w:rsid w:val="00F96384"/>
    <w:rsid w:val="00FA1534"/>
    <w:rsid w:val="00FA2C53"/>
    <w:rsid w:val="00FA2CC1"/>
    <w:rsid w:val="00FA3A2F"/>
    <w:rsid w:val="00FA3D13"/>
    <w:rsid w:val="00FA5C89"/>
    <w:rsid w:val="00FA5E2C"/>
    <w:rsid w:val="00FB000D"/>
    <w:rsid w:val="00FB0C58"/>
    <w:rsid w:val="00FB1AB4"/>
    <w:rsid w:val="00FB2C04"/>
    <w:rsid w:val="00FB37FD"/>
    <w:rsid w:val="00FB3B4E"/>
    <w:rsid w:val="00FB54D9"/>
    <w:rsid w:val="00FB625C"/>
    <w:rsid w:val="00FB6349"/>
    <w:rsid w:val="00FB6DFF"/>
    <w:rsid w:val="00FC1BAC"/>
    <w:rsid w:val="00FC26F0"/>
    <w:rsid w:val="00FC3B29"/>
    <w:rsid w:val="00FC5C32"/>
    <w:rsid w:val="00FD1092"/>
    <w:rsid w:val="00FD146E"/>
    <w:rsid w:val="00FD27ED"/>
    <w:rsid w:val="00FD3167"/>
    <w:rsid w:val="00FD4C02"/>
    <w:rsid w:val="00FD7097"/>
    <w:rsid w:val="00FD7140"/>
    <w:rsid w:val="00FD7573"/>
    <w:rsid w:val="00FD7621"/>
    <w:rsid w:val="00FE0B18"/>
    <w:rsid w:val="00FE0F70"/>
    <w:rsid w:val="00FE24A1"/>
    <w:rsid w:val="00FE5390"/>
    <w:rsid w:val="00FE69F3"/>
    <w:rsid w:val="00FF0147"/>
    <w:rsid w:val="00FF025D"/>
    <w:rsid w:val="00FF20A7"/>
    <w:rsid w:val="00FF2294"/>
    <w:rsid w:val="00FF32D2"/>
    <w:rsid w:val="00FF3D7D"/>
    <w:rsid w:val="00FF4127"/>
    <w:rsid w:val="00FF4C45"/>
    <w:rsid w:val="00FF4DA2"/>
    <w:rsid w:val="00FF5B9A"/>
    <w:rsid w:val="00FF5E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D0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page number"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145B"/>
    <w:rPr>
      <w:sz w:val="24"/>
      <w:szCs w:val="24"/>
      <w:lang w:eastAsia="en-US"/>
    </w:rPr>
  </w:style>
  <w:style w:type="paragraph" w:styleId="Nadpis1">
    <w:name w:val="heading 1"/>
    <w:basedOn w:val="Normlny"/>
    <w:next w:val="Normlny"/>
    <w:link w:val="Nadpis1Char"/>
    <w:uiPriority w:val="9"/>
    <w:qFormat/>
    <w:rsid w:val="008F73F3"/>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rsid w:val="008F73F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8F73F3"/>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8F73F3"/>
    <w:pPr>
      <w:keepNext/>
      <w:numPr>
        <w:ilvl w:val="3"/>
        <w:numId w:val="2"/>
      </w:numPr>
      <w:spacing w:before="240" w:after="60"/>
      <w:outlineLvl w:val="3"/>
    </w:pPr>
    <w:rPr>
      <w:b/>
      <w:bCs/>
      <w:sz w:val="28"/>
      <w:szCs w:val="28"/>
    </w:rPr>
  </w:style>
  <w:style w:type="paragraph" w:styleId="Nadpis5">
    <w:name w:val="heading 5"/>
    <w:basedOn w:val="Normlny"/>
    <w:next w:val="Normlny"/>
    <w:link w:val="Nadpis5Char"/>
    <w:uiPriority w:val="9"/>
    <w:qFormat/>
    <w:rsid w:val="008F73F3"/>
    <w:pPr>
      <w:keepNext/>
      <w:numPr>
        <w:ilvl w:val="4"/>
        <w:numId w:val="2"/>
      </w:numPr>
      <w:outlineLvl w:val="4"/>
    </w:pPr>
    <w:rPr>
      <w:b/>
      <w:bCs/>
    </w:rPr>
  </w:style>
  <w:style w:type="paragraph" w:styleId="Nadpis6">
    <w:name w:val="heading 6"/>
    <w:basedOn w:val="Normlny"/>
    <w:next w:val="Normlny"/>
    <w:link w:val="Nadpis6Char"/>
    <w:uiPriority w:val="9"/>
    <w:qFormat/>
    <w:rsid w:val="008F73F3"/>
    <w:pPr>
      <w:keepNext/>
      <w:numPr>
        <w:ilvl w:val="5"/>
        <w:numId w:val="2"/>
      </w:numPr>
      <w:jc w:val="both"/>
      <w:outlineLvl w:val="5"/>
    </w:pPr>
    <w:rPr>
      <w:b/>
      <w:bCs/>
      <w:u w:val="single"/>
    </w:rPr>
  </w:style>
  <w:style w:type="paragraph" w:styleId="Nadpis7">
    <w:name w:val="heading 7"/>
    <w:basedOn w:val="Normlny"/>
    <w:next w:val="Normlny"/>
    <w:link w:val="Nadpis7Char"/>
    <w:uiPriority w:val="9"/>
    <w:qFormat/>
    <w:rsid w:val="008F73F3"/>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F73F3"/>
    <w:pPr>
      <w:jc w:val="center"/>
    </w:pPr>
    <w:rPr>
      <w:b/>
      <w:szCs w:val="20"/>
    </w:rPr>
  </w:style>
  <w:style w:type="paragraph" w:styleId="Zkladntext">
    <w:name w:val="Body Text"/>
    <w:aliases w:val="b,Základný text1"/>
    <w:basedOn w:val="Normlny"/>
    <w:link w:val="ZkladntextChar"/>
    <w:uiPriority w:val="99"/>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lang w:eastAsia="en-US"/>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lang w:eastAsia="en-US"/>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uiPriority w:val="9"/>
    <w:rsid w:val="004C3C08"/>
    <w:rPr>
      <w:rFonts w:ascii="Arial" w:hAnsi="Arial" w:cs="Arial"/>
      <w:b/>
      <w:bCs/>
      <w:sz w:val="26"/>
      <w:szCs w:val="26"/>
      <w:lang w:eastAsia="en-US"/>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lang w:eastAsia="en-US"/>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35"/>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uiPriority w:val="9"/>
    <w:rsid w:val="00C571BF"/>
    <w:rPr>
      <w:rFonts w:ascii="Arial" w:hAnsi="Arial" w:cs="Arial"/>
      <w:b/>
      <w:bCs/>
      <w:i/>
      <w:iCs/>
      <w:sz w:val="28"/>
      <w:szCs w:val="28"/>
      <w:lang w:eastAsia="en-US"/>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aliases w:val="Footnote symbol,IT Fußnotenzeichen,Footnote symboFußnotenzeichen,Footnote sign,-E Fußnotenzeichen,ESPON Footnote No,Footnote call,Odwołanie przypisu,Footnote Reference Superscript,BVI fnr,Footnote reference number"/>
    <w:link w:val="Footnotenumber"/>
    <w:uiPriority w:val="99"/>
    <w:qFormat/>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5"/>
      </w:numPr>
    </w:pPr>
  </w:style>
  <w:style w:type="paragraph" w:styleId="Revzia">
    <w:name w:val="Revision"/>
    <w:hidden/>
    <w:uiPriority w:val="99"/>
    <w:semiHidden/>
    <w:rsid w:val="00C571BF"/>
    <w:rPr>
      <w:sz w:val="24"/>
      <w:szCs w:val="24"/>
      <w:lang w:val="en-US" w:eastAsia="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6"/>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9"/>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7"/>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rPr>
  </w:style>
  <w:style w:type="paragraph" w:customStyle="1" w:styleId="Point0">
    <w:name w:val="Point 0"/>
    <w:basedOn w:val="Normlny"/>
    <w:uiPriority w:val="99"/>
    <w:rsid w:val="00C8498E"/>
    <w:pPr>
      <w:spacing w:before="120" w:after="120" w:line="360" w:lineRule="auto"/>
      <w:ind w:left="850" w:hanging="850"/>
    </w:pPr>
  </w:style>
  <w:style w:type="paragraph" w:customStyle="1" w:styleId="Tiret2">
    <w:name w:val="Tiret 2"/>
    <w:basedOn w:val="Normlny"/>
    <w:rsid w:val="00C8498E"/>
    <w:pPr>
      <w:numPr>
        <w:numId w:val="8"/>
      </w:numPr>
      <w:spacing w:before="120" w:after="120" w:line="360" w:lineRule="auto"/>
    </w:p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style>
  <w:style w:type="paragraph" w:customStyle="1" w:styleId="ManualNumPar1">
    <w:name w:val="Manual NumPar 1"/>
    <w:basedOn w:val="Normlny"/>
    <w:next w:val="Normlny"/>
    <w:rsid w:val="00C8498E"/>
    <w:pPr>
      <w:spacing w:before="120" w:after="120" w:line="360" w:lineRule="auto"/>
      <w:ind w:left="850" w:hanging="850"/>
    </w:pPr>
  </w:style>
  <w:style w:type="character" w:customStyle="1" w:styleId="Point1Char">
    <w:name w:val="Point 1 Char"/>
    <w:link w:val="Point1"/>
    <w:locked/>
    <w:rsid w:val="00C8498E"/>
    <w:rPr>
      <w:sz w:val="24"/>
      <w:szCs w:val="24"/>
      <w:lang w:eastAsia="en-US"/>
    </w:rPr>
  </w:style>
  <w:style w:type="paragraph" w:customStyle="1" w:styleId="Footnotenumber">
    <w:name w:val="Footnote number"/>
    <w:aliases w:val="fr"/>
    <w:basedOn w:val="Normlny"/>
    <w:link w:val="Odkaznapoznmkupodiarou"/>
    <w:uiPriority w:val="99"/>
    <w:rsid w:val="00CC2A81"/>
    <w:pPr>
      <w:spacing w:after="160" w:line="240" w:lineRule="exact"/>
    </w:pPr>
    <w:rPr>
      <w:sz w:val="20"/>
      <w:szCs w:val="20"/>
      <w:vertAlign w:val="superscript"/>
    </w:rPr>
  </w:style>
  <w:style w:type="table" w:customStyle="1" w:styleId="Svtlmkatabulky11">
    <w:name w:val="Světlá mřížka tabulky11"/>
    <w:basedOn w:val="Normlnatabuka"/>
    <w:uiPriority w:val="40"/>
    <w:rsid w:val="007E598A"/>
    <w:rPr>
      <w:rFonts w:ascii="Calibri" w:eastAsia="Calibri" w:hAnsi="Calibri"/>
      <w:sz w:val="22"/>
      <w:szCs w:val="22"/>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lavikaobsahu">
    <w:name w:val="TOC Heading"/>
    <w:basedOn w:val="Nadpis1"/>
    <w:next w:val="Normlny"/>
    <w:uiPriority w:val="39"/>
    <w:unhideWhenUsed/>
    <w:qFormat/>
    <w:rsid w:val="002E3748"/>
    <w:pPr>
      <w:keepLines/>
      <w:numPr>
        <w:numId w:val="0"/>
      </w:numPr>
      <w:spacing w:before="480" w:line="276" w:lineRule="auto"/>
      <w:jc w:val="left"/>
      <w:outlineLvl w:val="9"/>
    </w:pPr>
    <w:rPr>
      <w:rFonts w:ascii="Cambria" w:eastAsia="Times New Roman" w:hAnsi="Cambria"/>
      <w:bCs/>
      <w:color w:val="365F91"/>
      <w:szCs w:val="28"/>
      <w:lang w:eastAsia="sk-SK"/>
    </w:rPr>
  </w:style>
  <w:style w:type="paragraph" w:styleId="Obsah3">
    <w:name w:val="toc 3"/>
    <w:basedOn w:val="Normlny"/>
    <w:next w:val="Normlny"/>
    <w:autoRedefine/>
    <w:uiPriority w:val="39"/>
    <w:unhideWhenUsed/>
    <w:qFormat/>
    <w:rsid w:val="002E3748"/>
    <w:pPr>
      <w:ind w:left="480"/>
    </w:pPr>
  </w:style>
  <w:style w:type="paragraph" w:styleId="Obsah1">
    <w:name w:val="toc 1"/>
    <w:basedOn w:val="Normlny"/>
    <w:next w:val="Normlny"/>
    <w:autoRedefine/>
    <w:uiPriority w:val="39"/>
    <w:unhideWhenUsed/>
    <w:qFormat/>
    <w:rsid w:val="00212828"/>
    <w:pPr>
      <w:tabs>
        <w:tab w:val="left" w:pos="480"/>
        <w:tab w:val="right" w:leader="dot" w:pos="9639"/>
      </w:tabs>
      <w:spacing w:line="360" w:lineRule="auto"/>
      <w:ind w:left="480" w:right="1" w:hanging="480"/>
    </w:pPr>
    <w:rPr>
      <w:rFonts w:ascii="Calibri Light" w:eastAsia="Calibri" w:hAnsi="Calibri Light" w:cs="Calibri Light"/>
      <w:b/>
      <w:noProof/>
    </w:rPr>
  </w:style>
  <w:style w:type="paragraph" w:styleId="Obsah2">
    <w:name w:val="toc 2"/>
    <w:basedOn w:val="Normlny"/>
    <w:next w:val="Normlny"/>
    <w:autoRedefine/>
    <w:uiPriority w:val="39"/>
    <w:unhideWhenUsed/>
    <w:qFormat/>
    <w:rsid w:val="002E3748"/>
    <w:pPr>
      <w:ind w:left="240"/>
    </w:pPr>
  </w:style>
  <w:style w:type="numbering" w:customStyle="1" w:styleId="List121">
    <w:name w:val="List 121"/>
    <w:basedOn w:val="Bezzoznamu"/>
    <w:rsid w:val="002B6C23"/>
  </w:style>
  <w:style w:type="numbering" w:customStyle="1" w:styleId="Bezzoznamu6">
    <w:name w:val="Bez zoznamu6"/>
    <w:next w:val="Bezzoznamu"/>
    <w:uiPriority w:val="99"/>
    <w:semiHidden/>
    <w:unhideWhenUsed/>
    <w:rsid w:val="002E1577"/>
  </w:style>
  <w:style w:type="character" w:customStyle="1" w:styleId="Nadpis4Char">
    <w:name w:val="Nadpis 4 Char"/>
    <w:basedOn w:val="Predvolenpsmoodseku"/>
    <w:link w:val="Nadpis4"/>
    <w:uiPriority w:val="9"/>
    <w:rsid w:val="002E1577"/>
    <w:rPr>
      <w:b/>
      <w:bCs/>
      <w:sz w:val="28"/>
      <w:szCs w:val="28"/>
      <w:lang w:eastAsia="en-US"/>
    </w:rPr>
  </w:style>
  <w:style w:type="character" w:customStyle="1" w:styleId="Nadpis5Char">
    <w:name w:val="Nadpis 5 Char"/>
    <w:basedOn w:val="Predvolenpsmoodseku"/>
    <w:link w:val="Nadpis5"/>
    <w:uiPriority w:val="9"/>
    <w:rsid w:val="002E1577"/>
    <w:rPr>
      <w:b/>
      <w:bCs/>
      <w:sz w:val="24"/>
      <w:szCs w:val="24"/>
      <w:lang w:eastAsia="en-US"/>
    </w:rPr>
  </w:style>
  <w:style w:type="character" w:customStyle="1" w:styleId="Nadpis6Char">
    <w:name w:val="Nadpis 6 Char"/>
    <w:basedOn w:val="Predvolenpsmoodseku"/>
    <w:link w:val="Nadpis6"/>
    <w:uiPriority w:val="9"/>
    <w:rsid w:val="002E1577"/>
    <w:rPr>
      <w:b/>
      <w:bCs/>
      <w:sz w:val="24"/>
      <w:szCs w:val="24"/>
      <w:u w:val="single"/>
      <w:lang w:eastAsia="en-US"/>
    </w:rPr>
  </w:style>
  <w:style w:type="character" w:customStyle="1" w:styleId="Nadpis7Char">
    <w:name w:val="Nadpis 7 Char"/>
    <w:basedOn w:val="Predvolenpsmoodseku"/>
    <w:link w:val="Nadpis7"/>
    <w:uiPriority w:val="9"/>
    <w:rsid w:val="002E1577"/>
    <w:rPr>
      <w:b/>
      <w:sz w:val="24"/>
      <w:szCs w:val="26"/>
      <w:lang w:eastAsia="en-US"/>
    </w:rPr>
  </w:style>
  <w:style w:type="character" w:customStyle="1" w:styleId="Jemnzvraznenie1">
    <w:name w:val="Jemné zvýraznenie1"/>
    <w:uiPriority w:val="19"/>
    <w:qFormat/>
    <w:rsid w:val="002E1577"/>
    <w:rPr>
      <w:i/>
      <w:iCs/>
      <w:color w:val="404040"/>
    </w:rPr>
  </w:style>
  <w:style w:type="paragraph" w:styleId="Zvraznencitcia">
    <w:name w:val="Intense Quote"/>
    <w:basedOn w:val="Normlny"/>
    <w:next w:val="Normlny"/>
    <w:link w:val="ZvraznencitciaChar"/>
    <w:uiPriority w:val="30"/>
    <w:qFormat/>
    <w:rsid w:val="002E1577"/>
    <w:pPr>
      <w:pBdr>
        <w:bottom w:val="single" w:sz="4" w:space="4" w:color="4F81BD"/>
      </w:pBdr>
      <w:spacing w:before="200" w:after="280"/>
      <w:ind w:left="936" w:right="936"/>
    </w:pPr>
    <w:rPr>
      <w:b/>
      <w:bCs/>
      <w:i/>
      <w:iCs/>
      <w:color w:val="4F81BD"/>
      <w:lang w:eastAsia="sk-SK"/>
    </w:rPr>
  </w:style>
  <w:style w:type="character" w:customStyle="1" w:styleId="ZvraznencitciaChar">
    <w:name w:val="Zvýraznená citácia Char"/>
    <w:basedOn w:val="Predvolenpsmoodseku"/>
    <w:link w:val="Zvraznencitcia"/>
    <w:uiPriority w:val="30"/>
    <w:rsid w:val="002E1577"/>
    <w:rPr>
      <w:b/>
      <w:bCs/>
      <w:i/>
      <w:iCs/>
      <w:color w:val="4F81BD"/>
      <w:sz w:val="24"/>
      <w:szCs w:val="24"/>
    </w:rPr>
  </w:style>
  <w:style w:type="character" w:styleId="Jemnzvraznenie">
    <w:name w:val="Subtle Emphasis"/>
    <w:uiPriority w:val="19"/>
    <w:qFormat/>
    <w:rsid w:val="002E1577"/>
    <w:rPr>
      <w:i/>
      <w:iCs/>
      <w:color w:val="808080"/>
    </w:rPr>
  </w:style>
  <w:style w:type="character" w:styleId="Nzovknihy">
    <w:name w:val="Book Title"/>
    <w:basedOn w:val="Predvolenpsmoodseku"/>
    <w:uiPriority w:val="33"/>
    <w:qFormat/>
    <w:rsid w:val="002E1577"/>
    <w:rPr>
      <w:b/>
      <w:bCs/>
      <w:smallCaps/>
      <w:spacing w:val="5"/>
    </w:rPr>
  </w:style>
  <w:style w:type="table" w:customStyle="1" w:styleId="Mriekatabuky2">
    <w:name w:val="Mriežka tabuľky2"/>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zvraznenie1">
    <w:name w:val="Light Shading Accent 1"/>
    <w:basedOn w:val="Normlnatabuka"/>
    <w:uiPriority w:val="60"/>
    <w:rsid w:val="002E15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trednmrieka3zvraznenie5">
    <w:name w:val="Medium Grid 3 Accent 5"/>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vetlpodfarbenie">
    <w:name w:val="Light Shading"/>
    <w:basedOn w:val="Normlnatabuka"/>
    <w:uiPriority w:val="60"/>
    <w:rsid w:val="002E157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Farebnmriekazvraznenie5">
    <w:name w:val="Colorful Grid Accent 5"/>
    <w:basedOn w:val="Normlnatabuka"/>
    <w:uiPriority w:val="73"/>
    <w:rsid w:val="002E1577"/>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
    <w:name w:val="Obyčajná tabuľka 31"/>
    <w:basedOn w:val="Normlnatabuka"/>
    <w:uiPriority w:val="43"/>
    <w:rsid w:val="002E15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trednmrieka3zvraznenie3">
    <w:name w:val="Medium Grid 3 Accent 3"/>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3">
    <w:name w:val="Mriežka tabuľky3"/>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ov-M">
    <w:name w:val="Názov-M"/>
    <w:basedOn w:val="Normlny"/>
    <w:next w:val="Normlny"/>
    <w:qFormat/>
    <w:rsid w:val="00010EC9"/>
    <w:pPr>
      <w:jc w:val="center"/>
    </w:pPr>
    <w:rPr>
      <w:b/>
      <w:lang w:eastAsia="sk-SK"/>
    </w:rPr>
  </w:style>
  <w:style w:type="numbering" w:customStyle="1" w:styleId="Bezzoznamu7">
    <w:name w:val="Bez zoznamu7"/>
    <w:next w:val="Bezzoznamu"/>
    <w:uiPriority w:val="99"/>
    <w:semiHidden/>
    <w:unhideWhenUsed/>
    <w:rsid w:val="00295488"/>
  </w:style>
  <w:style w:type="table" w:customStyle="1" w:styleId="Mriekatabuky4">
    <w:name w:val="Mriežka tabuľky4"/>
    <w:basedOn w:val="Normlnatabuka"/>
    <w:next w:val="Mriekatabuky"/>
    <w:uiPriority w:val="39"/>
    <w:rsid w:val="00295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zvraznenie11">
    <w:name w:val="Svetlé podfarbenie – zvýraznenie 11"/>
    <w:basedOn w:val="Normlnatabuka"/>
    <w:next w:val="Svetlpodfarbeniezvraznenie1"/>
    <w:uiPriority w:val="60"/>
    <w:rsid w:val="0029548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rednmrieka3zvraznenie51">
    <w:name w:val="Stredná mriežka 3 – zvýraznenie 51"/>
    <w:basedOn w:val="Normlnatabuka"/>
    <w:next w:val="Strednmrieka3zvraznenie5"/>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vetlpodfarbenie1">
    <w:name w:val="Svetlé podfarbenie1"/>
    <w:basedOn w:val="Normlnatabuka"/>
    <w:next w:val="Svetlpodfarbenie"/>
    <w:uiPriority w:val="60"/>
    <w:rsid w:val="00295488"/>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Farebnmriekazvraznenie51">
    <w:name w:val="Farebná mriežka – zvýraznenie 51"/>
    <w:basedOn w:val="Normlnatabuka"/>
    <w:next w:val="Farebnmriekazvraznenie5"/>
    <w:uiPriority w:val="73"/>
    <w:rsid w:val="00295488"/>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1">
    <w:name w:val="Obyčajná tabuľka 311"/>
    <w:basedOn w:val="Normlnatabuka"/>
    <w:uiPriority w:val="43"/>
    <w:rsid w:val="002954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rednmrieka3zvraznenie31">
    <w:name w:val="Stredná mriežka 3 – zvýraznenie 31"/>
    <w:basedOn w:val="Normlnatabuka"/>
    <w:next w:val="Strednmrieka3zvraznenie3"/>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5">
    <w:name w:val="Mriežka tabuľky5"/>
    <w:basedOn w:val="Normlnatabuka"/>
    <w:next w:val="Mriekatabuky"/>
    <w:uiPriority w:val="59"/>
    <w:rsid w:val="00E006A7"/>
    <w:rPr>
      <w:rFonts w:eastAsiaTheme="minorEastAs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49540D"/>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page number"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145B"/>
    <w:rPr>
      <w:sz w:val="24"/>
      <w:szCs w:val="24"/>
      <w:lang w:eastAsia="en-US"/>
    </w:rPr>
  </w:style>
  <w:style w:type="paragraph" w:styleId="Nadpis1">
    <w:name w:val="heading 1"/>
    <w:basedOn w:val="Normlny"/>
    <w:next w:val="Normlny"/>
    <w:link w:val="Nadpis1Char"/>
    <w:uiPriority w:val="9"/>
    <w:qFormat/>
    <w:rsid w:val="008F73F3"/>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rsid w:val="008F73F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8F73F3"/>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8F73F3"/>
    <w:pPr>
      <w:keepNext/>
      <w:numPr>
        <w:ilvl w:val="3"/>
        <w:numId w:val="2"/>
      </w:numPr>
      <w:spacing w:before="240" w:after="60"/>
      <w:outlineLvl w:val="3"/>
    </w:pPr>
    <w:rPr>
      <w:b/>
      <w:bCs/>
      <w:sz w:val="28"/>
      <w:szCs w:val="28"/>
    </w:rPr>
  </w:style>
  <w:style w:type="paragraph" w:styleId="Nadpis5">
    <w:name w:val="heading 5"/>
    <w:basedOn w:val="Normlny"/>
    <w:next w:val="Normlny"/>
    <w:link w:val="Nadpis5Char"/>
    <w:uiPriority w:val="9"/>
    <w:qFormat/>
    <w:rsid w:val="008F73F3"/>
    <w:pPr>
      <w:keepNext/>
      <w:numPr>
        <w:ilvl w:val="4"/>
        <w:numId w:val="2"/>
      </w:numPr>
      <w:outlineLvl w:val="4"/>
    </w:pPr>
    <w:rPr>
      <w:b/>
      <w:bCs/>
    </w:rPr>
  </w:style>
  <w:style w:type="paragraph" w:styleId="Nadpis6">
    <w:name w:val="heading 6"/>
    <w:basedOn w:val="Normlny"/>
    <w:next w:val="Normlny"/>
    <w:link w:val="Nadpis6Char"/>
    <w:uiPriority w:val="9"/>
    <w:qFormat/>
    <w:rsid w:val="008F73F3"/>
    <w:pPr>
      <w:keepNext/>
      <w:numPr>
        <w:ilvl w:val="5"/>
        <w:numId w:val="2"/>
      </w:numPr>
      <w:jc w:val="both"/>
      <w:outlineLvl w:val="5"/>
    </w:pPr>
    <w:rPr>
      <w:b/>
      <w:bCs/>
      <w:u w:val="single"/>
    </w:rPr>
  </w:style>
  <w:style w:type="paragraph" w:styleId="Nadpis7">
    <w:name w:val="heading 7"/>
    <w:basedOn w:val="Normlny"/>
    <w:next w:val="Normlny"/>
    <w:link w:val="Nadpis7Char"/>
    <w:uiPriority w:val="9"/>
    <w:qFormat/>
    <w:rsid w:val="008F73F3"/>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F73F3"/>
    <w:pPr>
      <w:jc w:val="center"/>
    </w:pPr>
    <w:rPr>
      <w:b/>
      <w:szCs w:val="20"/>
    </w:rPr>
  </w:style>
  <w:style w:type="paragraph" w:styleId="Zkladntext">
    <w:name w:val="Body Text"/>
    <w:aliases w:val="b,Základný text1"/>
    <w:basedOn w:val="Normlny"/>
    <w:link w:val="ZkladntextChar"/>
    <w:uiPriority w:val="99"/>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lang w:eastAsia="en-US"/>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lang w:eastAsia="en-US"/>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uiPriority w:val="9"/>
    <w:rsid w:val="004C3C08"/>
    <w:rPr>
      <w:rFonts w:ascii="Arial" w:hAnsi="Arial" w:cs="Arial"/>
      <w:b/>
      <w:bCs/>
      <w:sz w:val="26"/>
      <w:szCs w:val="26"/>
      <w:lang w:eastAsia="en-US"/>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lang w:eastAsia="en-US"/>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35"/>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uiPriority w:val="9"/>
    <w:rsid w:val="00C571BF"/>
    <w:rPr>
      <w:rFonts w:ascii="Arial" w:hAnsi="Arial" w:cs="Arial"/>
      <w:b/>
      <w:bCs/>
      <w:i/>
      <w:iCs/>
      <w:sz w:val="28"/>
      <w:szCs w:val="28"/>
      <w:lang w:eastAsia="en-US"/>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aliases w:val="Footnote symbol,IT Fußnotenzeichen,Footnote symboFußnotenzeichen,Footnote sign,-E Fußnotenzeichen,ESPON Footnote No,Footnote call,Odwołanie przypisu,Footnote Reference Superscript,BVI fnr,Footnote reference number"/>
    <w:link w:val="Footnotenumber"/>
    <w:uiPriority w:val="99"/>
    <w:qFormat/>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5"/>
      </w:numPr>
    </w:pPr>
  </w:style>
  <w:style w:type="paragraph" w:styleId="Revzia">
    <w:name w:val="Revision"/>
    <w:hidden/>
    <w:uiPriority w:val="99"/>
    <w:semiHidden/>
    <w:rsid w:val="00C571BF"/>
    <w:rPr>
      <w:sz w:val="24"/>
      <w:szCs w:val="24"/>
      <w:lang w:val="en-US" w:eastAsia="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6"/>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9"/>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7"/>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rPr>
  </w:style>
  <w:style w:type="paragraph" w:customStyle="1" w:styleId="Point0">
    <w:name w:val="Point 0"/>
    <w:basedOn w:val="Normlny"/>
    <w:uiPriority w:val="99"/>
    <w:rsid w:val="00C8498E"/>
    <w:pPr>
      <w:spacing w:before="120" w:after="120" w:line="360" w:lineRule="auto"/>
      <w:ind w:left="850" w:hanging="850"/>
    </w:pPr>
  </w:style>
  <w:style w:type="paragraph" w:customStyle="1" w:styleId="Tiret2">
    <w:name w:val="Tiret 2"/>
    <w:basedOn w:val="Normlny"/>
    <w:rsid w:val="00C8498E"/>
    <w:pPr>
      <w:numPr>
        <w:numId w:val="8"/>
      </w:numPr>
      <w:spacing w:before="120" w:after="120" w:line="360" w:lineRule="auto"/>
    </w:p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style>
  <w:style w:type="paragraph" w:customStyle="1" w:styleId="ManualNumPar1">
    <w:name w:val="Manual NumPar 1"/>
    <w:basedOn w:val="Normlny"/>
    <w:next w:val="Normlny"/>
    <w:rsid w:val="00C8498E"/>
    <w:pPr>
      <w:spacing w:before="120" w:after="120" w:line="360" w:lineRule="auto"/>
      <w:ind w:left="850" w:hanging="850"/>
    </w:pPr>
  </w:style>
  <w:style w:type="character" w:customStyle="1" w:styleId="Point1Char">
    <w:name w:val="Point 1 Char"/>
    <w:link w:val="Point1"/>
    <w:locked/>
    <w:rsid w:val="00C8498E"/>
    <w:rPr>
      <w:sz w:val="24"/>
      <w:szCs w:val="24"/>
      <w:lang w:eastAsia="en-US"/>
    </w:rPr>
  </w:style>
  <w:style w:type="paragraph" w:customStyle="1" w:styleId="Footnotenumber">
    <w:name w:val="Footnote number"/>
    <w:aliases w:val="fr"/>
    <w:basedOn w:val="Normlny"/>
    <w:link w:val="Odkaznapoznmkupodiarou"/>
    <w:uiPriority w:val="99"/>
    <w:rsid w:val="00CC2A81"/>
    <w:pPr>
      <w:spacing w:after="160" w:line="240" w:lineRule="exact"/>
    </w:pPr>
    <w:rPr>
      <w:sz w:val="20"/>
      <w:szCs w:val="20"/>
      <w:vertAlign w:val="superscript"/>
    </w:rPr>
  </w:style>
  <w:style w:type="table" w:customStyle="1" w:styleId="Svtlmkatabulky11">
    <w:name w:val="Světlá mřížka tabulky11"/>
    <w:basedOn w:val="Normlnatabuka"/>
    <w:uiPriority w:val="40"/>
    <w:rsid w:val="007E598A"/>
    <w:rPr>
      <w:rFonts w:ascii="Calibri" w:eastAsia="Calibri" w:hAnsi="Calibri"/>
      <w:sz w:val="22"/>
      <w:szCs w:val="22"/>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lavikaobsahu">
    <w:name w:val="TOC Heading"/>
    <w:basedOn w:val="Nadpis1"/>
    <w:next w:val="Normlny"/>
    <w:uiPriority w:val="39"/>
    <w:unhideWhenUsed/>
    <w:qFormat/>
    <w:rsid w:val="002E3748"/>
    <w:pPr>
      <w:keepLines/>
      <w:numPr>
        <w:numId w:val="0"/>
      </w:numPr>
      <w:spacing w:before="480" w:line="276" w:lineRule="auto"/>
      <w:jc w:val="left"/>
      <w:outlineLvl w:val="9"/>
    </w:pPr>
    <w:rPr>
      <w:rFonts w:ascii="Cambria" w:eastAsia="Times New Roman" w:hAnsi="Cambria"/>
      <w:bCs/>
      <w:color w:val="365F91"/>
      <w:szCs w:val="28"/>
      <w:lang w:eastAsia="sk-SK"/>
    </w:rPr>
  </w:style>
  <w:style w:type="paragraph" w:styleId="Obsah3">
    <w:name w:val="toc 3"/>
    <w:basedOn w:val="Normlny"/>
    <w:next w:val="Normlny"/>
    <w:autoRedefine/>
    <w:uiPriority w:val="39"/>
    <w:unhideWhenUsed/>
    <w:qFormat/>
    <w:rsid w:val="002E3748"/>
    <w:pPr>
      <w:ind w:left="480"/>
    </w:pPr>
  </w:style>
  <w:style w:type="paragraph" w:styleId="Obsah1">
    <w:name w:val="toc 1"/>
    <w:basedOn w:val="Normlny"/>
    <w:next w:val="Normlny"/>
    <w:autoRedefine/>
    <w:uiPriority w:val="39"/>
    <w:unhideWhenUsed/>
    <w:qFormat/>
    <w:rsid w:val="00212828"/>
    <w:pPr>
      <w:tabs>
        <w:tab w:val="left" w:pos="480"/>
        <w:tab w:val="right" w:leader="dot" w:pos="9639"/>
      </w:tabs>
      <w:spacing w:line="360" w:lineRule="auto"/>
      <w:ind w:left="480" w:right="1" w:hanging="480"/>
    </w:pPr>
    <w:rPr>
      <w:rFonts w:ascii="Calibri Light" w:eastAsia="Calibri" w:hAnsi="Calibri Light" w:cs="Calibri Light"/>
      <w:b/>
      <w:noProof/>
    </w:rPr>
  </w:style>
  <w:style w:type="paragraph" w:styleId="Obsah2">
    <w:name w:val="toc 2"/>
    <w:basedOn w:val="Normlny"/>
    <w:next w:val="Normlny"/>
    <w:autoRedefine/>
    <w:uiPriority w:val="39"/>
    <w:unhideWhenUsed/>
    <w:qFormat/>
    <w:rsid w:val="002E3748"/>
    <w:pPr>
      <w:ind w:left="240"/>
    </w:pPr>
  </w:style>
  <w:style w:type="numbering" w:customStyle="1" w:styleId="List121">
    <w:name w:val="List 121"/>
    <w:basedOn w:val="Bezzoznamu"/>
    <w:rsid w:val="002B6C23"/>
  </w:style>
  <w:style w:type="numbering" w:customStyle="1" w:styleId="Bezzoznamu6">
    <w:name w:val="Bez zoznamu6"/>
    <w:next w:val="Bezzoznamu"/>
    <w:uiPriority w:val="99"/>
    <w:semiHidden/>
    <w:unhideWhenUsed/>
    <w:rsid w:val="002E1577"/>
  </w:style>
  <w:style w:type="character" w:customStyle="1" w:styleId="Nadpis4Char">
    <w:name w:val="Nadpis 4 Char"/>
    <w:basedOn w:val="Predvolenpsmoodseku"/>
    <w:link w:val="Nadpis4"/>
    <w:uiPriority w:val="9"/>
    <w:rsid w:val="002E1577"/>
    <w:rPr>
      <w:b/>
      <w:bCs/>
      <w:sz w:val="28"/>
      <w:szCs w:val="28"/>
      <w:lang w:eastAsia="en-US"/>
    </w:rPr>
  </w:style>
  <w:style w:type="character" w:customStyle="1" w:styleId="Nadpis5Char">
    <w:name w:val="Nadpis 5 Char"/>
    <w:basedOn w:val="Predvolenpsmoodseku"/>
    <w:link w:val="Nadpis5"/>
    <w:uiPriority w:val="9"/>
    <w:rsid w:val="002E1577"/>
    <w:rPr>
      <w:b/>
      <w:bCs/>
      <w:sz w:val="24"/>
      <w:szCs w:val="24"/>
      <w:lang w:eastAsia="en-US"/>
    </w:rPr>
  </w:style>
  <w:style w:type="character" w:customStyle="1" w:styleId="Nadpis6Char">
    <w:name w:val="Nadpis 6 Char"/>
    <w:basedOn w:val="Predvolenpsmoodseku"/>
    <w:link w:val="Nadpis6"/>
    <w:uiPriority w:val="9"/>
    <w:rsid w:val="002E1577"/>
    <w:rPr>
      <w:b/>
      <w:bCs/>
      <w:sz w:val="24"/>
      <w:szCs w:val="24"/>
      <w:u w:val="single"/>
      <w:lang w:eastAsia="en-US"/>
    </w:rPr>
  </w:style>
  <w:style w:type="character" w:customStyle="1" w:styleId="Nadpis7Char">
    <w:name w:val="Nadpis 7 Char"/>
    <w:basedOn w:val="Predvolenpsmoodseku"/>
    <w:link w:val="Nadpis7"/>
    <w:uiPriority w:val="9"/>
    <w:rsid w:val="002E1577"/>
    <w:rPr>
      <w:b/>
      <w:sz w:val="24"/>
      <w:szCs w:val="26"/>
      <w:lang w:eastAsia="en-US"/>
    </w:rPr>
  </w:style>
  <w:style w:type="character" w:customStyle="1" w:styleId="Jemnzvraznenie1">
    <w:name w:val="Jemné zvýraznenie1"/>
    <w:uiPriority w:val="19"/>
    <w:qFormat/>
    <w:rsid w:val="002E1577"/>
    <w:rPr>
      <w:i/>
      <w:iCs/>
      <w:color w:val="404040"/>
    </w:rPr>
  </w:style>
  <w:style w:type="paragraph" w:styleId="Zvraznencitcia">
    <w:name w:val="Intense Quote"/>
    <w:basedOn w:val="Normlny"/>
    <w:next w:val="Normlny"/>
    <w:link w:val="ZvraznencitciaChar"/>
    <w:uiPriority w:val="30"/>
    <w:qFormat/>
    <w:rsid w:val="002E1577"/>
    <w:pPr>
      <w:pBdr>
        <w:bottom w:val="single" w:sz="4" w:space="4" w:color="4F81BD"/>
      </w:pBdr>
      <w:spacing w:before="200" w:after="280"/>
      <w:ind w:left="936" w:right="936"/>
    </w:pPr>
    <w:rPr>
      <w:b/>
      <w:bCs/>
      <w:i/>
      <w:iCs/>
      <w:color w:val="4F81BD"/>
      <w:lang w:eastAsia="sk-SK"/>
    </w:rPr>
  </w:style>
  <w:style w:type="character" w:customStyle="1" w:styleId="ZvraznencitciaChar">
    <w:name w:val="Zvýraznená citácia Char"/>
    <w:basedOn w:val="Predvolenpsmoodseku"/>
    <w:link w:val="Zvraznencitcia"/>
    <w:uiPriority w:val="30"/>
    <w:rsid w:val="002E1577"/>
    <w:rPr>
      <w:b/>
      <w:bCs/>
      <w:i/>
      <w:iCs/>
      <w:color w:val="4F81BD"/>
      <w:sz w:val="24"/>
      <w:szCs w:val="24"/>
    </w:rPr>
  </w:style>
  <w:style w:type="character" w:styleId="Jemnzvraznenie">
    <w:name w:val="Subtle Emphasis"/>
    <w:uiPriority w:val="19"/>
    <w:qFormat/>
    <w:rsid w:val="002E1577"/>
    <w:rPr>
      <w:i/>
      <w:iCs/>
      <w:color w:val="808080"/>
    </w:rPr>
  </w:style>
  <w:style w:type="character" w:styleId="Nzovknihy">
    <w:name w:val="Book Title"/>
    <w:basedOn w:val="Predvolenpsmoodseku"/>
    <w:uiPriority w:val="33"/>
    <w:qFormat/>
    <w:rsid w:val="002E1577"/>
    <w:rPr>
      <w:b/>
      <w:bCs/>
      <w:smallCaps/>
      <w:spacing w:val="5"/>
    </w:rPr>
  </w:style>
  <w:style w:type="table" w:customStyle="1" w:styleId="Mriekatabuky2">
    <w:name w:val="Mriežka tabuľky2"/>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zvraznenie1">
    <w:name w:val="Light Shading Accent 1"/>
    <w:basedOn w:val="Normlnatabuka"/>
    <w:uiPriority w:val="60"/>
    <w:rsid w:val="002E15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trednmrieka3zvraznenie5">
    <w:name w:val="Medium Grid 3 Accent 5"/>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vetlpodfarbenie">
    <w:name w:val="Light Shading"/>
    <w:basedOn w:val="Normlnatabuka"/>
    <w:uiPriority w:val="60"/>
    <w:rsid w:val="002E157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Farebnmriekazvraznenie5">
    <w:name w:val="Colorful Grid Accent 5"/>
    <w:basedOn w:val="Normlnatabuka"/>
    <w:uiPriority w:val="73"/>
    <w:rsid w:val="002E1577"/>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
    <w:name w:val="Obyčajná tabuľka 31"/>
    <w:basedOn w:val="Normlnatabuka"/>
    <w:uiPriority w:val="43"/>
    <w:rsid w:val="002E15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trednmrieka3zvraznenie3">
    <w:name w:val="Medium Grid 3 Accent 3"/>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3">
    <w:name w:val="Mriežka tabuľky3"/>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ov-M">
    <w:name w:val="Názov-M"/>
    <w:basedOn w:val="Normlny"/>
    <w:next w:val="Normlny"/>
    <w:qFormat/>
    <w:rsid w:val="00010EC9"/>
    <w:pPr>
      <w:jc w:val="center"/>
    </w:pPr>
    <w:rPr>
      <w:b/>
      <w:lang w:eastAsia="sk-SK"/>
    </w:rPr>
  </w:style>
  <w:style w:type="numbering" w:customStyle="1" w:styleId="Bezzoznamu7">
    <w:name w:val="Bez zoznamu7"/>
    <w:next w:val="Bezzoznamu"/>
    <w:uiPriority w:val="99"/>
    <w:semiHidden/>
    <w:unhideWhenUsed/>
    <w:rsid w:val="00295488"/>
  </w:style>
  <w:style w:type="table" w:customStyle="1" w:styleId="Mriekatabuky4">
    <w:name w:val="Mriežka tabuľky4"/>
    <w:basedOn w:val="Normlnatabuka"/>
    <w:next w:val="Mriekatabuky"/>
    <w:uiPriority w:val="39"/>
    <w:rsid w:val="00295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zvraznenie11">
    <w:name w:val="Svetlé podfarbenie – zvýraznenie 11"/>
    <w:basedOn w:val="Normlnatabuka"/>
    <w:next w:val="Svetlpodfarbeniezvraznenie1"/>
    <w:uiPriority w:val="60"/>
    <w:rsid w:val="0029548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rednmrieka3zvraznenie51">
    <w:name w:val="Stredná mriežka 3 – zvýraznenie 51"/>
    <w:basedOn w:val="Normlnatabuka"/>
    <w:next w:val="Strednmrieka3zvraznenie5"/>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vetlpodfarbenie1">
    <w:name w:val="Svetlé podfarbenie1"/>
    <w:basedOn w:val="Normlnatabuka"/>
    <w:next w:val="Svetlpodfarbenie"/>
    <w:uiPriority w:val="60"/>
    <w:rsid w:val="00295488"/>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Farebnmriekazvraznenie51">
    <w:name w:val="Farebná mriežka – zvýraznenie 51"/>
    <w:basedOn w:val="Normlnatabuka"/>
    <w:next w:val="Farebnmriekazvraznenie5"/>
    <w:uiPriority w:val="73"/>
    <w:rsid w:val="00295488"/>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1">
    <w:name w:val="Obyčajná tabuľka 311"/>
    <w:basedOn w:val="Normlnatabuka"/>
    <w:uiPriority w:val="43"/>
    <w:rsid w:val="002954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rednmrieka3zvraznenie31">
    <w:name w:val="Stredná mriežka 3 – zvýraznenie 31"/>
    <w:basedOn w:val="Normlnatabuka"/>
    <w:next w:val="Strednmrieka3zvraznenie3"/>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5">
    <w:name w:val="Mriežka tabuľky5"/>
    <w:basedOn w:val="Normlnatabuka"/>
    <w:next w:val="Mriekatabuky"/>
    <w:uiPriority w:val="59"/>
    <w:rsid w:val="00E006A7"/>
    <w:rPr>
      <w:rFonts w:eastAsiaTheme="minorEastAs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49540D"/>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25241382">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478612351">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872616045">
      <w:bodyDiv w:val="1"/>
      <w:marLeft w:val="0"/>
      <w:marRight w:val="0"/>
      <w:marTop w:val="0"/>
      <w:marBottom w:val="0"/>
      <w:divBdr>
        <w:top w:val="none" w:sz="0" w:space="0" w:color="auto"/>
        <w:left w:val="none" w:sz="0" w:space="0" w:color="auto"/>
        <w:bottom w:val="none" w:sz="0" w:space="0" w:color="auto"/>
        <w:right w:val="none" w:sz="0" w:space="0" w:color="auto"/>
      </w:divBdr>
    </w:div>
    <w:div w:id="917981353">
      <w:bodyDiv w:val="1"/>
      <w:marLeft w:val="0"/>
      <w:marRight w:val="0"/>
      <w:marTop w:val="0"/>
      <w:marBottom w:val="0"/>
      <w:divBdr>
        <w:top w:val="none" w:sz="0" w:space="0" w:color="auto"/>
        <w:left w:val="none" w:sz="0" w:space="0" w:color="auto"/>
        <w:bottom w:val="none" w:sz="0" w:space="0" w:color="auto"/>
        <w:right w:val="none" w:sz="0" w:space="0" w:color="auto"/>
      </w:divBdr>
    </w:div>
    <w:div w:id="1132598963">
      <w:bodyDiv w:val="1"/>
      <w:marLeft w:val="0"/>
      <w:marRight w:val="0"/>
      <w:marTop w:val="0"/>
      <w:marBottom w:val="0"/>
      <w:divBdr>
        <w:top w:val="none" w:sz="0" w:space="0" w:color="auto"/>
        <w:left w:val="none" w:sz="0" w:space="0" w:color="auto"/>
        <w:bottom w:val="none" w:sz="0" w:space="0" w:color="auto"/>
        <w:right w:val="none" w:sz="0" w:space="0" w:color="auto"/>
      </w:divBdr>
      <w:divsChild>
        <w:div w:id="534466931">
          <w:marLeft w:val="0"/>
          <w:marRight w:val="0"/>
          <w:marTop w:val="0"/>
          <w:marBottom w:val="0"/>
          <w:divBdr>
            <w:top w:val="none" w:sz="0" w:space="0" w:color="auto"/>
            <w:left w:val="none" w:sz="0" w:space="0" w:color="auto"/>
            <w:bottom w:val="none" w:sz="0" w:space="0" w:color="auto"/>
            <w:right w:val="none" w:sz="0" w:space="0" w:color="auto"/>
          </w:divBdr>
        </w:div>
      </w:divsChild>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1857619943">
      <w:bodyDiv w:val="1"/>
      <w:marLeft w:val="0"/>
      <w:marRight w:val="0"/>
      <w:marTop w:val="0"/>
      <w:marBottom w:val="0"/>
      <w:divBdr>
        <w:top w:val="none" w:sz="0" w:space="0" w:color="auto"/>
        <w:left w:val="none" w:sz="0" w:space="0" w:color="auto"/>
        <w:bottom w:val="none" w:sz="0" w:space="0" w:color="auto"/>
        <w:right w:val="none" w:sz="0" w:space="0" w:color="auto"/>
      </w:divBdr>
      <w:divsChild>
        <w:div w:id="1155609910">
          <w:marLeft w:val="0"/>
          <w:marRight w:val="0"/>
          <w:marTop w:val="0"/>
          <w:marBottom w:val="0"/>
          <w:divBdr>
            <w:top w:val="none" w:sz="0" w:space="0" w:color="auto"/>
            <w:left w:val="none" w:sz="0" w:space="0" w:color="auto"/>
            <w:bottom w:val="none" w:sz="0" w:space="0" w:color="auto"/>
            <w:right w:val="none" w:sz="0" w:space="0" w:color="auto"/>
          </w:divBdr>
        </w:div>
      </w:divsChild>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D4F32-4FF7-4811-89D9-2D5915DA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4044</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Príloha č</vt:lpstr>
    </vt:vector>
  </TitlesOfParts>
  <Company>MH SR</Company>
  <LinksUpToDate>false</LinksUpToDate>
  <CharactersWithSpaces>4671</CharactersWithSpaces>
  <SharedDoc>false</SharedDoc>
  <HLinks>
    <vt:vector size="474" baseType="variant">
      <vt:variant>
        <vt:i4>2752526</vt:i4>
      </vt:variant>
      <vt:variant>
        <vt:i4>237</vt:i4>
      </vt:variant>
      <vt:variant>
        <vt:i4>0</vt:i4>
      </vt:variant>
      <vt:variant>
        <vt:i4>5</vt:i4>
      </vt:variant>
      <vt:variant>
        <vt:lpwstr>mailto:horvath@mhsr.sk</vt:lpwstr>
      </vt:variant>
      <vt:variant>
        <vt:lpwstr/>
      </vt:variant>
      <vt:variant>
        <vt:i4>2031617</vt:i4>
      </vt:variant>
      <vt:variant>
        <vt:i4>234</vt:i4>
      </vt:variant>
      <vt:variant>
        <vt:i4>0</vt:i4>
      </vt:variant>
      <vt:variant>
        <vt:i4>5</vt:i4>
      </vt:variant>
      <vt:variant>
        <vt:lpwstr>https://www.slov-lex.sk/pravne-predpisy/SK/ZZ/2012/251/20170801</vt:lpwstr>
      </vt:variant>
      <vt:variant>
        <vt:lpwstr>paragraf-4.odsek-6</vt:lpwstr>
      </vt:variant>
      <vt:variant>
        <vt:i4>2031617</vt:i4>
      </vt:variant>
      <vt:variant>
        <vt:i4>231</vt:i4>
      </vt:variant>
      <vt:variant>
        <vt:i4>0</vt:i4>
      </vt:variant>
      <vt:variant>
        <vt:i4>5</vt:i4>
      </vt:variant>
      <vt:variant>
        <vt:lpwstr>https://www.slov-lex.sk/pravne-predpisy/SK/ZZ/2012/251/20170801</vt:lpwstr>
      </vt:variant>
      <vt:variant>
        <vt:lpwstr>paragraf-4.odsek-6</vt:lpwstr>
      </vt:variant>
      <vt:variant>
        <vt:i4>3604607</vt:i4>
      </vt:variant>
      <vt:variant>
        <vt:i4>228</vt:i4>
      </vt:variant>
      <vt:variant>
        <vt:i4>0</vt:i4>
      </vt:variant>
      <vt:variant>
        <vt:i4>5</vt:i4>
      </vt:variant>
      <vt:variant>
        <vt:lpwstr>https://www.slov-lex.sk/pravne-predpisy/SK/ZZ/2012/251/20170801</vt:lpwstr>
      </vt:variant>
      <vt:variant>
        <vt:lpwstr>paragraf-64.odsek-6.pismeno-l</vt:lpwstr>
      </vt:variant>
      <vt:variant>
        <vt:i4>3604607</vt:i4>
      </vt:variant>
      <vt:variant>
        <vt:i4>225</vt:i4>
      </vt:variant>
      <vt:variant>
        <vt:i4>0</vt:i4>
      </vt:variant>
      <vt:variant>
        <vt:i4>5</vt:i4>
      </vt:variant>
      <vt:variant>
        <vt:lpwstr>https://www.slov-lex.sk/pravne-predpisy/SK/ZZ/2012/251/20170801</vt:lpwstr>
      </vt:variant>
      <vt:variant>
        <vt:lpwstr>paragraf-64.odsek-6.pismeno-e</vt:lpwstr>
      </vt:variant>
      <vt:variant>
        <vt:i4>3604607</vt:i4>
      </vt:variant>
      <vt:variant>
        <vt:i4>222</vt:i4>
      </vt:variant>
      <vt:variant>
        <vt:i4>0</vt:i4>
      </vt:variant>
      <vt:variant>
        <vt:i4>5</vt:i4>
      </vt:variant>
      <vt:variant>
        <vt:lpwstr>https://www.slov-lex.sk/pravne-predpisy/SK/ZZ/2012/251/20170801</vt:lpwstr>
      </vt:variant>
      <vt:variant>
        <vt:lpwstr>paragraf-64.odsek-6.pismeno-l</vt:lpwstr>
      </vt:variant>
      <vt:variant>
        <vt:i4>3604607</vt:i4>
      </vt:variant>
      <vt:variant>
        <vt:i4>219</vt:i4>
      </vt:variant>
      <vt:variant>
        <vt:i4>0</vt:i4>
      </vt:variant>
      <vt:variant>
        <vt:i4>5</vt:i4>
      </vt:variant>
      <vt:variant>
        <vt:lpwstr>https://www.slov-lex.sk/pravne-predpisy/SK/ZZ/2012/251/20170801</vt:lpwstr>
      </vt:variant>
      <vt:variant>
        <vt:lpwstr>paragraf-64.odsek-6.pismeno-e</vt:lpwstr>
      </vt:variant>
      <vt:variant>
        <vt:i4>3473523</vt:i4>
      </vt:variant>
      <vt:variant>
        <vt:i4>216</vt:i4>
      </vt:variant>
      <vt:variant>
        <vt:i4>0</vt:i4>
      </vt:variant>
      <vt:variant>
        <vt:i4>5</vt:i4>
      </vt:variant>
      <vt:variant>
        <vt:lpwstr>https://www.slov-lex.sk/pravne-predpisy/SK/ZZ/2012/251/20170801</vt:lpwstr>
      </vt:variant>
      <vt:variant>
        <vt:lpwstr>paragraf-49.odsek-7.pismeno-k</vt:lpwstr>
      </vt:variant>
      <vt:variant>
        <vt:i4>3473523</vt:i4>
      </vt:variant>
      <vt:variant>
        <vt:i4>213</vt:i4>
      </vt:variant>
      <vt:variant>
        <vt:i4>0</vt:i4>
      </vt:variant>
      <vt:variant>
        <vt:i4>5</vt:i4>
      </vt:variant>
      <vt:variant>
        <vt:lpwstr>https://www.slov-lex.sk/pravne-predpisy/SK/ZZ/2012/251/20170801</vt:lpwstr>
      </vt:variant>
      <vt:variant>
        <vt:lpwstr>paragraf-49.odsek-7.pismeno-h</vt:lpwstr>
      </vt:variant>
      <vt:variant>
        <vt:i4>3473523</vt:i4>
      </vt:variant>
      <vt:variant>
        <vt:i4>210</vt:i4>
      </vt:variant>
      <vt:variant>
        <vt:i4>0</vt:i4>
      </vt:variant>
      <vt:variant>
        <vt:i4>5</vt:i4>
      </vt:variant>
      <vt:variant>
        <vt:lpwstr>https://www.slov-lex.sk/pravne-predpisy/SK/ZZ/2012/251/20170801</vt:lpwstr>
      </vt:variant>
      <vt:variant>
        <vt:lpwstr>paragraf-49.odsek-7.pismeno-c</vt:lpwstr>
      </vt:variant>
      <vt:variant>
        <vt:i4>3473523</vt:i4>
      </vt:variant>
      <vt:variant>
        <vt:i4>207</vt:i4>
      </vt:variant>
      <vt:variant>
        <vt:i4>0</vt:i4>
      </vt:variant>
      <vt:variant>
        <vt:i4>5</vt:i4>
      </vt:variant>
      <vt:variant>
        <vt:lpwstr>https://www.slov-lex.sk/pravne-predpisy/SK/ZZ/2012/251/20170801</vt:lpwstr>
      </vt:variant>
      <vt:variant>
        <vt:lpwstr>paragraf-49.odsek-7.pismeno-a</vt:lpwstr>
      </vt:variant>
      <vt:variant>
        <vt:i4>3604604</vt:i4>
      </vt:variant>
      <vt:variant>
        <vt:i4>204</vt:i4>
      </vt:variant>
      <vt:variant>
        <vt:i4>0</vt:i4>
      </vt:variant>
      <vt:variant>
        <vt:i4>5</vt:i4>
      </vt:variant>
      <vt:variant>
        <vt:lpwstr>https://www.slov-lex.sk/pravne-predpisy/SK/ZZ/2012/251/20170801</vt:lpwstr>
      </vt:variant>
      <vt:variant>
        <vt:lpwstr>paragraf-67.odsek-6.pismeno-m</vt:lpwstr>
      </vt:variant>
      <vt:variant>
        <vt:i4>3604604</vt:i4>
      </vt:variant>
      <vt:variant>
        <vt:i4>201</vt:i4>
      </vt:variant>
      <vt:variant>
        <vt:i4>0</vt:i4>
      </vt:variant>
      <vt:variant>
        <vt:i4>5</vt:i4>
      </vt:variant>
      <vt:variant>
        <vt:lpwstr>https://www.slov-lex.sk/pravne-predpisy/SK/ZZ/2012/251/20170801</vt:lpwstr>
      </vt:variant>
      <vt:variant>
        <vt:lpwstr>paragraf-67.odsek-6.pismeno-j</vt:lpwstr>
      </vt:variant>
      <vt:variant>
        <vt:i4>3604604</vt:i4>
      </vt:variant>
      <vt:variant>
        <vt:i4>198</vt:i4>
      </vt:variant>
      <vt:variant>
        <vt:i4>0</vt:i4>
      </vt:variant>
      <vt:variant>
        <vt:i4>5</vt:i4>
      </vt:variant>
      <vt:variant>
        <vt:lpwstr>https://www.slov-lex.sk/pravne-predpisy/SK/ZZ/2012/251/20170801</vt:lpwstr>
      </vt:variant>
      <vt:variant>
        <vt:lpwstr>paragraf-67.odsek-6.pismeno-g</vt:lpwstr>
      </vt:variant>
      <vt:variant>
        <vt:i4>3604604</vt:i4>
      </vt:variant>
      <vt:variant>
        <vt:i4>195</vt:i4>
      </vt:variant>
      <vt:variant>
        <vt:i4>0</vt:i4>
      </vt:variant>
      <vt:variant>
        <vt:i4>5</vt:i4>
      </vt:variant>
      <vt:variant>
        <vt:lpwstr>https://www.slov-lex.sk/pravne-predpisy/SK/ZZ/2012/251/20170801</vt:lpwstr>
      </vt:variant>
      <vt:variant>
        <vt:lpwstr>paragraf-67.odsek-6.pismeno-b</vt:lpwstr>
      </vt:variant>
      <vt:variant>
        <vt:i4>3604604</vt:i4>
      </vt:variant>
      <vt:variant>
        <vt:i4>192</vt:i4>
      </vt:variant>
      <vt:variant>
        <vt:i4>0</vt:i4>
      </vt:variant>
      <vt:variant>
        <vt:i4>5</vt:i4>
      </vt:variant>
      <vt:variant>
        <vt:lpwstr>https://www.slov-lex.sk/pravne-predpisy/SK/ZZ/2012/251/20170801</vt:lpwstr>
      </vt:variant>
      <vt:variant>
        <vt:lpwstr>paragraf-67.odsek-6.pismeno-a</vt:lpwstr>
      </vt:variant>
      <vt:variant>
        <vt:i4>3604604</vt:i4>
      </vt:variant>
      <vt:variant>
        <vt:i4>189</vt:i4>
      </vt:variant>
      <vt:variant>
        <vt:i4>0</vt:i4>
      </vt:variant>
      <vt:variant>
        <vt:i4>5</vt:i4>
      </vt:variant>
      <vt:variant>
        <vt:lpwstr>https://www.slov-lex.sk/pravne-predpisy/SK/ZZ/2012/251/20170801</vt:lpwstr>
      </vt:variant>
      <vt:variant>
        <vt:lpwstr>paragraf-67.odsek-6.pismeno-m</vt:lpwstr>
      </vt:variant>
      <vt:variant>
        <vt:i4>3604604</vt:i4>
      </vt:variant>
      <vt:variant>
        <vt:i4>186</vt:i4>
      </vt:variant>
      <vt:variant>
        <vt:i4>0</vt:i4>
      </vt:variant>
      <vt:variant>
        <vt:i4>5</vt:i4>
      </vt:variant>
      <vt:variant>
        <vt:lpwstr>https://www.slov-lex.sk/pravne-predpisy/SK/ZZ/2012/251/20170801</vt:lpwstr>
      </vt:variant>
      <vt:variant>
        <vt:lpwstr>paragraf-67.odsek-6.pismeno-j</vt:lpwstr>
      </vt:variant>
      <vt:variant>
        <vt:i4>3604604</vt:i4>
      </vt:variant>
      <vt:variant>
        <vt:i4>183</vt:i4>
      </vt:variant>
      <vt:variant>
        <vt:i4>0</vt:i4>
      </vt:variant>
      <vt:variant>
        <vt:i4>5</vt:i4>
      </vt:variant>
      <vt:variant>
        <vt:lpwstr>https://www.slov-lex.sk/pravne-predpisy/SK/ZZ/2012/251/20170801</vt:lpwstr>
      </vt:variant>
      <vt:variant>
        <vt:lpwstr>paragraf-67.odsek-6.pismeno-g</vt:lpwstr>
      </vt:variant>
      <vt:variant>
        <vt:i4>3604604</vt:i4>
      </vt:variant>
      <vt:variant>
        <vt:i4>180</vt:i4>
      </vt:variant>
      <vt:variant>
        <vt:i4>0</vt:i4>
      </vt:variant>
      <vt:variant>
        <vt:i4>5</vt:i4>
      </vt:variant>
      <vt:variant>
        <vt:lpwstr>https://www.slov-lex.sk/pravne-predpisy/SK/ZZ/2012/251/20170801</vt:lpwstr>
      </vt:variant>
      <vt:variant>
        <vt:lpwstr>paragraf-67.odsek-6.pismeno-b</vt:lpwstr>
      </vt:variant>
      <vt:variant>
        <vt:i4>3604604</vt:i4>
      </vt:variant>
      <vt:variant>
        <vt:i4>177</vt:i4>
      </vt:variant>
      <vt:variant>
        <vt:i4>0</vt:i4>
      </vt:variant>
      <vt:variant>
        <vt:i4>5</vt:i4>
      </vt:variant>
      <vt:variant>
        <vt:lpwstr>https://www.slov-lex.sk/pravne-predpisy/SK/ZZ/2012/251/20170801</vt:lpwstr>
      </vt:variant>
      <vt:variant>
        <vt:lpwstr>paragraf-67.odsek-6.pismeno-a</vt:lpwstr>
      </vt:variant>
      <vt:variant>
        <vt:i4>3604607</vt:i4>
      </vt:variant>
      <vt:variant>
        <vt:i4>174</vt:i4>
      </vt:variant>
      <vt:variant>
        <vt:i4>0</vt:i4>
      </vt:variant>
      <vt:variant>
        <vt:i4>5</vt:i4>
      </vt:variant>
      <vt:variant>
        <vt:lpwstr>https://www.slov-lex.sk/pravne-predpisy/SK/ZZ/2012/251/20170801</vt:lpwstr>
      </vt:variant>
      <vt:variant>
        <vt:lpwstr>paragraf-64.odsek-6.pismeno-n</vt:lpwstr>
      </vt:variant>
      <vt:variant>
        <vt:i4>3604607</vt:i4>
      </vt:variant>
      <vt:variant>
        <vt:i4>171</vt:i4>
      </vt:variant>
      <vt:variant>
        <vt:i4>0</vt:i4>
      </vt:variant>
      <vt:variant>
        <vt:i4>5</vt:i4>
      </vt:variant>
      <vt:variant>
        <vt:lpwstr>https://www.slov-lex.sk/pravne-predpisy/SK/ZZ/2012/251/20170801</vt:lpwstr>
      </vt:variant>
      <vt:variant>
        <vt:lpwstr>paragraf-64.odsek-6.pismeno-i</vt:lpwstr>
      </vt:variant>
      <vt:variant>
        <vt:i4>3604607</vt:i4>
      </vt:variant>
      <vt:variant>
        <vt:i4>168</vt:i4>
      </vt:variant>
      <vt:variant>
        <vt:i4>0</vt:i4>
      </vt:variant>
      <vt:variant>
        <vt:i4>5</vt:i4>
      </vt:variant>
      <vt:variant>
        <vt:lpwstr>https://www.slov-lex.sk/pravne-predpisy/SK/ZZ/2012/251/20170801</vt:lpwstr>
      </vt:variant>
      <vt:variant>
        <vt:lpwstr>paragraf-64.odsek-6.pismeno-a</vt:lpwstr>
      </vt:variant>
      <vt:variant>
        <vt:i4>3604607</vt:i4>
      </vt:variant>
      <vt:variant>
        <vt:i4>165</vt:i4>
      </vt:variant>
      <vt:variant>
        <vt:i4>0</vt:i4>
      </vt:variant>
      <vt:variant>
        <vt:i4>5</vt:i4>
      </vt:variant>
      <vt:variant>
        <vt:lpwstr>https://www.slov-lex.sk/pravne-predpisy/SK/ZZ/2012/251/20170801</vt:lpwstr>
      </vt:variant>
      <vt:variant>
        <vt:lpwstr>paragraf-64.odsek-6.pismeno-n</vt:lpwstr>
      </vt:variant>
      <vt:variant>
        <vt:i4>3604607</vt:i4>
      </vt:variant>
      <vt:variant>
        <vt:i4>162</vt:i4>
      </vt:variant>
      <vt:variant>
        <vt:i4>0</vt:i4>
      </vt:variant>
      <vt:variant>
        <vt:i4>5</vt:i4>
      </vt:variant>
      <vt:variant>
        <vt:lpwstr>https://www.slov-lex.sk/pravne-predpisy/SK/ZZ/2012/251/20170801</vt:lpwstr>
      </vt:variant>
      <vt:variant>
        <vt:lpwstr>paragraf-64.odsek-6.pismeno-i</vt:lpwstr>
      </vt:variant>
      <vt:variant>
        <vt:i4>3604607</vt:i4>
      </vt:variant>
      <vt:variant>
        <vt:i4>159</vt:i4>
      </vt:variant>
      <vt:variant>
        <vt:i4>0</vt:i4>
      </vt:variant>
      <vt:variant>
        <vt:i4>5</vt:i4>
      </vt:variant>
      <vt:variant>
        <vt:lpwstr>https://www.slov-lex.sk/pravne-predpisy/SK/ZZ/2012/251/20170801</vt:lpwstr>
      </vt:variant>
      <vt:variant>
        <vt:lpwstr>paragraf-64.odsek-6.pismeno-a</vt:lpwstr>
      </vt:variant>
      <vt:variant>
        <vt:i4>3473523</vt:i4>
      </vt:variant>
      <vt:variant>
        <vt:i4>156</vt:i4>
      </vt:variant>
      <vt:variant>
        <vt:i4>0</vt:i4>
      </vt:variant>
      <vt:variant>
        <vt:i4>5</vt:i4>
      </vt:variant>
      <vt:variant>
        <vt:lpwstr>https://www.slov-lex.sk/pravne-predpisy/SK/ZZ/2012/251/20170801</vt:lpwstr>
      </vt:variant>
      <vt:variant>
        <vt:lpwstr>paragraf-49.odsek-7.pismeno-o</vt:lpwstr>
      </vt:variant>
      <vt:variant>
        <vt:i4>3473523</vt:i4>
      </vt:variant>
      <vt:variant>
        <vt:i4>153</vt:i4>
      </vt:variant>
      <vt:variant>
        <vt:i4>0</vt:i4>
      </vt:variant>
      <vt:variant>
        <vt:i4>5</vt:i4>
      </vt:variant>
      <vt:variant>
        <vt:lpwstr>https://www.slov-lex.sk/pravne-predpisy/SK/ZZ/2012/251/20170801</vt:lpwstr>
      </vt:variant>
      <vt:variant>
        <vt:lpwstr>paragraf-49.odsek-7.pismeno-f</vt:lpwstr>
      </vt:variant>
      <vt:variant>
        <vt:i4>3473523</vt:i4>
      </vt:variant>
      <vt:variant>
        <vt:i4>150</vt:i4>
      </vt:variant>
      <vt:variant>
        <vt:i4>0</vt:i4>
      </vt:variant>
      <vt:variant>
        <vt:i4>5</vt:i4>
      </vt:variant>
      <vt:variant>
        <vt:lpwstr>https://www.slov-lex.sk/pravne-predpisy/SK/ZZ/2012/251/20170801</vt:lpwstr>
      </vt:variant>
      <vt:variant>
        <vt:lpwstr>paragraf-49.odsek-7.pismeno-d</vt:lpwstr>
      </vt:variant>
      <vt:variant>
        <vt:i4>3473523</vt:i4>
      </vt:variant>
      <vt:variant>
        <vt:i4>147</vt:i4>
      </vt:variant>
      <vt:variant>
        <vt:i4>0</vt:i4>
      </vt:variant>
      <vt:variant>
        <vt:i4>5</vt:i4>
      </vt:variant>
      <vt:variant>
        <vt:lpwstr>https://www.slov-lex.sk/pravne-predpisy/SK/ZZ/2012/251/20170801</vt:lpwstr>
      </vt:variant>
      <vt:variant>
        <vt:lpwstr>paragraf-49.odsek-7.pismeno-b</vt:lpwstr>
      </vt:variant>
      <vt:variant>
        <vt:i4>3473523</vt:i4>
      </vt:variant>
      <vt:variant>
        <vt:i4>144</vt:i4>
      </vt:variant>
      <vt:variant>
        <vt:i4>0</vt:i4>
      </vt:variant>
      <vt:variant>
        <vt:i4>5</vt:i4>
      </vt:variant>
      <vt:variant>
        <vt:lpwstr>https://www.slov-lex.sk/pravne-predpisy/SK/ZZ/2012/251/20170801</vt:lpwstr>
      </vt:variant>
      <vt:variant>
        <vt:lpwstr>paragraf-49.odsek-7.pismeno-o</vt:lpwstr>
      </vt:variant>
      <vt:variant>
        <vt:i4>3473523</vt:i4>
      </vt:variant>
      <vt:variant>
        <vt:i4>141</vt:i4>
      </vt:variant>
      <vt:variant>
        <vt:i4>0</vt:i4>
      </vt:variant>
      <vt:variant>
        <vt:i4>5</vt:i4>
      </vt:variant>
      <vt:variant>
        <vt:lpwstr>https://www.slov-lex.sk/pravne-predpisy/SK/ZZ/2012/251/20170801</vt:lpwstr>
      </vt:variant>
      <vt:variant>
        <vt:lpwstr>paragraf-49.odsek-7.pismeno-d</vt:lpwstr>
      </vt:variant>
      <vt:variant>
        <vt:i4>3473523</vt:i4>
      </vt:variant>
      <vt:variant>
        <vt:i4>138</vt:i4>
      </vt:variant>
      <vt:variant>
        <vt:i4>0</vt:i4>
      </vt:variant>
      <vt:variant>
        <vt:i4>5</vt:i4>
      </vt:variant>
      <vt:variant>
        <vt:lpwstr>https://www.slov-lex.sk/pravne-predpisy/SK/ZZ/2012/251/20170801</vt:lpwstr>
      </vt:variant>
      <vt:variant>
        <vt:lpwstr>paragraf-49.odsek-7.pismeno-d</vt:lpwstr>
      </vt:variant>
      <vt:variant>
        <vt:i4>3473523</vt:i4>
      </vt:variant>
      <vt:variant>
        <vt:i4>135</vt:i4>
      </vt:variant>
      <vt:variant>
        <vt:i4>0</vt:i4>
      </vt:variant>
      <vt:variant>
        <vt:i4>5</vt:i4>
      </vt:variant>
      <vt:variant>
        <vt:lpwstr>https://www.slov-lex.sk/pravne-predpisy/SK/ZZ/2012/251/20170801</vt:lpwstr>
      </vt:variant>
      <vt:variant>
        <vt:lpwstr>paragraf-49.odsek-7.pismeno-b</vt:lpwstr>
      </vt:variant>
      <vt:variant>
        <vt:i4>3604604</vt:i4>
      </vt:variant>
      <vt:variant>
        <vt:i4>132</vt:i4>
      </vt:variant>
      <vt:variant>
        <vt:i4>0</vt:i4>
      </vt:variant>
      <vt:variant>
        <vt:i4>5</vt:i4>
      </vt:variant>
      <vt:variant>
        <vt:lpwstr>https://www.slov-lex.sk/pravne-predpisy/SK/ZZ/2012/251/20170801</vt:lpwstr>
      </vt:variant>
      <vt:variant>
        <vt:lpwstr>paragraf-67.odsek-6.pismeno-l</vt:lpwstr>
      </vt:variant>
      <vt:variant>
        <vt:i4>3604604</vt:i4>
      </vt:variant>
      <vt:variant>
        <vt:i4>129</vt:i4>
      </vt:variant>
      <vt:variant>
        <vt:i4>0</vt:i4>
      </vt:variant>
      <vt:variant>
        <vt:i4>5</vt:i4>
      </vt:variant>
      <vt:variant>
        <vt:lpwstr>https://www.slov-lex.sk/pravne-predpisy/SK/ZZ/2012/251/20170801</vt:lpwstr>
      </vt:variant>
      <vt:variant>
        <vt:lpwstr>paragraf-67.odsek-6.pismeno-l</vt:lpwstr>
      </vt:variant>
      <vt:variant>
        <vt:i4>3604604</vt:i4>
      </vt:variant>
      <vt:variant>
        <vt:i4>126</vt:i4>
      </vt:variant>
      <vt:variant>
        <vt:i4>0</vt:i4>
      </vt:variant>
      <vt:variant>
        <vt:i4>5</vt:i4>
      </vt:variant>
      <vt:variant>
        <vt:lpwstr>https://www.slov-lex.sk/pravne-predpisy/SK/ZZ/2012/251/20170801</vt:lpwstr>
      </vt:variant>
      <vt:variant>
        <vt:lpwstr>paragraf-67.odsek-6.pismeno-i</vt:lpwstr>
      </vt:variant>
      <vt:variant>
        <vt:i4>3604604</vt:i4>
      </vt:variant>
      <vt:variant>
        <vt:i4>123</vt:i4>
      </vt:variant>
      <vt:variant>
        <vt:i4>0</vt:i4>
      </vt:variant>
      <vt:variant>
        <vt:i4>5</vt:i4>
      </vt:variant>
      <vt:variant>
        <vt:lpwstr>https://www.slov-lex.sk/pravne-predpisy/SK/ZZ/2012/251/20170801</vt:lpwstr>
      </vt:variant>
      <vt:variant>
        <vt:lpwstr>paragraf-67.odsek-6.pismeno-h</vt:lpwstr>
      </vt:variant>
      <vt:variant>
        <vt:i4>3604604</vt:i4>
      </vt:variant>
      <vt:variant>
        <vt:i4>120</vt:i4>
      </vt:variant>
      <vt:variant>
        <vt:i4>0</vt:i4>
      </vt:variant>
      <vt:variant>
        <vt:i4>5</vt:i4>
      </vt:variant>
      <vt:variant>
        <vt:lpwstr>https://www.slov-lex.sk/pravne-predpisy/SK/ZZ/2012/251/20170801</vt:lpwstr>
      </vt:variant>
      <vt:variant>
        <vt:lpwstr>paragraf-67.odsek-6.pismeno-c</vt:lpwstr>
      </vt:variant>
      <vt:variant>
        <vt:i4>3604604</vt:i4>
      </vt:variant>
      <vt:variant>
        <vt:i4>117</vt:i4>
      </vt:variant>
      <vt:variant>
        <vt:i4>0</vt:i4>
      </vt:variant>
      <vt:variant>
        <vt:i4>5</vt:i4>
      </vt:variant>
      <vt:variant>
        <vt:lpwstr>https://www.slov-lex.sk/pravne-predpisy/SK/ZZ/2012/251/20170801</vt:lpwstr>
      </vt:variant>
      <vt:variant>
        <vt:lpwstr>paragraf-67.odsek-6.pismeno-l</vt:lpwstr>
      </vt:variant>
      <vt:variant>
        <vt:i4>3604604</vt:i4>
      </vt:variant>
      <vt:variant>
        <vt:i4>114</vt:i4>
      </vt:variant>
      <vt:variant>
        <vt:i4>0</vt:i4>
      </vt:variant>
      <vt:variant>
        <vt:i4>5</vt:i4>
      </vt:variant>
      <vt:variant>
        <vt:lpwstr>https://www.slov-lex.sk/pravne-predpisy/SK/ZZ/2012/251/20170801</vt:lpwstr>
      </vt:variant>
      <vt:variant>
        <vt:lpwstr>paragraf-67.odsek-6.pismeno-l</vt:lpwstr>
      </vt:variant>
      <vt:variant>
        <vt:i4>3604604</vt:i4>
      </vt:variant>
      <vt:variant>
        <vt:i4>111</vt:i4>
      </vt:variant>
      <vt:variant>
        <vt:i4>0</vt:i4>
      </vt:variant>
      <vt:variant>
        <vt:i4>5</vt:i4>
      </vt:variant>
      <vt:variant>
        <vt:lpwstr>https://www.slov-lex.sk/pravne-predpisy/SK/ZZ/2012/251/20170801</vt:lpwstr>
      </vt:variant>
      <vt:variant>
        <vt:lpwstr>paragraf-67.odsek-6.pismeno-i</vt:lpwstr>
      </vt:variant>
      <vt:variant>
        <vt:i4>3604604</vt:i4>
      </vt:variant>
      <vt:variant>
        <vt:i4>108</vt:i4>
      </vt:variant>
      <vt:variant>
        <vt:i4>0</vt:i4>
      </vt:variant>
      <vt:variant>
        <vt:i4>5</vt:i4>
      </vt:variant>
      <vt:variant>
        <vt:lpwstr>https://www.slov-lex.sk/pravne-predpisy/SK/ZZ/2012/251/20170801</vt:lpwstr>
      </vt:variant>
      <vt:variant>
        <vt:lpwstr>paragraf-67.odsek-6.pismeno-h</vt:lpwstr>
      </vt:variant>
      <vt:variant>
        <vt:i4>3604604</vt:i4>
      </vt:variant>
      <vt:variant>
        <vt:i4>105</vt:i4>
      </vt:variant>
      <vt:variant>
        <vt:i4>0</vt:i4>
      </vt:variant>
      <vt:variant>
        <vt:i4>5</vt:i4>
      </vt:variant>
      <vt:variant>
        <vt:lpwstr>https://www.slov-lex.sk/pravne-predpisy/SK/ZZ/2012/251/20170801</vt:lpwstr>
      </vt:variant>
      <vt:variant>
        <vt:lpwstr>paragraf-67.odsek-6.pismeno-c</vt:lpwstr>
      </vt:variant>
      <vt:variant>
        <vt:i4>3604607</vt:i4>
      </vt:variant>
      <vt:variant>
        <vt:i4>102</vt:i4>
      </vt:variant>
      <vt:variant>
        <vt:i4>0</vt:i4>
      </vt:variant>
      <vt:variant>
        <vt:i4>5</vt:i4>
      </vt:variant>
      <vt:variant>
        <vt:lpwstr>https://www.slov-lex.sk/pravne-predpisy/SK/ZZ/2012/251/20170801</vt:lpwstr>
      </vt:variant>
      <vt:variant>
        <vt:lpwstr>paragraf-64.odsek-6.pismeno-l</vt:lpwstr>
      </vt:variant>
      <vt:variant>
        <vt:i4>3604607</vt:i4>
      </vt:variant>
      <vt:variant>
        <vt:i4>99</vt:i4>
      </vt:variant>
      <vt:variant>
        <vt:i4>0</vt:i4>
      </vt:variant>
      <vt:variant>
        <vt:i4>5</vt:i4>
      </vt:variant>
      <vt:variant>
        <vt:lpwstr>https://www.slov-lex.sk/pravne-predpisy/SK/ZZ/2012/251/20170801</vt:lpwstr>
      </vt:variant>
      <vt:variant>
        <vt:lpwstr>paragraf-64.odsek-6.pismeno-e</vt:lpwstr>
      </vt:variant>
      <vt:variant>
        <vt:i4>3604607</vt:i4>
      </vt:variant>
      <vt:variant>
        <vt:i4>96</vt:i4>
      </vt:variant>
      <vt:variant>
        <vt:i4>0</vt:i4>
      </vt:variant>
      <vt:variant>
        <vt:i4>5</vt:i4>
      </vt:variant>
      <vt:variant>
        <vt:lpwstr>https://www.slov-lex.sk/pravne-predpisy/SK/ZZ/2012/251/20170801</vt:lpwstr>
      </vt:variant>
      <vt:variant>
        <vt:lpwstr>paragraf-64.odsek-6.pismeno-l</vt:lpwstr>
      </vt:variant>
      <vt:variant>
        <vt:i4>3604607</vt:i4>
      </vt:variant>
      <vt:variant>
        <vt:i4>93</vt:i4>
      </vt:variant>
      <vt:variant>
        <vt:i4>0</vt:i4>
      </vt:variant>
      <vt:variant>
        <vt:i4>5</vt:i4>
      </vt:variant>
      <vt:variant>
        <vt:lpwstr>https://www.slov-lex.sk/pravne-predpisy/SK/ZZ/2012/251/20170801</vt:lpwstr>
      </vt:variant>
      <vt:variant>
        <vt:lpwstr>paragraf-64.odsek-6.pismeno-e</vt:lpwstr>
      </vt:variant>
      <vt:variant>
        <vt:i4>3473523</vt:i4>
      </vt:variant>
      <vt:variant>
        <vt:i4>90</vt:i4>
      </vt:variant>
      <vt:variant>
        <vt:i4>0</vt:i4>
      </vt:variant>
      <vt:variant>
        <vt:i4>5</vt:i4>
      </vt:variant>
      <vt:variant>
        <vt:lpwstr>https://www.slov-lex.sk/pravne-predpisy/SK/ZZ/2012/251/20170801</vt:lpwstr>
      </vt:variant>
      <vt:variant>
        <vt:lpwstr>paragraf-49.odsek-7.pismeno-k</vt:lpwstr>
      </vt:variant>
      <vt:variant>
        <vt:i4>3473523</vt:i4>
      </vt:variant>
      <vt:variant>
        <vt:i4>87</vt:i4>
      </vt:variant>
      <vt:variant>
        <vt:i4>0</vt:i4>
      </vt:variant>
      <vt:variant>
        <vt:i4>5</vt:i4>
      </vt:variant>
      <vt:variant>
        <vt:lpwstr>https://www.slov-lex.sk/pravne-predpisy/SK/ZZ/2012/251/20170801</vt:lpwstr>
      </vt:variant>
      <vt:variant>
        <vt:lpwstr>paragraf-49.odsek-7.pismeno-h</vt:lpwstr>
      </vt:variant>
      <vt:variant>
        <vt:i4>3473523</vt:i4>
      </vt:variant>
      <vt:variant>
        <vt:i4>84</vt:i4>
      </vt:variant>
      <vt:variant>
        <vt:i4>0</vt:i4>
      </vt:variant>
      <vt:variant>
        <vt:i4>5</vt:i4>
      </vt:variant>
      <vt:variant>
        <vt:lpwstr>https://www.slov-lex.sk/pravne-predpisy/SK/ZZ/2012/251/20170801</vt:lpwstr>
      </vt:variant>
      <vt:variant>
        <vt:lpwstr>paragraf-49.odsek-7.pismeno-c</vt:lpwstr>
      </vt:variant>
      <vt:variant>
        <vt:i4>3473523</vt:i4>
      </vt:variant>
      <vt:variant>
        <vt:i4>81</vt:i4>
      </vt:variant>
      <vt:variant>
        <vt:i4>0</vt:i4>
      </vt:variant>
      <vt:variant>
        <vt:i4>5</vt:i4>
      </vt:variant>
      <vt:variant>
        <vt:lpwstr>https://www.slov-lex.sk/pravne-predpisy/SK/ZZ/2012/251/20170801</vt:lpwstr>
      </vt:variant>
      <vt:variant>
        <vt:lpwstr>paragraf-49.odsek-7.pismeno-a</vt:lpwstr>
      </vt:variant>
      <vt:variant>
        <vt:i4>3473523</vt:i4>
      </vt:variant>
      <vt:variant>
        <vt:i4>78</vt:i4>
      </vt:variant>
      <vt:variant>
        <vt:i4>0</vt:i4>
      </vt:variant>
      <vt:variant>
        <vt:i4>5</vt:i4>
      </vt:variant>
      <vt:variant>
        <vt:lpwstr>https://www.slov-lex.sk/pravne-predpisy/SK/ZZ/2012/251/20170801</vt:lpwstr>
      </vt:variant>
      <vt:variant>
        <vt:lpwstr>paragraf-49.odsek-7.pismeno-k</vt:lpwstr>
      </vt:variant>
      <vt:variant>
        <vt:i4>3473523</vt:i4>
      </vt:variant>
      <vt:variant>
        <vt:i4>75</vt:i4>
      </vt:variant>
      <vt:variant>
        <vt:i4>0</vt:i4>
      </vt:variant>
      <vt:variant>
        <vt:i4>5</vt:i4>
      </vt:variant>
      <vt:variant>
        <vt:lpwstr>https://www.slov-lex.sk/pravne-predpisy/SK/ZZ/2012/251/20170801</vt:lpwstr>
      </vt:variant>
      <vt:variant>
        <vt:lpwstr>paragraf-49.odsek-7.pismeno-h</vt:lpwstr>
      </vt:variant>
      <vt:variant>
        <vt:i4>3473523</vt:i4>
      </vt:variant>
      <vt:variant>
        <vt:i4>72</vt:i4>
      </vt:variant>
      <vt:variant>
        <vt:i4>0</vt:i4>
      </vt:variant>
      <vt:variant>
        <vt:i4>5</vt:i4>
      </vt:variant>
      <vt:variant>
        <vt:lpwstr>https://www.slov-lex.sk/pravne-predpisy/SK/ZZ/2012/251/20170801</vt:lpwstr>
      </vt:variant>
      <vt:variant>
        <vt:lpwstr>paragraf-49.odsek-7.pismeno-c</vt:lpwstr>
      </vt:variant>
      <vt:variant>
        <vt:i4>3473523</vt:i4>
      </vt:variant>
      <vt:variant>
        <vt:i4>69</vt:i4>
      </vt:variant>
      <vt:variant>
        <vt:i4>0</vt:i4>
      </vt:variant>
      <vt:variant>
        <vt:i4>5</vt:i4>
      </vt:variant>
      <vt:variant>
        <vt:lpwstr>https://www.slov-lex.sk/pravne-predpisy/SK/ZZ/2012/251/20170801</vt:lpwstr>
      </vt:variant>
      <vt:variant>
        <vt:lpwstr>paragraf-49.odsek-7.pismeno-a</vt:lpwstr>
      </vt:variant>
      <vt:variant>
        <vt:i4>3604604</vt:i4>
      </vt:variant>
      <vt:variant>
        <vt:i4>66</vt:i4>
      </vt:variant>
      <vt:variant>
        <vt:i4>0</vt:i4>
      </vt:variant>
      <vt:variant>
        <vt:i4>5</vt:i4>
      </vt:variant>
      <vt:variant>
        <vt:lpwstr>https://www.slov-lex.sk/pravne-predpisy/SK/ZZ/2012/251/20170801</vt:lpwstr>
      </vt:variant>
      <vt:variant>
        <vt:lpwstr>paragraf-67.odsek-6.pismeno-m</vt:lpwstr>
      </vt:variant>
      <vt:variant>
        <vt:i4>3604604</vt:i4>
      </vt:variant>
      <vt:variant>
        <vt:i4>63</vt:i4>
      </vt:variant>
      <vt:variant>
        <vt:i4>0</vt:i4>
      </vt:variant>
      <vt:variant>
        <vt:i4>5</vt:i4>
      </vt:variant>
      <vt:variant>
        <vt:lpwstr>https://www.slov-lex.sk/pravne-predpisy/SK/ZZ/2012/251/20170801</vt:lpwstr>
      </vt:variant>
      <vt:variant>
        <vt:lpwstr>paragraf-67.odsek-6.pismeno-j</vt:lpwstr>
      </vt:variant>
      <vt:variant>
        <vt:i4>3604604</vt:i4>
      </vt:variant>
      <vt:variant>
        <vt:i4>60</vt:i4>
      </vt:variant>
      <vt:variant>
        <vt:i4>0</vt:i4>
      </vt:variant>
      <vt:variant>
        <vt:i4>5</vt:i4>
      </vt:variant>
      <vt:variant>
        <vt:lpwstr>https://www.slov-lex.sk/pravne-predpisy/SK/ZZ/2012/251/20170801</vt:lpwstr>
      </vt:variant>
      <vt:variant>
        <vt:lpwstr>paragraf-67.odsek-6.pismeno-g</vt:lpwstr>
      </vt:variant>
      <vt:variant>
        <vt:i4>3604604</vt:i4>
      </vt:variant>
      <vt:variant>
        <vt:i4>57</vt:i4>
      </vt:variant>
      <vt:variant>
        <vt:i4>0</vt:i4>
      </vt:variant>
      <vt:variant>
        <vt:i4>5</vt:i4>
      </vt:variant>
      <vt:variant>
        <vt:lpwstr>https://www.slov-lex.sk/pravne-predpisy/SK/ZZ/2012/251/20170801</vt:lpwstr>
      </vt:variant>
      <vt:variant>
        <vt:lpwstr>paragraf-67.odsek-6.pismeno-a</vt:lpwstr>
      </vt:variant>
      <vt:variant>
        <vt:i4>3604604</vt:i4>
      </vt:variant>
      <vt:variant>
        <vt:i4>54</vt:i4>
      </vt:variant>
      <vt:variant>
        <vt:i4>0</vt:i4>
      </vt:variant>
      <vt:variant>
        <vt:i4>5</vt:i4>
      </vt:variant>
      <vt:variant>
        <vt:lpwstr>https://www.slov-lex.sk/pravne-predpisy/SK/ZZ/2012/251/20170801</vt:lpwstr>
      </vt:variant>
      <vt:variant>
        <vt:lpwstr>paragraf-67.odsek-6.pismeno-m</vt:lpwstr>
      </vt:variant>
      <vt:variant>
        <vt:i4>3604604</vt:i4>
      </vt:variant>
      <vt:variant>
        <vt:i4>51</vt:i4>
      </vt:variant>
      <vt:variant>
        <vt:i4>0</vt:i4>
      </vt:variant>
      <vt:variant>
        <vt:i4>5</vt:i4>
      </vt:variant>
      <vt:variant>
        <vt:lpwstr>https://www.slov-lex.sk/pravne-predpisy/SK/ZZ/2012/251/20170801</vt:lpwstr>
      </vt:variant>
      <vt:variant>
        <vt:lpwstr>paragraf-67.odsek-6.pismeno-j</vt:lpwstr>
      </vt:variant>
      <vt:variant>
        <vt:i4>3604604</vt:i4>
      </vt:variant>
      <vt:variant>
        <vt:i4>48</vt:i4>
      </vt:variant>
      <vt:variant>
        <vt:i4>0</vt:i4>
      </vt:variant>
      <vt:variant>
        <vt:i4>5</vt:i4>
      </vt:variant>
      <vt:variant>
        <vt:lpwstr>https://www.slov-lex.sk/pravne-predpisy/SK/ZZ/2012/251/20170801</vt:lpwstr>
      </vt:variant>
      <vt:variant>
        <vt:lpwstr>paragraf-67.odsek-6.pismeno-g</vt:lpwstr>
      </vt:variant>
      <vt:variant>
        <vt:i4>3604604</vt:i4>
      </vt:variant>
      <vt:variant>
        <vt:i4>45</vt:i4>
      </vt:variant>
      <vt:variant>
        <vt:i4>0</vt:i4>
      </vt:variant>
      <vt:variant>
        <vt:i4>5</vt:i4>
      </vt:variant>
      <vt:variant>
        <vt:lpwstr>https://www.slov-lex.sk/pravne-predpisy/SK/ZZ/2012/251/20170801</vt:lpwstr>
      </vt:variant>
      <vt:variant>
        <vt:lpwstr>paragraf-67.odsek-6.pismeno-a</vt:lpwstr>
      </vt:variant>
      <vt:variant>
        <vt:i4>3604607</vt:i4>
      </vt:variant>
      <vt:variant>
        <vt:i4>42</vt:i4>
      </vt:variant>
      <vt:variant>
        <vt:i4>0</vt:i4>
      </vt:variant>
      <vt:variant>
        <vt:i4>5</vt:i4>
      </vt:variant>
      <vt:variant>
        <vt:lpwstr>https://www.slov-lex.sk/pravne-predpisy/SK/ZZ/2012/251/20170801</vt:lpwstr>
      </vt:variant>
      <vt:variant>
        <vt:lpwstr>paragraf-64.odsek-6.pismeno-n</vt:lpwstr>
      </vt:variant>
      <vt:variant>
        <vt:i4>3604607</vt:i4>
      </vt:variant>
      <vt:variant>
        <vt:i4>39</vt:i4>
      </vt:variant>
      <vt:variant>
        <vt:i4>0</vt:i4>
      </vt:variant>
      <vt:variant>
        <vt:i4>5</vt:i4>
      </vt:variant>
      <vt:variant>
        <vt:lpwstr>https://www.slov-lex.sk/pravne-predpisy/SK/ZZ/2012/251/20170801</vt:lpwstr>
      </vt:variant>
      <vt:variant>
        <vt:lpwstr>paragraf-64.odsek-6.pismeno-i</vt:lpwstr>
      </vt:variant>
      <vt:variant>
        <vt:i4>3604607</vt:i4>
      </vt:variant>
      <vt:variant>
        <vt:i4>36</vt:i4>
      </vt:variant>
      <vt:variant>
        <vt:i4>0</vt:i4>
      </vt:variant>
      <vt:variant>
        <vt:i4>5</vt:i4>
      </vt:variant>
      <vt:variant>
        <vt:lpwstr>https://www.slov-lex.sk/pravne-predpisy/SK/ZZ/2012/251/20170801</vt:lpwstr>
      </vt:variant>
      <vt:variant>
        <vt:lpwstr>paragraf-64.odsek-6.pismeno-a</vt:lpwstr>
      </vt:variant>
      <vt:variant>
        <vt:i4>3604607</vt:i4>
      </vt:variant>
      <vt:variant>
        <vt:i4>33</vt:i4>
      </vt:variant>
      <vt:variant>
        <vt:i4>0</vt:i4>
      </vt:variant>
      <vt:variant>
        <vt:i4>5</vt:i4>
      </vt:variant>
      <vt:variant>
        <vt:lpwstr>https://www.slov-lex.sk/pravne-predpisy/SK/ZZ/2012/251/20170801</vt:lpwstr>
      </vt:variant>
      <vt:variant>
        <vt:lpwstr>paragraf-64.odsek-6.pismeno-n</vt:lpwstr>
      </vt:variant>
      <vt:variant>
        <vt:i4>3604607</vt:i4>
      </vt:variant>
      <vt:variant>
        <vt:i4>30</vt:i4>
      </vt:variant>
      <vt:variant>
        <vt:i4>0</vt:i4>
      </vt:variant>
      <vt:variant>
        <vt:i4>5</vt:i4>
      </vt:variant>
      <vt:variant>
        <vt:lpwstr>https://www.slov-lex.sk/pravne-predpisy/SK/ZZ/2012/251/20170801</vt:lpwstr>
      </vt:variant>
      <vt:variant>
        <vt:lpwstr>paragraf-64.odsek-6.pismeno-i</vt:lpwstr>
      </vt:variant>
      <vt:variant>
        <vt:i4>3604607</vt:i4>
      </vt:variant>
      <vt:variant>
        <vt:i4>27</vt:i4>
      </vt:variant>
      <vt:variant>
        <vt:i4>0</vt:i4>
      </vt:variant>
      <vt:variant>
        <vt:i4>5</vt:i4>
      </vt:variant>
      <vt:variant>
        <vt:lpwstr>https://www.slov-lex.sk/pravne-predpisy/SK/ZZ/2012/251/20170801</vt:lpwstr>
      </vt:variant>
      <vt:variant>
        <vt:lpwstr>paragraf-64.odsek-6.pismeno-a</vt:lpwstr>
      </vt:variant>
      <vt:variant>
        <vt:i4>3473523</vt:i4>
      </vt:variant>
      <vt:variant>
        <vt:i4>24</vt:i4>
      </vt:variant>
      <vt:variant>
        <vt:i4>0</vt:i4>
      </vt:variant>
      <vt:variant>
        <vt:i4>5</vt:i4>
      </vt:variant>
      <vt:variant>
        <vt:lpwstr>https://www.slov-lex.sk/pravne-predpisy/SK/ZZ/2012/251/20170801</vt:lpwstr>
      </vt:variant>
      <vt:variant>
        <vt:lpwstr>paragraf-49.odsek-7.pismeno-o</vt:lpwstr>
      </vt:variant>
      <vt:variant>
        <vt:i4>3473523</vt:i4>
      </vt:variant>
      <vt:variant>
        <vt:i4>21</vt:i4>
      </vt:variant>
      <vt:variant>
        <vt:i4>0</vt:i4>
      </vt:variant>
      <vt:variant>
        <vt:i4>5</vt:i4>
      </vt:variant>
      <vt:variant>
        <vt:lpwstr>https://www.slov-lex.sk/pravne-predpisy/SK/ZZ/2012/251/20170801</vt:lpwstr>
      </vt:variant>
      <vt:variant>
        <vt:lpwstr>paragraf-49.odsek-7.pismeno-f</vt:lpwstr>
      </vt:variant>
      <vt:variant>
        <vt:i4>3473523</vt:i4>
      </vt:variant>
      <vt:variant>
        <vt:i4>18</vt:i4>
      </vt:variant>
      <vt:variant>
        <vt:i4>0</vt:i4>
      </vt:variant>
      <vt:variant>
        <vt:i4>5</vt:i4>
      </vt:variant>
      <vt:variant>
        <vt:lpwstr>https://www.slov-lex.sk/pravne-predpisy/SK/ZZ/2012/251/20170801</vt:lpwstr>
      </vt:variant>
      <vt:variant>
        <vt:lpwstr>paragraf-49.odsek-7.pismeno-d</vt:lpwstr>
      </vt:variant>
      <vt:variant>
        <vt:i4>3473523</vt:i4>
      </vt:variant>
      <vt:variant>
        <vt:i4>15</vt:i4>
      </vt:variant>
      <vt:variant>
        <vt:i4>0</vt:i4>
      </vt:variant>
      <vt:variant>
        <vt:i4>5</vt:i4>
      </vt:variant>
      <vt:variant>
        <vt:lpwstr>https://www.slov-lex.sk/pravne-predpisy/SK/ZZ/2012/251/20170801</vt:lpwstr>
      </vt:variant>
      <vt:variant>
        <vt:lpwstr>paragraf-49.odsek-7.pismeno-b</vt:lpwstr>
      </vt:variant>
      <vt:variant>
        <vt:i4>3473523</vt:i4>
      </vt:variant>
      <vt:variant>
        <vt:i4>12</vt:i4>
      </vt:variant>
      <vt:variant>
        <vt:i4>0</vt:i4>
      </vt:variant>
      <vt:variant>
        <vt:i4>5</vt:i4>
      </vt:variant>
      <vt:variant>
        <vt:lpwstr>https://www.slov-lex.sk/pravne-predpisy/SK/ZZ/2012/251/20170801</vt:lpwstr>
      </vt:variant>
      <vt:variant>
        <vt:lpwstr>paragraf-49.odsek-7.pismeno-o</vt:lpwstr>
      </vt:variant>
      <vt:variant>
        <vt:i4>3473523</vt:i4>
      </vt:variant>
      <vt:variant>
        <vt:i4>9</vt:i4>
      </vt:variant>
      <vt:variant>
        <vt:i4>0</vt:i4>
      </vt:variant>
      <vt:variant>
        <vt:i4>5</vt:i4>
      </vt:variant>
      <vt:variant>
        <vt:lpwstr>https://www.slov-lex.sk/pravne-predpisy/SK/ZZ/2012/251/20170801</vt:lpwstr>
      </vt:variant>
      <vt:variant>
        <vt:lpwstr>paragraf-49.odsek-7.pismeno-f</vt:lpwstr>
      </vt:variant>
      <vt:variant>
        <vt:i4>3473523</vt:i4>
      </vt:variant>
      <vt:variant>
        <vt:i4>6</vt:i4>
      </vt:variant>
      <vt:variant>
        <vt:i4>0</vt:i4>
      </vt:variant>
      <vt:variant>
        <vt:i4>5</vt:i4>
      </vt:variant>
      <vt:variant>
        <vt:lpwstr>https://www.slov-lex.sk/pravne-predpisy/SK/ZZ/2012/251/20170801</vt:lpwstr>
      </vt:variant>
      <vt:variant>
        <vt:lpwstr>paragraf-49.odsek-7.pismeno-d</vt:lpwstr>
      </vt:variant>
      <vt:variant>
        <vt:i4>3473523</vt:i4>
      </vt:variant>
      <vt:variant>
        <vt:i4>3</vt:i4>
      </vt:variant>
      <vt:variant>
        <vt:i4>0</vt:i4>
      </vt:variant>
      <vt:variant>
        <vt:i4>5</vt:i4>
      </vt:variant>
      <vt:variant>
        <vt:lpwstr>https://www.slov-lex.sk/pravne-predpisy/SK/ZZ/2012/251/20170801</vt:lpwstr>
      </vt:variant>
      <vt:variant>
        <vt:lpwstr>paragraf-49.odsek-7.pismeno-b</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cp:revision>4</cp:revision>
  <cp:lastPrinted>2019-02-11T12:17:00Z</cp:lastPrinted>
  <dcterms:created xsi:type="dcterms:W3CDTF">2019-05-15T08:40:00Z</dcterms:created>
  <dcterms:modified xsi:type="dcterms:W3CDTF">2019-05-21T06:54:00Z</dcterms:modified>
</cp:coreProperties>
</file>