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76" w:type="dxa"/>
        <w:tblInd w:w="58" w:type="dxa"/>
        <w:tblCellMar>
          <w:left w:w="70" w:type="dxa"/>
          <w:right w:w="70" w:type="dxa"/>
        </w:tblCellMar>
        <w:tblLook w:val="00A0" w:firstRow="1" w:lastRow="0" w:firstColumn="1" w:lastColumn="0" w:noHBand="0" w:noVBand="0"/>
      </w:tblPr>
      <w:tblGrid>
        <w:gridCol w:w="295"/>
        <w:gridCol w:w="354"/>
        <w:gridCol w:w="307"/>
        <w:gridCol w:w="309"/>
        <w:gridCol w:w="307"/>
        <w:gridCol w:w="306"/>
        <w:gridCol w:w="311"/>
        <w:gridCol w:w="307"/>
        <w:gridCol w:w="310"/>
        <w:gridCol w:w="383"/>
        <w:gridCol w:w="306"/>
        <w:gridCol w:w="317"/>
        <w:gridCol w:w="301"/>
        <w:gridCol w:w="306"/>
        <w:gridCol w:w="277"/>
        <w:gridCol w:w="66"/>
        <w:gridCol w:w="353"/>
        <w:gridCol w:w="305"/>
        <w:gridCol w:w="404"/>
        <w:gridCol w:w="354"/>
        <w:gridCol w:w="355"/>
        <w:gridCol w:w="425"/>
        <w:gridCol w:w="377"/>
        <w:gridCol w:w="305"/>
        <w:gridCol w:w="90"/>
        <w:gridCol w:w="215"/>
        <w:gridCol w:w="9"/>
        <w:gridCol w:w="358"/>
        <w:gridCol w:w="9"/>
        <w:gridCol w:w="305"/>
        <w:gridCol w:w="458"/>
        <w:gridCol w:w="426"/>
        <w:gridCol w:w="305"/>
        <w:gridCol w:w="446"/>
        <w:gridCol w:w="607"/>
        <w:gridCol w:w="241"/>
        <w:gridCol w:w="24"/>
        <w:gridCol w:w="157"/>
        <w:gridCol w:w="24"/>
        <w:gridCol w:w="57"/>
        <w:gridCol w:w="32"/>
        <w:gridCol w:w="104"/>
        <w:gridCol w:w="24"/>
        <w:gridCol w:w="77"/>
        <w:gridCol w:w="144"/>
        <w:gridCol w:w="24"/>
      </w:tblGrid>
      <w:tr w:rsidR="00267677" w:rsidRPr="00267677" w:rsidTr="00F33619">
        <w:trPr>
          <w:gridAfter w:val="3"/>
          <w:wAfter w:w="245" w:type="dxa"/>
          <w:trHeight w:val="126"/>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p w:rsidR="00267677" w:rsidRPr="0029558A" w:rsidRDefault="00267677" w:rsidP="00A31136">
            <w:pPr>
              <w:contextualSpacing/>
              <w:rPr>
                <w:rFonts w:ascii="Times New Roman" w:hAnsi="Times New Roman"/>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9"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1"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vAlign w:val="bottom"/>
          </w:tcPr>
          <w:p w:rsidR="00267677" w:rsidRPr="0029558A" w:rsidRDefault="00267677" w:rsidP="00A31136">
            <w:pPr>
              <w:contextualSpacing/>
              <w:rPr>
                <w:rFonts w:ascii="Times New Roman" w:hAnsi="Times New Roman"/>
              </w:rPr>
            </w:pPr>
          </w:p>
        </w:tc>
        <w:tc>
          <w:tcPr>
            <w:tcW w:w="310" w:type="dxa"/>
            <w:tcBorders>
              <w:top w:val="nil"/>
              <w:left w:val="nil"/>
              <w:bottom w:val="nil"/>
              <w:right w:val="nil"/>
            </w:tcBorders>
            <w:vAlign w:val="bottom"/>
          </w:tcPr>
          <w:p w:rsidR="00267677" w:rsidRPr="0029558A" w:rsidRDefault="00267677" w:rsidP="00A31136">
            <w:pPr>
              <w:contextualSpacing/>
              <w:rPr>
                <w:rFonts w:ascii="Times New Roman" w:hAnsi="Times New Roman"/>
              </w:rPr>
            </w:pPr>
          </w:p>
        </w:tc>
        <w:tc>
          <w:tcPr>
            <w:tcW w:w="383" w:type="dxa"/>
            <w:tcBorders>
              <w:top w:val="nil"/>
              <w:left w:val="nil"/>
              <w:bottom w:val="nil"/>
              <w:right w:val="nil"/>
            </w:tcBorders>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vAlign w:val="bottom"/>
          </w:tcPr>
          <w:p w:rsidR="00267677" w:rsidRPr="0029558A" w:rsidRDefault="00267677" w:rsidP="00A31136">
            <w:pPr>
              <w:contextualSpacing/>
              <w:rPr>
                <w:rFonts w:ascii="Times New Roman" w:hAnsi="Times New Roman"/>
              </w:rPr>
            </w:pPr>
          </w:p>
        </w:tc>
        <w:tc>
          <w:tcPr>
            <w:tcW w:w="317" w:type="dxa"/>
            <w:tcBorders>
              <w:top w:val="nil"/>
              <w:left w:val="nil"/>
              <w:bottom w:val="nil"/>
              <w:right w:val="nil"/>
            </w:tcBorders>
            <w:vAlign w:val="bottom"/>
          </w:tcPr>
          <w:p w:rsidR="00267677" w:rsidRPr="0029558A" w:rsidRDefault="00267677" w:rsidP="00A31136">
            <w:pPr>
              <w:contextualSpacing/>
              <w:rPr>
                <w:rFonts w:ascii="Times New Roman" w:hAnsi="Times New Roman"/>
              </w:rPr>
            </w:pPr>
          </w:p>
        </w:tc>
        <w:tc>
          <w:tcPr>
            <w:tcW w:w="301" w:type="dxa"/>
            <w:tcBorders>
              <w:top w:val="nil"/>
              <w:left w:val="nil"/>
              <w:bottom w:val="nil"/>
              <w:right w:val="nil"/>
            </w:tcBorders>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vAlign w:val="bottom"/>
          </w:tcPr>
          <w:p w:rsidR="00267677" w:rsidRPr="0029558A" w:rsidRDefault="00267677" w:rsidP="00A31136">
            <w:pPr>
              <w:contextualSpacing/>
              <w:rPr>
                <w:rFonts w:ascii="Times New Roman" w:hAnsi="Times New Roman"/>
              </w:rPr>
            </w:pPr>
          </w:p>
        </w:tc>
        <w:tc>
          <w:tcPr>
            <w:tcW w:w="343" w:type="dxa"/>
            <w:gridSpan w:val="2"/>
            <w:tcBorders>
              <w:top w:val="nil"/>
              <w:left w:val="nil"/>
              <w:bottom w:val="nil"/>
              <w:right w:val="nil"/>
            </w:tcBorders>
            <w:vAlign w:val="bottom"/>
          </w:tcPr>
          <w:p w:rsidR="00267677" w:rsidRPr="0029558A" w:rsidRDefault="00267677" w:rsidP="00A31136">
            <w:pPr>
              <w:contextualSpacing/>
              <w:rPr>
                <w:rFonts w:ascii="Times New Roman" w:hAnsi="Times New Roman"/>
              </w:rPr>
            </w:pPr>
          </w:p>
        </w:tc>
        <w:tc>
          <w:tcPr>
            <w:tcW w:w="353" w:type="dxa"/>
            <w:tcBorders>
              <w:top w:val="nil"/>
              <w:left w:val="nil"/>
              <w:bottom w:val="nil"/>
              <w:right w:val="nil"/>
            </w:tcBorders>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vAlign w:val="bottom"/>
          </w:tcPr>
          <w:p w:rsidR="00267677" w:rsidRPr="0029558A" w:rsidRDefault="00267677" w:rsidP="00A31136">
            <w:pPr>
              <w:contextualSpacing/>
              <w:rPr>
                <w:rFonts w:ascii="Times New Roman" w:hAnsi="Times New Roman"/>
              </w:rPr>
            </w:pPr>
          </w:p>
        </w:tc>
        <w:tc>
          <w:tcPr>
            <w:tcW w:w="404" w:type="dxa"/>
            <w:tcBorders>
              <w:top w:val="nil"/>
              <w:left w:val="nil"/>
              <w:bottom w:val="nil"/>
              <w:right w:val="nil"/>
            </w:tcBorders>
            <w:vAlign w:val="bottom"/>
          </w:tcPr>
          <w:p w:rsidR="00267677" w:rsidRPr="0029558A" w:rsidRDefault="00267677" w:rsidP="00A31136">
            <w:pPr>
              <w:contextualSpacing/>
              <w:rPr>
                <w:rFonts w:ascii="Times New Roman" w:hAnsi="Times New Roman"/>
              </w:rPr>
            </w:pPr>
          </w:p>
        </w:tc>
        <w:tc>
          <w:tcPr>
            <w:tcW w:w="3991" w:type="dxa"/>
            <w:gridSpan w:val="14"/>
            <w:tcBorders>
              <w:top w:val="single" w:sz="4" w:space="0" w:color="auto"/>
              <w:left w:val="single" w:sz="4" w:space="0" w:color="auto"/>
              <w:bottom w:val="single" w:sz="4" w:space="0" w:color="auto"/>
              <w:right w:val="single" w:sz="4" w:space="0" w:color="000000"/>
            </w:tcBorders>
            <w:noWrap/>
            <w:vAlign w:val="bottom"/>
          </w:tcPr>
          <w:p w:rsidR="00267677" w:rsidRPr="0029558A" w:rsidRDefault="0029558A" w:rsidP="00A31136">
            <w:pPr>
              <w:contextualSpacing/>
              <w:rPr>
                <w:rFonts w:ascii="Times New Roman" w:hAnsi="Times New Roman"/>
                <w:b/>
              </w:rPr>
            </w:pPr>
            <w:r w:rsidRPr="0029558A">
              <w:rPr>
                <w:rFonts w:ascii="Times New Roman" w:hAnsi="Times New Roman"/>
                <w:b/>
              </w:rPr>
              <w:t xml:space="preserve">      </w:t>
            </w:r>
            <w:r>
              <w:rPr>
                <w:rFonts w:ascii="Times New Roman" w:hAnsi="Times New Roman"/>
                <w:b/>
              </w:rPr>
              <w:t xml:space="preserve">   </w:t>
            </w:r>
            <w:r w:rsidR="00267677" w:rsidRPr="0029558A">
              <w:rPr>
                <w:rFonts w:ascii="Times New Roman" w:hAnsi="Times New Roman"/>
                <w:b/>
              </w:rPr>
              <w:t xml:space="preserve"> Poznámky </w:t>
            </w:r>
            <w:proofErr w:type="spellStart"/>
            <w:r w:rsidR="00267677" w:rsidRPr="0029558A">
              <w:rPr>
                <w:rFonts w:ascii="Times New Roman" w:hAnsi="Times New Roman"/>
                <w:b/>
              </w:rPr>
              <w:t>Úč</w:t>
            </w:r>
            <w:proofErr w:type="spellEnd"/>
            <w:r w:rsidR="00267677" w:rsidRPr="0029558A">
              <w:rPr>
                <w:rFonts w:ascii="Times New Roman" w:hAnsi="Times New Roman"/>
                <w:b/>
              </w:rPr>
              <w:t xml:space="preserve">  SP 1 - 01</w:t>
            </w:r>
          </w:p>
        </w:tc>
        <w:tc>
          <w:tcPr>
            <w:tcW w:w="44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872" w:type="dxa"/>
            <w:gridSpan w:val="3"/>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181"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21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F33619" w:rsidRPr="00267677" w:rsidTr="00F33619">
        <w:trPr>
          <w:gridAfter w:val="4"/>
          <w:wAfter w:w="269" w:type="dxa"/>
          <w:trHeight w:val="162"/>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9"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1"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0"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83"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2329" w:type="dxa"/>
            <w:gridSpan w:val="8"/>
            <w:vMerge w:val="restart"/>
            <w:tcBorders>
              <w:top w:val="nil"/>
              <w:left w:val="nil"/>
              <w:bottom w:val="nil"/>
              <w:right w:val="nil"/>
            </w:tcBorders>
            <w:vAlign w:val="center"/>
          </w:tcPr>
          <w:p w:rsidR="00267677" w:rsidRPr="0029558A" w:rsidRDefault="00267677" w:rsidP="00A31136">
            <w:pPr>
              <w:contextualSpacing/>
              <w:rPr>
                <w:rFonts w:ascii="Times New Roman" w:hAnsi="Times New Roman"/>
                <w:b/>
                <w:bCs/>
              </w:rPr>
            </w:pPr>
            <w:r w:rsidRPr="0029558A">
              <w:rPr>
                <w:rFonts w:ascii="Times New Roman" w:hAnsi="Times New Roman"/>
                <w:b/>
                <w:bCs/>
              </w:rPr>
              <w:t xml:space="preserve">     Poznámky</w:t>
            </w: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2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7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67"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4"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58"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2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4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848"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181"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21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F33619" w:rsidRPr="00267677" w:rsidTr="00F33619">
        <w:trPr>
          <w:gridAfter w:val="4"/>
          <w:wAfter w:w="269" w:type="dxa"/>
          <w:trHeight w:val="162"/>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9"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1"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0"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83"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2329" w:type="dxa"/>
            <w:gridSpan w:val="8"/>
            <w:vMerge/>
            <w:tcBorders>
              <w:top w:val="nil"/>
              <w:left w:val="nil"/>
              <w:bottom w:val="nil"/>
              <w:right w:val="nil"/>
            </w:tcBorders>
            <w:vAlign w:val="center"/>
          </w:tcPr>
          <w:p w:rsidR="00267677" w:rsidRPr="0029558A" w:rsidRDefault="00267677" w:rsidP="00A31136">
            <w:pPr>
              <w:contextualSpacing/>
              <w:rPr>
                <w:rFonts w:ascii="Times New Roman" w:hAnsi="Times New Roman"/>
                <w:b/>
                <w:bCs/>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2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7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67"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4"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58"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2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4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848"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181"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21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F33619" w:rsidRPr="00267677" w:rsidTr="00F33619">
        <w:trPr>
          <w:gridAfter w:val="4"/>
          <w:wAfter w:w="269" w:type="dxa"/>
          <w:trHeight w:val="162"/>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9"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1"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bCs/>
              </w:rPr>
            </w:pPr>
          </w:p>
        </w:tc>
        <w:tc>
          <w:tcPr>
            <w:tcW w:w="310"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bCs/>
              </w:rPr>
            </w:pPr>
          </w:p>
        </w:tc>
        <w:tc>
          <w:tcPr>
            <w:tcW w:w="383"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bCs/>
              </w:rPr>
            </w:pPr>
          </w:p>
        </w:tc>
        <w:tc>
          <w:tcPr>
            <w:tcW w:w="2989" w:type="dxa"/>
            <w:gridSpan w:val="10"/>
            <w:tcBorders>
              <w:top w:val="nil"/>
              <w:left w:val="nil"/>
              <w:bottom w:val="nil"/>
              <w:right w:val="nil"/>
            </w:tcBorders>
            <w:vAlign w:val="bottom"/>
          </w:tcPr>
          <w:p w:rsidR="00267677" w:rsidRPr="0029558A" w:rsidRDefault="00267677" w:rsidP="007701DE">
            <w:pPr>
              <w:contextualSpacing/>
              <w:rPr>
                <w:rFonts w:ascii="Times New Roman" w:hAnsi="Times New Roman"/>
              </w:rPr>
            </w:pPr>
            <w:r w:rsidRPr="0029558A">
              <w:rPr>
                <w:rFonts w:ascii="Times New Roman" w:hAnsi="Times New Roman"/>
              </w:rPr>
              <w:t xml:space="preserve">     </w:t>
            </w:r>
            <w:r w:rsidR="007701DE">
              <w:rPr>
                <w:rFonts w:ascii="Times New Roman" w:hAnsi="Times New Roman"/>
              </w:rPr>
              <w:t xml:space="preserve"> </w:t>
            </w:r>
            <w:r w:rsidR="007701DE">
              <w:t xml:space="preserve"> </w:t>
            </w:r>
            <w:r w:rsidRPr="0029558A">
              <w:rPr>
                <w:rFonts w:ascii="Times New Roman" w:hAnsi="Times New Roman"/>
              </w:rPr>
              <w:t>k 31.12.</w:t>
            </w:r>
            <w:r w:rsidR="002A0F75">
              <w:rPr>
                <w:rFonts w:ascii="Times New Roman" w:hAnsi="Times New Roman"/>
              </w:rPr>
              <w:t>2018</w:t>
            </w:r>
          </w:p>
        </w:tc>
        <w:tc>
          <w:tcPr>
            <w:tcW w:w="35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bCs/>
              </w:rPr>
            </w:pPr>
          </w:p>
        </w:tc>
        <w:tc>
          <w:tcPr>
            <w:tcW w:w="42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bCs/>
              </w:rPr>
            </w:pPr>
          </w:p>
        </w:tc>
        <w:tc>
          <w:tcPr>
            <w:tcW w:w="377"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bCs/>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bCs/>
              </w:rPr>
            </w:pPr>
          </w:p>
        </w:tc>
        <w:tc>
          <w:tcPr>
            <w:tcW w:w="305"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b/>
                <w:bCs/>
              </w:rPr>
            </w:pPr>
          </w:p>
        </w:tc>
        <w:tc>
          <w:tcPr>
            <w:tcW w:w="367"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b/>
                <w:bCs/>
              </w:rPr>
            </w:pPr>
          </w:p>
        </w:tc>
        <w:tc>
          <w:tcPr>
            <w:tcW w:w="314"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b/>
                <w:bCs/>
              </w:rPr>
            </w:pPr>
          </w:p>
        </w:tc>
        <w:tc>
          <w:tcPr>
            <w:tcW w:w="458"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bCs/>
              </w:rPr>
            </w:pPr>
          </w:p>
        </w:tc>
        <w:tc>
          <w:tcPr>
            <w:tcW w:w="42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4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848"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181"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21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F33619" w:rsidRPr="00267677" w:rsidTr="00F33619">
        <w:trPr>
          <w:gridAfter w:val="4"/>
          <w:wAfter w:w="269" w:type="dxa"/>
          <w:trHeight w:val="162"/>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9"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1" w:type="dxa"/>
            <w:tcBorders>
              <w:top w:val="nil"/>
              <w:left w:val="nil"/>
              <w:bottom w:val="nil"/>
              <w:right w:val="nil"/>
            </w:tcBorders>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tcPr>
          <w:p w:rsidR="00267677" w:rsidRPr="0029558A" w:rsidRDefault="00267677" w:rsidP="00A31136">
            <w:pPr>
              <w:contextualSpacing/>
              <w:rPr>
                <w:rFonts w:ascii="Times New Roman" w:hAnsi="Times New Roman"/>
              </w:rPr>
            </w:pPr>
          </w:p>
        </w:tc>
        <w:tc>
          <w:tcPr>
            <w:tcW w:w="310" w:type="dxa"/>
            <w:tcBorders>
              <w:top w:val="nil"/>
              <w:left w:val="nil"/>
              <w:bottom w:val="nil"/>
              <w:right w:val="nil"/>
            </w:tcBorders>
          </w:tcPr>
          <w:p w:rsidR="00267677" w:rsidRPr="0029558A" w:rsidRDefault="00267677" w:rsidP="00A31136">
            <w:pPr>
              <w:contextualSpacing/>
              <w:rPr>
                <w:rFonts w:ascii="Times New Roman" w:hAnsi="Times New Roman"/>
              </w:rPr>
            </w:pPr>
          </w:p>
        </w:tc>
        <w:tc>
          <w:tcPr>
            <w:tcW w:w="3727" w:type="dxa"/>
            <w:gridSpan w:val="12"/>
            <w:tcBorders>
              <w:top w:val="nil"/>
              <w:left w:val="nil"/>
              <w:bottom w:val="nil"/>
              <w:right w:val="nil"/>
            </w:tcBorders>
            <w:vAlign w:val="center"/>
          </w:tcPr>
          <w:p w:rsidR="00267677" w:rsidRPr="0029558A" w:rsidRDefault="00267677" w:rsidP="00A31136">
            <w:pPr>
              <w:contextualSpacing/>
              <w:rPr>
                <w:rFonts w:ascii="Times New Roman" w:hAnsi="Times New Roman"/>
              </w:rPr>
            </w:pPr>
            <w:r w:rsidRPr="0029558A">
              <w:rPr>
                <w:rFonts w:ascii="Times New Roman" w:hAnsi="Times New Roman"/>
              </w:rPr>
              <w:t xml:space="preserve">(v </w:t>
            </w:r>
            <w:proofErr w:type="spellStart"/>
            <w:r w:rsidR="00771CBA">
              <w:rPr>
                <w:rFonts w:ascii="Times New Roman" w:hAnsi="Times New Roman"/>
              </w:rPr>
              <w:t>EUR</w:t>
            </w:r>
            <w:r w:rsidRPr="0029558A">
              <w:rPr>
                <w:rFonts w:ascii="Times New Roman" w:hAnsi="Times New Roman"/>
              </w:rPr>
              <w:t>ách</w:t>
            </w:r>
            <w:proofErr w:type="spellEnd"/>
            <w:r w:rsidRPr="0029558A">
              <w:rPr>
                <w:rFonts w:ascii="Times New Roman" w:hAnsi="Times New Roman"/>
              </w:rPr>
              <w:t xml:space="preserve"> na dve desatinné miesta)</w:t>
            </w:r>
          </w:p>
        </w:tc>
        <w:tc>
          <w:tcPr>
            <w:tcW w:w="42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77" w:type="dxa"/>
            <w:tcBorders>
              <w:top w:val="nil"/>
              <w:left w:val="nil"/>
              <w:bottom w:val="nil"/>
              <w:right w:val="nil"/>
            </w:tcBorders>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tcPr>
          <w:p w:rsidR="00267677" w:rsidRPr="0029558A" w:rsidRDefault="00267677" w:rsidP="00A31136">
            <w:pPr>
              <w:contextualSpacing/>
              <w:rPr>
                <w:rFonts w:ascii="Times New Roman" w:hAnsi="Times New Roman"/>
              </w:rPr>
            </w:pPr>
          </w:p>
        </w:tc>
        <w:tc>
          <w:tcPr>
            <w:tcW w:w="305" w:type="dxa"/>
            <w:gridSpan w:val="2"/>
            <w:tcBorders>
              <w:top w:val="nil"/>
              <w:left w:val="nil"/>
              <w:bottom w:val="nil"/>
              <w:right w:val="nil"/>
            </w:tcBorders>
          </w:tcPr>
          <w:p w:rsidR="00267677" w:rsidRPr="0029558A" w:rsidRDefault="00267677" w:rsidP="00A31136">
            <w:pPr>
              <w:contextualSpacing/>
              <w:rPr>
                <w:rFonts w:ascii="Times New Roman" w:hAnsi="Times New Roman"/>
              </w:rPr>
            </w:pPr>
          </w:p>
        </w:tc>
        <w:tc>
          <w:tcPr>
            <w:tcW w:w="367"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4"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58"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2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4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848"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181"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21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F33619" w:rsidRPr="00267677" w:rsidTr="00F33619">
        <w:trPr>
          <w:gridAfter w:val="4"/>
          <w:wAfter w:w="269" w:type="dxa"/>
          <w:trHeight w:val="162"/>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9"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1"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0"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83"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1"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43"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3"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0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2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7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67"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4"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58"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2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4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848"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181"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21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267677" w:rsidRPr="00267677" w:rsidTr="00F33619">
        <w:trPr>
          <w:gridAfter w:val="4"/>
          <w:wAfter w:w="269" w:type="dxa"/>
          <w:trHeight w:val="80"/>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1847" w:type="dxa"/>
            <w:gridSpan w:val="6"/>
            <w:vMerge w:val="restart"/>
            <w:tcBorders>
              <w:top w:val="nil"/>
              <w:left w:val="nil"/>
              <w:bottom w:val="nil"/>
              <w:right w:val="nil"/>
            </w:tcBorders>
          </w:tcPr>
          <w:p w:rsidR="00267677" w:rsidRPr="0029558A" w:rsidRDefault="00D1479A" w:rsidP="00A31136">
            <w:pPr>
              <w:contextualSpacing/>
              <w:rPr>
                <w:rFonts w:ascii="Times New Roman" w:hAnsi="Times New Roman"/>
                <w:b/>
              </w:rPr>
            </w:pPr>
            <w:r>
              <w:rPr>
                <w:rFonts w:ascii="Times New Roman" w:hAnsi="Times New Roman"/>
                <w:b/>
              </w:rPr>
              <w:t>Za bežné účtovné obdobie</w:t>
            </w:r>
          </w:p>
        </w:tc>
        <w:tc>
          <w:tcPr>
            <w:tcW w:w="310"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1307" w:type="dxa"/>
            <w:gridSpan w:val="4"/>
            <w:tcBorders>
              <w:top w:val="nil"/>
              <w:left w:val="nil"/>
              <w:bottom w:val="nil"/>
              <w:right w:val="nil"/>
            </w:tcBorders>
          </w:tcPr>
          <w:p w:rsidR="00267677" w:rsidRPr="0029558A" w:rsidRDefault="00267677" w:rsidP="00A31136">
            <w:pPr>
              <w:contextualSpacing/>
              <w:rPr>
                <w:rFonts w:ascii="Times New Roman" w:hAnsi="Times New Roman"/>
                <w:b/>
              </w:rPr>
            </w:pPr>
            <w:r w:rsidRPr="0029558A">
              <w:rPr>
                <w:rFonts w:ascii="Times New Roman" w:hAnsi="Times New Roman"/>
                <w:b/>
              </w:rPr>
              <w:t xml:space="preserve">   mesiac</w:t>
            </w:r>
          </w:p>
        </w:tc>
        <w:tc>
          <w:tcPr>
            <w:tcW w:w="1711" w:type="dxa"/>
            <w:gridSpan w:val="6"/>
            <w:tcBorders>
              <w:top w:val="nil"/>
              <w:left w:val="nil"/>
              <w:bottom w:val="nil"/>
              <w:right w:val="nil"/>
            </w:tcBorders>
          </w:tcPr>
          <w:p w:rsidR="00267677" w:rsidRPr="0029558A" w:rsidRDefault="00267677" w:rsidP="00A31136">
            <w:pPr>
              <w:contextualSpacing/>
              <w:rPr>
                <w:rFonts w:ascii="Times New Roman" w:hAnsi="Times New Roman"/>
                <w:b/>
              </w:rPr>
            </w:pPr>
            <w:r w:rsidRPr="0029558A">
              <w:rPr>
                <w:rFonts w:ascii="Times New Roman" w:hAnsi="Times New Roman"/>
                <w:b/>
              </w:rPr>
              <w:t>rok</w:t>
            </w: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5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42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1354" w:type="dxa"/>
            <w:gridSpan w:val="6"/>
            <w:tcBorders>
              <w:top w:val="nil"/>
              <w:left w:val="nil"/>
              <w:bottom w:val="nil"/>
              <w:right w:val="nil"/>
            </w:tcBorders>
          </w:tcPr>
          <w:p w:rsidR="00267677" w:rsidRPr="0029558A" w:rsidRDefault="00267677" w:rsidP="00A31136">
            <w:pPr>
              <w:contextualSpacing/>
              <w:rPr>
                <w:rFonts w:ascii="Times New Roman" w:hAnsi="Times New Roman"/>
                <w:b/>
              </w:rPr>
            </w:pPr>
            <w:r w:rsidRPr="0029558A">
              <w:rPr>
                <w:rFonts w:ascii="Times New Roman" w:hAnsi="Times New Roman"/>
                <w:b/>
              </w:rPr>
              <w:t xml:space="preserve">   mesiac</w:t>
            </w:r>
          </w:p>
        </w:tc>
        <w:tc>
          <w:tcPr>
            <w:tcW w:w="1949" w:type="dxa"/>
            <w:gridSpan w:val="6"/>
            <w:tcBorders>
              <w:top w:val="nil"/>
              <w:left w:val="nil"/>
              <w:bottom w:val="nil"/>
              <w:right w:val="nil"/>
            </w:tcBorders>
          </w:tcPr>
          <w:p w:rsidR="00267677" w:rsidRPr="0029558A" w:rsidRDefault="00267677" w:rsidP="00A31136">
            <w:pPr>
              <w:contextualSpacing/>
              <w:rPr>
                <w:rFonts w:ascii="Times New Roman" w:hAnsi="Times New Roman"/>
                <w:b/>
              </w:rPr>
            </w:pPr>
            <w:r w:rsidRPr="0029558A">
              <w:rPr>
                <w:rFonts w:ascii="Times New Roman" w:hAnsi="Times New Roman"/>
                <w:b/>
              </w:rPr>
              <w:t>rok</w:t>
            </w:r>
          </w:p>
        </w:tc>
        <w:tc>
          <w:tcPr>
            <w:tcW w:w="848"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181"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21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F33619" w:rsidRPr="00267677" w:rsidTr="00F33619">
        <w:trPr>
          <w:gridAfter w:val="4"/>
          <w:wAfter w:w="269" w:type="dxa"/>
          <w:trHeight w:val="353"/>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1847" w:type="dxa"/>
            <w:gridSpan w:val="6"/>
            <w:vMerge/>
            <w:tcBorders>
              <w:top w:val="nil"/>
              <w:left w:val="nil"/>
              <w:bottom w:val="nil"/>
              <w:right w:val="nil"/>
            </w:tcBorders>
            <w:vAlign w:val="center"/>
          </w:tcPr>
          <w:p w:rsidR="00267677" w:rsidRPr="0029558A" w:rsidRDefault="00267677" w:rsidP="00A31136">
            <w:pPr>
              <w:contextualSpacing/>
              <w:rPr>
                <w:rFonts w:ascii="Times New Roman" w:hAnsi="Times New Roman"/>
              </w:rPr>
            </w:pPr>
          </w:p>
        </w:tc>
        <w:tc>
          <w:tcPr>
            <w:tcW w:w="310"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83"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r w:rsidRPr="0029558A">
              <w:rPr>
                <w:rFonts w:ascii="Times New Roman" w:hAnsi="Times New Roman"/>
                <w:b/>
              </w:rPr>
              <w:t>od</w:t>
            </w:r>
          </w:p>
        </w:tc>
        <w:tc>
          <w:tcPr>
            <w:tcW w:w="306" w:type="dxa"/>
            <w:tcBorders>
              <w:top w:val="single" w:sz="4" w:space="0" w:color="auto"/>
              <w:left w:val="single" w:sz="4" w:space="0" w:color="auto"/>
              <w:bottom w:val="single" w:sz="4" w:space="0" w:color="auto"/>
              <w:right w:val="single" w:sz="4" w:space="0" w:color="auto"/>
            </w:tcBorders>
            <w:noWrap/>
            <w:vAlign w:val="bottom"/>
          </w:tcPr>
          <w:p w:rsidR="00267677" w:rsidRPr="0029558A" w:rsidRDefault="00267677" w:rsidP="00D2769B">
            <w:pPr>
              <w:contextualSpacing/>
              <w:jc w:val="center"/>
              <w:rPr>
                <w:rFonts w:ascii="Times New Roman" w:hAnsi="Times New Roman"/>
              </w:rPr>
            </w:pPr>
            <w:r w:rsidRPr="0029558A">
              <w:rPr>
                <w:rFonts w:ascii="Times New Roman" w:hAnsi="Times New Roman"/>
              </w:rPr>
              <w:t>0</w:t>
            </w:r>
          </w:p>
        </w:tc>
        <w:tc>
          <w:tcPr>
            <w:tcW w:w="317" w:type="dxa"/>
            <w:tcBorders>
              <w:top w:val="single" w:sz="4" w:space="0" w:color="auto"/>
              <w:left w:val="nil"/>
              <w:bottom w:val="single" w:sz="4" w:space="0" w:color="auto"/>
              <w:right w:val="single" w:sz="4" w:space="0" w:color="auto"/>
            </w:tcBorders>
            <w:noWrap/>
            <w:vAlign w:val="bottom"/>
          </w:tcPr>
          <w:p w:rsidR="00267677" w:rsidRPr="0029558A" w:rsidRDefault="00267677" w:rsidP="00D2769B">
            <w:pPr>
              <w:contextualSpacing/>
              <w:jc w:val="center"/>
              <w:rPr>
                <w:rFonts w:ascii="Times New Roman" w:hAnsi="Times New Roman"/>
              </w:rPr>
            </w:pPr>
            <w:r w:rsidRPr="0029558A">
              <w:rPr>
                <w:rFonts w:ascii="Times New Roman" w:hAnsi="Times New Roman"/>
              </w:rPr>
              <w:t>1</w:t>
            </w:r>
          </w:p>
        </w:tc>
        <w:tc>
          <w:tcPr>
            <w:tcW w:w="301" w:type="dxa"/>
            <w:tcBorders>
              <w:top w:val="nil"/>
              <w:left w:val="nil"/>
              <w:bottom w:val="nil"/>
              <w:right w:val="single" w:sz="4" w:space="0" w:color="auto"/>
            </w:tcBorders>
            <w:noWrap/>
            <w:vAlign w:val="bottom"/>
          </w:tcPr>
          <w:p w:rsidR="00267677" w:rsidRPr="0029558A" w:rsidRDefault="00267677" w:rsidP="00D2769B">
            <w:pPr>
              <w:contextualSpacing/>
              <w:jc w:val="center"/>
              <w:rPr>
                <w:rFonts w:ascii="Times New Roman" w:hAnsi="Times New Roman"/>
              </w:rPr>
            </w:pPr>
          </w:p>
        </w:tc>
        <w:tc>
          <w:tcPr>
            <w:tcW w:w="306" w:type="dxa"/>
            <w:tcBorders>
              <w:top w:val="single" w:sz="4" w:space="0" w:color="auto"/>
              <w:left w:val="nil"/>
              <w:bottom w:val="single" w:sz="4" w:space="0" w:color="auto"/>
              <w:right w:val="single" w:sz="4" w:space="0" w:color="auto"/>
            </w:tcBorders>
            <w:noWrap/>
            <w:vAlign w:val="bottom"/>
          </w:tcPr>
          <w:p w:rsidR="00267677" w:rsidRPr="0029558A" w:rsidRDefault="00267677" w:rsidP="00D2769B">
            <w:pPr>
              <w:contextualSpacing/>
              <w:jc w:val="center"/>
              <w:rPr>
                <w:rFonts w:ascii="Times New Roman" w:hAnsi="Times New Roman"/>
              </w:rPr>
            </w:pPr>
            <w:r w:rsidRPr="0029558A">
              <w:rPr>
                <w:rFonts w:ascii="Times New Roman" w:hAnsi="Times New Roman"/>
              </w:rPr>
              <w:t>2</w:t>
            </w:r>
          </w:p>
        </w:tc>
        <w:tc>
          <w:tcPr>
            <w:tcW w:w="343" w:type="dxa"/>
            <w:gridSpan w:val="2"/>
            <w:tcBorders>
              <w:top w:val="single" w:sz="4" w:space="0" w:color="auto"/>
              <w:left w:val="nil"/>
              <w:bottom w:val="single" w:sz="4" w:space="0" w:color="auto"/>
              <w:right w:val="single" w:sz="4" w:space="0" w:color="auto"/>
            </w:tcBorders>
            <w:noWrap/>
            <w:vAlign w:val="bottom"/>
          </w:tcPr>
          <w:p w:rsidR="00267677" w:rsidRPr="0029558A" w:rsidRDefault="00267677" w:rsidP="00D2769B">
            <w:pPr>
              <w:contextualSpacing/>
              <w:jc w:val="center"/>
              <w:rPr>
                <w:rFonts w:ascii="Times New Roman" w:hAnsi="Times New Roman"/>
              </w:rPr>
            </w:pPr>
            <w:r w:rsidRPr="0029558A">
              <w:rPr>
                <w:rFonts w:ascii="Times New Roman" w:hAnsi="Times New Roman"/>
              </w:rPr>
              <w:t>0</w:t>
            </w:r>
          </w:p>
        </w:tc>
        <w:tc>
          <w:tcPr>
            <w:tcW w:w="353" w:type="dxa"/>
            <w:tcBorders>
              <w:top w:val="single" w:sz="4" w:space="0" w:color="auto"/>
              <w:left w:val="nil"/>
              <w:bottom w:val="single" w:sz="4" w:space="0" w:color="auto"/>
              <w:right w:val="single" w:sz="4" w:space="0" w:color="auto"/>
            </w:tcBorders>
            <w:noWrap/>
            <w:vAlign w:val="bottom"/>
          </w:tcPr>
          <w:p w:rsidR="00267677" w:rsidRPr="0029558A" w:rsidRDefault="00267677" w:rsidP="00D2769B">
            <w:pPr>
              <w:contextualSpacing/>
              <w:jc w:val="center"/>
              <w:rPr>
                <w:rFonts w:ascii="Times New Roman" w:hAnsi="Times New Roman"/>
              </w:rPr>
            </w:pPr>
            <w:r w:rsidRPr="0029558A">
              <w:rPr>
                <w:rFonts w:ascii="Times New Roman" w:hAnsi="Times New Roman"/>
              </w:rPr>
              <w:t>1</w:t>
            </w:r>
          </w:p>
        </w:tc>
        <w:tc>
          <w:tcPr>
            <w:tcW w:w="305" w:type="dxa"/>
            <w:tcBorders>
              <w:top w:val="single" w:sz="4" w:space="0" w:color="auto"/>
              <w:left w:val="nil"/>
              <w:bottom w:val="single" w:sz="4" w:space="0" w:color="auto"/>
              <w:right w:val="single" w:sz="4" w:space="0" w:color="auto"/>
            </w:tcBorders>
            <w:noWrap/>
            <w:vAlign w:val="bottom"/>
          </w:tcPr>
          <w:p w:rsidR="00267677" w:rsidRPr="0029558A" w:rsidRDefault="002A0F75" w:rsidP="00D2769B">
            <w:pPr>
              <w:contextualSpacing/>
              <w:jc w:val="center"/>
              <w:rPr>
                <w:rFonts w:ascii="Times New Roman" w:hAnsi="Times New Roman"/>
              </w:rPr>
            </w:pPr>
            <w:r>
              <w:rPr>
                <w:rFonts w:ascii="Times New Roman" w:hAnsi="Times New Roman"/>
              </w:rPr>
              <w:t>8</w:t>
            </w:r>
          </w:p>
        </w:tc>
        <w:tc>
          <w:tcPr>
            <w:tcW w:w="40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780" w:type="dxa"/>
            <w:gridSpan w:val="2"/>
            <w:tcBorders>
              <w:top w:val="nil"/>
              <w:left w:val="nil"/>
              <w:bottom w:val="nil"/>
              <w:right w:val="nil"/>
            </w:tcBorders>
          </w:tcPr>
          <w:p w:rsidR="00267677" w:rsidRPr="0029558A" w:rsidRDefault="00267677" w:rsidP="00A31136">
            <w:pPr>
              <w:contextualSpacing/>
              <w:rPr>
                <w:rFonts w:ascii="Times New Roman" w:hAnsi="Times New Roman"/>
                <w:b/>
              </w:rPr>
            </w:pPr>
            <w:r w:rsidRPr="0029558A">
              <w:rPr>
                <w:rFonts w:ascii="Times New Roman" w:hAnsi="Times New Roman"/>
              </w:rPr>
              <w:t xml:space="preserve">    </w:t>
            </w:r>
            <w:r w:rsidRPr="0029558A">
              <w:rPr>
                <w:rFonts w:ascii="Times New Roman" w:hAnsi="Times New Roman"/>
                <w:b/>
              </w:rPr>
              <w:t>do</w:t>
            </w:r>
          </w:p>
        </w:tc>
        <w:tc>
          <w:tcPr>
            <w:tcW w:w="37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single" w:sz="4" w:space="0" w:color="auto"/>
              <w:left w:val="single" w:sz="4" w:space="0" w:color="auto"/>
              <w:bottom w:val="single" w:sz="4" w:space="0" w:color="auto"/>
              <w:right w:val="single" w:sz="4" w:space="0" w:color="auto"/>
            </w:tcBorders>
            <w:noWrap/>
            <w:vAlign w:val="bottom"/>
          </w:tcPr>
          <w:p w:rsidR="00267677" w:rsidRPr="0029558A" w:rsidRDefault="00267677" w:rsidP="00D2769B">
            <w:pPr>
              <w:contextualSpacing/>
              <w:jc w:val="center"/>
              <w:rPr>
                <w:rFonts w:ascii="Times New Roman" w:hAnsi="Times New Roman"/>
              </w:rPr>
            </w:pPr>
            <w:r w:rsidRPr="0029558A">
              <w:rPr>
                <w:rFonts w:ascii="Times New Roman" w:hAnsi="Times New Roman"/>
              </w:rPr>
              <w:t>1</w:t>
            </w:r>
          </w:p>
        </w:tc>
        <w:tc>
          <w:tcPr>
            <w:tcW w:w="305" w:type="dxa"/>
            <w:gridSpan w:val="2"/>
            <w:tcBorders>
              <w:top w:val="single" w:sz="4" w:space="0" w:color="auto"/>
              <w:left w:val="nil"/>
              <w:bottom w:val="single" w:sz="4" w:space="0" w:color="auto"/>
              <w:right w:val="single" w:sz="4" w:space="0" w:color="auto"/>
            </w:tcBorders>
            <w:noWrap/>
            <w:vAlign w:val="bottom"/>
          </w:tcPr>
          <w:p w:rsidR="00267677" w:rsidRPr="0029558A" w:rsidRDefault="00267677" w:rsidP="00D2769B">
            <w:pPr>
              <w:contextualSpacing/>
              <w:jc w:val="center"/>
              <w:rPr>
                <w:rFonts w:ascii="Times New Roman" w:hAnsi="Times New Roman"/>
              </w:rPr>
            </w:pPr>
            <w:r w:rsidRPr="0029558A">
              <w:rPr>
                <w:rFonts w:ascii="Times New Roman" w:hAnsi="Times New Roman"/>
              </w:rPr>
              <w:t>2</w:t>
            </w:r>
          </w:p>
        </w:tc>
        <w:tc>
          <w:tcPr>
            <w:tcW w:w="367"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4" w:type="dxa"/>
            <w:gridSpan w:val="2"/>
            <w:tcBorders>
              <w:top w:val="single" w:sz="4" w:space="0" w:color="auto"/>
              <w:left w:val="single" w:sz="4" w:space="0" w:color="auto"/>
              <w:bottom w:val="single" w:sz="4" w:space="0" w:color="auto"/>
              <w:right w:val="single" w:sz="4" w:space="0" w:color="auto"/>
            </w:tcBorders>
            <w:noWrap/>
            <w:vAlign w:val="bottom"/>
          </w:tcPr>
          <w:p w:rsidR="00267677" w:rsidRPr="0029558A" w:rsidRDefault="00267677" w:rsidP="00D2769B">
            <w:pPr>
              <w:contextualSpacing/>
              <w:jc w:val="center"/>
              <w:rPr>
                <w:rFonts w:ascii="Times New Roman" w:hAnsi="Times New Roman"/>
              </w:rPr>
            </w:pPr>
            <w:r w:rsidRPr="0029558A">
              <w:rPr>
                <w:rFonts w:ascii="Times New Roman" w:hAnsi="Times New Roman"/>
              </w:rPr>
              <w:t>2</w:t>
            </w:r>
          </w:p>
        </w:tc>
        <w:tc>
          <w:tcPr>
            <w:tcW w:w="458" w:type="dxa"/>
            <w:tcBorders>
              <w:top w:val="single" w:sz="4" w:space="0" w:color="auto"/>
              <w:left w:val="nil"/>
              <w:bottom w:val="single" w:sz="4" w:space="0" w:color="auto"/>
              <w:right w:val="single" w:sz="4" w:space="0" w:color="auto"/>
            </w:tcBorders>
            <w:noWrap/>
            <w:vAlign w:val="bottom"/>
          </w:tcPr>
          <w:p w:rsidR="00267677" w:rsidRPr="0029558A" w:rsidRDefault="00267677" w:rsidP="00D2769B">
            <w:pPr>
              <w:contextualSpacing/>
              <w:jc w:val="center"/>
              <w:rPr>
                <w:rFonts w:ascii="Times New Roman" w:hAnsi="Times New Roman"/>
              </w:rPr>
            </w:pPr>
            <w:r w:rsidRPr="0029558A">
              <w:rPr>
                <w:rFonts w:ascii="Times New Roman" w:hAnsi="Times New Roman"/>
              </w:rPr>
              <w:t>0</w:t>
            </w:r>
          </w:p>
        </w:tc>
        <w:tc>
          <w:tcPr>
            <w:tcW w:w="426" w:type="dxa"/>
            <w:tcBorders>
              <w:top w:val="single" w:sz="4" w:space="0" w:color="auto"/>
              <w:left w:val="nil"/>
              <w:bottom w:val="single" w:sz="4" w:space="0" w:color="auto"/>
              <w:right w:val="single" w:sz="4" w:space="0" w:color="auto"/>
            </w:tcBorders>
            <w:noWrap/>
            <w:vAlign w:val="bottom"/>
          </w:tcPr>
          <w:p w:rsidR="00267677" w:rsidRPr="0029558A" w:rsidRDefault="00267677" w:rsidP="00D2769B">
            <w:pPr>
              <w:contextualSpacing/>
              <w:jc w:val="center"/>
              <w:rPr>
                <w:rFonts w:ascii="Times New Roman" w:hAnsi="Times New Roman"/>
              </w:rPr>
            </w:pPr>
            <w:r w:rsidRPr="0029558A">
              <w:rPr>
                <w:rFonts w:ascii="Times New Roman" w:hAnsi="Times New Roman"/>
              </w:rPr>
              <w:t>1</w:t>
            </w:r>
          </w:p>
        </w:tc>
        <w:tc>
          <w:tcPr>
            <w:tcW w:w="305" w:type="dxa"/>
            <w:tcBorders>
              <w:top w:val="single" w:sz="4" w:space="0" w:color="auto"/>
              <w:left w:val="nil"/>
              <w:bottom w:val="single" w:sz="4" w:space="0" w:color="auto"/>
              <w:right w:val="single" w:sz="4" w:space="0" w:color="auto"/>
            </w:tcBorders>
            <w:noWrap/>
            <w:vAlign w:val="bottom"/>
          </w:tcPr>
          <w:p w:rsidR="00267677" w:rsidRPr="0029558A" w:rsidRDefault="002A0F75" w:rsidP="00D2769B">
            <w:pPr>
              <w:contextualSpacing/>
              <w:jc w:val="center"/>
              <w:rPr>
                <w:rFonts w:ascii="Times New Roman" w:hAnsi="Times New Roman"/>
              </w:rPr>
            </w:pPr>
            <w:r>
              <w:rPr>
                <w:rFonts w:ascii="Times New Roman" w:hAnsi="Times New Roman"/>
              </w:rPr>
              <w:t>8</w:t>
            </w:r>
          </w:p>
        </w:tc>
        <w:tc>
          <w:tcPr>
            <w:tcW w:w="44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848"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181"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21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F33619" w:rsidRPr="00267677" w:rsidTr="00F33619">
        <w:trPr>
          <w:gridAfter w:val="4"/>
          <w:wAfter w:w="269" w:type="dxa"/>
          <w:trHeight w:val="162"/>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9"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1"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0"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83"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1"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43"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3"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0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2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7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67"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4"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58"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2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4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848"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181"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21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267677" w:rsidRPr="00267677" w:rsidTr="00F33619">
        <w:trPr>
          <w:gridAfter w:val="4"/>
          <w:wAfter w:w="269" w:type="dxa"/>
          <w:trHeight w:val="162"/>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1847" w:type="dxa"/>
            <w:gridSpan w:val="6"/>
            <w:vMerge w:val="restart"/>
            <w:tcBorders>
              <w:top w:val="nil"/>
              <w:left w:val="nil"/>
              <w:bottom w:val="nil"/>
              <w:right w:val="nil"/>
            </w:tcBorders>
            <w:vAlign w:val="bottom"/>
          </w:tcPr>
          <w:p w:rsidR="00267677" w:rsidRPr="0029558A" w:rsidRDefault="00267677" w:rsidP="00A31136">
            <w:pPr>
              <w:contextualSpacing/>
              <w:rPr>
                <w:rFonts w:ascii="Times New Roman" w:hAnsi="Times New Roman"/>
                <w:b/>
              </w:rPr>
            </w:pPr>
            <w:r w:rsidRPr="0029558A">
              <w:rPr>
                <w:rFonts w:ascii="Times New Roman" w:hAnsi="Times New Roman"/>
                <w:b/>
              </w:rPr>
              <w:t xml:space="preserve">Za bezprostredne predchádzajúce účtovné obdobie </w:t>
            </w:r>
          </w:p>
        </w:tc>
        <w:tc>
          <w:tcPr>
            <w:tcW w:w="310"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1307" w:type="dxa"/>
            <w:gridSpan w:val="4"/>
            <w:tcBorders>
              <w:top w:val="nil"/>
              <w:left w:val="nil"/>
              <w:bottom w:val="nil"/>
              <w:right w:val="nil"/>
            </w:tcBorders>
          </w:tcPr>
          <w:p w:rsidR="00267677" w:rsidRPr="0029558A" w:rsidRDefault="00267677" w:rsidP="00A31136">
            <w:pPr>
              <w:contextualSpacing/>
              <w:rPr>
                <w:rFonts w:ascii="Times New Roman" w:hAnsi="Times New Roman"/>
                <w:b/>
              </w:rPr>
            </w:pPr>
            <w:r w:rsidRPr="0029558A">
              <w:rPr>
                <w:rFonts w:ascii="Times New Roman" w:hAnsi="Times New Roman"/>
                <w:b/>
              </w:rPr>
              <w:t xml:space="preserve">    mesiac</w:t>
            </w:r>
          </w:p>
        </w:tc>
        <w:tc>
          <w:tcPr>
            <w:tcW w:w="1711" w:type="dxa"/>
            <w:gridSpan w:val="6"/>
            <w:tcBorders>
              <w:top w:val="nil"/>
              <w:left w:val="nil"/>
              <w:bottom w:val="nil"/>
              <w:right w:val="nil"/>
            </w:tcBorders>
          </w:tcPr>
          <w:p w:rsidR="00267677" w:rsidRPr="0029558A" w:rsidRDefault="00267677" w:rsidP="00A31136">
            <w:pPr>
              <w:contextualSpacing/>
              <w:rPr>
                <w:rFonts w:ascii="Times New Roman" w:hAnsi="Times New Roman"/>
                <w:b/>
              </w:rPr>
            </w:pPr>
            <w:r w:rsidRPr="0029558A">
              <w:rPr>
                <w:rFonts w:ascii="Times New Roman" w:hAnsi="Times New Roman"/>
                <w:b/>
              </w:rPr>
              <w:t>rok</w:t>
            </w: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5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42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1354" w:type="dxa"/>
            <w:gridSpan w:val="6"/>
            <w:tcBorders>
              <w:top w:val="nil"/>
              <w:left w:val="nil"/>
              <w:bottom w:val="nil"/>
              <w:right w:val="nil"/>
            </w:tcBorders>
          </w:tcPr>
          <w:p w:rsidR="00267677" w:rsidRPr="0029558A" w:rsidRDefault="00267677" w:rsidP="00A31136">
            <w:pPr>
              <w:contextualSpacing/>
              <w:rPr>
                <w:rFonts w:ascii="Times New Roman" w:hAnsi="Times New Roman"/>
                <w:b/>
              </w:rPr>
            </w:pPr>
            <w:r w:rsidRPr="0029558A">
              <w:rPr>
                <w:rFonts w:ascii="Times New Roman" w:hAnsi="Times New Roman"/>
                <w:b/>
              </w:rPr>
              <w:t xml:space="preserve">   mesiac</w:t>
            </w:r>
          </w:p>
        </w:tc>
        <w:tc>
          <w:tcPr>
            <w:tcW w:w="1949" w:type="dxa"/>
            <w:gridSpan w:val="6"/>
            <w:tcBorders>
              <w:top w:val="nil"/>
              <w:left w:val="nil"/>
              <w:bottom w:val="nil"/>
              <w:right w:val="nil"/>
            </w:tcBorders>
          </w:tcPr>
          <w:p w:rsidR="00267677" w:rsidRPr="0029558A" w:rsidRDefault="00267677" w:rsidP="00A31136">
            <w:pPr>
              <w:contextualSpacing/>
              <w:rPr>
                <w:rFonts w:ascii="Times New Roman" w:hAnsi="Times New Roman"/>
                <w:b/>
              </w:rPr>
            </w:pPr>
            <w:r w:rsidRPr="0029558A">
              <w:rPr>
                <w:rFonts w:ascii="Times New Roman" w:hAnsi="Times New Roman"/>
                <w:b/>
              </w:rPr>
              <w:t>rok</w:t>
            </w:r>
          </w:p>
        </w:tc>
        <w:tc>
          <w:tcPr>
            <w:tcW w:w="848"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181"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21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F33619" w:rsidRPr="00267677" w:rsidTr="00F33619">
        <w:trPr>
          <w:gridAfter w:val="4"/>
          <w:wAfter w:w="269" w:type="dxa"/>
          <w:trHeight w:val="310"/>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1847" w:type="dxa"/>
            <w:gridSpan w:val="6"/>
            <w:vMerge/>
            <w:tcBorders>
              <w:top w:val="nil"/>
              <w:left w:val="nil"/>
              <w:bottom w:val="nil"/>
              <w:right w:val="nil"/>
            </w:tcBorders>
            <w:vAlign w:val="center"/>
          </w:tcPr>
          <w:p w:rsidR="00267677" w:rsidRPr="0029558A" w:rsidRDefault="00267677" w:rsidP="00A31136">
            <w:pPr>
              <w:contextualSpacing/>
              <w:rPr>
                <w:rFonts w:ascii="Times New Roman" w:hAnsi="Times New Roman"/>
              </w:rPr>
            </w:pPr>
          </w:p>
        </w:tc>
        <w:tc>
          <w:tcPr>
            <w:tcW w:w="310"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83"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r w:rsidRPr="0029558A">
              <w:rPr>
                <w:rFonts w:ascii="Times New Roman" w:hAnsi="Times New Roman"/>
                <w:b/>
              </w:rPr>
              <w:t>od</w:t>
            </w:r>
          </w:p>
        </w:tc>
        <w:tc>
          <w:tcPr>
            <w:tcW w:w="306" w:type="dxa"/>
            <w:tcBorders>
              <w:top w:val="single" w:sz="4" w:space="0" w:color="auto"/>
              <w:left w:val="single" w:sz="4" w:space="0" w:color="auto"/>
              <w:bottom w:val="single" w:sz="4" w:space="0" w:color="auto"/>
              <w:right w:val="single" w:sz="4" w:space="0" w:color="auto"/>
            </w:tcBorders>
            <w:noWrap/>
            <w:vAlign w:val="bottom"/>
          </w:tcPr>
          <w:p w:rsidR="00267677" w:rsidRPr="0029558A" w:rsidRDefault="00267677" w:rsidP="00D2769B">
            <w:pPr>
              <w:contextualSpacing/>
              <w:jc w:val="center"/>
              <w:rPr>
                <w:rFonts w:ascii="Times New Roman" w:hAnsi="Times New Roman"/>
              </w:rPr>
            </w:pPr>
            <w:r w:rsidRPr="0029558A">
              <w:rPr>
                <w:rFonts w:ascii="Times New Roman" w:hAnsi="Times New Roman"/>
              </w:rPr>
              <w:t>0</w:t>
            </w:r>
          </w:p>
        </w:tc>
        <w:tc>
          <w:tcPr>
            <w:tcW w:w="317" w:type="dxa"/>
            <w:tcBorders>
              <w:top w:val="single" w:sz="4" w:space="0" w:color="auto"/>
              <w:left w:val="nil"/>
              <w:bottom w:val="single" w:sz="4" w:space="0" w:color="auto"/>
              <w:right w:val="single" w:sz="4" w:space="0" w:color="auto"/>
            </w:tcBorders>
            <w:noWrap/>
            <w:vAlign w:val="bottom"/>
          </w:tcPr>
          <w:p w:rsidR="00267677" w:rsidRPr="0029558A" w:rsidRDefault="00267677" w:rsidP="00D2769B">
            <w:pPr>
              <w:contextualSpacing/>
              <w:jc w:val="center"/>
              <w:rPr>
                <w:rFonts w:ascii="Times New Roman" w:hAnsi="Times New Roman"/>
              </w:rPr>
            </w:pPr>
            <w:r w:rsidRPr="0029558A">
              <w:rPr>
                <w:rFonts w:ascii="Times New Roman" w:hAnsi="Times New Roman"/>
              </w:rPr>
              <w:t>1</w:t>
            </w:r>
          </w:p>
        </w:tc>
        <w:tc>
          <w:tcPr>
            <w:tcW w:w="301" w:type="dxa"/>
            <w:tcBorders>
              <w:top w:val="nil"/>
              <w:left w:val="nil"/>
              <w:bottom w:val="nil"/>
              <w:right w:val="single" w:sz="4" w:space="0" w:color="auto"/>
            </w:tcBorders>
            <w:noWrap/>
            <w:vAlign w:val="bottom"/>
          </w:tcPr>
          <w:p w:rsidR="00267677" w:rsidRPr="0029558A" w:rsidRDefault="00267677" w:rsidP="00D2769B">
            <w:pPr>
              <w:contextualSpacing/>
              <w:jc w:val="center"/>
              <w:rPr>
                <w:rFonts w:ascii="Times New Roman" w:hAnsi="Times New Roman"/>
              </w:rPr>
            </w:pPr>
          </w:p>
        </w:tc>
        <w:tc>
          <w:tcPr>
            <w:tcW w:w="306" w:type="dxa"/>
            <w:tcBorders>
              <w:top w:val="single" w:sz="4" w:space="0" w:color="auto"/>
              <w:left w:val="nil"/>
              <w:bottom w:val="single" w:sz="4" w:space="0" w:color="auto"/>
              <w:right w:val="single" w:sz="4" w:space="0" w:color="auto"/>
            </w:tcBorders>
            <w:noWrap/>
            <w:vAlign w:val="bottom"/>
          </w:tcPr>
          <w:p w:rsidR="00267677" w:rsidRPr="0029558A" w:rsidRDefault="00267677" w:rsidP="00D2769B">
            <w:pPr>
              <w:contextualSpacing/>
              <w:jc w:val="center"/>
              <w:rPr>
                <w:rFonts w:ascii="Times New Roman" w:hAnsi="Times New Roman"/>
              </w:rPr>
            </w:pPr>
            <w:r w:rsidRPr="0029558A">
              <w:rPr>
                <w:rFonts w:ascii="Times New Roman" w:hAnsi="Times New Roman"/>
              </w:rPr>
              <w:t>2</w:t>
            </w:r>
          </w:p>
        </w:tc>
        <w:tc>
          <w:tcPr>
            <w:tcW w:w="343" w:type="dxa"/>
            <w:gridSpan w:val="2"/>
            <w:tcBorders>
              <w:top w:val="single" w:sz="4" w:space="0" w:color="auto"/>
              <w:left w:val="nil"/>
              <w:bottom w:val="single" w:sz="4" w:space="0" w:color="auto"/>
              <w:right w:val="single" w:sz="4" w:space="0" w:color="auto"/>
            </w:tcBorders>
            <w:noWrap/>
            <w:vAlign w:val="bottom"/>
          </w:tcPr>
          <w:p w:rsidR="00267677" w:rsidRPr="0029558A" w:rsidRDefault="00267677" w:rsidP="00D2769B">
            <w:pPr>
              <w:contextualSpacing/>
              <w:jc w:val="center"/>
              <w:rPr>
                <w:rFonts w:ascii="Times New Roman" w:hAnsi="Times New Roman"/>
              </w:rPr>
            </w:pPr>
            <w:r w:rsidRPr="0029558A">
              <w:rPr>
                <w:rFonts w:ascii="Times New Roman" w:hAnsi="Times New Roman"/>
              </w:rPr>
              <w:t>0</w:t>
            </w:r>
          </w:p>
        </w:tc>
        <w:tc>
          <w:tcPr>
            <w:tcW w:w="353" w:type="dxa"/>
            <w:tcBorders>
              <w:top w:val="single" w:sz="4" w:space="0" w:color="auto"/>
              <w:left w:val="nil"/>
              <w:bottom w:val="single" w:sz="4" w:space="0" w:color="auto"/>
              <w:right w:val="single" w:sz="4" w:space="0" w:color="auto"/>
            </w:tcBorders>
            <w:noWrap/>
            <w:vAlign w:val="bottom"/>
          </w:tcPr>
          <w:p w:rsidR="00267677" w:rsidRPr="0029558A" w:rsidRDefault="00267677" w:rsidP="00D2769B">
            <w:pPr>
              <w:contextualSpacing/>
              <w:jc w:val="center"/>
              <w:rPr>
                <w:rFonts w:ascii="Times New Roman" w:hAnsi="Times New Roman"/>
              </w:rPr>
            </w:pPr>
            <w:r w:rsidRPr="0029558A">
              <w:rPr>
                <w:rFonts w:ascii="Times New Roman" w:hAnsi="Times New Roman"/>
              </w:rPr>
              <w:t>1</w:t>
            </w:r>
          </w:p>
        </w:tc>
        <w:tc>
          <w:tcPr>
            <w:tcW w:w="305" w:type="dxa"/>
            <w:tcBorders>
              <w:top w:val="single" w:sz="4" w:space="0" w:color="auto"/>
              <w:left w:val="nil"/>
              <w:bottom w:val="single" w:sz="4" w:space="0" w:color="auto"/>
              <w:right w:val="single" w:sz="4" w:space="0" w:color="auto"/>
            </w:tcBorders>
            <w:noWrap/>
            <w:vAlign w:val="bottom"/>
          </w:tcPr>
          <w:p w:rsidR="00267677" w:rsidRPr="0029558A" w:rsidRDefault="002A0F75" w:rsidP="00D2769B">
            <w:pPr>
              <w:contextualSpacing/>
              <w:jc w:val="center"/>
              <w:rPr>
                <w:rFonts w:ascii="Times New Roman" w:hAnsi="Times New Roman"/>
              </w:rPr>
            </w:pPr>
            <w:r>
              <w:rPr>
                <w:rFonts w:ascii="Times New Roman" w:hAnsi="Times New Roman"/>
              </w:rPr>
              <w:t>7</w:t>
            </w:r>
          </w:p>
        </w:tc>
        <w:tc>
          <w:tcPr>
            <w:tcW w:w="40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780" w:type="dxa"/>
            <w:gridSpan w:val="2"/>
            <w:tcBorders>
              <w:top w:val="nil"/>
              <w:left w:val="nil"/>
              <w:bottom w:val="nil"/>
              <w:right w:val="nil"/>
            </w:tcBorders>
          </w:tcPr>
          <w:p w:rsidR="00267677" w:rsidRPr="0029558A" w:rsidRDefault="00267677" w:rsidP="00A31136">
            <w:pPr>
              <w:contextualSpacing/>
              <w:rPr>
                <w:rFonts w:ascii="Times New Roman" w:hAnsi="Times New Roman"/>
                <w:b/>
              </w:rPr>
            </w:pPr>
            <w:r w:rsidRPr="0029558A">
              <w:rPr>
                <w:rFonts w:ascii="Times New Roman" w:hAnsi="Times New Roman"/>
              </w:rPr>
              <w:t xml:space="preserve">    </w:t>
            </w:r>
            <w:r w:rsidRPr="0029558A">
              <w:rPr>
                <w:rFonts w:ascii="Times New Roman" w:hAnsi="Times New Roman"/>
                <w:b/>
              </w:rPr>
              <w:t>do</w:t>
            </w:r>
          </w:p>
        </w:tc>
        <w:tc>
          <w:tcPr>
            <w:tcW w:w="37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single" w:sz="4" w:space="0" w:color="auto"/>
              <w:left w:val="single" w:sz="4" w:space="0" w:color="auto"/>
              <w:bottom w:val="single" w:sz="4" w:space="0" w:color="auto"/>
              <w:right w:val="single" w:sz="4" w:space="0" w:color="auto"/>
            </w:tcBorders>
            <w:noWrap/>
            <w:vAlign w:val="bottom"/>
          </w:tcPr>
          <w:p w:rsidR="00267677" w:rsidRPr="0029558A" w:rsidRDefault="00267677" w:rsidP="00D2769B">
            <w:pPr>
              <w:contextualSpacing/>
              <w:jc w:val="center"/>
              <w:rPr>
                <w:rFonts w:ascii="Times New Roman" w:hAnsi="Times New Roman"/>
              </w:rPr>
            </w:pPr>
            <w:r w:rsidRPr="0029558A">
              <w:rPr>
                <w:rFonts w:ascii="Times New Roman" w:hAnsi="Times New Roman"/>
              </w:rPr>
              <w:t>1</w:t>
            </w:r>
          </w:p>
        </w:tc>
        <w:tc>
          <w:tcPr>
            <w:tcW w:w="305" w:type="dxa"/>
            <w:gridSpan w:val="2"/>
            <w:tcBorders>
              <w:top w:val="single" w:sz="4" w:space="0" w:color="auto"/>
              <w:left w:val="nil"/>
              <w:bottom w:val="single" w:sz="4" w:space="0" w:color="auto"/>
              <w:right w:val="single" w:sz="4" w:space="0" w:color="auto"/>
            </w:tcBorders>
            <w:noWrap/>
            <w:vAlign w:val="bottom"/>
          </w:tcPr>
          <w:p w:rsidR="00267677" w:rsidRPr="0029558A" w:rsidRDefault="00267677" w:rsidP="00D2769B">
            <w:pPr>
              <w:contextualSpacing/>
              <w:jc w:val="center"/>
              <w:rPr>
                <w:rFonts w:ascii="Times New Roman" w:hAnsi="Times New Roman"/>
              </w:rPr>
            </w:pPr>
            <w:r w:rsidRPr="0029558A">
              <w:rPr>
                <w:rFonts w:ascii="Times New Roman" w:hAnsi="Times New Roman"/>
              </w:rPr>
              <w:t>2</w:t>
            </w:r>
          </w:p>
        </w:tc>
        <w:tc>
          <w:tcPr>
            <w:tcW w:w="367" w:type="dxa"/>
            <w:gridSpan w:val="2"/>
            <w:tcBorders>
              <w:top w:val="nil"/>
              <w:left w:val="nil"/>
              <w:bottom w:val="nil"/>
              <w:right w:val="nil"/>
            </w:tcBorders>
            <w:noWrap/>
            <w:vAlign w:val="bottom"/>
          </w:tcPr>
          <w:p w:rsidR="00267677" w:rsidRPr="0029558A" w:rsidRDefault="00267677" w:rsidP="00D2769B">
            <w:pPr>
              <w:contextualSpacing/>
              <w:jc w:val="center"/>
              <w:rPr>
                <w:rFonts w:ascii="Times New Roman" w:hAnsi="Times New Roman"/>
              </w:rPr>
            </w:pPr>
          </w:p>
        </w:tc>
        <w:tc>
          <w:tcPr>
            <w:tcW w:w="314" w:type="dxa"/>
            <w:gridSpan w:val="2"/>
            <w:tcBorders>
              <w:top w:val="single" w:sz="4" w:space="0" w:color="auto"/>
              <w:left w:val="single" w:sz="4" w:space="0" w:color="auto"/>
              <w:bottom w:val="single" w:sz="4" w:space="0" w:color="auto"/>
              <w:right w:val="single" w:sz="4" w:space="0" w:color="auto"/>
            </w:tcBorders>
            <w:noWrap/>
            <w:vAlign w:val="bottom"/>
          </w:tcPr>
          <w:p w:rsidR="00267677" w:rsidRPr="0029558A" w:rsidRDefault="00267677" w:rsidP="00D2769B">
            <w:pPr>
              <w:contextualSpacing/>
              <w:jc w:val="center"/>
              <w:rPr>
                <w:rFonts w:ascii="Times New Roman" w:hAnsi="Times New Roman"/>
              </w:rPr>
            </w:pPr>
            <w:r w:rsidRPr="0029558A">
              <w:rPr>
                <w:rFonts w:ascii="Times New Roman" w:hAnsi="Times New Roman"/>
              </w:rPr>
              <w:t>2</w:t>
            </w:r>
          </w:p>
        </w:tc>
        <w:tc>
          <w:tcPr>
            <w:tcW w:w="458" w:type="dxa"/>
            <w:tcBorders>
              <w:top w:val="single" w:sz="4" w:space="0" w:color="auto"/>
              <w:left w:val="nil"/>
              <w:bottom w:val="single" w:sz="4" w:space="0" w:color="auto"/>
              <w:right w:val="single" w:sz="4" w:space="0" w:color="auto"/>
            </w:tcBorders>
            <w:noWrap/>
            <w:vAlign w:val="bottom"/>
          </w:tcPr>
          <w:p w:rsidR="00267677" w:rsidRPr="0029558A" w:rsidRDefault="00267677" w:rsidP="00D2769B">
            <w:pPr>
              <w:contextualSpacing/>
              <w:jc w:val="center"/>
              <w:rPr>
                <w:rFonts w:ascii="Times New Roman" w:hAnsi="Times New Roman"/>
              </w:rPr>
            </w:pPr>
            <w:r w:rsidRPr="0029558A">
              <w:rPr>
                <w:rFonts w:ascii="Times New Roman" w:hAnsi="Times New Roman"/>
              </w:rPr>
              <w:t>0</w:t>
            </w:r>
          </w:p>
        </w:tc>
        <w:tc>
          <w:tcPr>
            <w:tcW w:w="426" w:type="dxa"/>
            <w:tcBorders>
              <w:top w:val="single" w:sz="4" w:space="0" w:color="auto"/>
              <w:left w:val="nil"/>
              <w:bottom w:val="single" w:sz="4" w:space="0" w:color="auto"/>
              <w:right w:val="single" w:sz="4" w:space="0" w:color="auto"/>
            </w:tcBorders>
            <w:noWrap/>
            <w:vAlign w:val="bottom"/>
          </w:tcPr>
          <w:p w:rsidR="00267677" w:rsidRPr="0029558A" w:rsidRDefault="00267677" w:rsidP="00D2769B">
            <w:pPr>
              <w:contextualSpacing/>
              <w:jc w:val="center"/>
              <w:rPr>
                <w:rFonts w:ascii="Times New Roman" w:hAnsi="Times New Roman"/>
              </w:rPr>
            </w:pPr>
            <w:r w:rsidRPr="0029558A">
              <w:rPr>
                <w:rFonts w:ascii="Times New Roman" w:hAnsi="Times New Roman"/>
              </w:rPr>
              <w:t>1</w:t>
            </w:r>
          </w:p>
        </w:tc>
        <w:tc>
          <w:tcPr>
            <w:tcW w:w="305" w:type="dxa"/>
            <w:tcBorders>
              <w:top w:val="single" w:sz="4" w:space="0" w:color="auto"/>
              <w:left w:val="nil"/>
              <w:bottom w:val="single" w:sz="4" w:space="0" w:color="auto"/>
              <w:right w:val="single" w:sz="4" w:space="0" w:color="auto"/>
            </w:tcBorders>
            <w:noWrap/>
            <w:vAlign w:val="bottom"/>
          </w:tcPr>
          <w:p w:rsidR="00267677" w:rsidRPr="0029558A" w:rsidRDefault="002A0F75" w:rsidP="00D2769B">
            <w:pPr>
              <w:contextualSpacing/>
              <w:jc w:val="center"/>
              <w:rPr>
                <w:rFonts w:ascii="Times New Roman" w:hAnsi="Times New Roman"/>
              </w:rPr>
            </w:pPr>
            <w:r>
              <w:rPr>
                <w:rFonts w:ascii="Times New Roman" w:hAnsi="Times New Roman"/>
              </w:rPr>
              <w:t>7</w:t>
            </w:r>
          </w:p>
        </w:tc>
        <w:tc>
          <w:tcPr>
            <w:tcW w:w="44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848"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181"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21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F33619" w:rsidRPr="00267677" w:rsidTr="00F33619">
        <w:trPr>
          <w:gridAfter w:val="4"/>
          <w:wAfter w:w="269" w:type="dxa"/>
          <w:trHeight w:val="162"/>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1847" w:type="dxa"/>
            <w:gridSpan w:val="6"/>
            <w:vMerge/>
            <w:tcBorders>
              <w:top w:val="nil"/>
              <w:left w:val="nil"/>
              <w:bottom w:val="nil"/>
              <w:right w:val="nil"/>
            </w:tcBorders>
            <w:vAlign w:val="center"/>
          </w:tcPr>
          <w:p w:rsidR="00267677" w:rsidRPr="0029558A" w:rsidRDefault="00267677" w:rsidP="00A31136">
            <w:pPr>
              <w:contextualSpacing/>
              <w:rPr>
                <w:rFonts w:ascii="Times New Roman" w:hAnsi="Times New Roman"/>
              </w:rPr>
            </w:pPr>
          </w:p>
        </w:tc>
        <w:tc>
          <w:tcPr>
            <w:tcW w:w="310"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83"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1"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43"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3"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0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2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7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67"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4"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58"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2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4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848"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181"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21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F33619" w:rsidRPr="00267677" w:rsidTr="00F33619">
        <w:trPr>
          <w:gridAfter w:val="3"/>
          <w:wAfter w:w="245" w:type="dxa"/>
          <w:trHeight w:val="162"/>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661" w:type="dxa"/>
            <w:gridSpan w:val="2"/>
            <w:tcBorders>
              <w:top w:val="nil"/>
              <w:left w:val="nil"/>
              <w:bottom w:val="nil"/>
              <w:right w:val="nil"/>
            </w:tcBorders>
          </w:tcPr>
          <w:p w:rsidR="00267677" w:rsidRPr="0029558A" w:rsidRDefault="00267677" w:rsidP="00A31136">
            <w:pPr>
              <w:contextualSpacing/>
              <w:rPr>
                <w:rFonts w:ascii="Times New Roman" w:hAnsi="Times New Roman"/>
              </w:rPr>
            </w:pPr>
          </w:p>
        </w:tc>
        <w:tc>
          <w:tcPr>
            <w:tcW w:w="309"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1"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0"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83"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1"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43"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3"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0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2497" w:type="dxa"/>
            <w:gridSpan w:val="10"/>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r w:rsidRPr="0029558A">
              <w:rPr>
                <w:rFonts w:ascii="Times New Roman" w:hAnsi="Times New Roman"/>
                <w:b/>
              </w:rPr>
              <w:t>Účtovná závierka:</w:t>
            </w: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58"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2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4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872" w:type="dxa"/>
            <w:gridSpan w:val="3"/>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181"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21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F33619" w:rsidRPr="00267677" w:rsidTr="00F33619">
        <w:trPr>
          <w:gridAfter w:val="3"/>
          <w:wAfter w:w="245" w:type="dxa"/>
          <w:trHeight w:val="162"/>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9"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1"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0"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83"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1"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43"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3"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0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single" w:sz="4" w:space="0" w:color="auto"/>
              <w:left w:val="single" w:sz="4" w:space="0" w:color="auto"/>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X</w:t>
            </w:r>
          </w:p>
        </w:tc>
        <w:tc>
          <w:tcPr>
            <w:tcW w:w="35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1788" w:type="dxa"/>
            <w:gridSpan w:val="8"/>
            <w:tcBorders>
              <w:top w:val="nil"/>
              <w:left w:val="nil"/>
              <w:bottom w:val="nil"/>
              <w:right w:val="nil"/>
            </w:tcBorders>
          </w:tcPr>
          <w:p w:rsidR="00267677" w:rsidRPr="0029558A" w:rsidRDefault="00267677" w:rsidP="00A31136">
            <w:pPr>
              <w:contextualSpacing/>
              <w:rPr>
                <w:rFonts w:ascii="Times New Roman" w:hAnsi="Times New Roman"/>
                <w:b/>
              </w:rPr>
            </w:pPr>
            <w:r w:rsidRPr="0029558A">
              <w:rPr>
                <w:rFonts w:ascii="Times New Roman" w:hAnsi="Times New Roman"/>
                <w:b/>
              </w:rPr>
              <w:t>riadna</w:t>
            </w: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58"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2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4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872" w:type="dxa"/>
            <w:gridSpan w:val="3"/>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181"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21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F33619" w:rsidRPr="00267677" w:rsidTr="00F33619">
        <w:trPr>
          <w:gridAfter w:val="3"/>
          <w:wAfter w:w="245" w:type="dxa"/>
          <w:trHeight w:val="162"/>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9"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1"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0"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83"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1"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43"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3"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0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single" w:sz="4" w:space="0" w:color="auto"/>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5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xml:space="preserve"> </w:t>
            </w:r>
          </w:p>
        </w:tc>
        <w:tc>
          <w:tcPr>
            <w:tcW w:w="2093" w:type="dxa"/>
            <w:gridSpan w:val="9"/>
            <w:tcBorders>
              <w:top w:val="nil"/>
              <w:left w:val="nil"/>
              <w:bottom w:val="nil"/>
              <w:right w:val="nil"/>
            </w:tcBorders>
            <w:vAlign w:val="bottom"/>
          </w:tcPr>
          <w:p w:rsidR="00267677" w:rsidRPr="0029558A" w:rsidRDefault="00267677" w:rsidP="00A31136">
            <w:pPr>
              <w:contextualSpacing/>
              <w:rPr>
                <w:rFonts w:ascii="Times New Roman" w:hAnsi="Times New Roman"/>
                <w:b/>
              </w:rPr>
            </w:pPr>
            <w:r w:rsidRPr="0029558A">
              <w:rPr>
                <w:rFonts w:ascii="Times New Roman" w:hAnsi="Times New Roman"/>
                <w:b/>
              </w:rPr>
              <w:t>mimoriadna</w:t>
            </w:r>
          </w:p>
        </w:tc>
        <w:tc>
          <w:tcPr>
            <w:tcW w:w="458"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2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4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872" w:type="dxa"/>
            <w:gridSpan w:val="3"/>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181"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21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F33619" w:rsidRPr="00267677" w:rsidTr="00F33619">
        <w:trPr>
          <w:gridAfter w:val="4"/>
          <w:wAfter w:w="269" w:type="dxa"/>
          <w:trHeight w:val="162"/>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9"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1"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0"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83"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1"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43"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3"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0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nil"/>
              <w:bottom w:val="nil"/>
              <w:right w:val="nil"/>
            </w:tcBorders>
          </w:tcPr>
          <w:p w:rsidR="00267677" w:rsidRPr="0029558A" w:rsidRDefault="00267677" w:rsidP="00A31136">
            <w:pPr>
              <w:contextualSpacing/>
              <w:rPr>
                <w:rFonts w:ascii="Times New Roman" w:hAnsi="Times New Roman"/>
              </w:rPr>
            </w:pPr>
          </w:p>
        </w:tc>
        <w:tc>
          <w:tcPr>
            <w:tcW w:w="355" w:type="dxa"/>
            <w:tcBorders>
              <w:top w:val="nil"/>
              <w:left w:val="nil"/>
              <w:bottom w:val="nil"/>
              <w:right w:val="nil"/>
            </w:tcBorders>
          </w:tcPr>
          <w:p w:rsidR="00267677" w:rsidRPr="0029558A" w:rsidRDefault="00267677" w:rsidP="00A31136">
            <w:pPr>
              <w:contextualSpacing/>
              <w:rPr>
                <w:rFonts w:ascii="Times New Roman" w:hAnsi="Times New Roman"/>
              </w:rPr>
            </w:pPr>
          </w:p>
        </w:tc>
        <w:tc>
          <w:tcPr>
            <w:tcW w:w="425" w:type="dxa"/>
            <w:tcBorders>
              <w:top w:val="nil"/>
              <w:left w:val="nil"/>
              <w:bottom w:val="nil"/>
              <w:right w:val="nil"/>
            </w:tcBorders>
          </w:tcPr>
          <w:p w:rsidR="00267677" w:rsidRPr="0029558A" w:rsidRDefault="00267677" w:rsidP="00A31136">
            <w:pPr>
              <w:contextualSpacing/>
              <w:rPr>
                <w:rFonts w:ascii="Times New Roman" w:hAnsi="Times New Roman"/>
              </w:rPr>
            </w:pPr>
          </w:p>
        </w:tc>
        <w:tc>
          <w:tcPr>
            <w:tcW w:w="377" w:type="dxa"/>
            <w:tcBorders>
              <w:top w:val="nil"/>
              <w:left w:val="nil"/>
              <w:bottom w:val="nil"/>
              <w:right w:val="nil"/>
            </w:tcBorders>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tcPr>
          <w:p w:rsidR="00267677" w:rsidRPr="0029558A" w:rsidRDefault="00267677" w:rsidP="00A31136">
            <w:pPr>
              <w:contextualSpacing/>
              <w:rPr>
                <w:rFonts w:ascii="Times New Roman" w:hAnsi="Times New Roman"/>
              </w:rPr>
            </w:pPr>
          </w:p>
        </w:tc>
        <w:tc>
          <w:tcPr>
            <w:tcW w:w="305" w:type="dxa"/>
            <w:gridSpan w:val="2"/>
            <w:tcBorders>
              <w:top w:val="nil"/>
              <w:left w:val="nil"/>
              <w:bottom w:val="nil"/>
              <w:right w:val="nil"/>
            </w:tcBorders>
          </w:tcPr>
          <w:p w:rsidR="00267677" w:rsidRPr="0029558A" w:rsidRDefault="00267677" w:rsidP="00A31136">
            <w:pPr>
              <w:contextualSpacing/>
              <w:rPr>
                <w:rFonts w:ascii="Times New Roman" w:hAnsi="Times New Roman"/>
              </w:rPr>
            </w:pPr>
          </w:p>
        </w:tc>
        <w:tc>
          <w:tcPr>
            <w:tcW w:w="367" w:type="dxa"/>
            <w:gridSpan w:val="2"/>
            <w:tcBorders>
              <w:top w:val="nil"/>
              <w:left w:val="nil"/>
              <w:bottom w:val="nil"/>
              <w:right w:val="nil"/>
            </w:tcBorders>
          </w:tcPr>
          <w:p w:rsidR="00267677" w:rsidRPr="0029558A" w:rsidRDefault="00267677" w:rsidP="00A31136">
            <w:pPr>
              <w:contextualSpacing/>
              <w:rPr>
                <w:rFonts w:ascii="Times New Roman" w:hAnsi="Times New Roman"/>
              </w:rPr>
            </w:pPr>
          </w:p>
        </w:tc>
        <w:tc>
          <w:tcPr>
            <w:tcW w:w="314"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58"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2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4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848"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181"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21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F33619" w:rsidRPr="00267677" w:rsidTr="00F33619">
        <w:trPr>
          <w:gridAfter w:val="3"/>
          <w:wAfter w:w="245" w:type="dxa"/>
          <w:trHeight w:val="162"/>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9"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1"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0"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83"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1"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43"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3"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0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2130" w:type="dxa"/>
            <w:gridSpan w:val="8"/>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r w:rsidRPr="0029558A">
              <w:rPr>
                <w:rFonts w:ascii="Times New Roman" w:hAnsi="Times New Roman"/>
                <w:b/>
              </w:rPr>
              <w:t>vyznačuje sa X</w:t>
            </w:r>
          </w:p>
        </w:tc>
        <w:tc>
          <w:tcPr>
            <w:tcW w:w="367" w:type="dxa"/>
            <w:gridSpan w:val="2"/>
            <w:tcBorders>
              <w:top w:val="nil"/>
              <w:left w:val="nil"/>
              <w:bottom w:val="nil"/>
              <w:right w:val="nil"/>
            </w:tcBorders>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tcPr>
          <w:p w:rsidR="00267677" w:rsidRPr="0029558A" w:rsidRDefault="00267677" w:rsidP="00A31136">
            <w:pPr>
              <w:contextualSpacing/>
              <w:rPr>
                <w:rFonts w:ascii="Times New Roman" w:hAnsi="Times New Roman"/>
              </w:rPr>
            </w:pPr>
          </w:p>
        </w:tc>
        <w:tc>
          <w:tcPr>
            <w:tcW w:w="458" w:type="dxa"/>
            <w:tcBorders>
              <w:top w:val="nil"/>
              <w:left w:val="nil"/>
              <w:bottom w:val="nil"/>
              <w:right w:val="nil"/>
            </w:tcBorders>
          </w:tcPr>
          <w:p w:rsidR="00267677" w:rsidRPr="0029558A" w:rsidRDefault="00267677" w:rsidP="00A31136">
            <w:pPr>
              <w:contextualSpacing/>
              <w:rPr>
                <w:rFonts w:ascii="Times New Roman" w:hAnsi="Times New Roman"/>
              </w:rPr>
            </w:pPr>
          </w:p>
        </w:tc>
        <w:tc>
          <w:tcPr>
            <w:tcW w:w="426" w:type="dxa"/>
            <w:tcBorders>
              <w:top w:val="nil"/>
              <w:left w:val="nil"/>
              <w:bottom w:val="nil"/>
              <w:right w:val="nil"/>
            </w:tcBorders>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vAlign w:val="bottom"/>
          </w:tcPr>
          <w:p w:rsidR="00267677" w:rsidRPr="0029558A" w:rsidRDefault="00267677" w:rsidP="00A31136">
            <w:pPr>
              <w:contextualSpacing/>
              <w:rPr>
                <w:rFonts w:ascii="Times New Roman" w:hAnsi="Times New Roman"/>
              </w:rPr>
            </w:pPr>
          </w:p>
        </w:tc>
        <w:tc>
          <w:tcPr>
            <w:tcW w:w="446" w:type="dxa"/>
            <w:tcBorders>
              <w:top w:val="nil"/>
              <w:left w:val="nil"/>
              <w:bottom w:val="nil"/>
              <w:right w:val="nil"/>
            </w:tcBorders>
            <w:vAlign w:val="bottom"/>
          </w:tcPr>
          <w:p w:rsidR="00267677" w:rsidRPr="0029558A" w:rsidRDefault="00267677" w:rsidP="00A31136">
            <w:pPr>
              <w:contextualSpacing/>
              <w:rPr>
                <w:rFonts w:ascii="Times New Roman" w:hAnsi="Times New Roman"/>
              </w:rPr>
            </w:pPr>
          </w:p>
        </w:tc>
        <w:tc>
          <w:tcPr>
            <w:tcW w:w="872" w:type="dxa"/>
            <w:gridSpan w:val="3"/>
            <w:tcBorders>
              <w:top w:val="nil"/>
              <w:left w:val="nil"/>
              <w:bottom w:val="nil"/>
              <w:right w:val="nil"/>
            </w:tcBorders>
            <w:vAlign w:val="bottom"/>
          </w:tcPr>
          <w:p w:rsidR="00267677" w:rsidRPr="00267677" w:rsidRDefault="00267677" w:rsidP="00A31136">
            <w:pPr>
              <w:contextualSpacing/>
              <w:rPr>
                <w:rFonts w:ascii="Arial Narrow" w:hAnsi="Arial Narrow" w:cs="Arial"/>
              </w:rPr>
            </w:pPr>
          </w:p>
        </w:tc>
        <w:tc>
          <w:tcPr>
            <w:tcW w:w="181"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21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F33619" w:rsidRPr="00267677" w:rsidTr="00F33619">
        <w:trPr>
          <w:gridAfter w:val="3"/>
          <w:wAfter w:w="245" w:type="dxa"/>
          <w:trHeight w:val="162"/>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9"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1"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0"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83"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1"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43"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3"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0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2551" w:type="dxa"/>
            <w:gridSpan w:val="10"/>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2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4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872" w:type="dxa"/>
            <w:gridSpan w:val="3"/>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181"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21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267677" w:rsidRPr="00267677" w:rsidTr="00F33619">
        <w:trPr>
          <w:gridAfter w:val="4"/>
          <w:wAfter w:w="269" w:type="dxa"/>
          <w:trHeight w:val="162"/>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970" w:type="dxa"/>
            <w:gridSpan w:val="3"/>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r w:rsidRPr="0029558A">
              <w:rPr>
                <w:rFonts w:ascii="Times New Roman" w:hAnsi="Times New Roman"/>
                <w:b/>
              </w:rPr>
              <w:t>IČO</w:t>
            </w: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11"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10"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83"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344" w:type="dxa"/>
            <w:gridSpan w:val="11"/>
            <w:tcBorders>
              <w:top w:val="nil"/>
              <w:left w:val="nil"/>
              <w:bottom w:val="single" w:sz="4" w:space="0" w:color="auto"/>
              <w:right w:val="nil"/>
            </w:tcBorders>
            <w:noWrap/>
            <w:vAlign w:val="bottom"/>
          </w:tcPr>
          <w:p w:rsidR="00267677" w:rsidRPr="0029558A" w:rsidRDefault="00267677" w:rsidP="00A31136">
            <w:pPr>
              <w:contextualSpacing/>
              <w:rPr>
                <w:rFonts w:ascii="Times New Roman" w:hAnsi="Times New Roman"/>
                <w:b/>
              </w:rPr>
            </w:pPr>
            <w:r w:rsidRPr="0029558A">
              <w:rPr>
                <w:rFonts w:ascii="Times New Roman" w:hAnsi="Times New Roman"/>
                <w:b/>
              </w:rPr>
              <w:t>Daňové identifikačné číslo</w:t>
            </w:r>
          </w:p>
        </w:tc>
        <w:tc>
          <w:tcPr>
            <w:tcW w:w="42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2857" w:type="dxa"/>
            <w:gridSpan w:val="11"/>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446"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848"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b/>
              </w:rPr>
            </w:pPr>
          </w:p>
        </w:tc>
        <w:tc>
          <w:tcPr>
            <w:tcW w:w="181"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b/>
              </w:rPr>
            </w:pPr>
          </w:p>
        </w:tc>
        <w:tc>
          <w:tcPr>
            <w:tcW w:w="21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b/>
              </w:rPr>
            </w:pPr>
          </w:p>
        </w:tc>
      </w:tr>
      <w:tr w:rsidR="00F33619" w:rsidRPr="00267677" w:rsidTr="00F33619">
        <w:trPr>
          <w:gridAfter w:val="4"/>
          <w:wAfter w:w="269" w:type="dxa"/>
          <w:trHeight w:val="162"/>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single" w:sz="4" w:space="0" w:color="auto"/>
              <w:left w:val="single" w:sz="4" w:space="0" w:color="auto"/>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3</w:t>
            </w:r>
          </w:p>
        </w:tc>
        <w:tc>
          <w:tcPr>
            <w:tcW w:w="307"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0</w:t>
            </w:r>
          </w:p>
        </w:tc>
        <w:tc>
          <w:tcPr>
            <w:tcW w:w="309"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8</w:t>
            </w:r>
          </w:p>
        </w:tc>
        <w:tc>
          <w:tcPr>
            <w:tcW w:w="307"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0</w:t>
            </w:r>
          </w:p>
        </w:tc>
        <w:tc>
          <w:tcPr>
            <w:tcW w:w="306"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7</w:t>
            </w:r>
          </w:p>
        </w:tc>
        <w:tc>
          <w:tcPr>
            <w:tcW w:w="311"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4</w:t>
            </w:r>
          </w:p>
        </w:tc>
        <w:tc>
          <w:tcPr>
            <w:tcW w:w="307"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8</w:t>
            </w:r>
          </w:p>
        </w:tc>
        <w:tc>
          <w:tcPr>
            <w:tcW w:w="310"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4</w:t>
            </w:r>
          </w:p>
        </w:tc>
        <w:tc>
          <w:tcPr>
            <w:tcW w:w="383"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single" w:sz="4" w:space="0" w:color="auto"/>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2</w:t>
            </w:r>
          </w:p>
        </w:tc>
        <w:tc>
          <w:tcPr>
            <w:tcW w:w="317" w:type="dxa"/>
            <w:tcBorders>
              <w:top w:val="nil"/>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0</w:t>
            </w:r>
          </w:p>
        </w:tc>
        <w:tc>
          <w:tcPr>
            <w:tcW w:w="301" w:type="dxa"/>
            <w:tcBorders>
              <w:top w:val="nil"/>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2</w:t>
            </w:r>
          </w:p>
        </w:tc>
        <w:tc>
          <w:tcPr>
            <w:tcW w:w="306" w:type="dxa"/>
            <w:tcBorders>
              <w:top w:val="nil"/>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0</w:t>
            </w:r>
          </w:p>
        </w:tc>
        <w:tc>
          <w:tcPr>
            <w:tcW w:w="343" w:type="dxa"/>
            <w:gridSpan w:val="2"/>
            <w:tcBorders>
              <w:top w:val="nil"/>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5</w:t>
            </w:r>
          </w:p>
        </w:tc>
        <w:tc>
          <w:tcPr>
            <w:tcW w:w="353" w:type="dxa"/>
            <w:tcBorders>
              <w:top w:val="nil"/>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9</w:t>
            </w:r>
          </w:p>
        </w:tc>
        <w:tc>
          <w:tcPr>
            <w:tcW w:w="305" w:type="dxa"/>
            <w:tcBorders>
              <w:top w:val="nil"/>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2</w:t>
            </w:r>
          </w:p>
        </w:tc>
        <w:tc>
          <w:tcPr>
            <w:tcW w:w="404" w:type="dxa"/>
            <w:tcBorders>
              <w:top w:val="nil"/>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3</w:t>
            </w:r>
          </w:p>
        </w:tc>
        <w:tc>
          <w:tcPr>
            <w:tcW w:w="354" w:type="dxa"/>
            <w:tcBorders>
              <w:top w:val="nil"/>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3</w:t>
            </w:r>
          </w:p>
        </w:tc>
        <w:tc>
          <w:tcPr>
            <w:tcW w:w="355" w:type="dxa"/>
            <w:tcBorders>
              <w:top w:val="nil"/>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2</w:t>
            </w:r>
          </w:p>
        </w:tc>
        <w:tc>
          <w:tcPr>
            <w:tcW w:w="425" w:type="dxa"/>
            <w:tcBorders>
              <w:top w:val="nil"/>
              <w:left w:val="nil"/>
              <w:bottom w:val="nil"/>
            </w:tcBorders>
            <w:noWrap/>
            <w:vAlign w:val="bottom"/>
          </w:tcPr>
          <w:p w:rsidR="00267677" w:rsidRPr="0029558A" w:rsidRDefault="00267677" w:rsidP="00A31136">
            <w:pPr>
              <w:contextualSpacing/>
              <w:rPr>
                <w:rFonts w:ascii="Times New Roman" w:hAnsi="Times New Roman"/>
              </w:rPr>
            </w:pPr>
          </w:p>
        </w:tc>
        <w:tc>
          <w:tcPr>
            <w:tcW w:w="377" w:type="dxa"/>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05" w:type="dxa"/>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05" w:type="dxa"/>
            <w:gridSpan w:val="2"/>
            <w:noWrap/>
            <w:vAlign w:val="bottom"/>
          </w:tcPr>
          <w:p w:rsidR="00267677" w:rsidRPr="0029558A" w:rsidRDefault="00267677" w:rsidP="00A31136">
            <w:pPr>
              <w:contextualSpacing/>
              <w:rPr>
                <w:rFonts w:ascii="Times New Roman" w:hAnsi="Times New Roman"/>
              </w:rPr>
            </w:pPr>
          </w:p>
        </w:tc>
        <w:tc>
          <w:tcPr>
            <w:tcW w:w="367" w:type="dxa"/>
            <w:gridSpan w:val="2"/>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14" w:type="dxa"/>
            <w:gridSpan w:val="2"/>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458" w:type="dxa"/>
            <w:noWrap/>
            <w:vAlign w:val="bottom"/>
          </w:tcPr>
          <w:p w:rsidR="00267677" w:rsidRPr="0029558A" w:rsidRDefault="00267677" w:rsidP="00A31136">
            <w:pPr>
              <w:contextualSpacing/>
              <w:rPr>
                <w:rFonts w:ascii="Times New Roman" w:hAnsi="Times New Roman"/>
              </w:rPr>
            </w:pPr>
          </w:p>
        </w:tc>
        <w:tc>
          <w:tcPr>
            <w:tcW w:w="426" w:type="dxa"/>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4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848"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181"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21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F33619" w:rsidRPr="00267677" w:rsidTr="00F33619">
        <w:trPr>
          <w:gridAfter w:val="4"/>
          <w:wAfter w:w="269" w:type="dxa"/>
          <w:trHeight w:val="162"/>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9"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1"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0"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83"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left w:val="nil"/>
              <w:bottom w:val="nil"/>
              <w:right w:val="nil"/>
            </w:tcBorders>
            <w:noWrap/>
            <w:vAlign w:val="bottom"/>
          </w:tcPr>
          <w:p w:rsidR="00267677" w:rsidRPr="0029558A" w:rsidRDefault="00267677" w:rsidP="00A31136">
            <w:pPr>
              <w:contextualSpacing/>
              <w:rPr>
                <w:rFonts w:ascii="Times New Roman" w:hAnsi="Times New Roman"/>
              </w:rPr>
            </w:pPr>
          </w:p>
        </w:tc>
        <w:tc>
          <w:tcPr>
            <w:tcW w:w="317" w:type="dxa"/>
            <w:tcBorders>
              <w:left w:val="nil"/>
              <w:bottom w:val="nil"/>
              <w:right w:val="nil"/>
            </w:tcBorders>
            <w:noWrap/>
            <w:vAlign w:val="bottom"/>
          </w:tcPr>
          <w:p w:rsidR="00267677" w:rsidRPr="0029558A" w:rsidRDefault="00267677" w:rsidP="00A31136">
            <w:pPr>
              <w:contextualSpacing/>
              <w:rPr>
                <w:rFonts w:ascii="Times New Roman" w:hAnsi="Times New Roman"/>
              </w:rPr>
            </w:pPr>
          </w:p>
        </w:tc>
        <w:tc>
          <w:tcPr>
            <w:tcW w:w="301" w:type="dxa"/>
            <w:tcBorders>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left w:val="nil"/>
              <w:bottom w:val="nil"/>
              <w:right w:val="nil"/>
            </w:tcBorders>
            <w:noWrap/>
            <w:vAlign w:val="bottom"/>
          </w:tcPr>
          <w:p w:rsidR="00267677" w:rsidRPr="0029558A" w:rsidRDefault="00267677" w:rsidP="00A31136">
            <w:pPr>
              <w:contextualSpacing/>
              <w:rPr>
                <w:rFonts w:ascii="Times New Roman" w:hAnsi="Times New Roman"/>
              </w:rPr>
            </w:pPr>
          </w:p>
        </w:tc>
        <w:tc>
          <w:tcPr>
            <w:tcW w:w="343" w:type="dxa"/>
            <w:gridSpan w:val="2"/>
            <w:tcBorders>
              <w:left w:val="nil"/>
              <w:bottom w:val="nil"/>
              <w:right w:val="nil"/>
            </w:tcBorders>
            <w:noWrap/>
            <w:vAlign w:val="bottom"/>
          </w:tcPr>
          <w:p w:rsidR="00267677" w:rsidRPr="0029558A" w:rsidRDefault="00267677" w:rsidP="00A31136">
            <w:pPr>
              <w:contextualSpacing/>
              <w:rPr>
                <w:rFonts w:ascii="Times New Roman" w:hAnsi="Times New Roman"/>
              </w:rPr>
            </w:pPr>
          </w:p>
        </w:tc>
        <w:tc>
          <w:tcPr>
            <w:tcW w:w="353" w:type="dxa"/>
            <w:tcBorders>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left w:val="nil"/>
              <w:bottom w:val="nil"/>
              <w:right w:val="nil"/>
            </w:tcBorders>
            <w:noWrap/>
            <w:vAlign w:val="bottom"/>
          </w:tcPr>
          <w:p w:rsidR="00267677" w:rsidRPr="0029558A" w:rsidRDefault="00267677" w:rsidP="00A31136">
            <w:pPr>
              <w:contextualSpacing/>
              <w:rPr>
                <w:rFonts w:ascii="Times New Roman" w:hAnsi="Times New Roman"/>
              </w:rPr>
            </w:pPr>
          </w:p>
        </w:tc>
        <w:tc>
          <w:tcPr>
            <w:tcW w:w="404" w:type="dxa"/>
            <w:tcBorders>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left w:val="nil"/>
              <w:bottom w:val="nil"/>
              <w:right w:val="nil"/>
            </w:tcBorders>
            <w:noWrap/>
            <w:vAlign w:val="bottom"/>
          </w:tcPr>
          <w:p w:rsidR="00267677" w:rsidRPr="0029558A" w:rsidRDefault="00267677" w:rsidP="00A31136">
            <w:pPr>
              <w:contextualSpacing/>
              <w:rPr>
                <w:rFonts w:ascii="Times New Roman" w:hAnsi="Times New Roman"/>
              </w:rPr>
            </w:pPr>
          </w:p>
        </w:tc>
        <w:tc>
          <w:tcPr>
            <w:tcW w:w="355" w:type="dxa"/>
            <w:tcBorders>
              <w:left w:val="nil"/>
              <w:bottom w:val="nil"/>
              <w:right w:val="nil"/>
            </w:tcBorders>
            <w:noWrap/>
            <w:vAlign w:val="bottom"/>
          </w:tcPr>
          <w:p w:rsidR="00267677" w:rsidRPr="0029558A" w:rsidRDefault="00267677" w:rsidP="00A31136">
            <w:pPr>
              <w:contextualSpacing/>
              <w:rPr>
                <w:rFonts w:ascii="Times New Roman" w:hAnsi="Times New Roman"/>
              </w:rPr>
            </w:pPr>
          </w:p>
        </w:tc>
        <w:tc>
          <w:tcPr>
            <w:tcW w:w="425" w:type="dxa"/>
            <w:tcBorders>
              <w:left w:val="nil"/>
              <w:bottom w:val="nil"/>
              <w:right w:val="nil"/>
            </w:tcBorders>
            <w:noWrap/>
            <w:vAlign w:val="bottom"/>
          </w:tcPr>
          <w:p w:rsidR="00267677" w:rsidRPr="0029558A" w:rsidRDefault="00267677" w:rsidP="00A31136">
            <w:pPr>
              <w:contextualSpacing/>
              <w:rPr>
                <w:rFonts w:ascii="Times New Roman" w:hAnsi="Times New Roman"/>
              </w:rPr>
            </w:pPr>
          </w:p>
        </w:tc>
        <w:tc>
          <w:tcPr>
            <w:tcW w:w="377" w:type="dxa"/>
            <w:tcBorders>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gridSpan w:val="2"/>
            <w:tcBorders>
              <w:left w:val="nil"/>
              <w:bottom w:val="nil"/>
              <w:right w:val="nil"/>
            </w:tcBorders>
            <w:noWrap/>
            <w:vAlign w:val="bottom"/>
          </w:tcPr>
          <w:p w:rsidR="00267677" w:rsidRPr="0029558A" w:rsidRDefault="00267677" w:rsidP="00A31136">
            <w:pPr>
              <w:contextualSpacing/>
              <w:rPr>
                <w:rFonts w:ascii="Times New Roman" w:hAnsi="Times New Roman"/>
              </w:rPr>
            </w:pPr>
          </w:p>
        </w:tc>
        <w:tc>
          <w:tcPr>
            <w:tcW w:w="367" w:type="dxa"/>
            <w:gridSpan w:val="2"/>
            <w:tcBorders>
              <w:left w:val="nil"/>
              <w:bottom w:val="nil"/>
              <w:right w:val="nil"/>
            </w:tcBorders>
            <w:noWrap/>
            <w:vAlign w:val="bottom"/>
          </w:tcPr>
          <w:p w:rsidR="00267677" w:rsidRPr="0029558A" w:rsidRDefault="00267677" w:rsidP="00A31136">
            <w:pPr>
              <w:contextualSpacing/>
              <w:rPr>
                <w:rFonts w:ascii="Times New Roman" w:hAnsi="Times New Roman"/>
              </w:rPr>
            </w:pPr>
          </w:p>
        </w:tc>
        <w:tc>
          <w:tcPr>
            <w:tcW w:w="314" w:type="dxa"/>
            <w:gridSpan w:val="2"/>
            <w:tcBorders>
              <w:left w:val="nil"/>
              <w:bottom w:val="nil"/>
              <w:right w:val="nil"/>
            </w:tcBorders>
            <w:noWrap/>
            <w:vAlign w:val="bottom"/>
          </w:tcPr>
          <w:p w:rsidR="00267677" w:rsidRPr="0029558A" w:rsidRDefault="00267677" w:rsidP="00A31136">
            <w:pPr>
              <w:contextualSpacing/>
              <w:rPr>
                <w:rFonts w:ascii="Times New Roman" w:hAnsi="Times New Roman"/>
              </w:rPr>
            </w:pPr>
          </w:p>
        </w:tc>
        <w:tc>
          <w:tcPr>
            <w:tcW w:w="458" w:type="dxa"/>
            <w:tcBorders>
              <w:left w:val="nil"/>
              <w:bottom w:val="nil"/>
              <w:right w:val="nil"/>
            </w:tcBorders>
            <w:noWrap/>
            <w:vAlign w:val="bottom"/>
          </w:tcPr>
          <w:p w:rsidR="00267677" w:rsidRPr="0029558A" w:rsidRDefault="00267677" w:rsidP="00A31136">
            <w:pPr>
              <w:contextualSpacing/>
              <w:rPr>
                <w:rFonts w:ascii="Times New Roman" w:hAnsi="Times New Roman"/>
              </w:rPr>
            </w:pPr>
          </w:p>
        </w:tc>
        <w:tc>
          <w:tcPr>
            <w:tcW w:w="426" w:type="dxa"/>
            <w:tcBorders>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4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848"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181"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21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F33619" w:rsidRPr="00267677" w:rsidTr="00F33619">
        <w:trPr>
          <w:gridAfter w:val="4"/>
          <w:wAfter w:w="269" w:type="dxa"/>
          <w:trHeight w:val="162"/>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5529" w:type="dxa"/>
            <w:gridSpan w:val="18"/>
            <w:tcBorders>
              <w:top w:val="nil"/>
              <w:left w:val="nil"/>
              <w:bottom w:val="nil"/>
              <w:right w:val="nil"/>
            </w:tcBorders>
          </w:tcPr>
          <w:p w:rsidR="00267677" w:rsidRPr="0029558A" w:rsidRDefault="00267677" w:rsidP="00A31136">
            <w:pPr>
              <w:contextualSpacing/>
              <w:rPr>
                <w:rFonts w:ascii="Times New Roman" w:hAnsi="Times New Roman"/>
                <w:b/>
              </w:rPr>
            </w:pPr>
            <w:r w:rsidRPr="0029558A">
              <w:rPr>
                <w:rFonts w:ascii="Times New Roman" w:hAnsi="Times New Roman"/>
                <w:b/>
              </w:rPr>
              <w:t>Názov účtovnej jednotky</w:t>
            </w: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5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42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77"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05"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67"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14"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458"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426"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446"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848"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b/>
              </w:rPr>
            </w:pPr>
          </w:p>
        </w:tc>
        <w:tc>
          <w:tcPr>
            <w:tcW w:w="181"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b/>
              </w:rPr>
            </w:pPr>
          </w:p>
        </w:tc>
        <w:tc>
          <w:tcPr>
            <w:tcW w:w="21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b/>
              </w:rPr>
            </w:pPr>
          </w:p>
        </w:tc>
      </w:tr>
      <w:tr w:rsidR="00F33619" w:rsidRPr="00267677" w:rsidTr="00F33619">
        <w:trPr>
          <w:gridAfter w:val="10"/>
          <w:wAfter w:w="667" w:type="dxa"/>
          <w:trHeight w:val="162"/>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single" w:sz="4" w:space="0" w:color="auto"/>
              <w:left w:val="single" w:sz="4" w:space="0" w:color="auto"/>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S</w:t>
            </w:r>
          </w:p>
        </w:tc>
        <w:tc>
          <w:tcPr>
            <w:tcW w:w="307"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O</w:t>
            </w:r>
          </w:p>
        </w:tc>
        <w:tc>
          <w:tcPr>
            <w:tcW w:w="309"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C</w:t>
            </w:r>
          </w:p>
        </w:tc>
        <w:tc>
          <w:tcPr>
            <w:tcW w:w="307"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I</w:t>
            </w:r>
          </w:p>
        </w:tc>
        <w:tc>
          <w:tcPr>
            <w:tcW w:w="306"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Á</w:t>
            </w:r>
          </w:p>
        </w:tc>
        <w:tc>
          <w:tcPr>
            <w:tcW w:w="311"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L</w:t>
            </w:r>
          </w:p>
        </w:tc>
        <w:tc>
          <w:tcPr>
            <w:tcW w:w="307"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N</w:t>
            </w:r>
          </w:p>
        </w:tc>
        <w:tc>
          <w:tcPr>
            <w:tcW w:w="310"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A</w:t>
            </w:r>
          </w:p>
        </w:tc>
        <w:tc>
          <w:tcPr>
            <w:tcW w:w="383"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p>
        </w:tc>
        <w:tc>
          <w:tcPr>
            <w:tcW w:w="306"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P</w:t>
            </w:r>
          </w:p>
        </w:tc>
        <w:tc>
          <w:tcPr>
            <w:tcW w:w="317"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O</w:t>
            </w:r>
          </w:p>
        </w:tc>
        <w:tc>
          <w:tcPr>
            <w:tcW w:w="301"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I</w:t>
            </w:r>
          </w:p>
        </w:tc>
        <w:tc>
          <w:tcPr>
            <w:tcW w:w="306"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S</w:t>
            </w:r>
          </w:p>
        </w:tc>
        <w:tc>
          <w:tcPr>
            <w:tcW w:w="343" w:type="dxa"/>
            <w:gridSpan w:val="2"/>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Ť</w:t>
            </w:r>
          </w:p>
        </w:tc>
        <w:tc>
          <w:tcPr>
            <w:tcW w:w="353"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O</w:t>
            </w:r>
          </w:p>
        </w:tc>
        <w:tc>
          <w:tcPr>
            <w:tcW w:w="305"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V</w:t>
            </w:r>
          </w:p>
        </w:tc>
        <w:tc>
          <w:tcPr>
            <w:tcW w:w="404"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Ň</w:t>
            </w:r>
          </w:p>
        </w:tc>
        <w:tc>
          <w:tcPr>
            <w:tcW w:w="354"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A</w:t>
            </w:r>
          </w:p>
        </w:tc>
        <w:tc>
          <w:tcPr>
            <w:tcW w:w="355"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p>
        </w:tc>
        <w:tc>
          <w:tcPr>
            <w:tcW w:w="425" w:type="dxa"/>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77" w:type="dxa"/>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05" w:type="dxa"/>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05" w:type="dxa"/>
            <w:gridSpan w:val="2"/>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67" w:type="dxa"/>
            <w:gridSpan w:val="2"/>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14" w:type="dxa"/>
            <w:gridSpan w:val="2"/>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458" w:type="dxa"/>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426" w:type="dxa"/>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05" w:type="dxa"/>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446" w:type="dxa"/>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607" w:type="dxa"/>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241" w:type="dxa"/>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F33619" w:rsidRPr="00267677" w:rsidTr="00F33619">
        <w:trPr>
          <w:gridAfter w:val="10"/>
          <w:wAfter w:w="667" w:type="dxa"/>
          <w:trHeight w:val="162"/>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single" w:sz="4" w:space="0" w:color="auto"/>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07"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09"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07"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06"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11"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07"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10"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83"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17"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01"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06"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43" w:type="dxa"/>
            <w:gridSpan w:val="2"/>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53"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05"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404"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54"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55"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425"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77"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05"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05" w:type="dxa"/>
            <w:gridSpan w:val="2"/>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67" w:type="dxa"/>
            <w:gridSpan w:val="2"/>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14" w:type="dxa"/>
            <w:gridSpan w:val="2"/>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458"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426"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05"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446"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607" w:type="dxa"/>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241" w:type="dxa"/>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F33619" w:rsidRPr="00267677" w:rsidTr="00F33619">
        <w:trPr>
          <w:gridAfter w:val="4"/>
          <w:wAfter w:w="269" w:type="dxa"/>
          <w:trHeight w:val="162"/>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9"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1"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0"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83"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1"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43"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3"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0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2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7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67"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4"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58"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2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4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848"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181"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21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F33619" w:rsidRPr="00267677" w:rsidTr="00F33619">
        <w:trPr>
          <w:gridAfter w:val="4"/>
          <w:wAfter w:w="269" w:type="dxa"/>
          <w:trHeight w:val="162"/>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2894" w:type="dxa"/>
            <w:gridSpan w:val="9"/>
            <w:tcBorders>
              <w:top w:val="nil"/>
              <w:left w:val="nil"/>
              <w:bottom w:val="nil"/>
              <w:right w:val="nil"/>
            </w:tcBorders>
            <w:noWrap/>
          </w:tcPr>
          <w:p w:rsidR="00267677" w:rsidRPr="0029558A" w:rsidRDefault="00267677" w:rsidP="00A31136">
            <w:pPr>
              <w:contextualSpacing/>
              <w:rPr>
                <w:rFonts w:ascii="Times New Roman" w:hAnsi="Times New Roman"/>
                <w:b/>
              </w:rPr>
            </w:pPr>
            <w:r w:rsidRPr="0029558A">
              <w:rPr>
                <w:rFonts w:ascii="Times New Roman" w:hAnsi="Times New Roman"/>
                <w:b/>
              </w:rPr>
              <w:t>Sídlo účtovnej jednotky</w:t>
            </w: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17"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01"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43"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53"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404"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5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42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77"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05"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67"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14"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458"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426"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446"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848"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b/>
              </w:rPr>
            </w:pPr>
          </w:p>
        </w:tc>
        <w:tc>
          <w:tcPr>
            <w:tcW w:w="181"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b/>
              </w:rPr>
            </w:pPr>
          </w:p>
        </w:tc>
        <w:tc>
          <w:tcPr>
            <w:tcW w:w="21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b/>
              </w:rPr>
            </w:pPr>
          </w:p>
        </w:tc>
      </w:tr>
      <w:tr w:rsidR="00F33619" w:rsidRPr="00267677" w:rsidTr="00F33619">
        <w:trPr>
          <w:gridAfter w:val="4"/>
          <w:wAfter w:w="269" w:type="dxa"/>
          <w:trHeight w:val="162"/>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2201" w:type="dxa"/>
            <w:gridSpan w:val="7"/>
            <w:tcBorders>
              <w:top w:val="nil"/>
              <w:left w:val="nil"/>
              <w:bottom w:val="single" w:sz="4" w:space="0" w:color="auto"/>
              <w:right w:val="nil"/>
            </w:tcBorders>
            <w:noWrap/>
            <w:vAlign w:val="bottom"/>
          </w:tcPr>
          <w:p w:rsidR="00267677" w:rsidRPr="0029558A" w:rsidRDefault="00267677" w:rsidP="00A31136">
            <w:pPr>
              <w:contextualSpacing/>
              <w:rPr>
                <w:rFonts w:ascii="Times New Roman" w:hAnsi="Times New Roman"/>
                <w:b/>
              </w:rPr>
            </w:pPr>
            <w:r w:rsidRPr="0029558A">
              <w:rPr>
                <w:rFonts w:ascii="Times New Roman" w:hAnsi="Times New Roman"/>
                <w:b/>
              </w:rPr>
              <w:t>Ulica a číslo</w:t>
            </w:r>
          </w:p>
        </w:tc>
        <w:tc>
          <w:tcPr>
            <w:tcW w:w="310"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83"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17"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01"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43"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53"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404"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5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42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77"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05"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67"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14"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458"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426"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446"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848"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b/>
              </w:rPr>
            </w:pPr>
          </w:p>
        </w:tc>
        <w:tc>
          <w:tcPr>
            <w:tcW w:w="181"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b/>
              </w:rPr>
            </w:pPr>
          </w:p>
        </w:tc>
        <w:tc>
          <w:tcPr>
            <w:tcW w:w="21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b/>
              </w:rPr>
            </w:pPr>
          </w:p>
        </w:tc>
      </w:tr>
      <w:tr w:rsidR="00F33619" w:rsidRPr="00267677" w:rsidTr="00F33619">
        <w:trPr>
          <w:gridAfter w:val="10"/>
          <w:wAfter w:w="667" w:type="dxa"/>
          <w:trHeight w:val="162"/>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single" w:sz="4" w:space="0" w:color="auto"/>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U</w:t>
            </w:r>
          </w:p>
        </w:tc>
        <w:tc>
          <w:tcPr>
            <w:tcW w:w="307" w:type="dxa"/>
            <w:tcBorders>
              <w:top w:val="nil"/>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L</w:t>
            </w:r>
          </w:p>
        </w:tc>
        <w:tc>
          <w:tcPr>
            <w:tcW w:w="309" w:type="dxa"/>
            <w:tcBorders>
              <w:top w:val="nil"/>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I</w:t>
            </w:r>
          </w:p>
        </w:tc>
        <w:tc>
          <w:tcPr>
            <w:tcW w:w="307" w:type="dxa"/>
            <w:tcBorders>
              <w:top w:val="nil"/>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C</w:t>
            </w:r>
          </w:p>
        </w:tc>
        <w:tc>
          <w:tcPr>
            <w:tcW w:w="306" w:type="dxa"/>
            <w:tcBorders>
              <w:top w:val="nil"/>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A</w:t>
            </w:r>
          </w:p>
        </w:tc>
        <w:tc>
          <w:tcPr>
            <w:tcW w:w="311" w:type="dxa"/>
            <w:tcBorders>
              <w:top w:val="nil"/>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p>
        </w:tc>
        <w:tc>
          <w:tcPr>
            <w:tcW w:w="307" w:type="dxa"/>
            <w:tcBorders>
              <w:top w:val="nil"/>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2</w:t>
            </w:r>
          </w:p>
        </w:tc>
        <w:tc>
          <w:tcPr>
            <w:tcW w:w="310"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9</w:t>
            </w:r>
          </w:p>
        </w:tc>
        <w:tc>
          <w:tcPr>
            <w:tcW w:w="383"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w:t>
            </w:r>
          </w:p>
        </w:tc>
        <w:tc>
          <w:tcPr>
            <w:tcW w:w="306"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A</w:t>
            </w:r>
          </w:p>
        </w:tc>
        <w:tc>
          <w:tcPr>
            <w:tcW w:w="317"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U</w:t>
            </w:r>
          </w:p>
        </w:tc>
        <w:tc>
          <w:tcPr>
            <w:tcW w:w="301"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G</w:t>
            </w:r>
          </w:p>
        </w:tc>
        <w:tc>
          <w:tcPr>
            <w:tcW w:w="306"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U</w:t>
            </w:r>
          </w:p>
        </w:tc>
        <w:tc>
          <w:tcPr>
            <w:tcW w:w="343" w:type="dxa"/>
            <w:gridSpan w:val="2"/>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S</w:t>
            </w:r>
          </w:p>
        </w:tc>
        <w:tc>
          <w:tcPr>
            <w:tcW w:w="353"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T</w:t>
            </w:r>
          </w:p>
        </w:tc>
        <w:tc>
          <w:tcPr>
            <w:tcW w:w="305"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A</w:t>
            </w:r>
          </w:p>
        </w:tc>
        <w:tc>
          <w:tcPr>
            <w:tcW w:w="404"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p>
        </w:tc>
        <w:tc>
          <w:tcPr>
            <w:tcW w:w="354"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Č</w:t>
            </w:r>
          </w:p>
        </w:tc>
        <w:tc>
          <w:tcPr>
            <w:tcW w:w="355"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w:t>
            </w:r>
          </w:p>
        </w:tc>
        <w:tc>
          <w:tcPr>
            <w:tcW w:w="425"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8</w:t>
            </w:r>
          </w:p>
        </w:tc>
        <w:tc>
          <w:tcPr>
            <w:tcW w:w="377" w:type="dxa"/>
            <w:tcBorders>
              <w:top w:val="single" w:sz="4" w:space="0" w:color="auto"/>
              <w:left w:val="nil"/>
              <w:bottom w:val="single" w:sz="4" w:space="0" w:color="auto"/>
              <w:right w:val="single" w:sz="4" w:space="0" w:color="auto"/>
            </w:tcBorders>
            <w:noWrap/>
            <w:vAlign w:val="bottom"/>
          </w:tcPr>
          <w:p w:rsidR="00267677" w:rsidRPr="0029558A" w:rsidRDefault="00407A7E" w:rsidP="00F33619">
            <w:pPr>
              <w:contextualSpacing/>
              <w:jc w:val="center"/>
              <w:rPr>
                <w:rFonts w:ascii="Times New Roman" w:hAnsi="Times New Roman"/>
              </w:rPr>
            </w:pPr>
            <w:r>
              <w:rPr>
                <w:rFonts w:ascii="Times New Roman" w:hAnsi="Times New Roman"/>
              </w:rPr>
              <w:t>A</w:t>
            </w:r>
          </w:p>
        </w:tc>
        <w:tc>
          <w:tcPr>
            <w:tcW w:w="305"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1</w:t>
            </w:r>
          </w:p>
        </w:tc>
        <w:tc>
          <w:tcPr>
            <w:tcW w:w="305" w:type="dxa"/>
            <w:gridSpan w:val="2"/>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0</w:t>
            </w:r>
          </w:p>
        </w:tc>
        <w:tc>
          <w:tcPr>
            <w:tcW w:w="367" w:type="dxa"/>
            <w:gridSpan w:val="2"/>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14" w:type="dxa"/>
            <w:gridSpan w:val="2"/>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458" w:type="dxa"/>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426" w:type="dxa"/>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05" w:type="dxa"/>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446" w:type="dxa"/>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607" w:type="dxa"/>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241" w:type="dxa"/>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F33619" w:rsidRPr="00267677" w:rsidTr="00F33619">
        <w:trPr>
          <w:gridAfter w:val="10"/>
          <w:wAfter w:w="667" w:type="dxa"/>
          <w:trHeight w:val="162"/>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single" w:sz="4" w:space="0" w:color="auto"/>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07"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09"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07"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06"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11"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07"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10"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83"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17"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01"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06"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43" w:type="dxa"/>
            <w:gridSpan w:val="2"/>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53"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05"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404"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54"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55"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425"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77"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05"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05" w:type="dxa"/>
            <w:gridSpan w:val="2"/>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67" w:type="dxa"/>
            <w:gridSpan w:val="2"/>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14" w:type="dxa"/>
            <w:gridSpan w:val="2"/>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458"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426"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05"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446"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607" w:type="dxa"/>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241" w:type="dxa"/>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F33619" w:rsidRPr="00267677" w:rsidTr="00F33619">
        <w:trPr>
          <w:gridAfter w:val="4"/>
          <w:wAfter w:w="269" w:type="dxa"/>
          <w:trHeight w:val="162"/>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9"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1"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0"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83"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1"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43"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3"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0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2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7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67"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4"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58"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2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4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848"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181"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21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F33619" w:rsidRPr="00267677" w:rsidTr="00F33619">
        <w:trPr>
          <w:gridAfter w:val="4"/>
          <w:wAfter w:w="269" w:type="dxa"/>
          <w:trHeight w:val="162"/>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1277" w:type="dxa"/>
            <w:gridSpan w:val="4"/>
            <w:tcBorders>
              <w:top w:val="nil"/>
              <w:left w:val="nil"/>
              <w:bottom w:val="single" w:sz="4" w:space="0" w:color="auto"/>
              <w:right w:val="nil"/>
            </w:tcBorders>
            <w:noWrap/>
            <w:vAlign w:val="bottom"/>
          </w:tcPr>
          <w:p w:rsidR="00267677" w:rsidRPr="0029558A" w:rsidRDefault="00267677" w:rsidP="00A31136">
            <w:pPr>
              <w:contextualSpacing/>
              <w:rPr>
                <w:rFonts w:ascii="Times New Roman" w:hAnsi="Times New Roman"/>
                <w:b/>
              </w:rPr>
            </w:pPr>
            <w:r w:rsidRPr="0029558A">
              <w:rPr>
                <w:rFonts w:ascii="Times New Roman" w:hAnsi="Times New Roman"/>
                <w:b/>
              </w:rPr>
              <w:t>PSČ</w:t>
            </w: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11"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328" w:type="dxa"/>
            <w:gridSpan w:val="11"/>
            <w:tcBorders>
              <w:top w:val="nil"/>
              <w:left w:val="nil"/>
              <w:bottom w:val="single" w:sz="4" w:space="0" w:color="auto"/>
              <w:right w:val="nil"/>
            </w:tcBorders>
            <w:noWrap/>
            <w:vAlign w:val="bottom"/>
          </w:tcPr>
          <w:p w:rsidR="00267677" w:rsidRPr="0029558A" w:rsidRDefault="00267677" w:rsidP="00A31136">
            <w:pPr>
              <w:contextualSpacing/>
              <w:rPr>
                <w:rFonts w:ascii="Times New Roman" w:hAnsi="Times New Roman"/>
                <w:b/>
              </w:rPr>
            </w:pPr>
            <w:r w:rsidRPr="0029558A">
              <w:rPr>
                <w:rFonts w:ascii="Times New Roman" w:hAnsi="Times New Roman"/>
                <w:b/>
              </w:rPr>
              <w:t>Názov obce</w:t>
            </w: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5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42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77"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05"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67"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14"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458"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426"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446"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848"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b/>
              </w:rPr>
            </w:pPr>
          </w:p>
        </w:tc>
        <w:tc>
          <w:tcPr>
            <w:tcW w:w="181"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b/>
              </w:rPr>
            </w:pPr>
          </w:p>
        </w:tc>
        <w:tc>
          <w:tcPr>
            <w:tcW w:w="21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b/>
              </w:rPr>
            </w:pPr>
          </w:p>
        </w:tc>
      </w:tr>
      <w:tr w:rsidR="00F33619" w:rsidRPr="00267677" w:rsidTr="00F33619">
        <w:trPr>
          <w:gridAfter w:val="10"/>
          <w:wAfter w:w="667" w:type="dxa"/>
          <w:trHeight w:val="162"/>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single" w:sz="4" w:space="0" w:color="auto"/>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8</w:t>
            </w:r>
          </w:p>
        </w:tc>
        <w:tc>
          <w:tcPr>
            <w:tcW w:w="307"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1 </w:t>
            </w:r>
          </w:p>
        </w:tc>
        <w:tc>
          <w:tcPr>
            <w:tcW w:w="309"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3 </w:t>
            </w:r>
          </w:p>
        </w:tc>
        <w:tc>
          <w:tcPr>
            <w:tcW w:w="307" w:type="dxa"/>
            <w:tcBorders>
              <w:top w:val="nil"/>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6 </w:t>
            </w:r>
          </w:p>
        </w:tc>
        <w:tc>
          <w:tcPr>
            <w:tcW w:w="306" w:type="dxa"/>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3 </w:t>
            </w:r>
          </w:p>
        </w:tc>
        <w:tc>
          <w:tcPr>
            <w:tcW w:w="311"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0" w:type="dxa"/>
            <w:tcBorders>
              <w:top w:val="nil"/>
              <w:left w:val="single" w:sz="4" w:space="0" w:color="auto"/>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B</w:t>
            </w:r>
          </w:p>
        </w:tc>
        <w:tc>
          <w:tcPr>
            <w:tcW w:w="383" w:type="dxa"/>
            <w:tcBorders>
              <w:top w:val="nil"/>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R</w:t>
            </w:r>
          </w:p>
        </w:tc>
        <w:tc>
          <w:tcPr>
            <w:tcW w:w="306" w:type="dxa"/>
            <w:tcBorders>
              <w:top w:val="nil"/>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A</w:t>
            </w:r>
          </w:p>
        </w:tc>
        <w:tc>
          <w:tcPr>
            <w:tcW w:w="317" w:type="dxa"/>
            <w:tcBorders>
              <w:top w:val="nil"/>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T</w:t>
            </w:r>
          </w:p>
        </w:tc>
        <w:tc>
          <w:tcPr>
            <w:tcW w:w="301" w:type="dxa"/>
            <w:tcBorders>
              <w:top w:val="nil"/>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I</w:t>
            </w:r>
          </w:p>
        </w:tc>
        <w:tc>
          <w:tcPr>
            <w:tcW w:w="306" w:type="dxa"/>
            <w:tcBorders>
              <w:top w:val="nil"/>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S</w:t>
            </w:r>
          </w:p>
        </w:tc>
        <w:tc>
          <w:tcPr>
            <w:tcW w:w="343" w:type="dxa"/>
            <w:gridSpan w:val="2"/>
            <w:tcBorders>
              <w:top w:val="nil"/>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L</w:t>
            </w:r>
          </w:p>
        </w:tc>
        <w:tc>
          <w:tcPr>
            <w:tcW w:w="353" w:type="dxa"/>
            <w:tcBorders>
              <w:top w:val="nil"/>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A</w:t>
            </w:r>
          </w:p>
        </w:tc>
        <w:tc>
          <w:tcPr>
            <w:tcW w:w="305" w:type="dxa"/>
            <w:tcBorders>
              <w:top w:val="nil"/>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V</w:t>
            </w:r>
          </w:p>
        </w:tc>
        <w:tc>
          <w:tcPr>
            <w:tcW w:w="404" w:type="dxa"/>
            <w:tcBorders>
              <w:top w:val="nil"/>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A</w:t>
            </w:r>
          </w:p>
        </w:tc>
        <w:tc>
          <w:tcPr>
            <w:tcW w:w="354" w:type="dxa"/>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55" w:type="dxa"/>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425" w:type="dxa"/>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77" w:type="dxa"/>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05" w:type="dxa"/>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05" w:type="dxa"/>
            <w:gridSpan w:val="2"/>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67" w:type="dxa"/>
            <w:gridSpan w:val="2"/>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14" w:type="dxa"/>
            <w:gridSpan w:val="2"/>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458" w:type="dxa"/>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426" w:type="dxa"/>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05" w:type="dxa"/>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446" w:type="dxa"/>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607" w:type="dxa"/>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241" w:type="dxa"/>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F33619" w:rsidRPr="00267677" w:rsidTr="00F33619">
        <w:trPr>
          <w:gridAfter w:val="4"/>
          <w:wAfter w:w="269" w:type="dxa"/>
          <w:trHeight w:val="162"/>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9"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1"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0"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83"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1"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43"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3"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0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2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7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67"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4"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58"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2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4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848"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181"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21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F33619" w:rsidRPr="00267677" w:rsidTr="00F33619">
        <w:trPr>
          <w:gridAfter w:val="3"/>
          <w:wAfter w:w="245" w:type="dxa"/>
          <w:trHeight w:val="162"/>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2511" w:type="dxa"/>
            <w:gridSpan w:val="8"/>
            <w:tcBorders>
              <w:top w:val="nil"/>
              <w:left w:val="nil"/>
              <w:bottom w:val="nil"/>
              <w:right w:val="nil"/>
            </w:tcBorders>
          </w:tcPr>
          <w:p w:rsidR="00267677" w:rsidRPr="0029558A" w:rsidRDefault="00267677" w:rsidP="00A31136">
            <w:pPr>
              <w:contextualSpacing/>
              <w:rPr>
                <w:rFonts w:ascii="Times New Roman" w:hAnsi="Times New Roman"/>
                <w:b/>
              </w:rPr>
            </w:pPr>
            <w:r w:rsidRPr="0029558A">
              <w:rPr>
                <w:rFonts w:ascii="Times New Roman" w:hAnsi="Times New Roman"/>
                <w:b/>
              </w:rPr>
              <w:t>Číslo telefónu</w:t>
            </w:r>
          </w:p>
        </w:tc>
        <w:tc>
          <w:tcPr>
            <w:tcW w:w="383"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06" w:type="dxa"/>
            <w:tcBorders>
              <w:top w:val="nil"/>
              <w:left w:val="nil"/>
              <w:bottom w:val="nil"/>
              <w:right w:val="nil"/>
            </w:tcBorders>
          </w:tcPr>
          <w:p w:rsidR="00267677" w:rsidRPr="0029558A" w:rsidRDefault="00267677" w:rsidP="00A31136">
            <w:pPr>
              <w:contextualSpacing/>
              <w:rPr>
                <w:rFonts w:ascii="Times New Roman" w:hAnsi="Times New Roman"/>
                <w:b/>
              </w:rPr>
            </w:pPr>
          </w:p>
        </w:tc>
        <w:tc>
          <w:tcPr>
            <w:tcW w:w="317" w:type="dxa"/>
            <w:tcBorders>
              <w:top w:val="nil"/>
              <w:left w:val="nil"/>
              <w:bottom w:val="nil"/>
              <w:right w:val="nil"/>
            </w:tcBorders>
          </w:tcPr>
          <w:p w:rsidR="00267677" w:rsidRPr="0029558A" w:rsidRDefault="00267677" w:rsidP="00A31136">
            <w:pPr>
              <w:contextualSpacing/>
              <w:rPr>
                <w:rFonts w:ascii="Times New Roman" w:hAnsi="Times New Roman"/>
                <w:b/>
              </w:rPr>
            </w:pPr>
          </w:p>
        </w:tc>
        <w:tc>
          <w:tcPr>
            <w:tcW w:w="301" w:type="dxa"/>
            <w:tcBorders>
              <w:top w:val="nil"/>
              <w:left w:val="nil"/>
              <w:bottom w:val="nil"/>
              <w:right w:val="nil"/>
            </w:tcBorders>
          </w:tcPr>
          <w:p w:rsidR="00267677" w:rsidRPr="0029558A" w:rsidRDefault="00267677" w:rsidP="00A31136">
            <w:pPr>
              <w:contextualSpacing/>
              <w:rPr>
                <w:rFonts w:ascii="Times New Roman" w:hAnsi="Times New Roman"/>
                <w:b/>
              </w:rPr>
            </w:pPr>
          </w:p>
        </w:tc>
        <w:tc>
          <w:tcPr>
            <w:tcW w:w="306" w:type="dxa"/>
            <w:tcBorders>
              <w:top w:val="nil"/>
              <w:left w:val="nil"/>
              <w:bottom w:val="nil"/>
              <w:right w:val="nil"/>
            </w:tcBorders>
          </w:tcPr>
          <w:p w:rsidR="00267677" w:rsidRPr="0029558A" w:rsidRDefault="00267677" w:rsidP="00A31136">
            <w:pPr>
              <w:contextualSpacing/>
              <w:rPr>
                <w:rFonts w:ascii="Times New Roman" w:hAnsi="Times New Roman"/>
                <w:b/>
              </w:rPr>
            </w:pPr>
          </w:p>
        </w:tc>
        <w:tc>
          <w:tcPr>
            <w:tcW w:w="343" w:type="dxa"/>
            <w:gridSpan w:val="2"/>
            <w:tcBorders>
              <w:top w:val="nil"/>
              <w:left w:val="nil"/>
              <w:bottom w:val="nil"/>
              <w:right w:val="nil"/>
            </w:tcBorders>
          </w:tcPr>
          <w:p w:rsidR="00267677" w:rsidRPr="0029558A" w:rsidRDefault="00267677" w:rsidP="00A31136">
            <w:pPr>
              <w:contextualSpacing/>
              <w:rPr>
                <w:rFonts w:ascii="Times New Roman" w:hAnsi="Times New Roman"/>
                <w:b/>
              </w:rPr>
            </w:pPr>
          </w:p>
        </w:tc>
        <w:tc>
          <w:tcPr>
            <w:tcW w:w="353" w:type="dxa"/>
            <w:tcBorders>
              <w:top w:val="nil"/>
              <w:left w:val="nil"/>
              <w:bottom w:val="nil"/>
              <w:right w:val="nil"/>
            </w:tcBorders>
          </w:tcPr>
          <w:p w:rsidR="00267677" w:rsidRPr="0029558A" w:rsidRDefault="00267677" w:rsidP="00A31136">
            <w:pPr>
              <w:contextualSpacing/>
              <w:rPr>
                <w:rFonts w:ascii="Times New Roman" w:hAnsi="Times New Roman"/>
                <w:b/>
              </w:rPr>
            </w:pPr>
          </w:p>
        </w:tc>
        <w:tc>
          <w:tcPr>
            <w:tcW w:w="3511" w:type="dxa"/>
            <w:gridSpan w:val="13"/>
            <w:tcBorders>
              <w:top w:val="nil"/>
              <w:left w:val="nil"/>
              <w:bottom w:val="nil"/>
              <w:right w:val="nil"/>
            </w:tcBorders>
          </w:tcPr>
          <w:p w:rsidR="00267677" w:rsidRPr="0029558A" w:rsidRDefault="00267677" w:rsidP="00A31136">
            <w:pPr>
              <w:contextualSpacing/>
              <w:rPr>
                <w:rFonts w:ascii="Times New Roman" w:hAnsi="Times New Roman"/>
                <w:b/>
              </w:rPr>
            </w:pPr>
            <w:r w:rsidRPr="0029558A">
              <w:rPr>
                <w:rFonts w:ascii="Times New Roman" w:hAnsi="Times New Roman"/>
                <w:b/>
              </w:rPr>
              <w:t>Číslo faxu</w:t>
            </w:r>
          </w:p>
        </w:tc>
        <w:tc>
          <w:tcPr>
            <w:tcW w:w="458"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426"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446"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872" w:type="dxa"/>
            <w:gridSpan w:val="3"/>
            <w:tcBorders>
              <w:top w:val="nil"/>
              <w:left w:val="nil"/>
              <w:bottom w:val="nil"/>
              <w:right w:val="nil"/>
            </w:tcBorders>
            <w:noWrap/>
            <w:vAlign w:val="bottom"/>
          </w:tcPr>
          <w:p w:rsidR="00267677" w:rsidRPr="00267677" w:rsidRDefault="00267677" w:rsidP="00A31136">
            <w:pPr>
              <w:contextualSpacing/>
              <w:rPr>
                <w:rFonts w:ascii="Arial Narrow" w:hAnsi="Arial Narrow" w:cs="Arial"/>
                <w:b/>
              </w:rPr>
            </w:pPr>
          </w:p>
        </w:tc>
        <w:tc>
          <w:tcPr>
            <w:tcW w:w="181"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b/>
              </w:rPr>
            </w:pPr>
          </w:p>
        </w:tc>
        <w:tc>
          <w:tcPr>
            <w:tcW w:w="21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b/>
              </w:rPr>
            </w:pPr>
          </w:p>
        </w:tc>
      </w:tr>
      <w:tr w:rsidR="00F33619" w:rsidRPr="00267677" w:rsidTr="00F33619">
        <w:trPr>
          <w:gridAfter w:val="1"/>
          <w:wAfter w:w="24" w:type="dxa"/>
          <w:trHeight w:val="162"/>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single" w:sz="4" w:space="0" w:color="auto"/>
              <w:left w:val="single" w:sz="4" w:space="0" w:color="auto"/>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0</w:t>
            </w:r>
          </w:p>
        </w:tc>
        <w:tc>
          <w:tcPr>
            <w:tcW w:w="307"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9</w:t>
            </w:r>
          </w:p>
        </w:tc>
        <w:tc>
          <w:tcPr>
            <w:tcW w:w="309"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0</w:t>
            </w:r>
          </w:p>
        </w:tc>
        <w:tc>
          <w:tcPr>
            <w:tcW w:w="307"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6</w:t>
            </w:r>
          </w:p>
        </w:tc>
        <w:tc>
          <w:tcPr>
            <w:tcW w:w="306" w:type="dxa"/>
            <w:tcBorders>
              <w:top w:val="nil"/>
              <w:left w:val="nil"/>
              <w:bottom w:val="nil"/>
              <w:right w:val="nil"/>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w:t>
            </w:r>
          </w:p>
        </w:tc>
        <w:tc>
          <w:tcPr>
            <w:tcW w:w="311" w:type="dxa"/>
            <w:tcBorders>
              <w:top w:val="single" w:sz="4" w:space="0" w:color="auto"/>
              <w:left w:val="single" w:sz="4" w:space="0" w:color="auto"/>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1</w:t>
            </w:r>
          </w:p>
        </w:tc>
        <w:tc>
          <w:tcPr>
            <w:tcW w:w="307"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7</w:t>
            </w:r>
          </w:p>
        </w:tc>
        <w:tc>
          <w:tcPr>
            <w:tcW w:w="310"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1</w:t>
            </w:r>
          </w:p>
        </w:tc>
        <w:tc>
          <w:tcPr>
            <w:tcW w:w="383"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3</w:t>
            </w:r>
          </w:p>
        </w:tc>
        <w:tc>
          <w:tcPr>
            <w:tcW w:w="306"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5</w:t>
            </w:r>
          </w:p>
        </w:tc>
        <w:tc>
          <w:tcPr>
            <w:tcW w:w="317"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2</w:t>
            </w:r>
          </w:p>
        </w:tc>
        <w:tc>
          <w:tcPr>
            <w:tcW w:w="301" w:type="dxa"/>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06" w:type="dxa"/>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43"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3"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single" w:sz="4" w:space="0" w:color="auto"/>
              <w:left w:val="single" w:sz="4" w:space="0" w:color="auto"/>
              <w:bottom w:val="single" w:sz="4" w:space="0" w:color="auto"/>
              <w:right w:val="single" w:sz="4" w:space="0" w:color="auto"/>
            </w:tcBorders>
            <w:noWrap/>
            <w:vAlign w:val="bottom"/>
          </w:tcPr>
          <w:p w:rsidR="00267677" w:rsidRPr="0029558A" w:rsidRDefault="00267677" w:rsidP="00B14F82">
            <w:pPr>
              <w:contextualSpacing/>
              <w:rPr>
                <w:rFonts w:ascii="Times New Roman" w:hAnsi="Times New Roman"/>
              </w:rPr>
            </w:pPr>
            <w:r w:rsidRPr="0029558A">
              <w:rPr>
                <w:rFonts w:ascii="Times New Roman" w:hAnsi="Times New Roman"/>
              </w:rPr>
              <w:t> </w:t>
            </w:r>
          </w:p>
        </w:tc>
        <w:tc>
          <w:tcPr>
            <w:tcW w:w="404" w:type="dxa"/>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p>
        </w:tc>
        <w:tc>
          <w:tcPr>
            <w:tcW w:w="354" w:type="dxa"/>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p>
        </w:tc>
        <w:tc>
          <w:tcPr>
            <w:tcW w:w="355" w:type="dxa"/>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p>
        </w:tc>
        <w:tc>
          <w:tcPr>
            <w:tcW w:w="42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77" w:type="dxa"/>
            <w:tcBorders>
              <w:top w:val="single" w:sz="4" w:space="0" w:color="auto"/>
              <w:left w:val="single" w:sz="4" w:space="0" w:color="auto"/>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p>
        </w:tc>
        <w:tc>
          <w:tcPr>
            <w:tcW w:w="305" w:type="dxa"/>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p>
        </w:tc>
        <w:tc>
          <w:tcPr>
            <w:tcW w:w="305" w:type="dxa"/>
            <w:gridSpan w:val="2"/>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p>
        </w:tc>
        <w:tc>
          <w:tcPr>
            <w:tcW w:w="367" w:type="dxa"/>
            <w:gridSpan w:val="2"/>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p>
        </w:tc>
        <w:tc>
          <w:tcPr>
            <w:tcW w:w="314" w:type="dxa"/>
            <w:gridSpan w:val="2"/>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p>
        </w:tc>
        <w:tc>
          <w:tcPr>
            <w:tcW w:w="458" w:type="dxa"/>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p>
        </w:tc>
        <w:tc>
          <w:tcPr>
            <w:tcW w:w="426" w:type="dxa"/>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05" w:type="dxa"/>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44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848"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294" w:type="dxa"/>
            <w:gridSpan w:val="5"/>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349"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F33619" w:rsidRPr="00267677" w:rsidTr="00F33619">
        <w:trPr>
          <w:gridAfter w:val="1"/>
          <w:wAfter w:w="24" w:type="dxa"/>
          <w:trHeight w:val="162"/>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9"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1"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0"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83"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1"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43"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3"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0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2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77"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67"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14"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58"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2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446"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848"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294" w:type="dxa"/>
            <w:gridSpan w:val="5"/>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349"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F33619" w:rsidRPr="00267677" w:rsidTr="00F33619">
        <w:trPr>
          <w:gridAfter w:val="1"/>
          <w:wAfter w:w="24" w:type="dxa"/>
          <w:trHeight w:val="162"/>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1894" w:type="dxa"/>
            <w:gridSpan w:val="6"/>
            <w:tcBorders>
              <w:top w:val="nil"/>
              <w:left w:val="nil"/>
              <w:bottom w:val="single" w:sz="4" w:space="0" w:color="auto"/>
              <w:right w:val="nil"/>
            </w:tcBorders>
            <w:noWrap/>
            <w:vAlign w:val="bottom"/>
          </w:tcPr>
          <w:p w:rsidR="00267677" w:rsidRPr="0029558A" w:rsidRDefault="00267677" w:rsidP="00A31136">
            <w:pPr>
              <w:contextualSpacing/>
              <w:rPr>
                <w:rFonts w:ascii="Times New Roman" w:hAnsi="Times New Roman"/>
                <w:b/>
              </w:rPr>
            </w:pPr>
            <w:r w:rsidRPr="0029558A">
              <w:rPr>
                <w:rFonts w:ascii="Times New Roman" w:hAnsi="Times New Roman"/>
                <w:b/>
              </w:rPr>
              <w:t>e-mailová adresa</w:t>
            </w:r>
          </w:p>
        </w:tc>
        <w:tc>
          <w:tcPr>
            <w:tcW w:w="307"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10"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83"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17"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01"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06"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43"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53"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404"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54"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5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42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77"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05"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67"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14" w:type="dxa"/>
            <w:gridSpan w:val="2"/>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458"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426"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305"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446" w:type="dxa"/>
            <w:tcBorders>
              <w:top w:val="nil"/>
              <w:left w:val="nil"/>
              <w:bottom w:val="nil"/>
              <w:right w:val="nil"/>
            </w:tcBorders>
            <w:noWrap/>
            <w:vAlign w:val="bottom"/>
          </w:tcPr>
          <w:p w:rsidR="00267677" w:rsidRPr="0029558A" w:rsidRDefault="00267677" w:rsidP="00A31136">
            <w:pPr>
              <w:contextualSpacing/>
              <w:rPr>
                <w:rFonts w:ascii="Times New Roman" w:hAnsi="Times New Roman"/>
                <w:b/>
              </w:rPr>
            </w:pPr>
          </w:p>
        </w:tc>
        <w:tc>
          <w:tcPr>
            <w:tcW w:w="848"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b/>
              </w:rPr>
            </w:pPr>
          </w:p>
        </w:tc>
        <w:tc>
          <w:tcPr>
            <w:tcW w:w="294" w:type="dxa"/>
            <w:gridSpan w:val="5"/>
            <w:tcBorders>
              <w:top w:val="nil"/>
              <w:left w:val="nil"/>
              <w:bottom w:val="nil"/>
              <w:right w:val="nil"/>
            </w:tcBorders>
            <w:noWrap/>
            <w:vAlign w:val="bottom"/>
          </w:tcPr>
          <w:p w:rsidR="00267677" w:rsidRPr="00267677" w:rsidRDefault="00267677" w:rsidP="00A31136">
            <w:pPr>
              <w:contextualSpacing/>
              <w:rPr>
                <w:rFonts w:ascii="Arial Narrow" w:hAnsi="Arial Narrow" w:cs="Arial"/>
                <w:b/>
              </w:rPr>
            </w:pPr>
          </w:p>
        </w:tc>
        <w:tc>
          <w:tcPr>
            <w:tcW w:w="349"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b/>
              </w:rPr>
            </w:pPr>
          </w:p>
        </w:tc>
      </w:tr>
      <w:tr w:rsidR="00F33619" w:rsidRPr="00267677" w:rsidTr="00F33619">
        <w:trPr>
          <w:gridAfter w:val="10"/>
          <w:wAfter w:w="667" w:type="dxa"/>
          <w:trHeight w:val="162"/>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single" w:sz="4" w:space="0" w:color="auto"/>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A</w:t>
            </w:r>
          </w:p>
        </w:tc>
        <w:tc>
          <w:tcPr>
            <w:tcW w:w="307" w:type="dxa"/>
            <w:tcBorders>
              <w:top w:val="nil"/>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N</w:t>
            </w:r>
          </w:p>
        </w:tc>
        <w:tc>
          <w:tcPr>
            <w:tcW w:w="309" w:type="dxa"/>
            <w:tcBorders>
              <w:top w:val="nil"/>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N</w:t>
            </w:r>
          </w:p>
        </w:tc>
        <w:tc>
          <w:tcPr>
            <w:tcW w:w="307" w:type="dxa"/>
            <w:tcBorders>
              <w:top w:val="nil"/>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A</w:t>
            </w:r>
          </w:p>
        </w:tc>
        <w:tc>
          <w:tcPr>
            <w:tcW w:w="306" w:type="dxa"/>
            <w:tcBorders>
              <w:top w:val="nil"/>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w:t>
            </w:r>
          </w:p>
        </w:tc>
        <w:tc>
          <w:tcPr>
            <w:tcW w:w="311" w:type="dxa"/>
            <w:tcBorders>
              <w:top w:val="nil"/>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C</w:t>
            </w:r>
          </w:p>
        </w:tc>
        <w:tc>
          <w:tcPr>
            <w:tcW w:w="307"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E</w:t>
            </w:r>
          </w:p>
        </w:tc>
        <w:tc>
          <w:tcPr>
            <w:tcW w:w="310"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P</w:t>
            </w:r>
          </w:p>
        </w:tc>
        <w:tc>
          <w:tcPr>
            <w:tcW w:w="383"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I</w:t>
            </w:r>
          </w:p>
        </w:tc>
        <w:tc>
          <w:tcPr>
            <w:tcW w:w="306"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G</w:t>
            </w:r>
          </w:p>
        </w:tc>
        <w:tc>
          <w:tcPr>
            <w:tcW w:w="317"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O</w:t>
            </w:r>
          </w:p>
        </w:tc>
        <w:tc>
          <w:tcPr>
            <w:tcW w:w="301"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V</w:t>
            </w:r>
          </w:p>
        </w:tc>
        <w:tc>
          <w:tcPr>
            <w:tcW w:w="306"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A</w:t>
            </w:r>
          </w:p>
        </w:tc>
        <w:tc>
          <w:tcPr>
            <w:tcW w:w="343" w:type="dxa"/>
            <w:gridSpan w:val="2"/>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w:t>
            </w:r>
          </w:p>
        </w:tc>
        <w:tc>
          <w:tcPr>
            <w:tcW w:w="353"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S</w:t>
            </w:r>
          </w:p>
        </w:tc>
        <w:tc>
          <w:tcPr>
            <w:tcW w:w="305"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O</w:t>
            </w:r>
          </w:p>
        </w:tc>
        <w:tc>
          <w:tcPr>
            <w:tcW w:w="404"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C</w:t>
            </w:r>
          </w:p>
        </w:tc>
        <w:tc>
          <w:tcPr>
            <w:tcW w:w="354"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P</w:t>
            </w:r>
          </w:p>
        </w:tc>
        <w:tc>
          <w:tcPr>
            <w:tcW w:w="355"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O</w:t>
            </w:r>
          </w:p>
        </w:tc>
        <w:tc>
          <w:tcPr>
            <w:tcW w:w="425"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I</w:t>
            </w:r>
          </w:p>
        </w:tc>
        <w:tc>
          <w:tcPr>
            <w:tcW w:w="377"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S</w:t>
            </w:r>
          </w:p>
        </w:tc>
        <w:tc>
          <w:tcPr>
            <w:tcW w:w="305" w:type="dxa"/>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T</w:t>
            </w:r>
          </w:p>
        </w:tc>
        <w:tc>
          <w:tcPr>
            <w:tcW w:w="305" w:type="dxa"/>
            <w:gridSpan w:val="2"/>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w:t>
            </w:r>
          </w:p>
        </w:tc>
        <w:tc>
          <w:tcPr>
            <w:tcW w:w="367" w:type="dxa"/>
            <w:gridSpan w:val="2"/>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S</w:t>
            </w:r>
          </w:p>
        </w:tc>
        <w:tc>
          <w:tcPr>
            <w:tcW w:w="314" w:type="dxa"/>
            <w:gridSpan w:val="2"/>
            <w:tcBorders>
              <w:top w:val="single" w:sz="4" w:space="0" w:color="auto"/>
              <w:left w:val="nil"/>
              <w:bottom w:val="single" w:sz="4" w:space="0" w:color="auto"/>
              <w:right w:val="single" w:sz="4" w:space="0" w:color="auto"/>
            </w:tcBorders>
            <w:noWrap/>
            <w:vAlign w:val="bottom"/>
          </w:tcPr>
          <w:p w:rsidR="00267677" w:rsidRPr="0029558A" w:rsidRDefault="00267677" w:rsidP="00F33619">
            <w:pPr>
              <w:contextualSpacing/>
              <w:jc w:val="center"/>
              <w:rPr>
                <w:rFonts w:ascii="Times New Roman" w:hAnsi="Times New Roman"/>
              </w:rPr>
            </w:pPr>
            <w:r w:rsidRPr="0029558A">
              <w:rPr>
                <w:rFonts w:ascii="Times New Roman" w:hAnsi="Times New Roman"/>
              </w:rPr>
              <w:t>K</w:t>
            </w:r>
          </w:p>
        </w:tc>
        <w:tc>
          <w:tcPr>
            <w:tcW w:w="458" w:type="dxa"/>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426" w:type="dxa"/>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305" w:type="dxa"/>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446" w:type="dxa"/>
            <w:tcBorders>
              <w:top w:val="single" w:sz="4" w:space="0" w:color="auto"/>
              <w:left w:val="nil"/>
              <w:bottom w:val="single" w:sz="4" w:space="0" w:color="auto"/>
              <w:right w:val="single" w:sz="4" w:space="0" w:color="auto"/>
            </w:tcBorders>
            <w:noWrap/>
            <w:vAlign w:val="bottom"/>
          </w:tcPr>
          <w:p w:rsidR="00267677" w:rsidRPr="0029558A" w:rsidRDefault="00267677" w:rsidP="00A31136">
            <w:pPr>
              <w:contextualSpacing/>
              <w:rPr>
                <w:rFonts w:ascii="Times New Roman" w:hAnsi="Times New Roman"/>
              </w:rPr>
            </w:pPr>
            <w:r w:rsidRPr="0029558A">
              <w:rPr>
                <w:rFonts w:ascii="Times New Roman" w:hAnsi="Times New Roman"/>
              </w:rPr>
              <w:t> </w:t>
            </w:r>
          </w:p>
        </w:tc>
        <w:tc>
          <w:tcPr>
            <w:tcW w:w="607" w:type="dxa"/>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241" w:type="dxa"/>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F33619" w:rsidRPr="00267677" w:rsidTr="00F33619">
        <w:trPr>
          <w:gridAfter w:val="1"/>
          <w:wAfter w:w="24" w:type="dxa"/>
          <w:trHeight w:val="162"/>
        </w:trPr>
        <w:tc>
          <w:tcPr>
            <w:tcW w:w="295" w:type="dxa"/>
            <w:tcBorders>
              <w:top w:val="nil"/>
              <w:left w:val="nil"/>
              <w:bottom w:val="nil"/>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nil"/>
              <w:bottom w:val="single" w:sz="4" w:space="0" w:color="auto"/>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single" w:sz="4" w:space="0" w:color="auto"/>
              <w:right w:val="nil"/>
            </w:tcBorders>
            <w:noWrap/>
            <w:vAlign w:val="bottom"/>
          </w:tcPr>
          <w:p w:rsidR="00267677" w:rsidRPr="0029558A" w:rsidRDefault="00267677" w:rsidP="00A31136">
            <w:pPr>
              <w:contextualSpacing/>
              <w:rPr>
                <w:rFonts w:ascii="Times New Roman" w:hAnsi="Times New Roman"/>
              </w:rPr>
            </w:pPr>
          </w:p>
        </w:tc>
        <w:tc>
          <w:tcPr>
            <w:tcW w:w="309" w:type="dxa"/>
            <w:tcBorders>
              <w:top w:val="nil"/>
              <w:left w:val="nil"/>
              <w:bottom w:val="single" w:sz="4" w:space="0" w:color="auto"/>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single" w:sz="4" w:space="0" w:color="auto"/>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single" w:sz="4" w:space="0" w:color="auto"/>
              <w:right w:val="nil"/>
            </w:tcBorders>
            <w:noWrap/>
            <w:vAlign w:val="bottom"/>
          </w:tcPr>
          <w:p w:rsidR="00267677" w:rsidRPr="0029558A" w:rsidRDefault="00267677" w:rsidP="00A31136">
            <w:pPr>
              <w:contextualSpacing/>
              <w:rPr>
                <w:rFonts w:ascii="Times New Roman" w:hAnsi="Times New Roman"/>
              </w:rPr>
            </w:pPr>
          </w:p>
        </w:tc>
        <w:tc>
          <w:tcPr>
            <w:tcW w:w="311" w:type="dxa"/>
            <w:tcBorders>
              <w:top w:val="nil"/>
              <w:left w:val="nil"/>
              <w:bottom w:val="single" w:sz="4" w:space="0" w:color="auto"/>
              <w:right w:val="nil"/>
            </w:tcBorders>
            <w:noWrap/>
            <w:vAlign w:val="bottom"/>
          </w:tcPr>
          <w:p w:rsidR="00267677" w:rsidRPr="0029558A" w:rsidRDefault="00267677" w:rsidP="00A31136">
            <w:pPr>
              <w:contextualSpacing/>
              <w:rPr>
                <w:rFonts w:ascii="Times New Roman" w:hAnsi="Times New Roman"/>
              </w:rPr>
            </w:pPr>
          </w:p>
        </w:tc>
        <w:tc>
          <w:tcPr>
            <w:tcW w:w="307" w:type="dxa"/>
            <w:tcBorders>
              <w:top w:val="nil"/>
              <w:left w:val="nil"/>
              <w:bottom w:val="single" w:sz="4" w:space="0" w:color="auto"/>
              <w:right w:val="nil"/>
            </w:tcBorders>
            <w:noWrap/>
            <w:vAlign w:val="bottom"/>
          </w:tcPr>
          <w:p w:rsidR="00267677" w:rsidRPr="0029558A" w:rsidRDefault="00267677" w:rsidP="00A31136">
            <w:pPr>
              <w:contextualSpacing/>
              <w:rPr>
                <w:rFonts w:ascii="Times New Roman" w:hAnsi="Times New Roman"/>
              </w:rPr>
            </w:pPr>
          </w:p>
        </w:tc>
        <w:tc>
          <w:tcPr>
            <w:tcW w:w="310" w:type="dxa"/>
            <w:tcBorders>
              <w:top w:val="nil"/>
              <w:left w:val="nil"/>
              <w:bottom w:val="single" w:sz="4" w:space="0" w:color="auto"/>
              <w:right w:val="nil"/>
            </w:tcBorders>
            <w:noWrap/>
            <w:vAlign w:val="bottom"/>
          </w:tcPr>
          <w:p w:rsidR="00267677" w:rsidRPr="0029558A" w:rsidRDefault="00267677" w:rsidP="00A31136">
            <w:pPr>
              <w:contextualSpacing/>
              <w:rPr>
                <w:rFonts w:ascii="Times New Roman" w:hAnsi="Times New Roman"/>
              </w:rPr>
            </w:pPr>
          </w:p>
        </w:tc>
        <w:tc>
          <w:tcPr>
            <w:tcW w:w="383" w:type="dxa"/>
            <w:tcBorders>
              <w:top w:val="nil"/>
              <w:left w:val="nil"/>
              <w:bottom w:val="single" w:sz="4" w:space="0" w:color="auto"/>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single" w:sz="4" w:space="0" w:color="auto"/>
              <w:right w:val="nil"/>
            </w:tcBorders>
            <w:noWrap/>
            <w:vAlign w:val="bottom"/>
          </w:tcPr>
          <w:p w:rsidR="00267677" w:rsidRPr="0029558A" w:rsidRDefault="00267677" w:rsidP="00A31136">
            <w:pPr>
              <w:contextualSpacing/>
              <w:rPr>
                <w:rFonts w:ascii="Times New Roman" w:hAnsi="Times New Roman"/>
              </w:rPr>
            </w:pPr>
          </w:p>
        </w:tc>
        <w:tc>
          <w:tcPr>
            <w:tcW w:w="317" w:type="dxa"/>
            <w:tcBorders>
              <w:top w:val="nil"/>
              <w:left w:val="nil"/>
              <w:bottom w:val="single" w:sz="4" w:space="0" w:color="auto"/>
              <w:right w:val="nil"/>
            </w:tcBorders>
            <w:noWrap/>
            <w:vAlign w:val="bottom"/>
          </w:tcPr>
          <w:p w:rsidR="00267677" w:rsidRPr="0029558A" w:rsidRDefault="00267677" w:rsidP="00A31136">
            <w:pPr>
              <w:contextualSpacing/>
              <w:rPr>
                <w:rFonts w:ascii="Times New Roman" w:hAnsi="Times New Roman"/>
              </w:rPr>
            </w:pPr>
          </w:p>
        </w:tc>
        <w:tc>
          <w:tcPr>
            <w:tcW w:w="301" w:type="dxa"/>
            <w:tcBorders>
              <w:top w:val="nil"/>
              <w:left w:val="nil"/>
              <w:bottom w:val="single" w:sz="4" w:space="0" w:color="auto"/>
              <w:right w:val="nil"/>
            </w:tcBorders>
            <w:noWrap/>
            <w:vAlign w:val="bottom"/>
          </w:tcPr>
          <w:p w:rsidR="00267677" w:rsidRPr="0029558A" w:rsidRDefault="00267677" w:rsidP="00A31136">
            <w:pPr>
              <w:contextualSpacing/>
              <w:rPr>
                <w:rFonts w:ascii="Times New Roman" w:hAnsi="Times New Roman"/>
              </w:rPr>
            </w:pPr>
          </w:p>
        </w:tc>
        <w:tc>
          <w:tcPr>
            <w:tcW w:w="306" w:type="dxa"/>
            <w:tcBorders>
              <w:top w:val="nil"/>
              <w:left w:val="nil"/>
              <w:bottom w:val="single" w:sz="4" w:space="0" w:color="auto"/>
              <w:right w:val="nil"/>
            </w:tcBorders>
            <w:noWrap/>
            <w:vAlign w:val="bottom"/>
          </w:tcPr>
          <w:p w:rsidR="00267677" w:rsidRPr="0029558A" w:rsidRDefault="00267677" w:rsidP="00A31136">
            <w:pPr>
              <w:contextualSpacing/>
              <w:rPr>
                <w:rFonts w:ascii="Times New Roman" w:hAnsi="Times New Roman"/>
              </w:rPr>
            </w:pPr>
          </w:p>
        </w:tc>
        <w:tc>
          <w:tcPr>
            <w:tcW w:w="343" w:type="dxa"/>
            <w:gridSpan w:val="2"/>
            <w:tcBorders>
              <w:top w:val="nil"/>
              <w:left w:val="nil"/>
              <w:bottom w:val="single" w:sz="4" w:space="0" w:color="auto"/>
              <w:right w:val="nil"/>
            </w:tcBorders>
            <w:noWrap/>
            <w:vAlign w:val="bottom"/>
          </w:tcPr>
          <w:p w:rsidR="00267677" w:rsidRPr="0029558A" w:rsidRDefault="00267677" w:rsidP="00A31136">
            <w:pPr>
              <w:contextualSpacing/>
              <w:rPr>
                <w:rFonts w:ascii="Times New Roman" w:hAnsi="Times New Roman"/>
              </w:rPr>
            </w:pPr>
          </w:p>
        </w:tc>
        <w:tc>
          <w:tcPr>
            <w:tcW w:w="353" w:type="dxa"/>
            <w:tcBorders>
              <w:top w:val="nil"/>
              <w:left w:val="nil"/>
              <w:bottom w:val="single" w:sz="4" w:space="0" w:color="auto"/>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single" w:sz="4" w:space="0" w:color="auto"/>
              <w:right w:val="nil"/>
            </w:tcBorders>
            <w:noWrap/>
            <w:vAlign w:val="bottom"/>
          </w:tcPr>
          <w:p w:rsidR="00267677" w:rsidRPr="0029558A" w:rsidRDefault="00267677" w:rsidP="00A31136">
            <w:pPr>
              <w:contextualSpacing/>
              <w:rPr>
                <w:rFonts w:ascii="Times New Roman" w:hAnsi="Times New Roman"/>
              </w:rPr>
            </w:pPr>
          </w:p>
        </w:tc>
        <w:tc>
          <w:tcPr>
            <w:tcW w:w="404" w:type="dxa"/>
            <w:tcBorders>
              <w:top w:val="nil"/>
              <w:left w:val="nil"/>
              <w:bottom w:val="single" w:sz="4" w:space="0" w:color="auto"/>
              <w:right w:val="nil"/>
            </w:tcBorders>
            <w:noWrap/>
            <w:vAlign w:val="bottom"/>
          </w:tcPr>
          <w:p w:rsidR="00267677" w:rsidRPr="0029558A" w:rsidRDefault="00267677" w:rsidP="00A31136">
            <w:pPr>
              <w:contextualSpacing/>
              <w:rPr>
                <w:rFonts w:ascii="Times New Roman" w:hAnsi="Times New Roman"/>
              </w:rPr>
            </w:pPr>
          </w:p>
        </w:tc>
        <w:tc>
          <w:tcPr>
            <w:tcW w:w="354" w:type="dxa"/>
            <w:tcBorders>
              <w:top w:val="nil"/>
              <w:left w:val="nil"/>
              <w:bottom w:val="single" w:sz="4" w:space="0" w:color="auto"/>
              <w:right w:val="nil"/>
            </w:tcBorders>
            <w:noWrap/>
            <w:vAlign w:val="bottom"/>
          </w:tcPr>
          <w:p w:rsidR="00267677" w:rsidRPr="0029558A" w:rsidRDefault="00267677" w:rsidP="00A31136">
            <w:pPr>
              <w:contextualSpacing/>
              <w:rPr>
                <w:rFonts w:ascii="Times New Roman" w:hAnsi="Times New Roman"/>
              </w:rPr>
            </w:pPr>
          </w:p>
        </w:tc>
        <w:tc>
          <w:tcPr>
            <w:tcW w:w="355" w:type="dxa"/>
            <w:tcBorders>
              <w:top w:val="nil"/>
              <w:left w:val="nil"/>
              <w:bottom w:val="single" w:sz="4" w:space="0" w:color="auto"/>
              <w:right w:val="nil"/>
            </w:tcBorders>
            <w:noWrap/>
            <w:vAlign w:val="bottom"/>
          </w:tcPr>
          <w:p w:rsidR="00267677" w:rsidRPr="0029558A" w:rsidRDefault="00267677" w:rsidP="00A31136">
            <w:pPr>
              <w:contextualSpacing/>
              <w:rPr>
                <w:rFonts w:ascii="Times New Roman" w:hAnsi="Times New Roman"/>
              </w:rPr>
            </w:pPr>
          </w:p>
        </w:tc>
        <w:tc>
          <w:tcPr>
            <w:tcW w:w="425" w:type="dxa"/>
            <w:tcBorders>
              <w:top w:val="nil"/>
              <w:left w:val="nil"/>
              <w:bottom w:val="single" w:sz="4" w:space="0" w:color="auto"/>
              <w:right w:val="nil"/>
            </w:tcBorders>
            <w:noWrap/>
            <w:vAlign w:val="bottom"/>
          </w:tcPr>
          <w:p w:rsidR="00267677" w:rsidRPr="0029558A" w:rsidRDefault="00267677" w:rsidP="00A31136">
            <w:pPr>
              <w:contextualSpacing/>
              <w:rPr>
                <w:rFonts w:ascii="Times New Roman" w:hAnsi="Times New Roman"/>
              </w:rPr>
            </w:pPr>
          </w:p>
        </w:tc>
        <w:tc>
          <w:tcPr>
            <w:tcW w:w="377" w:type="dxa"/>
            <w:tcBorders>
              <w:top w:val="nil"/>
              <w:left w:val="nil"/>
              <w:bottom w:val="single" w:sz="4" w:space="0" w:color="auto"/>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single" w:sz="4" w:space="0" w:color="auto"/>
              <w:right w:val="nil"/>
            </w:tcBorders>
            <w:noWrap/>
            <w:vAlign w:val="bottom"/>
          </w:tcPr>
          <w:p w:rsidR="00267677" w:rsidRPr="0029558A" w:rsidRDefault="00267677" w:rsidP="00A31136">
            <w:pPr>
              <w:contextualSpacing/>
              <w:rPr>
                <w:rFonts w:ascii="Times New Roman" w:hAnsi="Times New Roman"/>
              </w:rPr>
            </w:pPr>
          </w:p>
        </w:tc>
        <w:tc>
          <w:tcPr>
            <w:tcW w:w="305" w:type="dxa"/>
            <w:gridSpan w:val="2"/>
            <w:tcBorders>
              <w:top w:val="nil"/>
              <w:left w:val="nil"/>
              <w:bottom w:val="single" w:sz="4" w:space="0" w:color="auto"/>
              <w:right w:val="nil"/>
            </w:tcBorders>
            <w:noWrap/>
            <w:vAlign w:val="bottom"/>
          </w:tcPr>
          <w:p w:rsidR="00267677" w:rsidRPr="0029558A" w:rsidRDefault="00267677" w:rsidP="00A31136">
            <w:pPr>
              <w:contextualSpacing/>
              <w:rPr>
                <w:rFonts w:ascii="Times New Roman" w:hAnsi="Times New Roman"/>
                <w:sz w:val="20"/>
              </w:rPr>
            </w:pPr>
          </w:p>
        </w:tc>
        <w:tc>
          <w:tcPr>
            <w:tcW w:w="367" w:type="dxa"/>
            <w:gridSpan w:val="2"/>
            <w:tcBorders>
              <w:top w:val="nil"/>
              <w:left w:val="nil"/>
              <w:bottom w:val="single" w:sz="4" w:space="0" w:color="auto"/>
              <w:right w:val="nil"/>
            </w:tcBorders>
            <w:noWrap/>
            <w:vAlign w:val="bottom"/>
          </w:tcPr>
          <w:p w:rsidR="00267677" w:rsidRPr="0029558A" w:rsidRDefault="00267677" w:rsidP="00A31136">
            <w:pPr>
              <w:contextualSpacing/>
              <w:rPr>
                <w:rFonts w:ascii="Times New Roman" w:hAnsi="Times New Roman"/>
              </w:rPr>
            </w:pPr>
          </w:p>
        </w:tc>
        <w:tc>
          <w:tcPr>
            <w:tcW w:w="314" w:type="dxa"/>
            <w:gridSpan w:val="2"/>
            <w:tcBorders>
              <w:top w:val="nil"/>
              <w:left w:val="nil"/>
              <w:bottom w:val="single" w:sz="4" w:space="0" w:color="auto"/>
              <w:right w:val="nil"/>
            </w:tcBorders>
            <w:noWrap/>
            <w:vAlign w:val="bottom"/>
          </w:tcPr>
          <w:p w:rsidR="00267677" w:rsidRPr="0029558A" w:rsidRDefault="00267677" w:rsidP="00A31136">
            <w:pPr>
              <w:contextualSpacing/>
              <w:rPr>
                <w:rFonts w:ascii="Times New Roman" w:hAnsi="Times New Roman"/>
              </w:rPr>
            </w:pPr>
          </w:p>
        </w:tc>
        <w:tc>
          <w:tcPr>
            <w:tcW w:w="458" w:type="dxa"/>
            <w:tcBorders>
              <w:top w:val="nil"/>
              <w:left w:val="nil"/>
              <w:bottom w:val="single" w:sz="4" w:space="0" w:color="auto"/>
              <w:right w:val="nil"/>
            </w:tcBorders>
            <w:noWrap/>
            <w:vAlign w:val="bottom"/>
          </w:tcPr>
          <w:p w:rsidR="00267677" w:rsidRPr="0029558A" w:rsidRDefault="00267677" w:rsidP="00A31136">
            <w:pPr>
              <w:contextualSpacing/>
              <w:rPr>
                <w:rFonts w:ascii="Times New Roman" w:hAnsi="Times New Roman"/>
              </w:rPr>
            </w:pPr>
          </w:p>
        </w:tc>
        <w:tc>
          <w:tcPr>
            <w:tcW w:w="426" w:type="dxa"/>
            <w:tcBorders>
              <w:top w:val="nil"/>
              <w:left w:val="nil"/>
              <w:bottom w:val="single" w:sz="4" w:space="0" w:color="auto"/>
              <w:right w:val="nil"/>
            </w:tcBorders>
            <w:noWrap/>
            <w:vAlign w:val="bottom"/>
          </w:tcPr>
          <w:p w:rsidR="00267677" w:rsidRPr="0029558A" w:rsidRDefault="00267677" w:rsidP="00A31136">
            <w:pPr>
              <w:contextualSpacing/>
              <w:rPr>
                <w:rFonts w:ascii="Times New Roman" w:hAnsi="Times New Roman"/>
              </w:rPr>
            </w:pPr>
          </w:p>
        </w:tc>
        <w:tc>
          <w:tcPr>
            <w:tcW w:w="305" w:type="dxa"/>
            <w:tcBorders>
              <w:top w:val="nil"/>
              <w:left w:val="nil"/>
              <w:bottom w:val="single" w:sz="4" w:space="0" w:color="auto"/>
              <w:right w:val="nil"/>
            </w:tcBorders>
            <w:noWrap/>
            <w:vAlign w:val="bottom"/>
          </w:tcPr>
          <w:p w:rsidR="00267677" w:rsidRPr="0029558A" w:rsidRDefault="00267677" w:rsidP="00A31136">
            <w:pPr>
              <w:contextualSpacing/>
              <w:rPr>
                <w:rFonts w:ascii="Times New Roman" w:hAnsi="Times New Roman"/>
              </w:rPr>
            </w:pPr>
          </w:p>
        </w:tc>
        <w:tc>
          <w:tcPr>
            <w:tcW w:w="446" w:type="dxa"/>
            <w:tcBorders>
              <w:top w:val="nil"/>
              <w:left w:val="nil"/>
              <w:bottom w:val="single" w:sz="4" w:space="0" w:color="auto"/>
              <w:right w:val="nil"/>
            </w:tcBorders>
            <w:noWrap/>
            <w:vAlign w:val="bottom"/>
          </w:tcPr>
          <w:p w:rsidR="00267677" w:rsidRPr="0029558A" w:rsidRDefault="00267677" w:rsidP="00A31136">
            <w:pPr>
              <w:contextualSpacing/>
              <w:rPr>
                <w:rFonts w:ascii="Times New Roman" w:hAnsi="Times New Roman"/>
              </w:rPr>
            </w:pPr>
          </w:p>
        </w:tc>
        <w:tc>
          <w:tcPr>
            <w:tcW w:w="848" w:type="dxa"/>
            <w:gridSpan w:val="2"/>
            <w:tcBorders>
              <w:top w:val="nil"/>
              <w:left w:val="nil"/>
              <w:right w:val="nil"/>
            </w:tcBorders>
            <w:noWrap/>
            <w:vAlign w:val="bottom"/>
          </w:tcPr>
          <w:p w:rsidR="00267677" w:rsidRPr="00267677" w:rsidRDefault="00267677" w:rsidP="00A31136">
            <w:pPr>
              <w:contextualSpacing/>
              <w:rPr>
                <w:rFonts w:ascii="Arial Narrow" w:hAnsi="Arial Narrow" w:cs="Arial"/>
              </w:rPr>
            </w:pPr>
          </w:p>
        </w:tc>
        <w:tc>
          <w:tcPr>
            <w:tcW w:w="294" w:type="dxa"/>
            <w:gridSpan w:val="5"/>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349"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267677" w:rsidRPr="00267677" w:rsidTr="00F33619">
        <w:trPr>
          <w:trHeight w:val="162"/>
        </w:trPr>
        <w:tc>
          <w:tcPr>
            <w:tcW w:w="295" w:type="dxa"/>
            <w:tcBorders>
              <w:top w:val="nil"/>
              <w:left w:val="nil"/>
              <w:bottom w:val="nil"/>
              <w:right w:val="single" w:sz="4" w:space="0" w:color="auto"/>
            </w:tcBorders>
            <w:noWrap/>
            <w:vAlign w:val="bottom"/>
          </w:tcPr>
          <w:p w:rsidR="00267677" w:rsidRPr="0029558A" w:rsidRDefault="00267677" w:rsidP="00A31136">
            <w:pPr>
              <w:contextualSpacing/>
              <w:rPr>
                <w:rFonts w:ascii="Times New Roman" w:hAnsi="Times New Roman"/>
              </w:rPr>
            </w:pPr>
          </w:p>
        </w:tc>
        <w:tc>
          <w:tcPr>
            <w:tcW w:w="2201" w:type="dxa"/>
            <w:gridSpan w:val="7"/>
            <w:vMerge w:val="restart"/>
            <w:tcBorders>
              <w:top w:val="single" w:sz="4" w:space="0" w:color="auto"/>
              <w:left w:val="single" w:sz="4" w:space="0" w:color="auto"/>
              <w:bottom w:val="single" w:sz="4" w:space="0" w:color="000000"/>
              <w:right w:val="single" w:sz="4" w:space="0" w:color="000000"/>
            </w:tcBorders>
          </w:tcPr>
          <w:p w:rsidR="00267677" w:rsidRPr="0029558A" w:rsidRDefault="00267677" w:rsidP="00A31136">
            <w:pPr>
              <w:contextualSpacing/>
              <w:rPr>
                <w:rFonts w:ascii="Times New Roman" w:hAnsi="Times New Roman"/>
                <w:b/>
                <w:sz w:val="20"/>
              </w:rPr>
            </w:pPr>
            <w:r w:rsidRPr="0029558A">
              <w:rPr>
                <w:rFonts w:ascii="Times New Roman" w:hAnsi="Times New Roman"/>
                <w:b/>
                <w:sz w:val="20"/>
              </w:rPr>
              <w:t>Zostavené dňa:</w:t>
            </w:r>
          </w:p>
          <w:p w:rsidR="00267677" w:rsidRPr="0029558A" w:rsidRDefault="00267677" w:rsidP="00A31136">
            <w:pPr>
              <w:contextualSpacing/>
              <w:rPr>
                <w:rFonts w:ascii="Times New Roman" w:hAnsi="Times New Roman"/>
                <w:b/>
                <w:sz w:val="20"/>
              </w:rPr>
            </w:pPr>
          </w:p>
          <w:p w:rsidR="00267677" w:rsidRPr="0029558A" w:rsidRDefault="00267677" w:rsidP="00A31136">
            <w:pPr>
              <w:contextualSpacing/>
              <w:rPr>
                <w:rFonts w:ascii="Times New Roman" w:hAnsi="Times New Roman"/>
                <w:sz w:val="20"/>
              </w:rPr>
            </w:pPr>
          </w:p>
        </w:tc>
        <w:tc>
          <w:tcPr>
            <w:tcW w:w="2200" w:type="dxa"/>
            <w:gridSpan w:val="7"/>
            <w:vMerge w:val="restart"/>
            <w:tcBorders>
              <w:top w:val="single" w:sz="4" w:space="0" w:color="auto"/>
              <w:left w:val="single" w:sz="4" w:space="0" w:color="auto"/>
              <w:bottom w:val="single" w:sz="4" w:space="0" w:color="000000"/>
              <w:right w:val="single" w:sz="4" w:space="0" w:color="000000"/>
            </w:tcBorders>
          </w:tcPr>
          <w:p w:rsidR="00267677" w:rsidRPr="0029558A" w:rsidRDefault="00267677" w:rsidP="00A31136">
            <w:pPr>
              <w:contextualSpacing/>
              <w:rPr>
                <w:rFonts w:ascii="Times New Roman" w:hAnsi="Times New Roman"/>
                <w:b/>
                <w:sz w:val="20"/>
              </w:rPr>
            </w:pPr>
            <w:r w:rsidRPr="0029558A">
              <w:rPr>
                <w:rFonts w:ascii="Times New Roman" w:hAnsi="Times New Roman"/>
                <w:b/>
                <w:sz w:val="20"/>
              </w:rPr>
              <w:t>Podpisový záznam osoby zodpovednej za vedenie účtovníctva:</w:t>
            </w:r>
          </w:p>
          <w:p w:rsidR="00267677" w:rsidRDefault="00267677" w:rsidP="00A31136">
            <w:pPr>
              <w:contextualSpacing/>
              <w:rPr>
                <w:rFonts w:ascii="Times New Roman" w:hAnsi="Times New Roman"/>
                <w:b/>
              </w:rPr>
            </w:pPr>
          </w:p>
          <w:p w:rsidR="00F33619" w:rsidRDefault="00F33619" w:rsidP="00A31136">
            <w:pPr>
              <w:contextualSpacing/>
              <w:rPr>
                <w:rFonts w:ascii="Times New Roman" w:hAnsi="Times New Roman"/>
                <w:b/>
                <w:sz w:val="20"/>
                <w:szCs w:val="20"/>
              </w:rPr>
            </w:pPr>
          </w:p>
          <w:p w:rsidR="00267677" w:rsidRPr="00904F37" w:rsidRDefault="00267677" w:rsidP="00A31136">
            <w:pPr>
              <w:contextualSpacing/>
              <w:rPr>
                <w:rFonts w:ascii="Times New Roman" w:hAnsi="Times New Roman"/>
                <w:b/>
                <w:sz w:val="20"/>
                <w:szCs w:val="20"/>
              </w:rPr>
            </w:pPr>
            <w:r w:rsidRPr="00904F37">
              <w:rPr>
                <w:rFonts w:ascii="Times New Roman" w:hAnsi="Times New Roman"/>
                <w:b/>
                <w:sz w:val="20"/>
                <w:szCs w:val="20"/>
              </w:rPr>
              <w:t>PhDr. Anna Čepigová</w:t>
            </w:r>
            <w:r w:rsidR="00C83C57">
              <w:rPr>
                <w:rFonts w:ascii="Times New Roman" w:hAnsi="Times New Roman"/>
                <w:b/>
                <w:sz w:val="20"/>
                <w:szCs w:val="20"/>
              </w:rPr>
              <w:t>, v. r.</w:t>
            </w:r>
            <w:r w:rsidR="00904F37" w:rsidRPr="00904F37">
              <w:rPr>
                <w:rFonts w:ascii="Times New Roman" w:hAnsi="Times New Roman"/>
                <w:b/>
                <w:sz w:val="20"/>
                <w:szCs w:val="20"/>
              </w:rPr>
              <w:t xml:space="preserve"> </w:t>
            </w:r>
          </w:p>
          <w:p w:rsidR="00267677" w:rsidRPr="0029558A" w:rsidRDefault="00267677" w:rsidP="00A31136">
            <w:pPr>
              <w:contextualSpacing/>
              <w:rPr>
                <w:rFonts w:ascii="Times New Roman" w:hAnsi="Times New Roman"/>
              </w:rPr>
            </w:pPr>
            <w:r w:rsidRPr="00904F37">
              <w:rPr>
                <w:rFonts w:ascii="Times New Roman" w:hAnsi="Times New Roman"/>
                <w:sz w:val="16"/>
                <w:szCs w:val="16"/>
              </w:rPr>
              <w:t>riaditeľka odboru účtovníctva</w:t>
            </w:r>
          </w:p>
        </w:tc>
        <w:tc>
          <w:tcPr>
            <w:tcW w:w="3034" w:type="dxa"/>
            <w:gridSpan w:val="10"/>
            <w:vMerge w:val="restart"/>
            <w:tcBorders>
              <w:top w:val="single" w:sz="4" w:space="0" w:color="auto"/>
              <w:left w:val="single" w:sz="4" w:space="0" w:color="auto"/>
              <w:bottom w:val="single" w:sz="4" w:space="0" w:color="000000"/>
              <w:right w:val="single" w:sz="4" w:space="0" w:color="000000"/>
            </w:tcBorders>
          </w:tcPr>
          <w:p w:rsidR="00267677" w:rsidRPr="0029558A" w:rsidRDefault="00267677" w:rsidP="00A31136">
            <w:pPr>
              <w:contextualSpacing/>
              <w:rPr>
                <w:rFonts w:ascii="Times New Roman" w:hAnsi="Times New Roman"/>
                <w:b/>
                <w:sz w:val="20"/>
              </w:rPr>
            </w:pPr>
            <w:r w:rsidRPr="0029558A">
              <w:rPr>
                <w:rFonts w:ascii="Times New Roman" w:hAnsi="Times New Roman"/>
                <w:b/>
                <w:sz w:val="20"/>
              </w:rPr>
              <w:t>Podpisový záznam osoby zodpovednej za zostavenie účtovnej závierky:</w:t>
            </w:r>
          </w:p>
          <w:p w:rsidR="00267677" w:rsidRPr="0029558A" w:rsidRDefault="00267677" w:rsidP="00A31136">
            <w:pPr>
              <w:contextualSpacing/>
              <w:rPr>
                <w:rFonts w:ascii="Times New Roman" w:hAnsi="Times New Roman"/>
                <w:b/>
              </w:rPr>
            </w:pPr>
          </w:p>
          <w:p w:rsidR="00F33619" w:rsidRDefault="00F33619" w:rsidP="00A31136">
            <w:pPr>
              <w:contextualSpacing/>
              <w:rPr>
                <w:rFonts w:ascii="Times New Roman" w:hAnsi="Times New Roman"/>
                <w:b/>
                <w:sz w:val="20"/>
                <w:szCs w:val="20"/>
              </w:rPr>
            </w:pPr>
          </w:p>
          <w:p w:rsidR="00C83C57" w:rsidRDefault="002A0F75" w:rsidP="00A31136">
            <w:pPr>
              <w:contextualSpacing/>
              <w:rPr>
                <w:rFonts w:ascii="Times New Roman" w:hAnsi="Times New Roman"/>
                <w:b/>
                <w:sz w:val="20"/>
                <w:szCs w:val="20"/>
              </w:rPr>
            </w:pPr>
            <w:r>
              <w:rPr>
                <w:rFonts w:ascii="Times New Roman" w:hAnsi="Times New Roman"/>
                <w:b/>
                <w:sz w:val="20"/>
                <w:szCs w:val="20"/>
              </w:rPr>
              <w:t>Ing. Vojtech Bardiovský, PhD.</w:t>
            </w:r>
            <w:r w:rsidR="00C83C57">
              <w:rPr>
                <w:rFonts w:ascii="Times New Roman" w:hAnsi="Times New Roman"/>
                <w:b/>
                <w:sz w:val="20"/>
                <w:szCs w:val="20"/>
              </w:rPr>
              <w:t xml:space="preserve">, </w:t>
            </w:r>
          </w:p>
          <w:p w:rsidR="00267677" w:rsidRPr="00904F37" w:rsidRDefault="00C83C57" w:rsidP="00A31136">
            <w:pPr>
              <w:contextualSpacing/>
              <w:rPr>
                <w:rFonts w:ascii="Times New Roman" w:hAnsi="Times New Roman"/>
                <w:b/>
                <w:sz w:val="20"/>
                <w:szCs w:val="20"/>
              </w:rPr>
            </w:pPr>
            <w:r>
              <w:rPr>
                <w:rFonts w:ascii="Times New Roman" w:hAnsi="Times New Roman"/>
                <w:b/>
                <w:sz w:val="20"/>
                <w:szCs w:val="20"/>
              </w:rPr>
              <w:t>v. r.</w:t>
            </w:r>
          </w:p>
          <w:p w:rsidR="00267677" w:rsidRPr="0029558A" w:rsidRDefault="00904F37" w:rsidP="00A31136">
            <w:pPr>
              <w:contextualSpacing/>
              <w:rPr>
                <w:rFonts w:ascii="Times New Roman" w:hAnsi="Times New Roman"/>
              </w:rPr>
            </w:pPr>
            <w:r w:rsidRPr="00904F37">
              <w:rPr>
                <w:rFonts w:ascii="Times New Roman" w:hAnsi="Times New Roman"/>
                <w:sz w:val="16"/>
                <w:szCs w:val="16"/>
              </w:rPr>
              <w:t xml:space="preserve">poverený vykonávaním funkcie </w:t>
            </w:r>
            <w:r w:rsidR="00267677" w:rsidRPr="00904F37">
              <w:rPr>
                <w:rFonts w:ascii="Times New Roman" w:hAnsi="Times New Roman"/>
                <w:sz w:val="16"/>
                <w:szCs w:val="16"/>
              </w:rPr>
              <w:t>riaditeľ</w:t>
            </w:r>
            <w:r w:rsidRPr="00904F37">
              <w:rPr>
                <w:rFonts w:ascii="Times New Roman" w:hAnsi="Times New Roman"/>
                <w:sz w:val="16"/>
                <w:szCs w:val="16"/>
              </w:rPr>
              <w:t>a</w:t>
            </w:r>
            <w:r w:rsidR="00267677" w:rsidRPr="00904F37">
              <w:rPr>
                <w:rFonts w:ascii="Times New Roman" w:hAnsi="Times New Roman"/>
                <w:sz w:val="16"/>
                <w:szCs w:val="16"/>
              </w:rPr>
              <w:t xml:space="preserve"> sekcie ekonomiky</w:t>
            </w:r>
          </w:p>
        </w:tc>
        <w:tc>
          <w:tcPr>
            <w:tcW w:w="2531" w:type="dxa"/>
            <w:gridSpan w:val="9"/>
            <w:vMerge w:val="restart"/>
            <w:tcBorders>
              <w:top w:val="single" w:sz="4" w:space="0" w:color="auto"/>
              <w:left w:val="single" w:sz="4" w:space="0" w:color="auto"/>
              <w:bottom w:val="single" w:sz="4" w:space="0" w:color="000000"/>
              <w:right w:val="single" w:sz="4" w:space="0" w:color="auto"/>
            </w:tcBorders>
          </w:tcPr>
          <w:p w:rsidR="00267677" w:rsidRPr="0029558A" w:rsidRDefault="00267677" w:rsidP="00A31136">
            <w:pPr>
              <w:contextualSpacing/>
              <w:rPr>
                <w:rFonts w:ascii="Times New Roman" w:hAnsi="Times New Roman"/>
                <w:b/>
                <w:sz w:val="20"/>
              </w:rPr>
            </w:pPr>
            <w:r w:rsidRPr="0029558A">
              <w:rPr>
                <w:rFonts w:ascii="Times New Roman" w:hAnsi="Times New Roman"/>
                <w:b/>
                <w:sz w:val="20"/>
              </w:rPr>
              <w:t>Podpisový záznam štatutárneho orgánu alebo člena štatutárneho orgánu účtovnej jednotky:</w:t>
            </w:r>
          </w:p>
          <w:p w:rsidR="004777C5" w:rsidRDefault="004777C5" w:rsidP="00A31136">
            <w:pPr>
              <w:contextualSpacing/>
              <w:rPr>
                <w:rFonts w:ascii="Times New Roman" w:hAnsi="Times New Roman"/>
                <w:b/>
                <w:sz w:val="20"/>
                <w:szCs w:val="20"/>
              </w:rPr>
            </w:pPr>
          </w:p>
          <w:p w:rsidR="00267677" w:rsidRPr="00904F37" w:rsidRDefault="002A0F75" w:rsidP="00A31136">
            <w:pPr>
              <w:contextualSpacing/>
              <w:rPr>
                <w:rFonts w:ascii="Times New Roman" w:hAnsi="Times New Roman"/>
                <w:b/>
                <w:sz w:val="20"/>
                <w:szCs w:val="20"/>
              </w:rPr>
            </w:pPr>
            <w:r>
              <w:rPr>
                <w:rFonts w:ascii="Times New Roman" w:hAnsi="Times New Roman"/>
                <w:b/>
                <w:sz w:val="20"/>
                <w:szCs w:val="20"/>
              </w:rPr>
              <w:t>Ing. Ľubomír Vážny</w:t>
            </w:r>
            <w:r w:rsidR="00C83C57">
              <w:rPr>
                <w:rFonts w:ascii="Times New Roman" w:hAnsi="Times New Roman"/>
                <w:b/>
                <w:sz w:val="20"/>
                <w:szCs w:val="20"/>
              </w:rPr>
              <w:t>, v. r.</w:t>
            </w:r>
          </w:p>
          <w:p w:rsidR="00267677" w:rsidRPr="00904F37" w:rsidRDefault="00267677" w:rsidP="00A31136">
            <w:pPr>
              <w:contextualSpacing/>
              <w:rPr>
                <w:rFonts w:ascii="Times New Roman" w:hAnsi="Times New Roman"/>
                <w:sz w:val="16"/>
                <w:szCs w:val="16"/>
              </w:rPr>
            </w:pPr>
            <w:r w:rsidRPr="00904F37">
              <w:rPr>
                <w:rFonts w:ascii="Times New Roman" w:hAnsi="Times New Roman"/>
                <w:sz w:val="16"/>
                <w:szCs w:val="16"/>
              </w:rPr>
              <w:t xml:space="preserve">generálny riaditeľ </w:t>
            </w:r>
          </w:p>
          <w:p w:rsidR="00267677" w:rsidRPr="0029558A" w:rsidRDefault="00267677" w:rsidP="00A31136">
            <w:pPr>
              <w:contextualSpacing/>
              <w:rPr>
                <w:rFonts w:ascii="Times New Roman" w:hAnsi="Times New Roman"/>
                <w:sz w:val="20"/>
              </w:rPr>
            </w:pPr>
            <w:r w:rsidRPr="00904F37">
              <w:rPr>
                <w:rFonts w:ascii="Times New Roman" w:hAnsi="Times New Roman"/>
                <w:sz w:val="16"/>
                <w:szCs w:val="16"/>
              </w:rPr>
              <w:t>Sociálnej poisťovne</w:t>
            </w:r>
          </w:p>
        </w:tc>
        <w:tc>
          <w:tcPr>
            <w:tcW w:w="1110" w:type="dxa"/>
            <w:gridSpan w:val="6"/>
            <w:vMerge w:val="restart"/>
            <w:tcBorders>
              <w:left w:val="single" w:sz="4" w:space="0" w:color="auto"/>
            </w:tcBorders>
          </w:tcPr>
          <w:p w:rsidR="00267677" w:rsidRPr="00267677" w:rsidRDefault="00267677" w:rsidP="00A31136">
            <w:pPr>
              <w:contextualSpacing/>
              <w:rPr>
                <w:rFonts w:ascii="Arial Narrow" w:hAnsi="Arial Narrow" w:cs="Arial"/>
              </w:rPr>
            </w:pPr>
          </w:p>
        </w:tc>
        <w:tc>
          <w:tcPr>
            <w:tcW w:w="23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168"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267677" w:rsidRPr="00267677" w:rsidTr="00F33619">
        <w:trPr>
          <w:trHeight w:val="162"/>
        </w:trPr>
        <w:tc>
          <w:tcPr>
            <w:tcW w:w="295" w:type="dxa"/>
            <w:tcBorders>
              <w:top w:val="nil"/>
              <w:left w:val="nil"/>
              <w:bottom w:val="nil"/>
              <w:right w:val="single" w:sz="4" w:space="0" w:color="auto"/>
            </w:tcBorders>
            <w:noWrap/>
            <w:vAlign w:val="bottom"/>
          </w:tcPr>
          <w:p w:rsidR="00267677" w:rsidRPr="00267677" w:rsidRDefault="00267677" w:rsidP="00A31136">
            <w:pPr>
              <w:contextualSpacing/>
              <w:rPr>
                <w:rFonts w:ascii="Arial Narrow" w:hAnsi="Arial Narrow" w:cs="Arial"/>
                <w:b/>
              </w:rPr>
            </w:pPr>
          </w:p>
        </w:tc>
        <w:tc>
          <w:tcPr>
            <w:tcW w:w="2201" w:type="dxa"/>
            <w:gridSpan w:val="7"/>
            <w:vMerge/>
            <w:tcBorders>
              <w:top w:val="single" w:sz="4" w:space="0" w:color="000000"/>
              <w:left w:val="single" w:sz="4" w:space="0" w:color="auto"/>
              <w:bottom w:val="single" w:sz="4" w:space="0" w:color="000000"/>
              <w:right w:val="single" w:sz="4" w:space="0" w:color="000000"/>
            </w:tcBorders>
            <w:vAlign w:val="center"/>
          </w:tcPr>
          <w:p w:rsidR="00267677" w:rsidRPr="00267677" w:rsidRDefault="00267677" w:rsidP="00A31136">
            <w:pPr>
              <w:contextualSpacing/>
              <w:rPr>
                <w:rFonts w:ascii="Arial Narrow" w:hAnsi="Arial Narrow" w:cs="Arial"/>
                <w:b/>
              </w:rPr>
            </w:pPr>
          </w:p>
        </w:tc>
        <w:tc>
          <w:tcPr>
            <w:tcW w:w="2200" w:type="dxa"/>
            <w:gridSpan w:val="7"/>
            <w:vMerge/>
            <w:tcBorders>
              <w:top w:val="single" w:sz="4" w:space="0" w:color="000000"/>
              <w:left w:val="single" w:sz="4" w:space="0" w:color="000000"/>
              <w:bottom w:val="single" w:sz="4" w:space="0" w:color="000000"/>
              <w:right w:val="single" w:sz="4" w:space="0" w:color="000000"/>
            </w:tcBorders>
            <w:vAlign w:val="center"/>
          </w:tcPr>
          <w:p w:rsidR="00267677" w:rsidRPr="00267677" w:rsidRDefault="00267677" w:rsidP="00A31136">
            <w:pPr>
              <w:contextualSpacing/>
              <w:rPr>
                <w:rFonts w:ascii="Arial Narrow" w:hAnsi="Arial Narrow" w:cs="Arial"/>
                <w:b/>
              </w:rPr>
            </w:pPr>
          </w:p>
        </w:tc>
        <w:tc>
          <w:tcPr>
            <w:tcW w:w="3034" w:type="dxa"/>
            <w:gridSpan w:val="10"/>
            <w:vMerge/>
            <w:tcBorders>
              <w:top w:val="single" w:sz="4" w:space="0" w:color="000000"/>
              <w:left w:val="single" w:sz="4" w:space="0" w:color="000000"/>
              <w:bottom w:val="single" w:sz="4" w:space="0" w:color="000000"/>
              <w:right w:val="single" w:sz="4" w:space="0" w:color="000000"/>
            </w:tcBorders>
            <w:vAlign w:val="center"/>
          </w:tcPr>
          <w:p w:rsidR="00267677" w:rsidRPr="00267677" w:rsidRDefault="00267677" w:rsidP="00A31136">
            <w:pPr>
              <w:contextualSpacing/>
              <w:rPr>
                <w:rFonts w:ascii="Arial Narrow" w:hAnsi="Arial Narrow" w:cs="Arial"/>
                <w:b/>
              </w:rPr>
            </w:pPr>
          </w:p>
        </w:tc>
        <w:tc>
          <w:tcPr>
            <w:tcW w:w="2531" w:type="dxa"/>
            <w:gridSpan w:val="9"/>
            <w:vMerge/>
            <w:tcBorders>
              <w:top w:val="single" w:sz="4" w:space="0" w:color="000000"/>
              <w:left w:val="single" w:sz="4" w:space="0" w:color="000000"/>
              <w:bottom w:val="single" w:sz="4" w:space="0" w:color="000000"/>
              <w:right w:val="single" w:sz="4" w:space="0" w:color="auto"/>
            </w:tcBorders>
            <w:vAlign w:val="center"/>
          </w:tcPr>
          <w:p w:rsidR="00267677" w:rsidRPr="00267677" w:rsidRDefault="00267677" w:rsidP="00A31136">
            <w:pPr>
              <w:contextualSpacing/>
              <w:rPr>
                <w:rFonts w:ascii="Arial Narrow" w:hAnsi="Arial Narrow" w:cs="Arial"/>
                <w:b/>
              </w:rPr>
            </w:pPr>
          </w:p>
        </w:tc>
        <w:tc>
          <w:tcPr>
            <w:tcW w:w="1110" w:type="dxa"/>
            <w:gridSpan w:val="6"/>
            <w:vMerge/>
            <w:tcBorders>
              <w:left w:val="single" w:sz="4" w:space="0" w:color="auto"/>
            </w:tcBorders>
            <w:vAlign w:val="center"/>
          </w:tcPr>
          <w:p w:rsidR="00267677" w:rsidRPr="00267677" w:rsidRDefault="00267677" w:rsidP="00A31136">
            <w:pPr>
              <w:contextualSpacing/>
              <w:rPr>
                <w:rFonts w:ascii="Arial Narrow" w:hAnsi="Arial Narrow" w:cs="Arial"/>
                <w:b/>
              </w:rPr>
            </w:pPr>
          </w:p>
        </w:tc>
        <w:tc>
          <w:tcPr>
            <w:tcW w:w="23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b/>
              </w:rPr>
            </w:pPr>
          </w:p>
        </w:tc>
        <w:tc>
          <w:tcPr>
            <w:tcW w:w="168"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b/>
              </w:rPr>
            </w:pPr>
          </w:p>
        </w:tc>
      </w:tr>
      <w:tr w:rsidR="00267677" w:rsidRPr="00267677" w:rsidTr="00F33619">
        <w:trPr>
          <w:trHeight w:val="162"/>
        </w:trPr>
        <w:tc>
          <w:tcPr>
            <w:tcW w:w="295" w:type="dxa"/>
            <w:tcBorders>
              <w:top w:val="nil"/>
              <w:left w:val="nil"/>
              <w:bottom w:val="nil"/>
              <w:right w:val="single" w:sz="4" w:space="0" w:color="auto"/>
            </w:tcBorders>
            <w:noWrap/>
            <w:vAlign w:val="bottom"/>
          </w:tcPr>
          <w:p w:rsidR="00267677" w:rsidRPr="00267677" w:rsidRDefault="00267677" w:rsidP="00A31136">
            <w:pPr>
              <w:contextualSpacing/>
              <w:rPr>
                <w:rFonts w:ascii="Arial Narrow" w:hAnsi="Arial Narrow" w:cs="Arial"/>
              </w:rPr>
            </w:pPr>
          </w:p>
        </w:tc>
        <w:tc>
          <w:tcPr>
            <w:tcW w:w="2201" w:type="dxa"/>
            <w:gridSpan w:val="7"/>
            <w:vMerge/>
            <w:tcBorders>
              <w:top w:val="single" w:sz="4" w:space="0" w:color="000000"/>
              <w:left w:val="single" w:sz="4" w:space="0" w:color="auto"/>
              <w:bottom w:val="single" w:sz="4" w:space="0" w:color="000000"/>
              <w:right w:val="single" w:sz="4" w:space="0" w:color="000000"/>
            </w:tcBorders>
            <w:vAlign w:val="center"/>
          </w:tcPr>
          <w:p w:rsidR="00267677" w:rsidRPr="00267677" w:rsidRDefault="00267677" w:rsidP="00A31136">
            <w:pPr>
              <w:contextualSpacing/>
              <w:rPr>
                <w:rFonts w:ascii="Arial Narrow" w:hAnsi="Arial Narrow" w:cs="Arial"/>
              </w:rPr>
            </w:pPr>
          </w:p>
        </w:tc>
        <w:tc>
          <w:tcPr>
            <w:tcW w:w="2200" w:type="dxa"/>
            <w:gridSpan w:val="7"/>
            <w:vMerge/>
            <w:tcBorders>
              <w:top w:val="single" w:sz="4" w:space="0" w:color="000000"/>
              <w:left w:val="single" w:sz="4" w:space="0" w:color="000000"/>
              <w:bottom w:val="single" w:sz="4" w:space="0" w:color="000000"/>
              <w:right w:val="single" w:sz="4" w:space="0" w:color="000000"/>
            </w:tcBorders>
            <w:vAlign w:val="center"/>
          </w:tcPr>
          <w:p w:rsidR="00267677" w:rsidRPr="00267677" w:rsidRDefault="00267677" w:rsidP="00A31136">
            <w:pPr>
              <w:contextualSpacing/>
              <w:rPr>
                <w:rFonts w:ascii="Arial Narrow" w:hAnsi="Arial Narrow" w:cs="Arial"/>
              </w:rPr>
            </w:pPr>
          </w:p>
        </w:tc>
        <w:tc>
          <w:tcPr>
            <w:tcW w:w="3034" w:type="dxa"/>
            <w:gridSpan w:val="10"/>
            <w:vMerge/>
            <w:tcBorders>
              <w:top w:val="single" w:sz="4" w:space="0" w:color="000000"/>
              <w:left w:val="single" w:sz="4" w:space="0" w:color="000000"/>
              <w:bottom w:val="single" w:sz="4" w:space="0" w:color="000000"/>
              <w:right w:val="single" w:sz="4" w:space="0" w:color="000000"/>
            </w:tcBorders>
            <w:vAlign w:val="center"/>
          </w:tcPr>
          <w:p w:rsidR="00267677" w:rsidRPr="00267677" w:rsidRDefault="00267677" w:rsidP="00A31136">
            <w:pPr>
              <w:contextualSpacing/>
              <w:rPr>
                <w:rFonts w:ascii="Arial Narrow" w:hAnsi="Arial Narrow" w:cs="Arial"/>
              </w:rPr>
            </w:pPr>
          </w:p>
        </w:tc>
        <w:tc>
          <w:tcPr>
            <w:tcW w:w="2531" w:type="dxa"/>
            <w:gridSpan w:val="9"/>
            <w:vMerge/>
            <w:tcBorders>
              <w:top w:val="single" w:sz="4" w:space="0" w:color="000000"/>
              <w:left w:val="single" w:sz="4" w:space="0" w:color="000000"/>
              <w:bottom w:val="single" w:sz="4" w:space="0" w:color="000000"/>
              <w:right w:val="single" w:sz="4" w:space="0" w:color="auto"/>
            </w:tcBorders>
            <w:vAlign w:val="center"/>
          </w:tcPr>
          <w:p w:rsidR="00267677" w:rsidRPr="00267677" w:rsidRDefault="00267677" w:rsidP="00A31136">
            <w:pPr>
              <w:contextualSpacing/>
              <w:rPr>
                <w:rFonts w:ascii="Arial Narrow" w:hAnsi="Arial Narrow" w:cs="Arial"/>
              </w:rPr>
            </w:pPr>
          </w:p>
        </w:tc>
        <w:tc>
          <w:tcPr>
            <w:tcW w:w="1110" w:type="dxa"/>
            <w:gridSpan w:val="6"/>
            <w:vMerge/>
            <w:tcBorders>
              <w:left w:val="single" w:sz="4" w:space="0" w:color="auto"/>
            </w:tcBorders>
            <w:vAlign w:val="center"/>
          </w:tcPr>
          <w:p w:rsidR="00267677" w:rsidRPr="00267677" w:rsidRDefault="00267677" w:rsidP="00A31136">
            <w:pPr>
              <w:contextualSpacing/>
              <w:rPr>
                <w:rFonts w:ascii="Arial Narrow" w:hAnsi="Arial Narrow" w:cs="Arial"/>
              </w:rPr>
            </w:pPr>
          </w:p>
        </w:tc>
        <w:tc>
          <w:tcPr>
            <w:tcW w:w="23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168"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267677" w:rsidRPr="00267677" w:rsidTr="00F33619">
        <w:trPr>
          <w:trHeight w:val="162"/>
        </w:trPr>
        <w:tc>
          <w:tcPr>
            <w:tcW w:w="295" w:type="dxa"/>
            <w:tcBorders>
              <w:top w:val="nil"/>
              <w:left w:val="nil"/>
              <w:bottom w:val="nil"/>
              <w:right w:val="single" w:sz="4" w:space="0" w:color="auto"/>
            </w:tcBorders>
            <w:noWrap/>
            <w:vAlign w:val="bottom"/>
          </w:tcPr>
          <w:p w:rsidR="00267677" w:rsidRPr="00267677" w:rsidRDefault="00267677" w:rsidP="00A31136">
            <w:pPr>
              <w:contextualSpacing/>
              <w:rPr>
                <w:rFonts w:ascii="Arial Narrow" w:hAnsi="Arial Narrow" w:cs="Arial"/>
              </w:rPr>
            </w:pPr>
          </w:p>
        </w:tc>
        <w:tc>
          <w:tcPr>
            <w:tcW w:w="2201" w:type="dxa"/>
            <w:gridSpan w:val="7"/>
            <w:vMerge/>
            <w:tcBorders>
              <w:top w:val="single" w:sz="4" w:space="0" w:color="000000"/>
              <w:left w:val="single" w:sz="4" w:space="0" w:color="auto"/>
              <w:bottom w:val="single" w:sz="4" w:space="0" w:color="000000"/>
              <w:right w:val="single" w:sz="4" w:space="0" w:color="000000"/>
            </w:tcBorders>
            <w:vAlign w:val="center"/>
          </w:tcPr>
          <w:p w:rsidR="00267677" w:rsidRPr="00267677" w:rsidRDefault="00267677" w:rsidP="00A31136">
            <w:pPr>
              <w:contextualSpacing/>
              <w:rPr>
                <w:rFonts w:ascii="Arial Narrow" w:hAnsi="Arial Narrow" w:cs="Arial"/>
              </w:rPr>
            </w:pPr>
          </w:p>
        </w:tc>
        <w:tc>
          <w:tcPr>
            <w:tcW w:w="2200" w:type="dxa"/>
            <w:gridSpan w:val="7"/>
            <w:vMerge/>
            <w:tcBorders>
              <w:top w:val="single" w:sz="4" w:space="0" w:color="000000"/>
              <w:left w:val="single" w:sz="4" w:space="0" w:color="000000"/>
              <w:bottom w:val="single" w:sz="4" w:space="0" w:color="000000"/>
              <w:right w:val="single" w:sz="4" w:space="0" w:color="000000"/>
            </w:tcBorders>
            <w:vAlign w:val="center"/>
          </w:tcPr>
          <w:p w:rsidR="00267677" w:rsidRPr="00267677" w:rsidRDefault="00267677" w:rsidP="00A31136">
            <w:pPr>
              <w:contextualSpacing/>
              <w:rPr>
                <w:rFonts w:ascii="Arial Narrow" w:hAnsi="Arial Narrow" w:cs="Arial"/>
              </w:rPr>
            </w:pPr>
          </w:p>
        </w:tc>
        <w:tc>
          <w:tcPr>
            <w:tcW w:w="3034" w:type="dxa"/>
            <w:gridSpan w:val="10"/>
            <w:vMerge/>
            <w:tcBorders>
              <w:top w:val="single" w:sz="4" w:space="0" w:color="000000"/>
              <w:left w:val="single" w:sz="4" w:space="0" w:color="000000"/>
              <w:bottom w:val="single" w:sz="4" w:space="0" w:color="000000"/>
              <w:right w:val="single" w:sz="4" w:space="0" w:color="000000"/>
            </w:tcBorders>
            <w:vAlign w:val="center"/>
          </w:tcPr>
          <w:p w:rsidR="00267677" w:rsidRPr="00267677" w:rsidRDefault="00267677" w:rsidP="00A31136">
            <w:pPr>
              <w:contextualSpacing/>
              <w:rPr>
                <w:rFonts w:ascii="Arial Narrow" w:hAnsi="Arial Narrow" w:cs="Arial"/>
              </w:rPr>
            </w:pPr>
          </w:p>
        </w:tc>
        <w:tc>
          <w:tcPr>
            <w:tcW w:w="2531" w:type="dxa"/>
            <w:gridSpan w:val="9"/>
            <w:vMerge/>
            <w:tcBorders>
              <w:top w:val="single" w:sz="4" w:space="0" w:color="000000"/>
              <w:left w:val="single" w:sz="4" w:space="0" w:color="000000"/>
              <w:bottom w:val="single" w:sz="4" w:space="0" w:color="000000"/>
              <w:right w:val="single" w:sz="4" w:space="0" w:color="auto"/>
            </w:tcBorders>
            <w:vAlign w:val="center"/>
          </w:tcPr>
          <w:p w:rsidR="00267677" w:rsidRPr="00267677" w:rsidRDefault="00267677" w:rsidP="00A31136">
            <w:pPr>
              <w:contextualSpacing/>
              <w:rPr>
                <w:rFonts w:ascii="Arial Narrow" w:hAnsi="Arial Narrow" w:cs="Arial"/>
              </w:rPr>
            </w:pPr>
          </w:p>
        </w:tc>
        <w:tc>
          <w:tcPr>
            <w:tcW w:w="1110" w:type="dxa"/>
            <w:gridSpan w:val="6"/>
            <w:vMerge/>
            <w:tcBorders>
              <w:left w:val="single" w:sz="4" w:space="0" w:color="auto"/>
            </w:tcBorders>
            <w:vAlign w:val="center"/>
          </w:tcPr>
          <w:p w:rsidR="00267677" w:rsidRPr="00267677" w:rsidRDefault="00267677" w:rsidP="00A31136">
            <w:pPr>
              <w:contextualSpacing/>
              <w:rPr>
                <w:rFonts w:ascii="Arial Narrow" w:hAnsi="Arial Narrow" w:cs="Arial"/>
              </w:rPr>
            </w:pPr>
          </w:p>
        </w:tc>
        <w:tc>
          <w:tcPr>
            <w:tcW w:w="23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168"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267677" w:rsidRPr="00267677" w:rsidTr="00F33619">
        <w:trPr>
          <w:trHeight w:val="162"/>
        </w:trPr>
        <w:tc>
          <w:tcPr>
            <w:tcW w:w="295" w:type="dxa"/>
            <w:tcBorders>
              <w:top w:val="nil"/>
              <w:left w:val="nil"/>
              <w:bottom w:val="nil"/>
              <w:right w:val="single" w:sz="4" w:space="0" w:color="auto"/>
            </w:tcBorders>
            <w:noWrap/>
            <w:vAlign w:val="bottom"/>
          </w:tcPr>
          <w:p w:rsidR="00267677" w:rsidRPr="00267677" w:rsidRDefault="00267677" w:rsidP="00A31136">
            <w:pPr>
              <w:contextualSpacing/>
              <w:rPr>
                <w:rFonts w:ascii="Arial Narrow" w:hAnsi="Arial Narrow" w:cs="Arial"/>
              </w:rPr>
            </w:pPr>
          </w:p>
        </w:tc>
        <w:tc>
          <w:tcPr>
            <w:tcW w:w="2201" w:type="dxa"/>
            <w:gridSpan w:val="7"/>
            <w:vMerge/>
            <w:tcBorders>
              <w:top w:val="single" w:sz="4" w:space="0" w:color="000000"/>
              <w:left w:val="single" w:sz="4" w:space="0" w:color="auto"/>
              <w:bottom w:val="single" w:sz="4" w:space="0" w:color="000000"/>
              <w:right w:val="single" w:sz="4" w:space="0" w:color="000000"/>
            </w:tcBorders>
            <w:vAlign w:val="center"/>
          </w:tcPr>
          <w:p w:rsidR="00267677" w:rsidRPr="00267677" w:rsidRDefault="00267677" w:rsidP="00A31136">
            <w:pPr>
              <w:contextualSpacing/>
              <w:rPr>
                <w:rFonts w:ascii="Arial Narrow" w:hAnsi="Arial Narrow" w:cs="Arial"/>
              </w:rPr>
            </w:pPr>
          </w:p>
        </w:tc>
        <w:tc>
          <w:tcPr>
            <w:tcW w:w="2200" w:type="dxa"/>
            <w:gridSpan w:val="7"/>
            <w:vMerge/>
            <w:tcBorders>
              <w:top w:val="single" w:sz="4" w:space="0" w:color="000000"/>
              <w:left w:val="single" w:sz="4" w:space="0" w:color="000000"/>
              <w:bottom w:val="single" w:sz="4" w:space="0" w:color="000000"/>
              <w:right w:val="single" w:sz="4" w:space="0" w:color="000000"/>
            </w:tcBorders>
            <w:vAlign w:val="center"/>
          </w:tcPr>
          <w:p w:rsidR="00267677" w:rsidRPr="00267677" w:rsidRDefault="00267677" w:rsidP="00A31136">
            <w:pPr>
              <w:contextualSpacing/>
              <w:rPr>
                <w:rFonts w:ascii="Arial Narrow" w:hAnsi="Arial Narrow" w:cs="Arial"/>
              </w:rPr>
            </w:pPr>
          </w:p>
        </w:tc>
        <w:tc>
          <w:tcPr>
            <w:tcW w:w="3034" w:type="dxa"/>
            <w:gridSpan w:val="10"/>
            <w:vMerge/>
            <w:tcBorders>
              <w:top w:val="single" w:sz="4" w:space="0" w:color="000000"/>
              <w:left w:val="single" w:sz="4" w:space="0" w:color="000000"/>
              <w:bottom w:val="single" w:sz="4" w:space="0" w:color="000000"/>
              <w:right w:val="single" w:sz="4" w:space="0" w:color="000000"/>
            </w:tcBorders>
            <w:vAlign w:val="center"/>
          </w:tcPr>
          <w:p w:rsidR="00267677" w:rsidRPr="00267677" w:rsidRDefault="00267677" w:rsidP="00A31136">
            <w:pPr>
              <w:contextualSpacing/>
              <w:rPr>
                <w:rFonts w:ascii="Arial Narrow" w:hAnsi="Arial Narrow" w:cs="Arial"/>
              </w:rPr>
            </w:pPr>
          </w:p>
        </w:tc>
        <w:tc>
          <w:tcPr>
            <w:tcW w:w="2531" w:type="dxa"/>
            <w:gridSpan w:val="9"/>
            <w:vMerge/>
            <w:tcBorders>
              <w:top w:val="single" w:sz="4" w:space="0" w:color="000000"/>
              <w:left w:val="single" w:sz="4" w:space="0" w:color="000000"/>
              <w:bottom w:val="single" w:sz="4" w:space="0" w:color="000000"/>
              <w:right w:val="single" w:sz="4" w:space="0" w:color="auto"/>
            </w:tcBorders>
            <w:vAlign w:val="center"/>
          </w:tcPr>
          <w:p w:rsidR="00267677" w:rsidRPr="00267677" w:rsidRDefault="00267677" w:rsidP="00A31136">
            <w:pPr>
              <w:contextualSpacing/>
              <w:rPr>
                <w:rFonts w:ascii="Arial Narrow" w:hAnsi="Arial Narrow" w:cs="Arial"/>
              </w:rPr>
            </w:pPr>
          </w:p>
        </w:tc>
        <w:tc>
          <w:tcPr>
            <w:tcW w:w="1110" w:type="dxa"/>
            <w:gridSpan w:val="6"/>
            <w:vMerge/>
            <w:tcBorders>
              <w:left w:val="single" w:sz="4" w:space="0" w:color="auto"/>
            </w:tcBorders>
            <w:vAlign w:val="center"/>
          </w:tcPr>
          <w:p w:rsidR="00267677" w:rsidRPr="00267677" w:rsidRDefault="00267677" w:rsidP="00A31136">
            <w:pPr>
              <w:contextualSpacing/>
              <w:rPr>
                <w:rFonts w:ascii="Arial Narrow" w:hAnsi="Arial Narrow" w:cs="Arial"/>
              </w:rPr>
            </w:pPr>
          </w:p>
        </w:tc>
        <w:tc>
          <w:tcPr>
            <w:tcW w:w="23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168"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267677" w:rsidRPr="00267677" w:rsidTr="00F33619">
        <w:trPr>
          <w:trHeight w:val="162"/>
        </w:trPr>
        <w:tc>
          <w:tcPr>
            <w:tcW w:w="295" w:type="dxa"/>
            <w:tcBorders>
              <w:top w:val="nil"/>
              <w:left w:val="nil"/>
              <w:bottom w:val="nil"/>
              <w:right w:val="single" w:sz="4" w:space="0" w:color="auto"/>
            </w:tcBorders>
            <w:noWrap/>
            <w:vAlign w:val="bottom"/>
          </w:tcPr>
          <w:p w:rsidR="00267677" w:rsidRPr="00267677" w:rsidRDefault="00267677" w:rsidP="00A31136">
            <w:pPr>
              <w:contextualSpacing/>
              <w:rPr>
                <w:rFonts w:ascii="Arial Narrow" w:hAnsi="Arial Narrow" w:cs="Arial"/>
              </w:rPr>
            </w:pPr>
          </w:p>
        </w:tc>
        <w:tc>
          <w:tcPr>
            <w:tcW w:w="2201" w:type="dxa"/>
            <w:gridSpan w:val="7"/>
            <w:vMerge/>
            <w:tcBorders>
              <w:top w:val="single" w:sz="4" w:space="0" w:color="000000"/>
              <w:left w:val="single" w:sz="4" w:space="0" w:color="auto"/>
              <w:bottom w:val="single" w:sz="4" w:space="0" w:color="000000"/>
              <w:right w:val="single" w:sz="4" w:space="0" w:color="000000"/>
            </w:tcBorders>
            <w:vAlign w:val="center"/>
          </w:tcPr>
          <w:p w:rsidR="00267677" w:rsidRPr="00267677" w:rsidRDefault="00267677" w:rsidP="00A31136">
            <w:pPr>
              <w:contextualSpacing/>
              <w:rPr>
                <w:rFonts w:ascii="Arial Narrow" w:hAnsi="Arial Narrow" w:cs="Arial"/>
              </w:rPr>
            </w:pPr>
          </w:p>
        </w:tc>
        <w:tc>
          <w:tcPr>
            <w:tcW w:w="2200" w:type="dxa"/>
            <w:gridSpan w:val="7"/>
            <w:vMerge/>
            <w:tcBorders>
              <w:top w:val="single" w:sz="4" w:space="0" w:color="000000"/>
              <w:left w:val="single" w:sz="4" w:space="0" w:color="000000"/>
              <w:bottom w:val="single" w:sz="4" w:space="0" w:color="000000"/>
              <w:right w:val="single" w:sz="4" w:space="0" w:color="000000"/>
            </w:tcBorders>
            <w:vAlign w:val="center"/>
          </w:tcPr>
          <w:p w:rsidR="00267677" w:rsidRPr="00267677" w:rsidRDefault="00267677" w:rsidP="00A31136">
            <w:pPr>
              <w:contextualSpacing/>
              <w:rPr>
                <w:rFonts w:ascii="Arial Narrow" w:hAnsi="Arial Narrow" w:cs="Arial"/>
              </w:rPr>
            </w:pPr>
          </w:p>
        </w:tc>
        <w:tc>
          <w:tcPr>
            <w:tcW w:w="3034" w:type="dxa"/>
            <w:gridSpan w:val="10"/>
            <w:vMerge/>
            <w:tcBorders>
              <w:top w:val="single" w:sz="4" w:space="0" w:color="000000"/>
              <w:left w:val="single" w:sz="4" w:space="0" w:color="000000"/>
              <w:bottom w:val="single" w:sz="4" w:space="0" w:color="000000"/>
              <w:right w:val="single" w:sz="4" w:space="0" w:color="000000"/>
            </w:tcBorders>
            <w:vAlign w:val="center"/>
          </w:tcPr>
          <w:p w:rsidR="00267677" w:rsidRPr="00267677" w:rsidRDefault="00267677" w:rsidP="00A31136">
            <w:pPr>
              <w:contextualSpacing/>
              <w:rPr>
                <w:rFonts w:ascii="Arial Narrow" w:hAnsi="Arial Narrow" w:cs="Arial"/>
              </w:rPr>
            </w:pPr>
          </w:p>
        </w:tc>
        <w:tc>
          <w:tcPr>
            <w:tcW w:w="2531" w:type="dxa"/>
            <w:gridSpan w:val="9"/>
            <w:vMerge/>
            <w:tcBorders>
              <w:top w:val="single" w:sz="4" w:space="0" w:color="000000"/>
              <w:left w:val="single" w:sz="4" w:space="0" w:color="000000"/>
              <w:bottom w:val="single" w:sz="4" w:space="0" w:color="000000"/>
              <w:right w:val="single" w:sz="4" w:space="0" w:color="auto"/>
            </w:tcBorders>
            <w:vAlign w:val="center"/>
          </w:tcPr>
          <w:p w:rsidR="00267677" w:rsidRPr="00267677" w:rsidRDefault="00267677" w:rsidP="00A31136">
            <w:pPr>
              <w:contextualSpacing/>
              <w:rPr>
                <w:rFonts w:ascii="Arial Narrow" w:hAnsi="Arial Narrow" w:cs="Arial"/>
              </w:rPr>
            </w:pPr>
          </w:p>
        </w:tc>
        <w:tc>
          <w:tcPr>
            <w:tcW w:w="1110" w:type="dxa"/>
            <w:gridSpan w:val="6"/>
            <w:vMerge/>
            <w:tcBorders>
              <w:left w:val="single" w:sz="4" w:space="0" w:color="auto"/>
            </w:tcBorders>
            <w:vAlign w:val="center"/>
          </w:tcPr>
          <w:p w:rsidR="00267677" w:rsidRPr="00267677" w:rsidRDefault="00267677" w:rsidP="00A31136">
            <w:pPr>
              <w:contextualSpacing/>
              <w:rPr>
                <w:rFonts w:ascii="Arial Narrow" w:hAnsi="Arial Narrow" w:cs="Arial"/>
              </w:rPr>
            </w:pPr>
          </w:p>
        </w:tc>
        <w:tc>
          <w:tcPr>
            <w:tcW w:w="23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168"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267677" w:rsidRPr="00267677" w:rsidTr="00F33619">
        <w:trPr>
          <w:trHeight w:val="162"/>
        </w:trPr>
        <w:tc>
          <w:tcPr>
            <w:tcW w:w="295" w:type="dxa"/>
            <w:tcBorders>
              <w:top w:val="nil"/>
              <w:left w:val="nil"/>
              <w:bottom w:val="nil"/>
              <w:right w:val="single" w:sz="4" w:space="0" w:color="auto"/>
            </w:tcBorders>
            <w:noWrap/>
            <w:vAlign w:val="bottom"/>
          </w:tcPr>
          <w:p w:rsidR="00267677" w:rsidRPr="00267677" w:rsidRDefault="00267677" w:rsidP="00A31136">
            <w:pPr>
              <w:contextualSpacing/>
              <w:rPr>
                <w:rFonts w:ascii="Arial Narrow" w:hAnsi="Arial Narrow" w:cs="Arial"/>
              </w:rPr>
            </w:pPr>
          </w:p>
        </w:tc>
        <w:tc>
          <w:tcPr>
            <w:tcW w:w="2201" w:type="dxa"/>
            <w:gridSpan w:val="7"/>
            <w:vMerge/>
            <w:tcBorders>
              <w:top w:val="single" w:sz="4" w:space="0" w:color="000000"/>
              <w:left w:val="single" w:sz="4" w:space="0" w:color="auto"/>
              <w:bottom w:val="single" w:sz="4" w:space="0" w:color="000000"/>
              <w:right w:val="single" w:sz="4" w:space="0" w:color="000000"/>
            </w:tcBorders>
            <w:vAlign w:val="center"/>
          </w:tcPr>
          <w:p w:rsidR="00267677" w:rsidRPr="00267677" w:rsidRDefault="00267677" w:rsidP="00A31136">
            <w:pPr>
              <w:contextualSpacing/>
              <w:rPr>
                <w:rFonts w:ascii="Arial Narrow" w:hAnsi="Arial Narrow" w:cs="Arial"/>
              </w:rPr>
            </w:pPr>
          </w:p>
        </w:tc>
        <w:tc>
          <w:tcPr>
            <w:tcW w:w="2200" w:type="dxa"/>
            <w:gridSpan w:val="7"/>
            <w:vMerge/>
            <w:tcBorders>
              <w:top w:val="single" w:sz="4" w:space="0" w:color="000000"/>
              <w:left w:val="single" w:sz="4" w:space="0" w:color="000000"/>
              <w:bottom w:val="single" w:sz="4" w:space="0" w:color="000000"/>
              <w:right w:val="single" w:sz="4" w:space="0" w:color="000000"/>
            </w:tcBorders>
            <w:vAlign w:val="center"/>
          </w:tcPr>
          <w:p w:rsidR="00267677" w:rsidRPr="00267677" w:rsidRDefault="00267677" w:rsidP="00A31136">
            <w:pPr>
              <w:contextualSpacing/>
              <w:rPr>
                <w:rFonts w:ascii="Arial Narrow" w:hAnsi="Arial Narrow" w:cs="Arial"/>
              </w:rPr>
            </w:pPr>
          </w:p>
        </w:tc>
        <w:tc>
          <w:tcPr>
            <w:tcW w:w="3034" w:type="dxa"/>
            <w:gridSpan w:val="10"/>
            <w:vMerge/>
            <w:tcBorders>
              <w:top w:val="single" w:sz="4" w:space="0" w:color="000000"/>
              <w:left w:val="single" w:sz="4" w:space="0" w:color="000000"/>
              <w:bottom w:val="single" w:sz="4" w:space="0" w:color="000000"/>
              <w:right w:val="single" w:sz="4" w:space="0" w:color="000000"/>
            </w:tcBorders>
            <w:vAlign w:val="center"/>
          </w:tcPr>
          <w:p w:rsidR="00267677" w:rsidRPr="00267677" w:rsidRDefault="00267677" w:rsidP="00A31136">
            <w:pPr>
              <w:contextualSpacing/>
              <w:rPr>
                <w:rFonts w:ascii="Arial Narrow" w:hAnsi="Arial Narrow" w:cs="Arial"/>
              </w:rPr>
            </w:pPr>
          </w:p>
        </w:tc>
        <w:tc>
          <w:tcPr>
            <w:tcW w:w="2531" w:type="dxa"/>
            <w:gridSpan w:val="9"/>
            <w:vMerge/>
            <w:tcBorders>
              <w:top w:val="single" w:sz="4" w:space="0" w:color="000000"/>
              <w:left w:val="single" w:sz="4" w:space="0" w:color="000000"/>
              <w:bottom w:val="single" w:sz="4" w:space="0" w:color="000000"/>
              <w:right w:val="single" w:sz="4" w:space="0" w:color="auto"/>
            </w:tcBorders>
            <w:vAlign w:val="center"/>
          </w:tcPr>
          <w:p w:rsidR="00267677" w:rsidRPr="00267677" w:rsidRDefault="00267677" w:rsidP="00A31136">
            <w:pPr>
              <w:contextualSpacing/>
              <w:rPr>
                <w:rFonts w:ascii="Arial Narrow" w:hAnsi="Arial Narrow" w:cs="Arial"/>
              </w:rPr>
            </w:pPr>
          </w:p>
        </w:tc>
        <w:tc>
          <w:tcPr>
            <w:tcW w:w="1110" w:type="dxa"/>
            <w:gridSpan w:val="6"/>
            <w:vMerge/>
            <w:tcBorders>
              <w:left w:val="single" w:sz="4" w:space="0" w:color="auto"/>
            </w:tcBorders>
            <w:vAlign w:val="center"/>
          </w:tcPr>
          <w:p w:rsidR="00267677" w:rsidRPr="00267677" w:rsidRDefault="00267677" w:rsidP="00A31136">
            <w:pPr>
              <w:contextualSpacing/>
              <w:rPr>
                <w:rFonts w:ascii="Arial Narrow" w:hAnsi="Arial Narrow" w:cs="Arial"/>
              </w:rPr>
            </w:pPr>
          </w:p>
        </w:tc>
        <w:tc>
          <w:tcPr>
            <w:tcW w:w="23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168"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r w:rsidR="00267677" w:rsidRPr="00267677" w:rsidTr="00F33619">
        <w:trPr>
          <w:trHeight w:val="162"/>
        </w:trPr>
        <w:tc>
          <w:tcPr>
            <w:tcW w:w="295" w:type="dxa"/>
            <w:tcBorders>
              <w:top w:val="nil"/>
              <w:left w:val="nil"/>
              <w:bottom w:val="nil"/>
              <w:right w:val="single" w:sz="4" w:space="0" w:color="auto"/>
            </w:tcBorders>
            <w:noWrap/>
            <w:vAlign w:val="bottom"/>
          </w:tcPr>
          <w:p w:rsidR="00267677" w:rsidRPr="00267677" w:rsidRDefault="00267677" w:rsidP="00A31136">
            <w:pPr>
              <w:contextualSpacing/>
              <w:rPr>
                <w:rFonts w:ascii="Arial Narrow" w:hAnsi="Arial Narrow" w:cs="Arial"/>
              </w:rPr>
            </w:pPr>
          </w:p>
        </w:tc>
        <w:tc>
          <w:tcPr>
            <w:tcW w:w="2201" w:type="dxa"/>
            <w:gridSpan w:val="7"/>
            <w:vMerge/>
            <w:tcBorders>
              <w:top w:val="single" w:sz="4" w:space="0" w:color="000000"/>
              <w:left w:val="single" w:sz="4" w:space="0" w:color="auto"/>
              <w:bottom w:val="single" w:sz="4" w:space="0" w:color="000000"/>
              <w:right w:val="single" w:sz="4" w:space="0" w:color="000000"/>
            </w:tcBorders>
            <w:vAlign w:val="center"/>
          </w:tcPr>
          <w:p w:rsidR="00267677" w:rsidRPr="00267677" w:rsidRDefault="00267677" w:rsidP="00A31136">
            <w:pPr>
              <w:contextualSpacing/>
              <w:rPr>
                <w:rFonts w:ascii="Arial Narrow" w:hAnsi="Arial Narrow" w:cs="Arial"/>
              </w:rPr>
            </w:pPr>
          </w:p>
        </w:tc>
        <w:tc>
          <w:tcPr>
            <w:tcW w:w="2200" w:type="dxa"/>
            <w:gridSpan w:val="7"/>
            <w:vMerge/>
            <w:tcBorders>
              <w:top w:val="single" w:sz="4" w:space="0" w:color="000000"/>
              <w:left w:val="single" w:sz="4" w:space="0" w:color="000000"/>
              <w:bottom w:val="single" w:sz="4" w:space="0" w:color="000000"/>
              <w:right w:val="single" w:sz="4" w:space="0" w:color="000000"/>
            </w:tcBorders>
            <w:vAlign w:val="center"/>
          </w:tcPr>
          <w:p w:rsidR="00267677" w:rsidRPr="00267677" w:rsidRDefault="00267677" w:rsidP="00A31136">
            <w:pPr>
              <w:contextualSpacing/>
              <w:rPr>
                <w:rFonts w:ascii="Arial Narrow" w:hAnsi="Arial Narrow" w:cs="Arial"/>
              </w:rPr>
            </w:pPr>
          </w:p>
        </w:tc>
        <w:tc>
          <w:tcPr>
            <w:tcW w:w="3034" w:type="dxa"/>
            <w:gridSpan w:val="10"/>
            <w:vMerge/>
            <w:tcBorders>
              <w:top w:val="single" w:sz="4" w:space="0" w:color="000000"/>
              <w:left w:val="single" w:sz="4" w:space="0" w:color="000000"/>
              <w:bottom w:val="single" w:sz="4" w:space="0" w:color="000000"/>
              <w:right w:val="single" w:sz="4" w:space="0" w:color="000000"/>
            </w:tcBorders>
            <w:vAlign w:val="center"/>
          </w:tcPr>
          <w:p w:rsidR="00267677" w:rsidRPr="00267677" w:rsidRDefault="00267677" w:rsidP="00A31136">
            <w:pPr>
              <w:contextualSpacing/>
              <w:rPr>
                <w:rFonts w:ascii="Arial Narrow" w:hAnsi="Arial Narrow" w:cs="Arial"/>
              </w:rPr>
            </w:pPr>
          </w:p>
        </w:tc>
        <w:tc>
          <w:tcPr>
            <w:tcW w:w="2531" w:type="dxa"/>
            <w:gridSpan w:val="9"/>
            <w:vMerge/>
            <w:tcBorders>
              <w:top w:val="single" w:sz="4" w:space="0" w:color="000000"/>
              <w:left w:val="single" w:sz="4" w:space="0" w:color="000000"/>
              <w:bottom w:val="single" w:sz="4" w:space="0" w:color="000000"/>
              <w:right w:val="single" w:sz="4" w:space="0" w:color="auto"/>
            </w:tcBorders>
            <w:vAlign w:val="center"/>
          </w:tcPr>
          <w:p w:rsidR="00267677" w:rsidRPr="00267677" w:rsidRDefault="00267677" w:rsidP="00A31136">
            <w:pPr>
              <w:contextualSpacing/>
              <w:rPr>
                <w:rFonts w:ascii="Arial Narrow" w:hAnsi="Arial Narrow" w:cs="Arial"/>
              </w:rPr>
            </w:pPr>
          </w:p>
        </w:tc>
        <w:tc>
          <w:tcPr>
            <w:tcW w:w="1110" w:type="dxa"/>
            <w:gridSpan w:val="6"/>
            <w:vMerge/>
            <w:tcBorders>
              <w:left w:val="single" w:sz="4" w:space="0" w:color="auto"/>
            </w:tcBorders>
            <w:vAlign w:val="center"/>
          </w:tcPr>
          <w:p w:rsidR="00267677" w:rsidRPr="00267677" w:rsidRDefault="00267677" w:rsidP="00A31136">
            <w:pPr>
              <w:contextualSpacing/>
              <w:rPr>
                <w:rFonts w:ascii="Arial Narrow" w:hAnsi="Arial Narrow" w:cs="Arial"/>
              </w:rPr>
            </w:pPr>
          </w:p>
        </w:tc>
        <w:tc>
          <w:tcPr>
            <w:tcW w:w="237" w:type="dxa"/>
            <w:gridSpan w:val="4"/>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c>
          <w:tcPr>
            <w:tcW w:w="168" w:type="dxa"/>
            <w:gridSpan w:val="2"/>
            <w:tcBorders>
              <w:top w:val="nil"/>
              <w:left w:val="nil"/>
              <w:bottom w:val="nil"/>
              <w:right w:val="nil"/>
            </w:tcBorders>
            <w:noWrap/>
            <w:vAlign w:val="bottom"/>
          </w:tcPr>
          <w:p w:rsidR="00267677" w:rsidRPr="00267677" w:rsidRDefault="00267677" w:rsidP="00A31136">
            <w:pPr>
              <w:contextualSpacing/>
              <w:rPr>
                <w:rFonts w:ascii="Arial Narrow" w:hAnsi="Arial Narrow" w:cs="Arial"/>
              </w:rPr>
            </w:pPr>
          </w:p>
        </w:tc>
      </w:tr>
    </w:tbl>
    <w:p w:rsidR="001154BD" w:rsidRPr="009F6051" w:rsidRDefault="001154BD" w:rsidP="00E914B5">
      <w:pPr>
        <w:keepNext/>
        <w:widowControl/>
        <w:jc w:val="center"/>
        <w:rPr>
          <w:rFonts w:ascii="Times New Roman" w:hAnsi="Times New Roman"/>
          <w:b/>
          <w:bCs/>
          <w:sz w:val="24"/>
          <w:szCs w:val="24"/>
        </w:rPr>
        <w:sectPr w:rsidR="001154BD" w:rsidRPr="009F6051" w:rsidSect="00267677">
          <w:headerReference w:type="even" r:id="rId9"/>
          <w:headerReference w:type="default" r:id="rId10"/>
          <w:footerReference w:type="even" r:id="rId11"/>
          <w:footerReference w:type="default" r:id="rId12"/>
          <w:headerReference w:type="first" r:id="rId13"/>
          <w:footerReference w:type="first" r:id="rId14"/>
          <w:pgSz w:w="12240" w:h="15840" w:code="1"/>
          <w:pgMar w:top="1418" w:right="1418" w:bottom="1418" w:left="1418" w:header="709" w:footer="709" w:gutter="0"/>
          <w:pgNumType w:start="1"/>
          <w:cols w:space="708"/>
          <w:noEndnote/>
        </w:sectPr>
      </w:pPr>
    </w:p>
    <w:p w:rsidR="00385B00" w:rsidRPr="000A2157" w:rsidRDefault="00385B00" w:rsidP="00385B00">
      <w:pPr>
        <w:pStyle w:val="Nadpis1"/>
        <w:spacing w:line="360" w:lineRule="auto"/>
        <w:jc w:val="center"/>
        <w:rPr>
          <w:rFonts w:ascii="Times New Roman" w:hAnsi="Times New Roman"/>
          <w:b/>
          <w:color w:val="000000" w:themeColor="text1"/>
          <w:sz w:val="24"/>
          <w:szCs w:val="24"/>
        </w:rPr>
      </w:pPr>
      <w:r w:rsidRPr="000A2157">
        <w:rPr>
          <w:rFonts w:ascii="Times New Roman" w:hAnsi="Times New Roman"/>
          <w:b/>
          <w:color w:val="000000" w:themeColor="text1"/>
          <w:sz w:val="24"/>
          <w:szCs w:val="24"/>
        </w:rPr>
        <w:lastRenderedPageBreak/>
        <w:t>Čl. I</w:t>
      </w:r>
    </w:p>
    <w:p w:rsidR="00385B00" w:rsidRPr="000A2157" w:rsidRDefault="00385B00" w:rsidP="00385B00">
      <w:pPr>
        <w:pStyle w:val="Nadpis2"/>
        <w:spacing w:line="360" w:lineRule="auto"/>
        <w:jc w:val="center"/>
        <w:rPr>
          <w:rFonts w:ascii="Times New Roman" w:hAnsi="Times New Roman"/>
          <w:b/>
          <w:color w:val="000000" w:themeColor="text1"/>
          <w:sz w:val="24"/>
          <w:szCs w:val="24"/>
        </w:rPr>
      </w:pPr>
      <w:r w:rsidRPr="000A2157">
        <w:rPr>
          <w:rFonts w:ascii="Times New Roman" w:hAnsi="Times New Roman"/>
          <w:b/>
          <w:color w:val="000000" w:themeColor="text1"/>
          <w:sz w:val="24"/>
          <w:szCs w:val="24"/>
        </w:rPr>
        <w:t>Všeobecné údaje</w:t>
      </w:r>
    </w:p>
    <w:p w:rsidR="00385B00" w:rsidRDefault="00385B00" w:rsidP="00385B00">
      <w:pPr>
        <w:spacing w:line="360" w:lineRule="auto"/>
        <w:rPr>
          <w:rFonts w:ascii="Times New Roman" w:hAnsi="Times New Roman"/>
          <w:color w:val="000000" w:themeColor="text1"/>
          <w:sz w:val="24"/>
          <w:szCs w:val="24"/>
        </w:rPr>
      </w:pPr>
      <w:r w:rsidRPr="000A2157">
        <w:rPr>
          <w:rFonts w:ascii="Times New Roman" w:hAnsi="Times New Roman"/>
          <w:color w:val="000000" w:themeColor="text1"/>
          <w:sz w:val="24"/>
          <w:szCs w:val="24"/>
        </w:rPr>
        <w:t> </w:t>
      </w:r>
    </w:p>
    <w:p w:rsidR="00385B00" w:rsidRPr="000A1CA1" w:rsidRDefault="00385B00" w:rsidP="00385B00">
      <w:pPr>
        <w:spacing w:line="360" w:lineRule="auto"/>
        <w:rPr>
          <w:rFonts w:ascii="Times New Roman" w:hAnsi="Times New Roman"/>
          <w:b/>
          <w:color w:val="000000" w:themeColor="text1"/>
          <w:sz w:val="24"/>
          <w:szCs w:val="24"/>
        </w:rPr>
      </w:pPr>
      <w:r w:rsidRPr="000A1CA1">
        <w:rPr>
          <w:rFonts w:ascii="Times New Roman" w:hAnsi="Times New Roman"/>
          <w:b/>
          <w:color w:val="000000" w:themeColor="text1"/>
          <w:sz w:val="24"/>
          <w:szCs w:val="24"/>
        </w:rPr>
        <w:t>Orgánmi Sociálnej poisťovne v zmysle § 121 zákona č. 461/2003 Z. z. o sociálnom poistení v znení neskorších predpisov sú:</w:t>
      </w:r>
    </w:p>
    <w:p w:rsidR="00385B00" w:rsidRPr="00FB616B" w:rsidRDefault="00385B00" w:rsidP="00385B00">
      <w:pPr>
        <w:widowControl/>
        <w:autoSpaceDE/>
        <w:autoSpaceDN/>
        <w:adjustRightInd/>
        <w:spacing w:line="360" w:lineRule="auto"/>
        <w:jc w:val="both"/>
        <w:rPr>
          <w:rFonts w:ascii="Times New Roman" w:hAnsi="Times New Roman"/>
          <w:sz w:val="24"/>
          <w:szCs w:val="24"/>
        </w:rPr>
      </w:pPr>
    </w:p>
    <w:p w:rsidR="00385B00" w:rsidRPr="00FB616B" w:rsidRDefault="00385B00" w:rsidP="00385B00">
      <w:pPr>
        <w:widowControl/>
        <w:numPr>
          <w:ilvl w:val="0"/>
          <w:numId w:val="11"/>
        </w:numPr>
        <w:shd w:val="clear" w:color="auto" w:fill="FFFFFF"/>
        <w:autoSpaceDE/>
        <w:autoSpaceDN/>
        <w:adjustRightInd/>
        <w:spacing w:line="360" w:lineRule="auto"/>
        <w:ind w:left="426"/>
        <w:jc w:val="both"/>
        <w:rPr>
          <w:rFonts w:ascii="Times New Roman" w:hAnsi="Times New Roman"/>
          <w:sz w:val="24"/>
          <w:szCs w:val="24"/>
        </w:rPr>
      </w:pPr>
      <w:r w:rsidRPr="00FB616B">
        <w:rPr>
          <w:rFonts w:ascii="Times New Roman" w:hAnsi="Times New Roman"/>
          <w:sz w:val="24"/>
          <w:szCs w:val="24"/>
        </w:rPr>
        <w:t>generálny riaditeľ Sociálnej poisťovne</w:t>
      </w:r>
    </w:p>
    <w:p w:rsidR="00385B00" w:rsidRPr="00FB616B" w:rsidRDefault="00385B00" w:rsidP="00385B00">
      <w:pPr>
        <w:widowControl/>
        <w:numPr>
          <w:ilvl w:val="0"/>
          <w:numId w:val="11"/>
        </w:numPr>
        <w:shd w:val="clear" w:color="auto" w:fill="FFFFFF"/>
        <w:autoSpaceDE/>
        <w:autoSpaceDN/>
        <w:adjustRightInd/>
        <w:spacing w:line="360" w:lineRule="auto"/>
        <w:ind w:left="426"/>
        <w:jc w:val="both"/>
        <w:rPr>
          <w:rFonts w:ascii="Times New Roman" w:hAnsi="Times New Roman"/>
          <w:sz w:val="24"/>
          <w:szCs w:val="24"/>
        </w:rPr>
      </w:pPr>
      <w:r w:rsidRPr="00FB616B">
        <w:rPr>
          <w:rFonts w:ascii="Times New Roman" w:hAnsi="Times New Roman"/>
          <w:sz w:val="24"/>
          <w:szCs w:val="24"/>
        </w:rPr>
        <w:t>Dozorná rada Sociálnej poisťovne</w:t>
      </w:r>
    </w:p>
    <w:p w:rsidR="00385B00" w:rsidRPr="00FB616B" w:rsidRDefault="00385B00" w:rsidP="00385B00">
      <w:pPr>
        <w:widowControl/>
        <w:numPr>
          <w:ilvl w:val="0"/>
          <w:numId w:val="11"/>
        </w:numPr>
        <w:autoSpaceDE/>
        <w:autoSpaceDN/>
        <w:adjustRightInd/>
        <w:spacing w:line="360" w:lineRule="auto"/>
        <w:ind w:left="426"/>
        <w:jc w:val="both"/>
        <w:rPr>
          <w:rFonts w:ascii="Times New Roman" w:hAnsi="Times New Roman"/>
          <w:sz w:val="24"/>
          <w:szCs w:val="24"/>
        </w:rPr>
      </w:pPr>
      <w:r w:rsidRPr="00FB616B">
        <w:rPr>
          <w:rFonts w:ascii="Times New Roman" w:hAnsi="Times New Roman"/>
          <w:sz w:val="24"/>
          <w:szCs w:val="24"/>
        </w:rPr>
        <w:t>riaditeľ pobočky Sociálnej poisťovne</w:t>
      </w:r>
    </w:p>
    <w:p w:rsidR="00385B00" w:rsidRPr="00FB616B" w:rsidRDefault="00385B00" w:rsidP="00385B00">
      <w:pPr>
        <w:widowControl/>
        <w:tabs>
          <w:tab w:val="left" w:pos="709"/>
        </w:tabs>
        <w:autoSpaceDE/>
        <w:autoSpaceDN/>
        <w:adjustRightInd/>
        <w:spacing w:line="360" w:lineRule="auto"/>
        <w:jc w:val="both"/>
        <w:rPr>
          <w:rFonts w:ascii="Times New Roman" w:hAnsi="Times New Roman"/>
          <w:sz w:val="24"/>
          <w:szCs w:val="24"/>
          <w:lang w:eastAsia="cs-CZ"/>
        </w:rPr>
      </w:pPr>
    </w:p>
    <w:p w:rsidR="00385B00" w:rsidRPr="00FB616B" w:rsidRDefault="00385B00" w:rsidP="00385B00">
      <w:pPr>
        <w:widowControl/>
        <w:shd w:val="clear" w:color="auto" w:fill="FFFFFF"/>
        <w:tabs>
          <w:tab w:val="left" w:pos="2694"/>
        </w:tabs>
        <w:autoSpaceDE/>
        <w:autoSpaceDN/>
        <w:adjustRightInd/>
        <w:spacing w:line="360" w:lineRule="auto"/>
        <w:jc w:val="both"/>
        <w:rPr>
          <w:rFonts w:ascii="Times New Roman" w:hAnsi="Times New Roman"/>
          <w:b/>
          <w:bCs/>
          <w:sz w:val="24"/>
          <w:szCs w:val="24"/>
        </w:rPr>
      </w:pPr>
      <w:r w:rsidRPr="00FB616B">
        <w:rPr>
          <w:rFonts w:ascii="Times New Roman" w:hAnsi="Times New Roman"/>
          <w:b/>
          <w:bCs/>
          <w:sz w:val="24"/>
          <w:szCs w:val="24"/>
        </w:rPr>
        <w:t xml:space="preserve">Generálny riaditeľ: </w:t>
      </w:r>
      <w:r w:rsidRPr="00FB616B">
        <w:rPr>
          <w:rFonts w:ascii="Times New Roman" w:hAnsi="Times New Roman"/>
          <w:b/>
          <w:bCs/>
          <w:sz w:val="24"/>
          <w:szCs w:val="24"/>
        </w:rPr>
        <w:tab/>
      </w:r>
      <w:r w:rsidRPr="00FB616B">
        <w:rPr>
          <w:rFonts w:ascii="Times New Roman" w:hAnsi="Times New Roman"/>
          <w:bCs/>
          <w:sz w:val="24"/>
          <w:szCs w:val="24"/>
        </w:rPr>
        <w:t>Ing. Ľubomír Vážny</w:t>
      </w:r>
    </w:p>
    <w:p w:rsidR="00385B00" w:rsidRPr="00FB616B" w:rsidRDefault="00385B00" w:rsidP="00385B00">
      <w:pPr>
        <w:widowControl/>
        <w:shd w:val="clear" w:color="auto" w:fill="FFFFFF"/>
        <w:autoSpaceDE/>
        <w:autoSpaceDN/>
        <w:adjustRightInd/>
        <w:spacing w:line="360" w:lineRule="auto"/>
        <w:jc w:val="both"/>
        <w:rPr>
          <w:rFonts w:ascii="Times New Roman" w:hAnsi="Times New Roman"/>
          <w:sz w:val="24"/>
          <w:szCs w:val="24"/>
        </w:rPr>
      </w:pPr>
      <w:r w:rsidRPr="00FB616B">
        <w:rPr>
          <w:rFonts w:ascii="Times New Roman" w:hAnsi="Times New Roman"/>
          <w:sz w:val="24"/>
          <w:szCs w:val="24"/>
        </w:rPr>
        <w:tab/>
      </w:r>
    </w:p>
    <w:p w:rsidR="00385B00" w:rsidRPr="00FB616B" w:rsidRDefault="00385B00" w:rsidP="00385B00">
      <w:pPr>
        <w:widowControl/>
        <w:tabs>
          <w:tab w:val="left" w:pos="709"/>
        </w:tabs>
        <w:autoSpaceDE/>
        <w:autoSpaceDN/>
        <w:adjustRightInd/>
        <w:spacing w:line="360" w:lineRule="auto"/>
        <w:jc w:val="both"/>
        <w:rPr>
          <w:rFonts w:ascii="Times New Roman" w:hAnsi="Times New Roman"/>
          <w:sz w:val="24"/>
          <w:szCs w:val="24"/>
          <w:lang w:eastAsia="cs-CZ"/>
        </w:rPr>
      </w:pPr>
      <w:r w:rsidRPr="00FB616B">
        <w:rPr>
          <w:rFonts w:ascii="Times New Roman" w:hAnsi="Times New Roman"/>
          <w:sz w:val="24"/>
          <w:szCs w:val="24"/>
        </w:rPr>
        <w:t xml:space="preserve">Generálny riaditeľ je zároveň </w:t>
      </w:r>
      <w:r w:rsidRPr="00FB616B">
        <w:rPr>
          <w:rFonts w:ascii="Times New Roman" w:hAnsi="Times New Roman"/>
          <w:b/>
          <w:bCs/>
          <w:sz w:val="24"/>
          <w:szCs w:val="24"/>
        </w:rPr>
        <w:t xml:space="preserve">štatutárnym orgánom </w:t>
      </w:r>
      <w:r w:rsidRPr="00FB616B">
        <w:rPr>
          <w:rFonts w:ascii="Times New Roman" w:hAnsi="Times New Roman"/>
          <w:sz w:val="24"/>
          <w:szCs w:val="24"/>
        </w:rPr>
        <w:t>Sociálnej poisťovne.</w:t>
      </w:r>
    </w:p>
    <w:p w:rsidR="00385B00" w:rsidRPr="00FB616B" w:rsidRDefault="00385B00" w:rsidP="00385B00">
      <w:pPr>
        <w:widowControl/>
        <w:tabs>
          <w:tab w:val="left" w:pos="709"/>
        </w:tabs>
        <w:autoSpaceDE/>
        <w:autoSpaceDN/>
        <w:adjustRightInd/>
        <w:spacing w:line="360" w:lineRule="auto"/>
        <w:jc w:val="both"/>
        <w:rPr>
          <w:rFonts w:ascii="Times New Roman" w:hAnsi="Times New Roman"/>
          <w:sz w:val="24"/>
          <w:szCs w:val="24"/>
          <w:lang w:eastAsia="cs-CZ"/>
        </w:rPr>
      </w:pPr>
    </w:p>
    <w:p w:rsidR="00385B00" w:rsidRPr="00FB616B" w:rsidRDefault="00385B00" w:rsidP="00385B00">
      <w:pPr>
        <w:widowControl/>
        <w:shd w:val="clear" w:color="auto" w:fill="FFFFFF"/>
        <w:autoSpaceDE/>
        <w:autoSpaceDN/>
        <w:adjustRightInd/>
        <w:spacing w:line="360" w:lineRule="auto"/>
        <w:jc w:val="both"/>
        <w:rPr>
          <w:rFonts w:ascii="Times New Roman" w:hAnsi="Times New Roman"/>
          <w:sz w:val="24"/>
          <w:szCs w:val="24"/>
        </w:rPr>
      </w:pPr>
      <w:r w:rsidRPr="00FB616B">
        <w:rPr>
          <w:rFonts w:ascii="Times New Roman" w:hAnsi="Times New Roman"/>
          <w:b/>
          <w:bCs/>
          <w:sz w:val="24"/>
          <w:szCs w:val="24"/>
        </w:rPr>
        <w:t>Dozorným a kontrolným orgánom Sociálnej poisťovne</w:t>
      </w:r>
      <w:r w:rsidRPr="00FB616B">
        <w:rPr>
          <w:rFonts w:ascii="Times New Roman" w:hAnsi="Times New Roman"/>
          <w:sz w:val="24"/>
          <w:szCs w:val="24"/>
        </w:rPr>
        <w:t xml:space="preserve"> je Dozorná rada, ktorá má 11 členov. </w:t>
      </w:r>
    </w:p>
    <w:p w:rsidR="00385B00" w:rsidRPr="00FB616B" w:rsidRDefault="00385B00" w:rsidP="00385B00">
      <w:pPr>
        <w:widowControl/>
        <w:shd w:val="clear" w:color="auto" w:fill="FFFFFF"/>
        <w:autoSpaceDE/>
        <w:autoSpaceDN/>
        <w:adjustRightInd/>
        <w:spacing w:line="360" w:lineRule="auto"/>
        <w:jc w:val="both"/>
        <w:rPr>
          <w:rFonts w:ascii="Times New Roman" w:hAnsi="Times New Roman"/>
          <w:sz w:val="24"/>
          <w:szCs w:val="24"/>
          <w:lang w:eastAsia="cs-CZ"/>
        </w:rPr>
      </w:pPr>
      <w:r w:rsidRPr="00FB616B">
        <w:rPr>
          <w:rFonts w:ascii="Times New Roman" w:hAnsi="Times New Roman"/>
          <w:sz w:val="24"/>
          <w:szCs w:val="24"/>
        </w:rPr>
        <w:t>Dozorná rada Sociálnej poisťovne v roku 2018 pôsobila v zložení:</w:t>
      </w:r>
    </w:p>
    <w:p w:rsidR="00385B00" w:rsidRPr="00FB616B" w:rsidRDefault="00385B00" w:rsidP="00385B00">
      <w:pPr>
        <w:widowControl/>
        <w:autoSpaceDE/>
        <w:autoSpaceDN/>
        <w:adjustRightInd/>
        <w:spacing w:line="360" w:lineRule="auto"/>
        <w:rPr>
          <w:rFonts w:ascii="Times New Roman" w:hAnsi="Times New Roman"/>
          <w:b/>
          <w:snapToGrid w:val="0"/>
          <w:sz w:val="24"/>
          <w:szCs w:val="24"/>
          <w:lang w:eastAsia="cs-CZ"/>
        </w:rPr>
      </w:pPr>
    </w:p>
    <w:p w:rsidR="00385B00" w:rsidRPr="00FB616B" w:rsidRDefault="00385B00" w:rsidP="00385B00">
      <w:pPr>
        <w:widowControl/>
        <w:autoSpaceDE/>
        <w:autoSpaceDN/>
        <w:adjustRightInd/>
        <w:spacing w:line="360" w:lineRule="auto"/>
        <w:rPr>
          <w:rFonts w:ascii="Times New Roman" w:hAnsi="Times New Roman"/>
          <w:i/>
          <w:snapToGrid w:val="0"/>
          <w:sz w:val="24"/>
          <w:szCs w:val="24"/>
          <w:lang w:eastAsia="cs-CZ"/>
        </w:rPr>
      </w:pPr>
      <w:r w:rsidRPr="00FB616B">
        <w:rPr>
          <w:rFonts w:ascii="Times New Roman" w:hAnsi="Times New Roman"/>
          <w:b/>
          <w:i/>
          <w:snapToGrid w:val="0"/>
          <w:sz w:val="24"/>
          <w:szCs w:val="24"/>
          <w:lang w:eastAsia="cs-CZ"/>
        </w:rPr>
        <w:t>Predseda Dozornej rady</w:t>
      </w:r>
      <w:r w:rsidRPr="00FB616B">
        <w:rPr>
          <w:rFonts w:ascii="Times New Roman" w:hAnsi="Times New Roman"/>
          <w:i/>
          <w:snapToGrid w:val="0"/>
          <w:sz w:val="24"/>
          <w:szCs w:val="24"/>
          <w:lang w:eastAsia="cs-CZ"/>
        </w:rPr>
        <w:t xml:space="preserve">: </w:t>
      </w:r>
      <w:r w:rsidRPr="00FB616B">
        <w:rPr>
          <w:rFonts w:ascii="Times New Roman" w:hAnsi="Times New Roman"/>
          <w:b/>
          <w:i/>
          <w:snapToGrid w:val="0"/>
          <w:sz w:val="24"/>
          <w:szCs w:val="24"/>
          <w:lang w:eastAsia="cs-CZ"/>
        </w:rPr>
        <w:t xml:space="preserve"> </w:t>
      </w:r>
      <w:r w:rsidRPr="00FB616B">
        <w:rPr>
          <w:rFonts w:ascii="Times New Roman" w:hAnsi="Times New Roman"/>
          <w:b/>
          <w:i/>
          <w:snapToGrid w:val="0"/>
          <w:sz w:val="24"/>
          <w:szCs w:val="24"/>
          <w:lang w:eastAsia="cs-CZ"/>
        </w:rPr>
        <w:tab/>
      </w:r>
      <w:r w:rsidRPr="00FB616B">
        <w:rPr>
          <w:rFonts w:ascii="Times New Roman" w:hAnsi="Times New Roman"/>
          <w:i/>
          <w:snapToGrid w:val="0"/>
          <w:sz w:val="24"/>
          <w:szCs w:val="24"/>
          <w:lang w:eastAsia="cs-CZ"/>
        </w:rPr>
        <w:tab/>
      </w:r>
    </w:p>
    <w:p w:rsidR="00385B00" w:rsidRPr="00FB616B" w:rsidRDefault="00385B00" w:rsidP="00385B00">
      <w:pPr>
        <w:widowControl/>
        <w:tabs>
          <w:tab w:val="left" w:pos="4678"/>
        </w:tabs>
        <w:autoSpaceDE/>
        <w:autoSpaceDN/>
        <w:adjustRightInd/>
        <w:spacing w:line="360" w:lineRule="auto"/>
        <w:rPr>
          <w:rFonts w:ascii="Times New Roman" w:hAnsi="Times New Roman"/>
          <w:i/>
          <w:snapToGrid w:val="0"/>
          <w:sz w:val="24"/>
          <w:szCs w:val="24"/>
          <w:lang w:eastAsia="cs-CZ"/>
        </w:rPr>
      </w:pPr>
      <w:r w:rsidRPr="00FB616B">
        <w:rPr>
          <w:rFonts w:ascii="Times New Roman" w:hAnsi="Times New Roman"/>
          <w:b/>
          <w:snapToGrid w:val="0"/>
          <w:sz w:val="24"/>
          <w:szCs w:val="24"/>
          <w:lang w:eastAsia="cs-CZ"/>
        </w:rPr>
        <w:t xml:space="preserve">JUDr. Ján Richter </w:t>
      </w:r>
      <w:r w:rsidRPr="00FB616B">
        <w:rPr>
          <w:rFonts w:ascii="Times New Roman" w:hAnsi="Times New Roman"/>
          <w:b/>
          <w:snapToGrid w:val="0"/>
          <w:sz w:val="24"/>
          <w:szCs w:val="24"/>
          <w:lang w:eastAsia="cs-CZ"/>
        </w:rPr>
        <w:tab/>
      </w:r>
      <w:r w:rsidRPr="00FB616B">
        <w:rPr>
          <w:rFonts w:ascii="Times New Roman" w:hAnsi="Times New Roman"/>
          <w:i/>
          <w:snapToGrid w:val="0"/>
          <w:sz w:val="24"/>
          <w:szCs w:val="24"/>
          <w:lang w:eastAsia="cs-CZ"/>
        </w:rPr>
        <w:t xml:space="preserve">minister práce, sociálnych vecí </w:t>
      </w:r>
      <w:r w:rsidRPr="00FB616B">
        <w:rPr>
          <w:rFonts w:ascii="Times New Roman" w:hAnsi="Times New Roman"/>
          <w:i/>
          <w:snapToGrid w:val="0"/>
          <w:sz w:val="24"/>
          <w:szCs w:val="24"/>
          <w:lang w:eastAsia="cs-CZ"/>
        </w:rPr>
        <w:tab/>
      </w:r>
      <w:r w:rsidRPr="00FB616B">
        <w:rPr>
          <w:rFonts w:ascii="Times New Roman" w:hAnsi="Times New Roman"/>
          <w:i/>
          <w:snapToGrid w:val="0"/>
          <w:sz w:val="24"/>
          <w:szCs w:val="24"/>
          <w:lang w:eastAsia="cs-CZ"/>
        </w:rPr>
        <w:tab/>
      </w:r>
      <w:r w:rsidRPr="00FB616B">
        <w:rPr>
          <w:rFonts w:ascii="Times New Roman" w:hAnsi="Times New Roman"/>
          <w:i/>
          <w:snapToGrid w:val="0"/>
          <w:sz w:val="24"/>
          <w:szCs w:val="24"/>
          <w:lang w:eastAsia="cs-CZ"/>
        </w:rPr>
        <w:tab/>
        <w:t>a rodiny Slovenskej republiky</w:t>
      </w:r>
    </w:p>
    <w:p w:rsidR="00385B00" w:rsidRPr="00FB616B" w:rsidRDefault="00385B00" w:rsidP="00385B00">
      <w:pPr>
        <w:widowControl/>
        <w:tabs>
          <w:tab w:val="left" w:pos="2977"/>
        </w:tabs>
        <w:autoSpaceDE/>
        <w:autoSpaceDN/>
        <w:adjustRightInd/>
        <w:spacing w:line="360" w:lineRule="auto"/>
        <w:rPr>
          <w:rFonts w:ascii="Times New Roman" w:hAnsi="Times New Roman"/>
          <w:b/>
          <w:snapToGrid w:val="0"/>
          <w:sz w:val="24"/>
          <w:szCs w:val="24"/>
        </w:rPr>
      </w:pPr>
      <w:r w:rsidRPr="00FB616B">
        <w:rPr>
          <w:rFonts w:ascii="Times New Roman" w:hAnsi="Times New Roman"/>
          <w:b/>
          <w:snapToGrid w:val="0"/>
          <w:sz w:val="24"/>
          <w:szCs w:val="24"/>
          <w:lang w:eastAsia="cs-CZ"/>
        </w:rPr>
        <w:tab/>
      </w:r>
    </w:p>
    <w:p w:rsidR="00385B00" w:rsidRPr="00FB616B" w:rsidRDefault="00385B00" w:rsidP="00385B00">
      <w:pPr>
        <w:widowControl/>
        <w:autoSpaceDE/>
        <w:autoSpaceDN/>
        <w:adjustRightInd/>
        <w:spacing w:line="360" w:lineRule="auto"/>
        <w:rPr>
          <w:rFonts w:ascii="Times New Roman" w:hAnsi="Times New Roman"/>
          <w:b/>
          <w:i/>
          <w:snapToGrid w:val="0"/>
          <w:sz w:val="24"/>
          <w:szCs w:val="24"/>
        </w:rPr>
      </w:pPr>
      <w:r w:rsidRPr="00FB616B">
        <w:rPr>
          <w:rFonts w:ascii="Times New Roman" w:hAnsi="Times New Roman"/>
          <w:b/>
          <w:i/>
          <w:snapToGrid w:val="0"/>
          <w:sz w:val="24"/>
          <w:szCs w:val="24"/>
        </w:rPr>
        <w:t>Členovia za vládu:</w:t>
      </w:r>
    </w:p>
    <w:p w:rsidR="00385B00" w:rsidRPr="00FB616B" w:rsidRDefault="00385B00" w:rsidP="00385B00">
      <w:pPr>
        <w:widowControl/>
        <w:tabs>
          <w:tab w:val="left" w:pos="-2552"/>
          <w:tab w:val="left" w:pos="-2127"/>
          <w:tab w:val="left" w:pos="4678"/>
        </w:tabs>
        <w:autoSpaceDE/>
        <w:autoSpaceDN/>
        <w:adjustRightInd/>
        <w:spacing w:line="360" w:lineRule="auto"/>
        <w:ind w:left="4678" w:hanging="4678"/>
        <w:jc w:val="both"/>
        <w:rPr>
          <w:rFonts w:ascii="Times New Roman" w:hAnsi="Times New Roman"/>
          <w:i/>
          <w:sz w:val="24"/>
          <w:szCs w:val="24"/>
          <w:lang w:eastAsia="cs-CZ"/>
        </w:rPr>
      </w:pPr>
      <w:r w:rsidRPr="00FB616B">
        <w:rPr>
          <w:rFonts w:ascii="Times New Roman" w:hAnsi="Times New Roman"/>
          <w:b/>
          <w:sz w:val="24"/>
          <w:szCs w:val="24"/>
          <w:lang w:eastAsia="cs-CZ"/>
        </w:rPr>
        <w:t>Ing. Jana Kolesárová</w:t>
      </w:r>
      <w:r w:rsidRPr="00FB616B">
        <w:rPr>
          <w:rFonts w:ascii="Times New Roman" w:hAnsi="Times New Roman"/>
          <w:b/>
          <w:sz w:val="24"/>
          <w:szCs w:val="24"/>
          <w:lang w:eastAsia="cs-CZ"/>
        </w:rPr>
        <w:tab/>
      </w:r>
      <w:r w:rsidRPr="00FB616B">
        <w:rPr>
          <w:rFonts w:ascii="Times New Roman" w:hAnsi="Times New Roman"/>
          <w:i/>
          <w:sz w:val="24"/>
          <w:szCs w:val="24"/>
          <w:lang w:eastAsia="cs-CZ"/>
        </w:rPr>
        <w:t>Ministerstvo práce, sociálnych vecí a rodiny Slovenskej republiky</w:t>
      </w:r>
    </w:p>
    <w:p w:rsidR="00385B00" w:rsidRPr="00FB616B" w:rsidRDefault="00385B00" w:rsidP="00385B00">
      <w:pPr>
        <w:widowControl/>
        <w:tabs>
          <w:tab w:val="left" w:pos="-2552"/>
          <w:tab w:val="left" w:pos="-2127"/>
          <w:tab w:val="left" w:pos="4678"/>
        </w:tabs>
        <w:autoSpaceDE/>
        <w:autoSpaceDN/>
        <w:adjustRightInd/>
        <w:spacing w:line="360" w:lineRule="auto"/>
        <w:ind w:left="4678" w:hanging="4678"/>
        <w:jc w:val="both"/>
        <w:rPr>
          <w:rFonts w:ascii="Times New Roman" w:hAnsi="Times New Roman"/>
          <w:sz w:val="24"/>
          <w:szCs w:val="24"/>
          <w:lang w:eastAsia="cs-CZ"/>
        </w:rPr>
      </w:pPr>
      <w:r w:rsidRPr="00FB616B">
        <w:rPr>
          <w:rFonts w:ascii="Times New Roman" w:hAnsi="Times New Roman"/>
          <w:b/>
          <w:sz w:val="24"/>
          <w:szCs w:val="24"/>
          <w:lang w:eastAsia="cs-CZ"/>
        </w:rPr>
        <w:t>Ing. Radko Kuruc, PhD.</w:t>
      </w:r>
      <w:r w:rsidRPr="00FB616B">
        <w:rPr>
          <w:rFonts w:ascii="Times New Roman" w:hAnsi="Times New Roman"/>
          <w:sz w:val="24"/>
          <w:szCs w:val="24"/>
          <w:lang w:eastAsia="cs-CZ"/>
        </w:rPr>
        <w:tab/>
      </w:r>
      <w:r w:rsidRPr="00FB616B">
        <w:rPr>
          <w:rFonts w:ascii="Times New Roman" w:hAnsi="Times New Roman"/>
          <w:i/>
          <w:sz w:val="24"/>
          <w:szCs w:val="24"/>
          <w:lang w:eastAsia="cs-CZ"/>
        </w:rPr>
        <w:t>Ministerstvo financií Slovenskej republiky</w:t>
      </w:r>
    </w:p>
    <w:p w:rsidR="00385B00" w:rsidRPr="00FB616B" w:rsidRDefault="00385B00" w:rsidP="00385B00">
      <w:pPr>
        <w:widowControl/>
        <w:tabs>
          <w:tab w:val="left" w:pos="-2552"/>
          <w:tab w:val="left" w:pos="-2127"/>
          <w:tab w:val="left" w:pos="4678"/>
        </w:tabs>
        <w:autoSpaceDE/>
        <w:autoSpaceDN/>
        <w:adjustRightInd/>
        <w:spacing w:line="360" w:lineRule="auto"/>
        <w:ind w:left="1418" w:hanging="1418"/>
        <w:jc w:val="both"/>
        <w:rPr>
          <w:rFonts w:ascii="Times New Roman" w:hAnsi="Times New Roman"/>
          <w:i/>
          <w:sz w:val="24"/>
          <w:szCs w:val="24"/>
          <w:lang w:eastAsia="cs-CZ"/>
        </w:rPr>
      </w:pPr>
      <w:r w:rsidRPr="00FB616B">
        <w:rPr>
          <w:rFonts w:ascii="Times New Roman" w:hAnsi="Times New Roman"/>
          <w:b/>
          <w:sz w:val="24"/>
          <w:szCs w:val="24"/>
          <w:lang w:eastAsia="cs-CZ"/>
        </w:rPr>
        <w:t xml:space="preserve">Ing. Ján </w:t>
      </w:r>
      <w:proofErr w:type="spellStart"/>
      <w:r w:rsidRPr="00FB616B">
        <w:rPr>
          <w:rFonts w:ascii="Times New Roman" w:hAnsi="Times New Roman"/>
          <w:b/>
          <w:sz w:val="24"/>
          <w:szCs w:val="24"/>
          <w:lang w:eastAsia="cs-CZ"/>
        </w:rPr>
        <w:t>Mikulík</w:t>
      </w:r>
      <w:proofErr w:type="spellEnd"/>
      <w:r w:rsidRPr="00FB616B">
        <w:rPr>
          <w:rFonts w:ascii="Times New Roman" w:hAnsi="Times New Roman"/>
          <w:b/>
          <w:sz w:val="24"/>
          <w:szCs w:val="24"/>
          <w:lang w:eastAsia="cs-CZ"/>
        </w:rPr>
        <w:t xml:space="preserve"> </w:t>
      </w:r>
      <w:r w:rsidRPr="00FB616B">
        <w:rPr>
          <w:rFonts w:ascii="Times New Roman" w:hAnsi="Times New Roman"/>
          <w:b/>
          <w:sz w:val="24"/>
          <w:szCs w:val="24"/>
          <w:lang w:eastAsia="cs-CZ"/>
        </w:rPr>
        <w:tab/>
      </w:r>
      <w:r w:rsidRPr="00FB616B">
        <w:rPr>
          <w:rFonts w:ascii="Times New Roman" w:hAnsi="Times New Roman"/>
          <w:i/>
          <w:sz w:val="24"/>
          <w:szCs w:val="24"/>
          <w:lang w:eastAsia="cs-CZ"/>
        </w:rPr>
        <w:t>Ministerstvo financií Slovenskej republiky</w:t>
      </w:r>
    </w:p>
    <w:p w:rsidR="00385B00" w:rsidRPr="00FB616B" w:rsidRDefault="00385B00" w:rsidP="00385B00">
      <w:pPr>
        <w:widowControl/>
        <w:autoSpaceDE/>
        <w:autoSpaceDN/>
        <w:adjustRightInd/>
        <w:spacing w:line="360" w:lineRule="auto"/>
        <w:jc w:val="both"/>
        <w:rPr>
          <w:rFonts w:ascii="Times New Roman" w:hAnsi="Times New Roman"/>
          <w:b/>
          <w:i/>
          <w:sz w:val="24"/>
          <w:szCs w:val="24"/>
          <w:lang w:eastAsia="cs-CZ"/>
        </w:rPr>
      </w:pPr>
    </w:p>
    <w:p w:rsidR="00385B00" w:rsidRPr="00FB616B" w:rsidRDefault="00385B00" w:rsidP="00385B00">
      <w:pPr>
        <w:widowControl/>
        <w:autoSpaceDE/>
        <w:autoSpaceDN/>
        <w:adjustRightInd/>
        <w:spacing w:line="360" w:lineRule="auto"/>
        <w:jc w:val="both"/>
        <w:rPr>
          <w:rFonts w:ascii="Times New Roman" w:hAnsi="Times New Roman"/>
          <w:b/>
          <w:i/>
          <w:sz w:val="24"/>
          <w:szCs w:val="24"/>
          <w:lang w:eastAsia="cs-CZ"/>
        </w:rPr>
      </w:pPr>
      <w:r w:rsidRPr="00FB616B">
        <w:rPr>
          <w:rFonts w:ascii="Times New Roman" w:hAnsi="Times New Roman"/>
          <w:b/>
          <w:i/>
          <w:sz w:val="24"/>
          <w:szCs w:val="24"/>
          <w:lang w:eastAsia="cs-CZ"/>
        </w:rPr>
        <w:t>za reprezentatívne združenia zamestnávateľov:</w:t>
      </w:r>
    </w:p>
    <w:p w:rsidR="00385B00" w:rsidRPr="00FB616B" w:rsidRDefault="00385B00" w:rsidP="00385B00">
      <w:pPr>
        <w:widowControl/>
        <w:tabs>
          <w:tab w:val="left" w:pos="4678"/>
        </w:tabs>
        <w:autoSpaceDE/>
        <w:autoSpaceDN/>
        <w:adjustRightInd/>
        <w:spacing w:line="360" w:lineRule="auto"/>
        <w:ind w:hanging="6"/>
        <w:jc w:val="both"/>
        <w:rPr>
          <w:rFonts w:ascii="Times New Roman" w:hAnsi="Times New Roman"/>
          <w:i/>
          <w:sz w:val="24"/>
          <w:szCs w:val="24"/>
          <w:lang w:eastAsia="cs-CZ"/>
        </w:rPr>
      </w:pPr>
      <w:r w:rsidRPr="00FB616B">
        <w:rPr>
          <w:rFonts w:ascii="Times New Roman" w:hAnsi="Times New Roman"/>
          <w:b/>
          <w:sz w:val="24"/>
          <w:szCs w:val="24"/>
          <w:lang w:eastAsia="cs-CZ"/>
        </w:rPr>
        <w:t xml:space="preserve">Ing. Pavol </w:t>
      </w:r>
      <w:proofErr w:type="spellStart"/>
      <w:r w:rsidRPr="00FB616B">
        <w:rPr>
          <w:rFonts w:ascii="Times New Roman" w:hAnsi="Times New Roman"/>
          <w:b/>
          <w:sz w:val="24"/>
          <w:szCs w:val="24"/>
          <w:lang w:eastAsia="cs-CZ"/>
        </w:rPr>
        <w:t>Brnka</w:t>
      </w:r>
      <w:proofErr w:type="spellEnd"/>
      <w:r w:rsidRPr="00FB616B">
        <w:rPr>
          <w:rFonts w:ascii="Times New Roman" w:hAnsi="Times New Roman"/>
          <w:sz w:val="24"/>
          <w:szCs w:val="24"/>
          <w:lang w:eastAsia="cs-CZ"/>
        </w:rPr>
        <w:t xml:space="preserve"> </w:t>
      </w:r>
      <w:r w:rsidRPr="00FB616B">
        <w:rPr>
          <w:rFonts w:ascii="Times New Roman" w:hAnsi="Times New Roman"/>
          <w:sz w:val="24"/>
          <w:szCs w:val="24"/>
          <w:lang w:eastAsia="cs-CZ"/>
        </w:rPr>
        <w:tab/>
      </w:r>
      <w:r w:rsidRPr="00FB616B">
        <w:rPr>
          <w:rFonts w:ascii="Times New Roman" w:hAnsi="Times New Roman"/>
          <w:i/>
          <w:sz w:val="24"/>
          <w:szCs w:val="24"/>
          <w:lang w:eastAsia="cs-CZ"/>
        </w:rPr>
        <w:t xml:space="preserve">Zväz sklárskeho priemyslu </w:t>
      </w:r>
      <w:r w:rsidRPr="00FB616B">
        <w:rPr>
          <w:rFonts w:ascii="Times New Roman" w:hAnsi="Times New Roman"/>
          <w:i/>
          <w:iCs/>
          <w:sz w:val="24"/>
          <w:szCs w:val="24"/>
        </w:rPr>
        <w:t xml:space="preserve">Slovenskej </w:t>
      </w:r>
      <w:r w:rsidRPr="00FB616B">
        <w:rPr>
          <w:rFonts w:ascii="Times New Roman" w:hAnsi="Times New Roman"/>
          <w:i/>
          <w:iCs/>
          <w:sz w:val="24"/>
          <w:szCs w:val="24"/>
        </w:rPr>
        <w:tab/>
        <w:t>republiky</w:t>
      </w:r>
    </w:p>
    <w:p w:rsidR="00385B00" w:rsidRPr="00FB616B" w:rsidRDefault="00385B00" w:rsidP="00385B00">
      <w:pPr>
        <w:widowControl/>
        <w:tabs>
          <w:tab w:val="left" w:pos="4678"/>
        </w:tabs>
        <w:autoSpaceDE/>
        <w:autoSpaceDN/>
        <w:adjustRightInd/>
        <w:spacing w:line="360" w:lineRule="auto"/>
        <w:ind w:hanging="6"/>
        <w:jc w:val="both"/>
        <w:rPr>
          <w:rFonts w:ascii="Times New Roman" w:hAnsi="Times New Roman"/>
          <w:i/>
          <w:sz w:val="24"/>
          <w:szCs w:val="24"/>
          <w:lang w:eastAsia="cs-CZ"/>
        </w:rPr>
      </w:pPr>
      <w:r w:rsidRPr="00FB616B">
        <w:rPr>
          <w:rFonts w:ascii="Times New Roman" w:hAnsi="Times New Roman"/>
          <w:b/>
          <w:sz w:val="24"/>
          <w:szCs w:val="24"/>
          <w:lang w:eastAsia="cs-CZ"/>
        </w:rPr>
        <w:t xml:space="preserve">JUDr. Ľudovít </w:t>
      </w:r>
      <w:proofErr w:type="spellStart"/>
      <w:r w:rsidRPr="00FB616B">
        <w:rPr>
          <w:rFonts w:ascii="Times New Roman" w:hAnsi="Times New Roman"/>
          <w:b/>
          <w:sz w:val="24"/>
          <w:szCs w:val="24"/>
          <w:lang w:eastAsia="cs-CZ"/>
        </w:rPr>
        <w:t>Paus</w:t>
      </w:r>
      <w:proofErr w:type="spellEnd"/>
      <w:r w:rsidRPr="00FB616B">
        <w:rPr>
          <w:rFonts w:ascii="Times New Roman" w:hAnsi="Times New Roman"/>
          <w:sz w:val="24"/>
          <w:szCs w:val="24"/>
          <w:lang w:eastAsia="cs-CZ"/>
        </w:rPr>
        <w:tab/>
      </w:r>
      <w:r w:rsidRPr="00FB616B">
        <w:rPr>
          <w:rFonts w:ascii="Times New Roman" w:hAnsi="Times New Roman"/>
          <w:i/>
          <w:sz w:val="24"/>
          <w:szCs w:val="24"/>
          <w:lang w:eastAsia="cs-CZ"/>
        </w:rPr>
        <w:t>Združenie podnikateľov Slovenska</w:t>
      </w:r>
    </w:p>
    <w:p w:rsidR="00385B00" w:rsidRPr="00FB616B" w:rsidRDefault="00385B00" w:rsidP="00385B00">
      <w:pPr>
        <w:widowControl/>
        <w:tabs>
          <w:tab w:val="left" w:pos="4678"/>
        </w:tabs>
        <w:autoSpaceDE/>
        <w:autoSpaceDN/>
        <w:adjustRightInd/>
        <w:spacing w:line="360" w:lineRule="auto"/>
        <w:ind w:left="4678" w:hanging="4678"/>
        <w:jc w:val="both"/>
        <w:rPr>
          <w:rFonts w:ascii="Times New Roman" w:hAnsi="Times New Roman"/>
          <w:b/>
          <w:sz w:val="24"/>
          <w:szCs w:val="24"/>
          <w:lang w:eastAsia="cs-CZ"/>
        </w:rPr>
      </w:pPr>
      <w:r w:rsidRPr="00FB616B">
        <w:rPr>
          <w:rFonts w:ascii="Times New Roman" w:hAnsi="Times New Roman"/>
          <w:b/>
          <w:sz w:val="24"/>
          <w:szCs w:val="24"/>
          <w:lang w:eastAsia="cs-CZ"/>
        </w:rPr>
        <w:lastRenderedPageBreak/>
        <w:t>Mgr. Branislav Masár</w:t>
      </w:r>
      <w:r w:rsidRPr="00FB616B">
        <w:rPr>
          <w:rFonts w:ascii="Times New Roman" w:hAnsi="Times New Roman"/>
          <w:sz w:val="24"/>
          <w:szCs w:val="24"/>
          <w:lang w:eastAsia="en-US"/>
        </w:rPr>
        <w:tab/>
      </w:r>
      <w:r w:rsidRPr="00FB616B">
        <w:rPr>
          <w:rFonts w:ascii="Times New Roman" w:hAnsi="Times New Roman"/>
          <w:i/>
          <w:sz w:val="24"/>
          <w:szCs w:val="24"/>
          <w:lang w:eastAsia="cs-CZ"/>
        </w:rPr>
        <w:t xml:space="preserve">do 11. septembra 2018, Asociácia </w:t>
      </w:r>
      <w:r w:rsidRPr="00FB616B">
        <w:rPr>
          <w:rFonts w:ascii="Times New Roman" w:hAnsi="Times New Roman"/>
          <w:i/>
          <w:iCs/>
          <w:sz w:val="24"/>
          <w:szCs w:val="24"/>
        </w:rPr>
        <w:t>zamestnávateľských</w:t>
      </w:r>
      <w:r w:rsidRPr="00FB616B">
        <w:rPr>
          <w:rFonts w:ascii="Times New Roman" w:hAnsi="Times New Roman"/>
          <w:i/>
          <w:sz w:val="24"/>
          <w:szCs w:val="24"/>
          <w:lang w:eastAsia="cs-CZ"/>
        </w:rPr>
        <w:t xml:space="preserve"> zväzov a združení Slovenskej republiky</w:t>
      </w:r>
    </w:p>
    <w:p w:rsidR="00385B00" w:rsidRPr="00FB616B" w:rsidRDefault="00385B00" w:rsidP="00385B00">
      <w:pPr>
        <w:widowControl/>
        <w:tabs>
          <w:tab w:val="left" w:pos="4678"/>
        </w:tabs>
        <w:autoSpaceDE/>
        <w:autoSpaceDN/>
        <w:adjustRightInd/>
        <w:spacing w:line="360" w:lineRule="auto"/>
        <w:ind w:left="4678" w:hanging="4678"/>
        <w:jc w:val="both"/>
        <w:rPr>
          <w:rFonts w:ascii="Times New Roman" w:hAnsi="Times New Roman"/>
          <w:i/>
          <w:sz w:val="24"/>
          <w:szCs w:val="24"/>
          <w:lang w:eastAsia="cs-CZ"/>
        </w:rPr>
      </w:pPr>
      <w:r w:rsidRPr="00FB616B">
        <w:rPr>
          <w:rFonts w:ascii="Times New Roman" w:hAnsi="Times New Roman"/>
          <w:b/>
          <w:sz w:val="24"/>
          <w:szCs w:val="24"/>
          <w:lang w:eastAsia="cs-CZ"/>
        </w:rPr>
        <w:t xml:space="preserve">RNDr. Oto </w:t>
      </w:r>
      <w:proofErr w:type="spellStart"/>
      <w:r w:rsidRPr="00FB616B">
        <w:rPr>
          <w:rFonts w:ascii="Times New Roman" w:hAnsi="Times New Roman"/>
          <w:b/>
          <w:sz w:val="24"/>
          <w:szCs w:val="24"/>
          <w:lang w:eastAsia="cs-CZ"/>
        </w:rPr>
        <w:t>Nevický</w:t>
      </w:r>
      <w:proofErr w:type="spellEnd"/>
      <w:r w:rsidRPr="00FB616B">
        <w:rPr>
          <w:rFonts w:ascii="Times New Roman" w:hAnsi="Times New Roman"/>
          <w:b/>
          <w:sz w:val="24"/>
          <w:szCs w:val="24"/>
          <w:lang w:eastAsia="cs-CZ"/>
        </w:rPr>
        <w:t>, MBA</w:t>
      </w:r>
      <w:r w:rsidRPr="00FB616B">
        <w:rPr>
          <w:rFonts w:ascii="Times New Roman" w:hAnsi="Times New Roman"/>
          <w:sz w:val="24"/>
          <w:szCs w:val="24"/>
          <w:lang w:eastAsia="cs-CZ"/>
        </w:rPr>
        <w:tab/>
      </w:r>
      <w:r w:rsidRPr="00FB616B">
        <w:rPr>
          <w:rFonts w:ascii="Times New Roman" w:hAnsi="Times New Roman"/>
          <w:i/>
          <w:sz w:val="24"/>
          <w:szCs w:val="24"/>
          <w:lang w:eastAsia="cs-CZ"/>
        </w:rPr>
        <w:t xml:space="preserve">od 12. septembra 2018, Asociácia zamestnávateľských zväzov a združení </w:t>
      </w:r>
      <w:r w:rsidRPr="00FB616B">
        <w:rPr>
          <w:rFonts w:ascii="Times New Roman" w:hAnsi="Times New Roman"/>
          <w:i/>
          <w:iCs/>
          <w:sz w:val="24"/>
          <w:szCs w:val="24"/>
        </w:rPr>
        <w:t>Slovenskej republiky</w:t>
      </w:r>
    </w:p>
    <w:p w:rsidR="00385B00" w:rsidRPr="00FB616B" w:rsidRDefault="00385B00" w:rsidP="00385B00">
      <w:pPr>
        <w:widowControl/>
        <w:autoSpaceDE/>
        <w:autoSpaceDN/>
        <w:adjustRightInd/>
        <w:spacing w:line="360" w:lineRule="auto"/>
        <w:jc w:val="both"/>
        <w:rPr>
          <w:rFonts w:ascii="Times New Roman" w:hAnsi="Times New Roman"/>
          <w:b/>
          <w:i/>
          <w:sz w:val="24"/>
          <w:szCs w:val="24"/>
          <w:lang w:eastAsia="cs-CZ"/>
        </w:rPr>
      </w:pPr>
    </w:p>
    <w:p w:rsidR="00385B00" w:rsidRPr="00FB616B" w:rsidRDefault="00385B00" w:rsidP="00385B00">
      <w:pPr>
        <w:widowControl/>
        <w:autoSpaceDE/>
        <w:autoSpaceDN/>
        <w:adjustRightInd/>
        <w:spacing w:line="360" w:lineRule="auto"/>
        <w:jc w:val="both"/>
        <w:rPr>
          <w:rFonts w:ascii="Times New Roman" w:hAnsi="Times New Roman"/>
          <w:b/>
          <w:i/>
          <w:sz w:val="24"/>
          <w:szCs w:val="24"/>
          <w:lang w:eastAsia="cs-CZ"/>
        </w:rPr>
      </w:pPr>
      <w:r w:rsidRPr="00FB616B">
        <w:rPr>
          <w:rFonts w:ascii="Times New Roman" w:hAnsi="Times New Roman"/>
          <w:b/>
          <w:i/>
          <w:sz w:val="24"/>
          <w:szCs w:val="24"/>
          <w:lang w:eastAsia="cs-CZ"/>
        </w:rPr>
        <w:t>za reprezentatívne združenia odborových zväzov:</w:t>
      </w:r>
    </w:p>
    <w:p w:rsidR="00385B00" w:rsidRPr="00FB616B" w:rsidRDefault="00385B00" w:rsidP="00385B00">
      <w:pPr>
        <w:widowControl/>
        <w:tabs>
          <w:tab w:val="left" w:pos="4678"/>
        </w:tabs>
        <w:autoSpaceDE/>
        <w:autoSpaceDN/>
        <w:adjustRightInd/>
        <w:spacing w:line="360" w:lineRule="auto"/>
        <w:ind w:hanging="6"/>
        <w:jc w:val="both"/>
        <w:rPr>
          <w:rFonts w:ascii="Times New Roman" w:hAnsi="Times New Roman"/>
          <w:sz w:val="24"/>
          <w:szCs w:val="24"/>
          <w:lang w:eastAsia="cs-CZ"/>
        </w:rPr>
      </w:pPr>
      <w:r w:rsidRPr="00FB616B">
        <w:rPr>
          <w:rFonts w:ascii="Times New Roman" w:hAnsi="Times New Roman"/>
          <w:b/>
          <w:sz w:val="24"/>
          <w:szCs w:val="24"/>
          <w:lang w:eastAsia="cs-CZ"/>
        </w:rPr>
        <w:t xml:space="preserve">Ing. Magdaléna </w:t>
      </w:r>
      <w:proofErr w:type="spellStart"/>
      <w:r w:rsidRPr="00FB616B">
        <w:rPr>
          <w:rFonts w:ascii="Times New Roman" w:hAnsi="Times New Roman"/>
          <w:b/>
          <w:sz w:val="24"/>
          <w:szCs w:val="24"/>
          <w:lang w:eastAsia="cs-CZ"/>
        </w:rPr>
        <w:t>Mellenová</w:t>
      </w:r>
      <w:proofErr w:type="spellEnd"/>
      <w:r w:rsidRPr="00FB616B">
        <w:rPr>
          <w:rFonts w:ascii="Times New Roman" w:hAnsi="Times New Roman"/>
          <w:sz w:val="24"/>
          <w:szCs w:val="24"/>
          <w:lang w:eastAsia="cs-CZ"/>
        </w:rPr>
        <w:t xml:space="preserve"> </w:t>
      </w:r>
      <w:r w:rsidRPr="00FB616B">
        <w:rPr>
          <w:rFonts w:ascii="Times New Roman" w:hAnsi="Times New Roman"/>
          <w:sz w:val="24"/>
          <w:szCs w:val="24"/>
          <w:lang w:eastAsia="cs-CZ"/>
        </w:rPr>
        <w:tab/>
      </w:r>
      <w:r w:rsidRPr="00FB616B">
        <w:rPr>
          <w:rFonts w:ascii="Times New Roman" w:hAnsi="Times New Roman"/>
          <w:i/>
          <w:sz w:val="24"/>
          <w:szCs w:val="24"/>
          <w:lang w:eastAsia="cs-CZ"/>
        </w:rPr>
        <w:t xml:space="preserve">Odborový zväz potravinárov Slovenskej </w:t>
      </w:r>
      <w:r w:rsidRPr="00FB616B">
        <w:rPr>
          <w:rFonts w:ascii="Times New Roman" w:hAnsi="Times New Roman"/>
          <w:i/>
          <w:sz w:val="24"/>
          <w:szCs w:val="24"/>
          <w:lang w:eastAsia="cs-CZ"/>
        </w:rPr>
        <w:tab/>
        <w:t>republiky</w:t>
      </w:r>
    </w:p>
    <w:p w:rsidR="00385B00" w:rsidRPr="00FB616B" w:rsidRDefault="00385B00" w:rsidP="00385B00">
      <w:pPr>
        <w:widowControl/>
        <w:tabs>
          <w:tab w:val="left" w:pos="4678"/>
        </w:tabs>
        <w:autoSpaceDE/>
        <w:autoSpaceDN/>
        <w:adjustRightInd/>
        <w:spacing w:line="360" w:lineRule="auto"/>
        <w:ind w:left="4674" w:hanging="4680"/>
        <w:jc w:val="both"/>
        <w:rPr>
          <w:rFonts w:ascii="Times New Roman" w:hAnsi="Times New Roman"/>
          <w:i/>
          <w:sz w:val="24"/>
          <w:szCs w:val="24"/>
          <w:lang w:eastAsia="cs-CZ"/>
        </w:rPr>
      </w:pPr>
      <w:r w:rsidRPr="00FB616B">
        <w:rPr>
          <w:rFonts w:ascii="Times New Roman" w:hAnsi="Times New Roman"/>
          <w:b/>
          <w:sz w:val="24"/>
          <w:szCs w:val="24"/>
          <w:lang w:eastAsia="cs-CZ"/>
        </w:rPr>
        <w:t xml:space="preserve">JUDr. Mária </w:t>
      </w:r>
      <w:proofErr w:type="spellStart"/>
      <w:r w:rsidRPr="00FB616B">
        <w:rPr>
          <w:rFonts w:ascii="Times New Roman" w:hAnsi="Times New Roman"/>
          <w:b/>
          <w:sz w:val="24"/>
          <w:szCs w:val="24"/>
          <w:lang w:eastAsia="cs-CZ"/>
        </w:rPr>
        <w:t>Svoreňová</w:t>
      </w:r>
      <w:proofErr w:type="spellEnd"/>
      <w:r w:rsidRPr="00FB616B">
        <w:rPr>
          <w:rFonts w:ascii="Times New Roman" w:hAnsi="Times New Roman"/>
          <w:sz w:val="24"/>
          <w:szCs w:val="24"/>
          <w:lang w:eastAsia="cs-CZ"/>
        </w:rPr>
        <w:tab/>
      </w:r>
      <w:r w:rsidRPr="00FB616B">
        <w:rPr>
          <w:rFonts w:ascii="Times New Roman" w:hAnsi="Times New Roman"/>
          <w:i/>
          <w:sz w:val="24"/>
          <w:szCs w:val="24"/>
          <w:lang w:eastAsia="cs-CZ"/>
        </w:rPr>
        <w:t>Konfederácia odborových zväzov Slovenskej republiky</w:t>
      </w:r>
    </w:p>
    <w:p w:rsidR="00385B00" w:rsidRPr="00FB616B" w:rsidRDefault="00385B00" w:rsidP="00385B00">
      <w:pPr>
        <w:widowControl/>
        <w:tabs>
          <w:tab w:val="left" w:pos="4678"/>
        </w:tabs>
        <w:autoSpaceDE/>
        <w:autoSpaceDN/>
        <w:adjustRightInd/>
        <w:spacing w:line="360" w:lineRule="auto"/>
        <w:ind w:left="4678" w:hanging="4678"/>
        <w:jc w:val="both"/>
        <w:rPr>
          <w:rFonts w:ascii="Times New Roman" w:hAnsi="Times New Roman"/>
          <w:b/>
          <w:sz w:val="24"/>
          <w:szCs w:val="24"/>
          <w:lang w:eastAsia="cs-CZ"/>
        </w:rPr>
      </w:pPr>
      <w:r w:rsidRPr="00FB616B">
        <w:rPr>
          <w:rFonts w:ascii="Times New Roman" w:hAnsi="Times New Roman"/>
          <w:b/>
          <w:sz w:val="24"/>
          <w:szCs w:val="24"/>
          <w:lang w:eastAsia="cs-CZ"/>
        </w:rPr>
        <w:t xml:space="preserve">Martin </w:t>
      </w:r>
      <w:proofErr w:type="spellStart"/>
      <w:r w:rsidRPr="00FB616B">
        <w:rPr>
          <w:rFonts w:ascii="Times New Roman" w:hAnsi="Times New Roman"/>
          <w:b/>
          <w:sz w:val="24"/>
          <w:szCs w:val="24"/>
          <w:lang w:eastAsia="cs-CZ"/>
        </w:rPr>
        <w:t>Mikluš</w:t>
      </w:r>
      <w:proofErr w:type="spellEnd"/>
      <w:r w:rsidRPr="00FB616B">
        <w:rPr>
          <w:rFonts w:ascii="Times New Roman" w:hAnsi="Times New Roman"/>
          <w:b/>
          <w:sz w:val="24"/>
          <w:szCs w:val="24"/>
          <w:lang w:eastAsia="cs-CZ"/>
        </w:rPr>
        <w:tab/>
      </w:r>
      <w:r w:rsidRPr="00FB616B">
        <w:rPr>
          <w:rFonts w:ascii="Times New Roman" w:hAnsi="Times New Roman"/>
          <w:i/>
          <w:sz w:val="24"/>
          <w:szCs w:val="24"/>
          <w:lang w:eastAsia="cs-CZ"/>
        </w:rPr>
        <w:t>Odborový zväz pracovníkov školstva a vedy na Slovensku</w:t>
      </w:r>
    </w:p>
    <w:p w:rsidR="00385B00" w:rsidRPr="00FB616B" w:rsidRDefault="00385B00" w:rsidP="00385B00">
      <w:pPr>
        <w:widowControl/>
        <w:tabs>
          <w:tab w:val="left" w:pos="4678"/>
        </w:tabs>
        <w:autoSpaceDE/>
        <w:autoSpaceDN/>
        <w:adjustRightInd/>
        <w:spacing w:line="360" w:lineRule="auto"/>
        <w:ind w:hanging="6"/>
        <w:jc w:val="both"/>
        <w:rPr>
          <w:rFonts w:ascii="Times New Roman" w:hAnsi="Times New Roman"/>
          <w:sz w:val="24"/>
          <w:szCs w:val="24"/>
          <w:lang w:eastAsia="cs-CZ"/>
        </w:rPr>
      </w:pPr>
    </w:p>
    <w:p w:rsidR="00385B00" w:rsidRPr="00FB616B" w:rsidRDefault="00385B00" w:rsidP="00385B00">
      <w:pPr>
        <w:widowControl/>
        <w:tabs>
          <w:tab w:val="left" w:pos="4253"/>
        </w:tabs>
        <w:autoSpaceDE/>
        <w:autoSpaceDN/>
        <w:adjustRightInd/>
        <w:spacing w:line="360" w:lineRule="auto"/>
        <w:jc w:val="both"/>
        <w:rPr>
          <w:rFonts w:ascii="Times New Roman" w:hAnsi="Times New Roman"/>
          <w:b/>
          <w:i/>
          <w:sz w:val="24"/>
          <w:szCs w:val="24"/>
          <w:lang w:eastAsia="cs-CZ"/>
        </w:rPr>
      </w:pPr>
      <w:r w:rsidRPr="00FB616B">
        <w:rPr>
          <w:rFonts w:ascii="Times New Roman" w:hAnsi="Times New Roman"/>
          <w:b/>
          <w:i/>
          <w:sz w:val="24"/>
          <w:szCs w:val="24"/>
          <w:lang w:eastAsia="cs-CZ"/>
        </w:rPr>
        <w:t>za záujmové združenia občanov reprezentujúcich poberateľov dôchodkových dávok:</w:t>
      </w:r>
    </w:p>
    <w:p w:rsidR="00385B00" w:rsidRPr="00FB616B" w:rsidRDefault="00385B00" w:rsidP="00385B00">
      <w:pPr>
        <w:widowControl/>
        <w:tabs>
          <w:tab w:val="left" w:pos="4678"/>
        </w:tabs>
        <w:autoSpaceDE/>
        <w:autoSpaceDN/>
        <w:adjustRightInd/>
        <w:spacing w:line="360" w:lineRule="auto"/>
        <w:rPr>
          <w:rFonts w:ascii="Times New Roman" w:hAnsi="Times New Roman"/>
          <w:i/>
          <w:sz w:val="24"/>
          <w:szCs w:val="24"/>
          <w:lang w:eastAsia="cs-CZ"/>
        </w:rPr>
      </w:pPr>
      <w:r w:rsidRPr="00FB616B">
        <w:rPr>
          <w:rFonts w:ascii="Times New Roman" w:hAnsi="Times New Roman"/>
          <w:b/>
          <w:sz w:val="24"/>
          <w:szCs w:val="24"/>
          <w:lang w:eastAsia="cs-CZ"/>
        </w:rPr>
        <w:t xml:space="preserve">Ing. Ján </w:t>
      </w:r>
      <w:proofErr w:type="spellStart"/>
      <w:r w:rsidRPr="00FB616B">
        <w:rPr>
          <w:rFonts w:ascii="Times New Roman" w:hAnsi="Times New Roman"/>
          <w:b/>
          <w:sz w:val="24"/>
          <w:szCs w:val="24"/>
          <w:lang w:eastAsia="cs-CZ"/>
        </w:rPr>
        <w:t>Lipiansky</w:t>
      </w:r>
      <w:proofErr w:type="spellEnd"/>
      <w:r w:rsidRPr="00FB616B">
        <w:rPr>
          <w:rFonts w:ascii="Times New Roman" w:hAnsi="Times New Roman"/>
          <w:b/>
          <w:sz w:val="24"/>
          <w:szCs w:val="24"/>
          <w:lang w:eastAsia="cs-CZ"/>
        </w:rPr>
        <w:t>, PhD.</w:t>
      </w:r>
      <w:r w:rsidRPr="00FB616B">
        <w:rPr>
          <w:rFonts w:ascii="Times New Roman" w:hAnsi="Times New Roman"/>
          <w:sz w:val="24"/>
          <w:szCs w:val="24"/>
          <w:lang w:eastAsia="cs-CZ"/>
        </w:rPr>
        <w:tab/>
      </w:r>
      <w:r w:rsidRPr="00FB616B">
        <w:rPr>
          <w:rFonts w:ascii="Times New Roman" w:hAnsi="Times New Roman"/>
          <w:i/>
          <w:sz w:val="24"/>
          <w:szCs w:val="24"/>
          <w:lang w:eastAsia="cs-CZ"/>
        </w:rPr>
        <w:t>Jednota dôchodcov na Slovensku</w:t>
      </w:r>
    </w:p>
    <w:p w:rsidR="00385B00" w:rsidRPr="00FB616B" w:rsidRDefault="00385B00" w:rsidP="00385B00">
      <w:pPr>
        <w:widowControl/>
        <w:tabs>
          <w:tab w:val="left" w:pos="4678"/>
        </w:tabs>
        <w:autoSpaceDE/>
        <w:autoSpaceDN/>
        <w:adjustRightInd/>
        <w:spacing w:line="360" w:lineRule="auto"/>
        <w:rPr>
          <w:rFonts w:ascii="Times New Roman" w:hAnsi="Times New Roman"/>
          <w:b/>
          <w:color w:val="FF0000"/>
          <w:sz w:val="24"/>
          <w:szCs w:val="24"/>
          <w:lang w:eastAsia="cs-CZ"/>
        </w:rPr>
      </w:pPr>
    </w:p>
    <w:p w:rsidR="00385B00" w:rsidRPr="00FB616B" w:rsidRDefault="00385B00" w:rsidP="00385B00">
      <w:pPr>
        <w:widowControl/>
        <w:autoSpaceDE/>
        <w:autoSpaceDN/>
        <w:adjustRightInd/>
        <w:spacing w:line="360" w:lineRule="auto"/>
        <w:jc w:val="both"/>
        <w:rPr>
          <w:rFonts w:ascii="Times New Roman" w:hAnsi="Times New Roman"/>
          <w:sz w:val="24"/>
          <w:szCs w:val="24"/>
        </w:rPr>
      </w:pPr>
      <w:r w:rsidRPr="00FB616B">
        <w:rPr>
          <w:rFonts w:ascii="Times New Roman" w:hAnsi="Times New Roman"/>
          <w:sz w:val="24"/>
          <w:szCs w:val="24"/>
        </w:rPr>
        <w:tab/>
        <w:t xml:space="preserve">Podpredsedami dozornej rady boli Ing. Pavol </w:t>
      </w:r>
      <w:proofErr w:type="spellStart"/>
      <w:r w:rsidRPr="00FB616B">
        <w:rPr>
          <w:rFonts w:ascii="Times New Roman" w:hAnsi="Times New Roman"/>
          <w:sz w:val="24"/>
          <w:szCs w:val="24"/>
        </w:rPr>
        <w:t>Brnka</w:t>
      </w:r>
      <w:proofErr w:type="spellEnd"/>
      <w:r w:rsidRPr="00FB616B">
        <w:rPr>
          <w:rFonts w:ascii="Times New Roman" w:hAnsi="Times New Roman"/>
          <w:sz w:val="24"/>
          <w:szCs w:val="24"/>
        </w:rPr>
        <w:t xml:space="preserve"> za reprezentatívne združenia zamestnávateľov a Ing. Magdaléna </w:t>
      </w:r>
      <w:proofErr w:type="spellStart"/>
      <w:r w:rsidRPr="00FB616B">
        <w:rPr>
          <w:rFonts w:ascii="Times New Roman" w:hAnsi="Times New Roman"/>
          <w:sz w:val="24"/>
          <w:szCs w:val="24"/>
        </w:rPr>
        <w:t>Mellenová</w:t>
      </w:r>
      <w:proofErr w:type="spellEnd"/>
      <w:r w:rsidRPr="00FB616B">
        <w:rPr>
          <w:rFonts w:ascii="Times New Roman" w:hAnsi="Times New Roman"/>
          <w:sz w:val="24"/>
          <w:szCs w:val="24"/>
        </w:rPr>
        <w:t xml:space="preserve"> za reprezentatívne združenia odborových zväzov.</w:t>
      </w:r>
    </w:p>
    <w:p w:rsidR="00385B00" w:rsidRPr="00FB616B" w:rsidRDefault="00385B00" w:rsidP="00385B00">
      <w:pPr>
        <w:widowControl/>
        <w:autoSpaceDE/>
        <w:autoSpaceDN/>
        <w:adjustRightInd/>
        <w:spacing w:line="360" w:lineRule="auto"/>
        <w:jc w:val="both"/>
        <w:rPr>
          <w:rFonts w:ascii="Times New Roman" w:hAnsi="Times New Roman"/>
          <w:sz w:val="24"/>
          <w:szCs w:val="24"/>
          <w:lang w:eastAsia="cs-CZ"/>
        </w:rPr>
      </w:pPr>
    </w:p>
    <w:p w:rsidR="00385B00" w:rsidRPr="00FB616B" w:rsidRDefault="00385B00" w:rsidP="00385B00">
      <w:pPr>
        <w:widowControl/>
        <w:autoSpaceDE/>
        <w:autoSpaceDN/>
        <w:adjustRightInd/>
        <w:spacing w:line="360" w:lineRule="auto"/>
        <w:jc w:val="both"/>
        <w:rPr>
          <w:rFonts w:ascii="Times New Roman" w:hAnsi="Times New Roman"/>
          <w:sz w:val="24"/>
          <w:szCs w:val="24"/>
          <w:lang w:eastAsia="cs-CZ"/>
        </w:rPr>
      </w:pPr>
      <w:r w:rsidRPr="00FB616B">
        <w:rPr>
          <w:rFonts w:ascii="Times New Roman" w:hAnsi="Times New Roman"/>
          <w:sz w:val="24"/>
          <w:szCs w:val="24"/>
        </w:rPr>
        <w:tab/>
        <w:t>Organizačnými zložkami Sociálnej poisťovne sú ústredie a pobočky. Ich územné obvody a sídla sú určené štatútom Sociálnej poisťovne. Sociálna poisťovňa má zriadených 36 pobočiek. Pobočku riadi riaditeľ pobočky, ktorého vymenúva a odvoláva generálny riaditeľ Sociálnej poisťovne.</w:t>
      </w:r>
    </w:p>
    <w:p w:rsidR="00385B00" w:rsidRPr="00FB616B" w:rsidRDefault="00385B00" w:rsidP="00385B00">
      <w:pPr>
        <w:widowControl/>
        <w:autoSpaceDE/>
        <w:autoSpaceDN/>
        <w:adjustRightInd/>
        <w:spacing w:line="360" w:lineRule="auto"/>
        <w:jc w:val="both"/>
        <w:rPr>
          <w:rFonts w:ascii="Times New Roman" w:hAnsi="Times New Roman"/>
          <w:b/>
          <w:color w:val="FF0000"/>
          <w:sz w:val="24"/>
          <w:szCs w:val="24"/>
        </w:rPr>
      </w:pPr>
    </w:p>
    <w:p w:rsidR="00385B00" w:rsidRPr="00FB616B" w:rsidRDefault="00385B00" w:rsidP="00385B00">
      <w:pPr>
        <w:widowControl/>
        <w:autoSpaceDE/>
        <w:autoSpaceDN/>
        <w:adjustRightInd/>
        <w:spacing w:line="360" w:lineRule="auto"/>
        <w:jc w:val="both"/>
        <w:rPr>
          <w:rFonts w:ascii="Times New Roman" w:hAnsi="Times New Roman"/>
          <w:b/>
          <w:sz w:val="24"/>
          <w:szCs w:val="24"/>
        </w:rPr>
      </w:pPr>
      <w:r w:rsidRPr="00FB616B">
        <w:rPr>
          <w:rFonts w:ascii="Times New Roman" w:hAnsi="Times New Roman"/>
          <w:b/>
          <w:sz w:val="24"/>
          <w:szCs w:val="24"/>
        </w:rPr>
        <w:t>Prehľad riaditeľov pobočiek Sociálnej poisťovne v roku 2018</w:t>
      </w:r>
    </w:p>
    <w:p w:rsidR="00385B00" w:rsidRPr="00FB616B" w:rsidRDefault="00385B00" w:rsidP="00385B00">
      <w:pPr>
        <w:widowControl/>
        <w:tabs>
          <w:tab w:val="left" w:pos="3402"/>
        </w:tabs>
        <w:autoSpaceDE/>
        <w:autoSpaceDN/>
        <w:adjustRightInd/>
        <w:spacing w:line="360" w:lineRule="auto"/>
        <w:rPr>
          <w:rFonts w:ascii="Times New Roman" w:hAnsi="Times New Roman"/>
          <w:sz w:val="24"/>
          <w:szCs w:val="24"/>
        </w:rPr>
      </w:pPr>
      <w:r w:rsidRPr="00FB616B">
        <w:rPr>
          <w:rFonts w:ascii="Times New Roman" w:hAnsi="Times New Roman"/>
          <w:sz w:val="24"/>
          <w:szCs w:val="24"/>
        </w:rPr>
        <w:t xml:space="preserve">Bratislava </w:t>
      </w:r>
      <w:r w:rsidRPr="00FB616B">
        <w:rPr>
          <w:rFonts w:ascii="Times New Roman" w:hAnsi="Times New Roman"/>
          <w:sz w:val="24"/>
          <w:szCs w:val="24"/>
        </w:rPr>
        <w:tab/>
        <w:t xml:space="preserve">Dr. Ing. Roman </w:t>
      </w:r>
      <w:r w:rsidRPr="00FB616B">
        <w:rPr>
          <w:rFonts w:ascii="Times New Roman" w:hAnsi="Times New Roman"/>
          <w:b/>
          <w:sz w:val="24"/>
          <w:szCs w:val="24"/>
        </w:rPr>
        <w:t>Chotár</w:t>
      </w:r>
    </w:p>
    <w:p w:rsidR="00385B00" w:rsidRPr="00FB616B" w:rsidRDefault="00385B00" w:rsidP="00385B00">
      <w:pPr>
        <w:widowControl/>
        <w:tabs>
          <w:tab w:val="left" w:pos="3402"/>
        </w:tabs>
        <w:autoSpaceDE/>
        <w:autoSpaceDN/>
        <w:adjustRightInd/>
        <w:spacing w:line="360" w:lineRule="auto"/>
        <w:rPr>
          <w:rFonts w:ascii="Times New Roman" w:hAnsi="Times New Roman"/>
          <w:sz w:val="24"/>
          <w:szCs w:val="24"/>
        </w:rPr>
      </w:pPr>
      <w:r w:rsidRPr="00FB616B">
        <w:rPr>
          <w:rFonts w:ascii="Times New Roman" w:hAnsi="Times New Roman"/>
          <w:sz w:val="24"/>
          <w:szCs w:val="24"/>
        </w:rPr>
        <w:t xml:space="preserve">Trnava </w:t>
      </w:r>
      <w:r w:rsidRPr="00FB616B">
        <w:rPr>
          <w:rFonts w:ascii="Times New Roman" w:hAnsi="Times New Roman"/>
          <w:sz w:val="24"/>
          <w:szCs w:val="24"/>
        </w:rPr>
        <w:tab/>
        <w:t xml:space="preserve">Ing. Peter </w:t>
      </w:r>
      <w:proofErr w:type="spellStart"/>
      <w:r w:rsidRPr="00FB616B">
        <w:rPr>
          <w:rFonts w:ascii="Times New Roman" w:hAnsi="Times New Roman"/>
          <w:b/>
          <w:sz w:val="24"/>
          <w:szCs w:val="24"/>
        </w:rPr>
        <w:t>Kaufman</w:t>
      </w:r>
      <w:proofErr w:type="spellEnd"/>
      <w:r w:rsidRPr="00FB616B">
        <w:rPr>
          <w:rFonts w:ascii="Times New Roman" w:hAnsi="Times New Roman"/>
          <w:sz w:val="24"/>
          <w:szCs w:val="24"/>
        </w:rPr>
        <w:t xml:space="preserve"> </w:t>
      </w:r>
    </w:p>
    <w:p w:rsidR="00385B00" w:rsidRPr="00FB616B" w:rsidRDefault="00385B00" w:rsidP="00385B00">
      <w:pPr>
        <w:widowControl/>
        <w:tabs>
          <w:tab w:val="left" w:pos="3402"/>
        </w:tabs>
        <w:autoSpaceDE/>
        <w:autoSpaceDN/>
        <w:adjustRightInd/>
        <w:spacing w:line="360" w:lineRule="auto"/>
        <w:rPr>
          <w:rFonts w:ascii="Times New Roman" w:hAnsi="Times New Roman"/>
          <w:color w:val="FF0000"/>
          <w:sz w:val="24"/>
          <w:szCs w:val="24"/>
        </w:rPr>
      </w:pPr>
      <w:r w:rsidRPr="00FB616B">
        <w:rPr>
          <w:rFonts w:ascii="Times New Roman" w:hAnsi="Times New Roman"/>
          <w:sz w:val="24"/>
          <w:szCs w:val="24"/>
        </w:rPr>
        <w:t>Dunajská Streda</w:t>
      </w:r>
      <w:r w:rsidRPr="00FB616B">
        <w:rPr>
          <w:rFonts w:ascii="Times New Roman" w:hAnsi="Times New Roman"/>
          <w:color w:val="FF0000"/>
          <w:sz w:val="24"/>
          <w:szCs w:val="24"/>
        </w:rPr>
        <w:t xml:space="preserve"> </w:t>
      </w:r>
      <w:r w:rsidRPr="00FB616B">
        <w:rPr>
          <w:rFonts w:ascii="Times New Roman" w:hAnsi="Times New Roman"/>
          <w:color w:val="FF0000"/>
          <w:sz w:val="24"/>
          <w:szCs w:val="24"/>
        </w:rPr>
        <w:tab/>
      </w:r>
      <w:r w:rsidRPr="00FB616B">
        <w:rPr>
          <w:rFonts w:ascii="Times New Roman" w:hAnsi="Times New Roman"/>
          <w:sz w:val="24"/>
          <w:szCs w:val="24"/>
        </w:rPr>
        <w:t xml:space="preserve">Bc. Erika </w:t>
      </w:r>
      <w:r w:rsidRPr="00FB616B">
        <w:rPr>
          <w:rFonts w:ascii="Times New Roman" w:hAnsi="Times New Roman"/>
          <w:b/>
          <w:sz w:val="24"/>
          <w:szCs w:val="24"/>
        </w:rPr>
        <w:t>Nemčeková</w:t>
      </w:r>
    </w:p>
    <w:p w:rsidR="00385B00" w:rsidRPr="00FB616B" w:rsidRDefault="00385B00" w:rsidP="00385B00">
      <w:pPr>
        <w:widowControl/>
        <w:tabs>
          <w:tab w:val="left" w:pos="3402"/>
          <w:tab w:val="left" w:pos="4536"/>
        </w:tabs>
        <w:autoSpaceDE/>
        <w:autoSpaceDN/>
        <w:adjustRightInd/>
        <w:spacing w:line="360" w:lineRule="auto"/>
        <w:rPr>
          <w:rFonts w:ascii="Times New Roman" w:hAnsi="Times New Roman"/>
          <w:sz w:val="24"/>
          <w:szCs w:val="24"/>
        </w:rPr>
      </w:pPr>
      <w:r w:rsidRPr="00FB616B">
        <w:rPr>
          <w:rFonts w:ascii="Times New Roman" w:hAnsi="Times New Roman"/>
          <w:sz w:val="24"/>
          <w:szCs w:val="24"/>
        </w:rPr>
        <w:t>Galanta</w:t>
      </w:r>
      <w:r w:rsidRPr="00FB616B">
        <w:rPr>
          <w:rFonts w:ascii="Times New Roman" w:hAnsi="Times New Roman"/>
          <w:sz w:val="24"/>
          <w:szCs w:val="24"/>
        </w:rPr>
        <w:tab/>
        <w:t xml:space="preserve">Ing. Anton </w:t>
      </w:r>
      <w:proofErr w:type="spellStart"/>
      <w:r w:rsidRPr="00FB616B">
        <w:rPr>
          <w:rFonts w:ascii="Times New Roman" w:hAnsi="Times New Roman"/>
          <w:b/>
          <w:sz w:val="24"/>
          <w:szCs w:val="24"/>
        </w:rPr>
        <w:t>Pančík</w:t>
      </w:r>
      <w:proofErr w:type="spellEnd"/>
      <w:r w:rsidRPr="00FB616B">
        <w:rPr>
          <w:rFonts w:ascii="Times New Roman" w:hAnsi="Times New Roman"/>
          <w:sz w:val="24"/>
          <w:szCs w:val="24"/>
        </w:rPr>
        <w:t xml:space="preserve"> </w:t>
      </w:r>
    </w:p>
    <w:p w:rsidR="00385B00" w:rsidRPr="00FB616B" w:rsidRDefault="00385B00" w:rsidP="00385B00">
      <w:pPr>
        <w:widowControl/>
        <w:tabs>
          <w:tab w:val="left" w:pos="3402"/>
        </w:tabs>
        <w:autoSpaceDE/>
        <w:autoSpaceDN/>
        <w:adjustRightInd/>
        <w:spacing w:line="360" w:lineRule="auto"/>
        <w:rPr>
          <w:rFonts w:ascii="Times New Roman" w:hAnsi="Times New Roman"/>
          <w:sz w:val="24"/>
          <w:szCs w:val="24"/>
        </w:rPr>
      </w:pPr>
      <w:r w:rsidRPr="00FB616B">
        <w:rPr>
          <w:rFonts w:ascii="Times New Roman" w:hAnsi="Times New Roman"/>
          <w:sz w:val="24"/>
          <w:szCs w:val="24"/>
        </w:rPr>
        <w:t xml:space="preserve">Senica </w:t>
      </w:r>
      <w:r w:rsidRPr="00FB616B">
        <w:rPr>
          <w:rFonts w:ascii="Times New Roman" w:hAnsi="Times New Roman"/>
          <w:sz w:val="24"/>
          <w:szCs w:val="24"/>
        </w:rPr>
        <w:tab/>
        <w:t>Mgr. Jana</w:t>
      </w:r>
      <w:r w:rsidRPr="00FB616B">
        <w:rPr>
          <w:rFonts w:ascii="Times New Roman" w:hAnsi="Times New Roman"/>
          <w:b/>
          <w:sz w:val="24"/>
          <w:szCs w:val="24"/>
        </w:rPr>
        <w:t xml:space="preserve"> Banská</w:t>
      </w:r>
      <w:r w:rsidRPr="00FB616B">
        <w:rPr>
          <w:rFonts w:ascii="Times New Roman" w:hAnsi="Times New Roman"/>
          <w:i/>
          <w:sz w:val="24"/>
          <w:szCs w:val="24"/>
        </w:rPr>
        <w:t xml:space="preserve"> </w:t>
      </w:r>
    </w:p>
    <w:p w:rsidR="00385B00" w:rsidRPr="00FB616B" w:rsidRDefault="00385B00" w:rsidP="00385B00">
      <w:pPr>
        <w:widowControl/>
        <w:tabs>
          <w:tab w:val="left" w:pos="3402"/>
          <w:tab w:val="left" w:pos="4536"/>
        </w:tabs>
        <w:autoSpaceDE/>
        <w:autoSpaceDN/>
        <w:adjustRightInd/>
        <w:spacing w:line="360" w:lineRule="auto"/>
        <w:rPr>
          <w:rFonts w:ascii="Times New Roman" w:hAnsi="Times New Roman"/>
          <w:color w:val="FF0000"/>
          <w:sz w:val="24"/>
          <w:szCs w:val="24"/>
        </w:rPr>
      </w:pPr>
      <w:r w:rsidRPr="00FB616B">
        <w:rPr>
          <w:rFonts w:ascii="Times New Roman" w:hAnsi="Times New Roman"/>
          <w:sz w:val="24"/>
          <w:szCs w:val="24"/>
        </w:rPr>
        <w:t>Trenčín</w:t>
      </w:r>
      <w:r w:rsidRPr="00FB616B">
        <w:rPr>
          <w:rFonts w:ascii="Times New Roman" w:hAnsi="Times New Roman"/>
          <w:color w:val="FF0000"/>
          <w:sz w:val="24"/>
          <w:szCs w:val="24"/>
        </w:rPr>
        <w:t xml:space="preserve"> </w:t>
      </w:r>
      <w:r w:rsidRPr="00FB616B">
        <w:rPr>
          <w:rFonts w:ascii="Times New Roman" w:hAnsi="Times New Roman"/>
          <w:color w:val="FF0000"/>
          <w:sz w:val="24"/>
          <w:szCs w:val="24"/>
        </w:rPr>
        <w:tab/>
      </w:r>
      <w:r w:rsidRPr="00FB616B">
        <w:rPr>
          <w:rFonts w:ascii="Times New Roman" w:hAnsi="Times New Roman"/>
          <w:sz w:val="24"/>
          <w:szCs w:val="24"/>
        </w:rPr>
        <w:t xml:space="preserve">Ing. Zdenka </w:t>
      </w:r>
      <w:r w:rsidRPr="00FB616B">
        <w:rPr>
          <w:rFonts w:ascii="Times New Roman" w:hAnsi="Times New Roman"/>
          <w:b/>
          <w:sz w:val="24"/>
          <w:szCs w:val="24"/>
        </w:rPr>
        <w:t>Tvrdá</w:t>
      </w:r>
    </w:p>
    <w:p w:rsidR="00385B00" w:rsidRPr="00FB616B" w:rsidRDefault="00385B00" w:rsidP="00385B00">
      <w:pPr>
        <w:widowControl/>
        <w:tabs>
          <w:tab w:val="left" w:pos="3402"/>
          <w:tab w:val="left" w:pos="4536"/>
        </w:tabs>
        <w:autoSpaceDE/>
        <w:autoSpaceDN/>
        <w:adjustRightInd/>
        <w:spacing w:line="360" w:lineRule="auto"/>
        <w:rPr>
          <w:rFonts w:ascii="Times New Roman" w:hAnsi="Times New Roman"/>
          <w:sz w:val="24"/>
          <w:szCs w:val="24"/>
        </w:rPr>
      </w:pPr>
      <w:r w:rsidRPr="00FB616B">
        <w:rPr>
          <w:rFonts w:ascii="Times New Roman" w:hAnsi="Times New Roman"/>
          <w:sz w:val="24"/>
          <w:szCs w:val="24"/>
        </w:rPr>
        <w:t xml:space="preserve">Považská Bystrica </w:t>
      </w:r>
      <w:r w:rsidRPr="00FB616B">
        <w:rPr>
          <w:rFonts w:ascii="Times New Roman" w:hAnsi="Times New Roman"/>
          <w:sz w:val="24"/>
          <w:szCs w:val="24"/>
        </w:rPr>
        <w:tab/>
        <w:t xml:space="preserve">Ing. Rastislav </w:t>
      </w:r>
      <w:proofErr w:type="spellStart"/>
      <w:r w:rsidRPr="00FB616B">
        <w:rPr>
          <w:rFonts w:ascii="Times New Roman" w:hAnsi="Times New Roman"/>
          <w:b/>
          <w:sz w:val="24"/>
          <w:szCs w:val="24"/>
        </w:rPr>
        <w:t>Hulínek</w:t>
      </w:r>
      <w:proofErr w:type="spellEnd"/>
      <w:r w:rsidRPr="00FB616B">
        <w:rPr>
          <w:rFonts w:ascii="Times New Roman" w:hAnsi="Times New Roman"/>
          <w:sz w:val="24"/>
          <w:szCs w:val="24"/>
        </w:rPr>
        <w:t xml:space="preserve"> </w:t>
      </w:r>
    </w:p>
    <w:p w:rsidR="00385B00" w:rsidRPr="00FB616B" w:rsidRDefault="00385B00" w:rsidP="00385B00">
      <w:pPr>
        <w:widowControl/>
        <w:tabs>
          <w:tab w:val="left" w:pos="3402"/>
          <w:tab w:val="left" w:pos="4536"/>
        </w:tabs>
        <w:autoSpaceDE/>
        <w:autoSpaceDN/>
        <w:adjustRightInd/>
        <w:spacing w:line="360" w:lineRule="auto"/>
        <w:rPr>
          <w:rFonts w:ascii="Times New Roman" w:hAnsi="Times New Roman"/>
          <w:sz w:val="24"/>
          <w:szCs w:val="24"/>
        </w:rPr>
      </w:pPr>
      <w:r w:rsidRPr="00FB616B">
        <w:rPr>
          <w:rFonts w:ascii="Times New Roman" w:hAnsi="Times New Roman"/>
          <w:sz w:val="24"/>
          <w:szCs w:val="24"/>
        </w:rPr>
        <w:t xml:space="preserve">Prievidza </w:t>
      </w:r>
      <w:r w:rsidRPr="00FB616B">
        <w:rPr>
          <w:rFonts w:ascii="Times New Roman" w:hAnsi="Times New Roman"/>
          <w:sz w:val="24"/>
          <w:szCs w:val="24"/>
        </w:rPr>
        <w:tab/>
        <w:t xml:space="preserve">PhDr. Miroslav </w:t>
      </w:r>
      <w:r w:rsidRPr="00FB616B">
        <w:rPr>
          <w:rFonts w:ascii="Times New Roman" w:hAnsi="Times New Roman"/>
          <w:b/>
          <w:sz w:val="24"/>
          <w:szCs w:val="24"/>
        </w:rPr>
        <w:t>Gazdík</w:t>
      </w:r>
      <w:r w:rsidRPr="00FB616B">
        <w:rPr>
          <w:rFonts w:ascii="Times New Roman" w:hAnsi="Times New Roman"/>
          <w:sz w:val="24"/>
          <w:szCs w:val="24"/>
        </w:rPr>
        <w:t xml:space="preserve"> </w:t>
      </w:r>
    </w:p>
    <w:p w:rsidR="00385B00" w:rsidRPr="00FB616B" w:rsidRDefault="00385B00" w:rsidP="00385B00">
      <w:pPr>
        <w:widowControl/>
        <w:tabs>
          <w:tab w:val="left" w:pos="3402"/>
          <w:tab w:val="left" w:pos="4536"/>
        </w:tabs>
        <w:autoSpaceDE/>
        <w:autoSpaceDN/>
        <w:adjustRightInd/>
        <w:spacing w:line="360" w:lineRule="auto"/>
        <w:rPr>
          <w:rFonts w:ascii="Times New Roman" w:hAnsi="Times New Roman"/>
          <w:sz w:val="24"/>
          <w:szCs w:val="24"/>
        </w:rPr>
      </w:pPr>
      <w:r w:rsidRPr="00FB616B">
        <w:rPr>
          <w:rFonts w:ascii="Times New Roman" w:hAnsi="Times New Roman"/>
          <w:sz w:val="24"/>
          <w:szCs w:val="24"/>
        </w:rPr>
        <w:t xml:space="preserve">Nitra </w:t>
      </w:r>
      <w:r w:rsidRPr="00FB616B">
        <w:rPr>
          <w:rFonts w:ascii="Times New Roman" w:hAnsi="Times New Roman"/>
          <w:sz w:val="24"/>
          <w:szCs w:val="24"/>
        </w:rPr>
        <w:tab/>
        <w:t xml:space="preserve">Ing. Juraj </w:t>
      </w:r>
      <w:proofErr w:type="spellStart"/>
      <w:r w:rsidRPr="00FB616B">
        <w:rPr>
          <w:rFonts w:ascii="Times New Roman" w:hAnsi="Times New Roman"/>
          <w:b/>
          <w:sz w:val="24"/>
          <w:szCs w:val="24"/>
        </w:rPr>
        <w:t>Buzinkai</w:t>
      </w:r>
      <w:proofErr w:type="spellEnd"/>
      <w:r w:rsidRPr="00FB616B">
        <w:rPr>
          <w:rFonts w:ascii="Times New Roman" w:hAnsi="Times New Roman"/>
          <w:sz w:val="24"/>
          <w:szCs w:val="24"/>
        </w:rPr>
        <w:t xml:space="preserve"> </w:t>
      </w:r>
    </w:p>
    <w:p w:rsidR="00385B00" w:rsidRPr="00FB616B" w:rsidRDefault="00385B00" w:rsidP="00385B00">
      <w:pPr>
        <w:widowControl/>
        <w:tabs>
          <w:tab w:val="left" w:pos="3402"/>
          <w:tab w:val="left" w:pos="4536"/>
        </w:tabs>
        <w:autoSpaceDE/>
        <w:autoSpaceDN/>
        <w:adjustRightInd/>
        <w:spacing w:line="360" w:lineRule="auto"/>
        <w:rPr>
          <w:rFonts w:ascii="Times New Roman" w:hAnsi="Times New Roman"/>
          <w:sz w:val="24"/>
          <w:szCs w:val="24"/>
        </w:rPr>
      </w:pPr>
      <w:r w:rsidRPr="00FB616B">
        <w:rPr>
          <w:rFonts w:ascii="Times New Roman" w:hAnsi="Times New Roman"/>
          <w:sz w:val="24"/>
          <w:szCs w:val="24"/>
        </w:rPr>
        <w:t xml:space="preserve">Komárno </w:t>
      </w:r>
      <w:r w:rsidRPr="00FB616B">
        <w:rPr>
          <w:rFonts w:ascii="Times New Roman" w:hAnsi="Times New Roman"/>
          <w:sz w:val="24"/>
          <w:szCs w:val="24"/>
        </w:rPr>
        <w:tab/>
        <w:t xml:space="preserve">Ing. Denisa </w:t>
      </w:r>
      <w:r w:rsidRPr="00FB616B">
        <w:rPr>
          <w:rFonts w:ascii="Times New Roman" w:hAnsi="Times New Roman"/>
          <w:b/>
          <w:sz w:val="24"/>
          <w:szCs w:val="24"/>
        </w:rPr>
        <w:t>Kováčová</w:t>
      </w:r>
      <w:r w:rsidRPr="00FB616B">
        <w:rPr>
          <w:rFonts w:ascii="Times New Roman" w:hAnsi="Times New Roman"/>
          <w:sz w:val="24"/>
          <w:szCs w:val="24"/>
        </w:rPr>
        <w:t xml:space="preserve"> </w:t>
      </w:r>
    </w:p>
    <w:p w:rsidR="00385B00" w:rsidRPr="00FB616B" w:rsidRDefault="00385B00" w:rsidP="00385B00">
      <w:pPr>
        <w:widowControl/>
        <w:tabs>
          <w:tab w:val="left" w:pos="3402"/>
          <w:tab w:val="left" w:pos="4536"/>
        </w:tabs>
        <w:autoSpaceDE/>
        <w:autoSpaceDN/>
        <w:adjustRightInd/>
        <w:spacing w:line="360" w:lineRule="auto"/>
        <w:rPr>
          <w:rFonts w:ascii="Times New Roman" w:hAnsi="Times New Roman"/>
          <w:sz w:val="24"/>
          <w:szCs w:val="24"/>
        </w:rPr>
      </w:pPr>
      <w:r w:rsidRPr="00FB616B">
        <w:rPr>
          <w:rFonts w:ascii="Times New Roman" w:hAnsi="Times New Roman"/>
          <w:sz w:val="24"/>
          <w:szCs w:val="24"/>
        </w:rPr>
        <w:t xml:space="preserve">Levice </w:t>
      </w:r>
      <w:r w:rsidRPr="00FB616B">
        <w:rPr>
          <w:rFonts w:ascii="Times New Roman" w:hAnsi="Times New Roman"/>
          <w:sz w:val="24"/>
          <w:szCs w:val="24"/>
        </w:rPr>
        <w:tab/>
      </w:r>
      <w:r w:rsidRPr="00FB616B">
        <w:rPr>
          <w:rFonts w:ascii="Times New Roman" w:hAnsi="Times New Roman"/>
          <w:sz w:val="24"/>
          <w:szCs w:val="24"/>
          <w:lang w:eastAsia="cs-CZ"/>
        </w:rPr>
        <w:t>Ing. Stanislava</w:t>
      </w:r>
      <w:r w:rsidRPr="00FB616B">
        <w:rPr>
          <w:rFonts w:ascii="Times New Roman" w:hAnsi="Times New Roman"/>
          <w:b/>
          <w:sz w:val="24"/>
          <w:szCs w:val="24"/>
          <w:lang w:eastAsia="cs-CZ"/>
        </w:rPr>
        <w:t xml:space="preserve"> Kúdelová</w:t>
      </w:r>
    </w:p>
    <w:p w:rsidR="00385B00" w:rsidRPr="00FB616B" w:rsidRDefault="00385B00" w:rsidP="00385B00">
      <w:pPr>
        <w:widowControl/>
        <w:tabs>
          <w:tab w:val="left" w:pos="3402"/>
          <w:tab w:val="left" w:pos="4536"/>
        </w:tabs>
        <w:autoSpaceDE/>
        <w:autoSpaceDN/>
        <w:adjustRightInd/>
        <w:spacing w:line="360" w:lineRule="auto"/>
        <w:rPr>
          <w:rFonts w:ascii="Times New Roman" w:hAnsi="Times New Roman"/>
          <w:sz w:val="24"/>
          <w:szCs w:val="24"/>
        </w:rPr>
      </w:pPr>
      <w:r w:rsidRPr="00FB616B">
        <w:rPr>
          <w:rFonts w:ascii="Times New Roman" w:hAnsi="Times New Roman"/>
          <w:sz w:val="24"/>
          <w:szCs w:val="24"/>
        </w:rPr>
        <w:t xml:space="preserve">Nové Zámky </w:t>
      </w:r>
      <w:r w:rsidRPr="00FB616B">
        <w:rPr>
          <w:rFonts w:ascii="Times New Roman" w:hAnsi="Times New Roman"/>
          <w:sz w:val="24"/>
          <w:szCs w:val="24"/>
        </w:rPr>
        <w:tab/>
        <w:t xml:space="preserve">Ing. Eleonóra </w:t>
      </w:r>
      <w:r w:rsidRPr="00FB616B">
        <w:rPr>
          <w:rFonts w:ascii="Times New Roman" w:hAnsi="Times New Roman"/>
          <w:b/>
          <w:sz w:val="24"/>
          <w:szCs w:val="24"/>
        </w:rPr>
        <w:t>Zahoranová</w:t>
      </w:r>
      <w:r w:rsidRPr="00FB616B">
        <w:rPr>
          <w:rFonts w:ascii="Times New Roman" w:hAnsi="Times New Roman"/>
          <w:sz w:val="24"/>
          <w:szCs w:val="24"/>
        </w:rPr>
        <w:t xml:space="preserve"> </w:t>
      </w:r>
    </w:p>
    <w:p w:rsidR="00385B00" w:rsidRPr="00FB616B" w:rsidRDefault="00385B00" w:rsidP="00385B00">
      <w:pPr>
        <w:widowControl/>
        <w:tabs>
          <w:tab w:val="left" w:pos="3402"/>
          <w:tab w:val="left" w:pos="4536"/>
        </w:tabs>
        <w:autoSpaceDE/>
        <w:autoSpaceDN/>
        <w:adjustRightInd/>
        <w:spacing w:line="360" w:lineRule="auto"/>
        <w:rPr>
          <w:rFonts w:ascii="Times New Roman" w:hAnsi="Times New Roman"/>
          <w:sz w:val="24"/>
          <w:szCs w:val="24"/>
        </w:rPr>
      </w:pPr>
      <w:r w:rsidRPr="00FB616B">
        <w:rPr>
          <w:rFonts w:ascii="Times New Roman" w:hAnsi="Times New Roman"/>
          <w:sz w:val="24"/>
          <w:szCs w:val="24"/>
        </w:rPr>
        <w:t>Topoľčany</w:t>
      </w:r>
      <w:r w:rsidRPr="00FB616B">
        <w:rPr>
          <w:rFonts w:ascii="Times New Roman" w:hAnsi="Times New Roman"/>
          <w:sz w:val="24"/>
          <w:szCs w:val="24"/>
        </w:rPr>
        <w:tab/>
        <w:t xml:space="preserve">JUDr. Nadežda </w:t>
      </w:r>
      <w:proofErr w:type="spellStart"/>
      <w:r w:rsidRPr="00FB616B">
        <w:rPr>
          <w:rFonts w:ascii="Times New Roman" w:hAnsi="Times New Roman"/>
          <w:b/>
          <w:sz w:val="24"/>
          <w:szCs w:val="24"/>
        </w:rPr>
        <w:t>Ševcová</w:t>
      </w:r>
      <w:proofErr w:type="spellEnd"/>
      <w:r w:rsidRPr="00FB616B">
        <w:rPr>
          <w:rFonts w:ascii="Times New Roman" w:hAnsi="Times New Roman"/>
          <w:sz w:val="24"/>
          <w:szCs w:val="24"/>
        </w:rPr>
        <w:t xml:space="preserve"> </w:t>
      </w:r>
    </w:p>
    <w:p w:rsidR="00385B00" w:rsidRPr="00FB616B" w:rsidRDefault="00385B00" w:rsidP="00385B00">
      <w:pPr>
        <w:widowControl/>
        <w:tabs>
          <w:tab w:val="left" w:pos="3402"/>
          <w:tab w:val="left" w:pos="4536"/>
        </w:tabs>
        <w:autoSpaceDE/>
        <w:autoSpaceDN/>
        <w:adjustRightInd/>
        <w:spacing w:line="360" w:lineRule="auto"/>
        <w:rPr>
          <w:rFonts w:ascii="Times New Roman" w:hAnsi="Times New Roman"/>
          <w:sz w:val="24"/>
          <w:szCs w:val="24"/>
        </w:rPr>
      </w:pPr>
      <w:r w:rsidRPr="00FB616B">
        <w:rPr>
          <w:rFonts w:ascii="Times New Roman" w:hAnsi="Times New Roman"/>
          <w:sz w:val="24"/>
          <w:szCs w:val="24"/>
        </w:rPr>
        <w:t xml:space="preserve">Žilina </w:t>
      </w:r>
      <w:r w:rsidRPr="00FB616B">
        <w:rPr>
          <w:rFonts w:ascii="Times New Roman" w:hAnsi="Times New Roman"/>
          <w:sz w:val="24"/>
          <w:szCs w:val="24"/>
        </w:rPr>
        <w:tab/>
        <w:t xml:space="preserve">Ing. Ľubica </w:t>
      </w:r>
      <w:proofErr w:type="spellStart"/>
      <w:r w:rsidRPr="00FB616B">
        <w:rPr>
          <w:rFonts w:ascii="Times New Roman" w:hAnsi="Times New Roman"/>
          <w:b/>
          <w:sz w:val="24"/>
          <w:szCs w:val="24"/>
        </w:rPr>
        <w:t>Pisaríková</w:t>
      </w:r>
      <w:proofErr w:type="spellEnd"/>
      <w:r w:rsidRPr="00FB616B">
        <w:rPr>
          <w:rFonts w:ascii="Times New Roman" w:hAnsi="Times New Roman"/>
          <w:sz w:val="24"/>
          <w:szCs w:val="24"/>
        </w:rPr>
        <w:t xml:space="preserve"> </w:t>
      </w:r>
    </w:p>
    <w:p w:rsidR="00385B00" w:rsidRPr="00FB616B" w:rsidRDefault="00385B00" w:rsidP="00385B00">
      <w:pPr>
        <w:widowControl/>
        <w:tabs>
          <w:tab w:val="left" w:pos="3402"/>
          <w:tab w:val="left" w:pos="4536"/>
        </w:tabs>
        <w:autoSpaceDE/>
        <w:autoSpaceDN/>
        <w:adjustRightInd/>
        <w:spacing w:line="360" w:lineRule="auto"/>
        <w:rPr>
          <w:rFonts w:ascii="Times New Roman" w:hAnsi="Times New Roman"/>
          <w:sz w:val="24"/>
          <w:szCs w:val="24"/>
        </w:rPr>
      </w:pPr>
      <w:r w:rsidRPr="00FB616B">
        <w:rPr>
          <w:rFonts w:ascii="Times New Roman" w:hAnsi="Times New Roman"/>
          <w:sz w:val="24"/>
          <w:szCs w:val="24"/>
        </w:rPr>
        <w:t xml:space="preserve">Čadca </w:t>
      </w:r>
      <w:r w:rsidRPr="00FB616B">
        <w:rPr>
          <w:rFonts w:ascii="Times New Roman" w:hAnsi="Times New Roman"/>
          <w:sz w:val="24"/>
          <w:szCs w:val="24"/>
        </w:rPr>
        <w:tab/>
        <w:t xml:space="preserve">JUDr. Marta </w:t>
      </w:r>
      <w:proofErr w:type="spellStart"/>
      <w:r w:rsidRPr="00FB616B">
        <w:rPr>
          <w:rFonts w:ascii="Times New Roman" w:hAnsi="Times New Roman"/>
          <w:b/>
          <w:sz w:val="24"/>
          <w:szCs w:val="24"/>
        </w:rPr>
        <w:t>Cyprichová</w:t>
      </w:r>
      <w:proofErr w:type="spellEnd"/>
    </w:p>
    <w:p w:rsidR="00385B00" w:rsidRPr="00FB616B" w:rsidRDefault="00385B00" w:rsidP="00385B00">
      <w:pPr>
        <w:widowControl/>
        <w:tabs>
          <w:tab w:val="left" w:pos="3402"/>
          <w:tab w:val="left" w:pos="4536"/>
        </w:tabs>
        <w:autoSpaceDE/>
        <w:autoSpaceDN/>
        <w:adjustRightInd/>
        <w:spacing w:line="360" w:lineRule="auto"/>
        <w:rPr>
          <w:rFonts w:ascii="Times New Roman" w:hAnsi="Times New Roman"/>
          <w:i/>
          <w:sz w:val="24"/>
          <w:szCs w:val="24"/>
        </w:rPr>
      </w:pPr>
      <w:r w:rsidRPr="00FB616B">
        <w:rPr>
          <w:rFonts w:ascii="Times New Roman" w:hAnsi="Times New Roman"/>
          <w:sz w:val="24"/>
          <w:szCs w:val="24"/>
        </w:rPr>
        <w:t xml:space="preserve">Dolný Kubín </w:t>
      </w:r>
      <w:r w:rsidRPr="00FB616B">
        <w:rPr>
          <w:rFonts w:ascii="Times New Roman" w:hAnsi="Times New Roman"/>
          <w:sz w:val="24"/>
          <w:szCs w:val="24"/>
        </w:rPr>
        <w:tab/>
      </w:r>
      <w:r w:rsidRPr="00FB616B">
        <w:rPr>
          <w:rFonts w:ascii="Times New Roman" w:hAnsi="Times New Roman"/>
          <w:i/>
          <w:sz w:val="24"/>
          <w:szCs w:val="24"/>
        </w:rPr>
        <w:t xml:space="preserve">Ing. Alena </w:t>
      </w:r>
      <w:proofErr w:type="spellStart"/>
      <w:r w:rsidRPr="00FB616B">
        <w:rPr>
          <w:rFonts w:ascii="Times New Roman" w:hAnsi="Times New Roman"/>
          <w:i/>
          <w:sz w:val="24"/>
          <w:szCs w:val="24"/>
        </w:rPr>
        <w:t>Skirčáková</w:t>
      </w:r>
      <w:proofErr w:type="spellEnd"/>
      <w:r w:rsidRPr="00FB616B">
        <w:rPr>
          <w:rFonts w:ascii="Times New Roman" w:hAnsi="Times New Roman"/>
          <w:i/>
          <w:sz w:val="24"/>
          <w:szCs w:val="24"/>
        </w:rPr>
        <w:t xml:space="preserve">, </w:t>
      </w:r>
      <w:r w:rsidRPr="00FB616B">
        <w:rPr>
          <w:rFonts w:ascii="Times New Roman" w:hAnsi="Times New Roman"/>
          <w:bCs/>
          <w:i/>
          <w:sz w:val="24"/>
          <w:szCs w:val="24"/>
          <w:lang w:eastAsia="cs-CZ"/>
        </w:rPr>
        <w:t>do 31.8.2018</w:t>
      </w:r>
    </w:p>
    <w:p w:rsidR="00385B00" w:rsidRPr="00FB616B" w:rsidRDefault="00385B00" w:rsidP="00385B00">
      <w:pPr>
        <w:widowControl/>
        <w:tabs>
          <w:tab w:val="left" w:pos="3402"/>
          <w:tab w:val="left" w:pos="4536"/>
        </w:tabs>
        <w:autoSpaceDE/>
        <w:autoSpaceDN/>
        <w:adjustRightInd/>
        <w:spacing w:line="360" w:lineRule="auto"/>
        <w:rPr>
          <w:rFonts w:ascii="Times New Roman" w:hAnsi="Times New Roman"/>
          <w:i/>
          <w:sz w:val="24"/>
          <w:szCs w:val="24"/>
        </w:rPr>
      </w:pPr>
      <w:r w:rsidRPr="00FB616B">
        <w:rPr>
          <w:rFonts w:ascii="Times New Roman" w:hAnsi="Times New Roman"/>
          <w:i/>
          <w:sz w:val="24"/>
          <w:szCs w:val="24"/>
        </w:rPr>
        <w:tab/>
        <w:t xml:space="preserve">Ing. Iveta </w:t>
      </w:r>
      <w:proofErr w:type="spellStart"/>
      <w:r w:rsidRPr="00FB616B">
        <w:rPr>
          <w:rFonts w:ascii="Times New Roman" w:hAnsi="Times New Roman"/>
          <w:i/>
          <w:sz w:val="24"/>
          <w:szCs w:val="24"/>
        </w:rPr>
        <w:t>Kolorédyová</w:t>
      </w:r>
      <w:proofErr w:type="spellEnd"/>
      <w:r w:rsidRPr="00FB616B">
        <w:rPr>
          <w:rFonts w:ascii="Times New Roman" w:hAnsi="Times New Roman"/>
          <w:i/>
          <w:sz w:val="24"/>
          <w:szCs w:val="24"/>
        </w:rPr>
        <w:t>,</w:t>
      </w:r>
      <w:r w:rsidRPr="00FB616B">
        <w:rPr>
          <w:rFonts w:ascii="Times New Roman" w:hAnsi="Times New Roman"/>
          <w:bCs/>
          <w:i/>
          <w:sz w:val="24"/>
          <w:szCs w:val="24"/>
          <w:lang w:eastAsia="cs-CZ"/>
        </w:rPr>
        <w:t xml:space="preserve"> od 1.9.2018 do 30.11.2018</w:t>
      </w:r>
    </w:p>
    <w:p w:rsidR="00385B00" w:rsidRPr="00FB616B" w:rsidRDefault="00385B00" w:rsidP="00385B00">
      <w:pPr>
        <w:widowControl/>
        <w:tabs>
          <w:tab w:val="left" w:pos="3402"/>
          <w:tab w:val="left" w:pos="4536"/>
        </w:tabs>
        <w:autoSpaceDE/>
        <w:autoSpaceDN/>
        <w:adjustRightInd/>
        <w:spacing w:line="360" w:lineRule="auto"/>
        <w:rPr>
          <w:rFonts w:ascii="Times New Roman" w:hAnsi="Times New Roman"/>
          <w:sz w:val="24"/>
          <w:szCs w:val="24"/>
        </w:rPr>
      </w:pPr>
      <w:r w:rsidRPr="00FB616B">
        <w:rPr>
          <w:rFonts w:ascii="Times New Roman" w:hAnsi="Times New Roman"/>
          <w:sz w:val="24"/>
          <w:szCs w:val="24"/>
        </w:rPr>
        <w:tab/>
        <w:t xml:space="preserve">JUDr. Ľubomír </w:t>
      </w:r>
      <w:r w:rsidRPr="00FB616B">
        <w:rPr>
          <w:rFonts w:ascii="Times New Roman" w:hAnsi="Times New Roman"/>
          <w:b/>
          <w:sz w:val="24"/>
          <w:szCs w:val="24"/>
        </w:rPr>
        <w:t>Lehotský</w:t>
      </w:r>
      <w:r w:rsidRPr="00FB616B">
        <w:rPr>
          <w:rFonts w:ascii="Times New Roman" w:hAnsi="Times New Roman"/>
          <w:sz w:val="24"/>
          <w:szCs w:val="24"/>
        </w:rPr>
        <w:t>,</w:t>
      </w:r>
      <w:r w:rsidRPr="00FB616B">
        <w:rPr>
          <w:rFonts w:ascii="Times New Roman" w:hAnsi="Times New Roman"/>
          <w:bCs/>
          <w:i/>
          <w:sz w:val="24"/>
          <w:szCs w:val="24"/>
          <w:lang w:eastAsia="cs-CZ"/>
        </w:rPr>
        <w:t xml:space="preserve"> od 1.12.2018</w:t>
      </w:r>
    </w:p>
    <w:p w:rsidR="00385B00" w:rsidRPr="00FB616B" w:rsidRDefault="00385B00" w:rsidP="00385B00">
      <w:pPr>
        <w:widowControl/>
        <w:tabs>
          <w:tab w:val="left" w:pos="3402"/>
          <w:tab w:val="left" w:pos="4536"/>
        </w:tabs>
        <w:autoSpaceDE/>
        <w:autoSpaceDN/>
        <w:adjustRightInd/>
        <w:spacing w:line="360" w:lineRule="auto"/>
        <w:rPr>
          <w:rFonts w:ascii="Times New Roman" w:hAnsi="Times New Roman"/>
          <w:sz w:val="24"/>
          <w:szCs w:val="24"/>
        </w:rPr>
      </w:pPr>
      <w:r w:rsidRPr="00FB616B">
        <w:rPr>
          <w:rFonts w:ascii="Times New Roman" w:hAnsi="Times New Roman"/>
          <w:sz w:val="24"/>
          <w:szCs w:val="24"/>
        </w:rPr>
        <w:t xml:space="preserve">Liptovský Mikuláš </w:t>
      </w:r>
      <w:r w:rsidRPr="00FB616B">
        <w:rPr>
          <w:rFonts w:ascii="Times New Roman" w:hAnsi="Times New Roman"/>
          <w:sz w:val="24"/>
          <w:szCs w:val="24"/>
        </w:rPr>
        <w:tab/>
        <w:t xml:space="preserve">Ing. Alena </w:t>
      </w:r>
      <w:r w:rsidRPr="00FB616B">
        <w:rPr>
          <w:rFonts w:ascii="Times New Roman" w:hAnsi="Times New Roman"/>
          <w:b/>
          <w:sz w:val="24"/>
          <w:szCs w:val="24"/>
        </w:rPr>
        <w:t>Uličná</w:t>
      </w:r>
      <w:r w:rsidRPr="00FB616B">
        <w:rPr>
          <w:rFonts w:ascii="Times New Roman" w:hAnsi="Times New Roman"/>
          <w:sz w:val="24"/>
          <w:szCs w:val="24"/>
        </w:rPr>
        <w:t xml:space="preserve"> </w:t>
      </w:r>
    </w:p>
    <w:p w:rsidR="00385B00" w:rsidRPr="00FB616B" w:rsidRDefault="00385B00" w:rsidP="00385B00">
      <w:pPr>
        <w:widowControl/>
        <w:tabs>
          <w:tab w:val="left" w:pos="3402"/>
          <w:tab w:val="left" w:pos="4536"/>
        </w:tabs>
        <w:autoSpaceDE/>
        <w:autoSpaceDN/>
        <w:adjustRightInd/>
        <w:spacing w:line="360" w:lineRule="auto"/>
        <w:rPr>
          <w:rFonts w:ascii="Times New Roman" w:hAnsi="Times New Roman"/>
          <w:sz w:val="24"/>
          <w:szCs w:val="24"/>
        </w:rPr>
      </w:pPr>
      <w:r w:rsidRPr="00FB616B">
        <w:rPr>
          <w:rFonts w:ascii="Times New Roman" w:hAnsi="Times New Roman"/>
          <w:sz w:val="24"/>
          <w:szCs w:val="24"/>
        </w:rPr>
        <w:t xml:space="preserve">Martin </w:t>
      </w:r>
      <w:r w:rsidRPr="00FB616B">
        <w:rPr>
          <w:rFonts w:ascii="Times New Roman" w:hAnsi="Times New Roman"/>
          <w:sz w:val="24"/>
          <w:szCs w:val="24"/>
        </w:rPr>
        <w:tab/>
        <w:t xml:space="preserve">Ing. Anton </w:t>
      </w:r>
      <w:proofErr w:type="spellStart"/>
      <w:r w:rsidRPr="00FB616B">
        <w:rPr>
          <w:rFonts w:ascii="Times New Roman" w:hAnsi="Times New Roman"/>
          <w:b/>
          <w:sz w:val="24"/>
          <w:szCs w:val="24"/>
        </w:rPr>
        <w:t>Báthory</w:t>
      </w:r>
      <w:proofErr w:type="spellEnd"/>
      <w:r w:rsidRPr="00FB616B">
        <w:rPr>
          <w:rFonts w:ascii="Times New Roman" w:hAnsi="Times New Roman"/>
          <w:b/>
          <w:sz w:val="24"/>
          <w:szCs w:val="24"/>
        </w:rPr>
        <w:t xml:space="preserve"> </w:t>
      </w:r>
    </w:p>
    <w:p w:rsidR="00385B00" w:rsidRPr="00FB616B" w:rsidRDefault="00385B00" w:rsidP="00385B00">
      <w:pPr>
        <w:widowControl/>
        <w:tabs>
          <w:tab w:val="left" w:pos="3402"/>
          <w:tab w:val="left" w:pos="4536"/>
        </w:tabs>
        <w:autoSpaceDE/>
        <w:autoSpaceDN/>
        <w:adjustRightInd/>
        <w:spacing w:line="360" w:lineRule="auto"/>
        <w:rPr>
          <w:rFonts w:ascii="Times New Roman" w:hAnsi="Times New Roman"/>
          <w:sz w:val="24"/>
          <w:szCs w:val="24"/>
        </w:rPr>
      </w:pPr>
      <w:r w:rsidRPr="00FB616B">
        <w:rPr>
          <w:rFonts w:ascii="Times New Roman" w:hAnsi="Times New Roman"/>
          <w:sz w:val="24"/>
          <w:szCs w:val="24"/>
        </w:rPr>
        <w:t>Banská Bystrica</w:t>
      </w:r>
      <w:r w:rsidRPr="00FB616B">
        <w:rPr>
          <w:rFonts w:ascii="Times New Roman" w:hAnsi="Times New Roman"/>
          <w:sz w:val="24"/>
          <w:szCs w:val="24"/>
        </w:rPr>
        <w:tab/>
        <w:t xml:space="preserve">Ing. Milan </w:t>
      </w:r>
      <w:proofErr w:type="spellStart"/>
      <w:r w:rsidRPr="00FB616B">
        <w:rPr>
          <w:rFonts w:ascii="Times New Roman" w:hAnsi="Times New Roman"/>
          <w:b/>
          <w:sz w:val="24"/>
          <w:szCs w:val="24"/>
        </w:rPr>
        <w:t>Černický</w:t>
      </w:r>
      <w:proofErr w:type="spellEnd"/>
    </w:p>
    <w:p w:rsidR="00385B00" w:rsidRPr="00FB616B" w:rsidRDefault="00385B00" w:rsidP="00385B00">
      <w:pPr>
        <w:widowControl/>
        <w:tabs>
          <w:tab w:val="left" w:pos="3402"/>
          <w:tab w:val="left" w:pos="4536"/>
        </w:tabs>
        <w:autoSpaceDE/>
        <w:autoSpaceDN/>
        <w:adjustRightInd/>
        <w:spacing w:line="360" w:lineRule="auto"/>
        <w:rPr>
          <w:rFonts w:ascii="Times New Roman" w:hAnsi="Times New Roman"/>
          <w:sz w:val="24"/>
          <w:szCs w:val="24"/>
        </w:rPr>
      </w:pPr>
      <w:r w:rsidRPr="00FB616B">
        <w:rPr>
          <w:rFonts w:ascii="Times New Roman" w:hAnsi="Times New Roman"/>
          <w:sz w:val="24"/>
          <w:szCs w:val="24"/>
        </w:rPr>
        <w:t xml:space="preserve">Lučenec </w:t>
      </w:r>
      <w:r w:rsidRPr="00FB616B">
        <w:rPr>
          <w:rFonts w:ascii="Times New Roman" w:hAnsi="Times New Roman"/>
          <w:sz w:val="24"/>
          <w:szCs w:val="24"/>
        </w:rPr>
        <w:tab/>
        <w:t xml:space="preserve">Ing. Milan </w:t>
      </w:r>
      <w:proofErr w:type="spellStart"/>
      <w:r w:rsidRPr="00FB616B">
        <w:rPr>
          <w:rFonts w:ascii="Times New Roman" w:hAnsi="Times New Roman"/>
          <w:b/>
          <w:sz w:val="24"/>
          <w:szCs w:val="24"/>
        </w:rPr>
        <w:t>Černok</w:t>
      </w:r>
      <w:proofErr w:type="spellEnd"/>
      <w:r w:rsidRPr="00FB616B">
        <w:rPr>
          <w:rFonts w:ascii="Times New Roman" w:hAnsi="Times New Roman"/>
          <w:b/>
          <w:sz w:val="24"/>
          <w:szCs w:val="24"/>
        </w:rPr>
        <w:t xml:space="preserve"> </w:t>
      </w:r>
    </w:p>
    <w:p w:rsidR="00385B00" w:rsidRPr="00FB616B" w:rsidRDefault="00385B00" w:rsidP="00385B00">
      <w:pPr>
        <w:widowControl/>
        <w:tabs>
          <w:tab w:val="left" w:pos="3402"/>
          <w:tab w:val="left" w:pos="4536"/>
        </w:tabs>
        <w:autoSpaceDE/>
        <w:autoSpaceDN/>
        <w:adjustRightInd/>
        <w:spacing w:line="360" w:lineRule="auto"/>
        <w:rPr>
          <w:rFonts w:ascii="Times New Roman" w:hAnsi="Times New Roman"/>
          <w:sz w:val="24"/>
          <w:szCs w:val="24"/>
        </w:rPr>
      </w:pPr>
      <w:r w:rsidRPr="00FB616B">
        <w:rPr>
          <w:rFonts w:ascii="Times New Roman" w:hAnsi="Times New Roman"/>
          <w:sz w:val="24"/>
          <w:szCs w:val="24"/>
        </w:rPr>
        <w:t>Rimavská Sobota</w:t>
      </w:r>
      <w:r w:rsidRPr="00FB616B">
        <w:rPr>
          <w:rFonts w:ascii="Times New Roman" w:hAnsi="Times New Roman"/>
          <w:sz w:val="24"/>
          <w:szCs w:val="24"/>
        </w:rPr>
        <w:tab/>
        <w:t xml:space="preserve">JUDr. Zuzana </w:t>
      </w:r>
      <w:proofErr w:type="spellStart"/>
      <w:r w:rsidRPr="00FB616B">
        <w:rPr>
          <w:rFonts w:ascii="Times New Roman" w:hAnsi="Times New Roman"/>
          <w:b/>
          <w:sz w:val="24"/>
          <w:szCs w:val="24"/>
        </w:rPr>
        <w:t>Kederová</w:t>
      </w:r>
      <w:proofErr w:type="spellEnd"/>
      <w:r w:rsidRPr="00FB616B">
        <w:rPr>
          <w:rFonts w:ascii="Times New Roman" w:hAnsi="Times New Roman"/>
          <w:sz w:val="24"/>
          <w:szCs w:val="24"/>
        </w:rPr>
        <w:t xml:space="preserve"> </w:t>
      </w:r>
    </w:p>
    <w:p w:rsidR="00385B00" w:rsidRPr="00FB616B" w:rsidRDefault="00385B00" w:rsidP="00385B00">
      <w:pPr>
        <w:widowControl/>
        <w:tabs>
          <w:tab w:val="left" w:pos="3402"/>
          <w:tab w:val="left" w:pos="4536"/>
        </w:tabs>
        <w:autoSpaceDE/>
        <w:autoSpaceDN/>
        <w:adjustRightInd/>
        <w:spacing w:line="360" w:lineRule="auto"/>
        <w:rPr>
          <w:rFonts w:ascii="Times New Roman" w:hAnsi="Times New Roman"/>
          <w:sz w:val="24"/>
          <w:szCs w:val="24"/>
        </w:rPr>
      </w:pPr>
      <w:r w:rsidRPr="00FB616B">
        <w:rPr>
          <w:rFonts w:ascii="Times New Roman" w:hAnsi="Times New Roman"/>
          <w:sz w:val="24"/>
          <w:szCs w:val="24"/>
        </w:rPr>
        <w:t xml:space="preserve">Veľký Krtíš </w:t>
      </w:r>
      <w:r w:rsidRPr="00FB616B">
        <w:rPr>
          <w:rFonts w:ascii="Times New Roman" w:hAnsi="Times New Roman"/>
          <w:sz w:val="24"/>
          <w:szCs w:val="24"/>
        </w:rPr>
        <w:tab/>
        <w:t xml:space="preserve">Ing. arch. Mária </w:t>
      </w:r>
      <w:proofErr w:type="spellStart"/>
      <w:r w:rsidRPr="00FB616B">
        <w:rPr>
          <w:rFonts w:ascii="Times New Roman" w:hAnsi="Times New Roman"/>
          <w:b/>
          <w:sz w:val="24"/>
          <w:szCs w:val="24"/>
        </w:rPr>
        <w:t>Kyseľová</w:t>
      </w:r>
      <w:proofErr w:type="spellEnd"/>
      <w:r w:rsidRPr="00FB616B">
        <w:rPr>
          <w:rFonts w:ascii="Times New Roman" w:hAnsi="Times New Roman"/>
          <w:sz w:val="24"/>
          <w:szCs w:val="24"/>
        </w:rPr>
        <w:t xml:space="preserve"> </w:t>
      </w:r>
    </w:p>
    <w:p w:rsidR="00385B00" w:rsidRPr="00FB616B" w:rsidRDefault="00385B00" w:rsidP="00385B00">
      <w:pPr>
        <w:widowControl/>
        <w:tabs>
          <w:tab w:val="left" w:pos="3402"/>
        </w:tabs>
        <w:autoSpaceDE/>
        <w:autoSpaceDN/>
        <w:adjustRightInd/>
        <w:spacing w:line="360" w:lineRule="auto"/>
        <w:rPr>
          <w:rFonts w:ascii="Times New Roman" w:hAnsi="Times New Roman"/>
          <w:sz w:val="24"/>
          <w:szCs w:val="24"/>
        </w:rPr>
      </w:pPr>
      <w:r w:rsidRPr="00FB616B">
        <w:rPr>
          <w:rFonts w:ascii="Times New Roman" w:hAnsi="Times New Roman"/>
          <w:sz w:val="24"/>
          <w:szCs w:val="24"/>
        </w:rPr>
        <w:t xml:space="preserve">Zvolen </w:t>
      </w:r>
      <w:r w:rsidRPr="00FB616B">
        <w:rPr>
          <w:rFonts w:ascii="Times New Roman" w:hAnsi="Times New Roman"/>
          <w:sz w:val="24"/>
          <w:szCs w:val="24"/>
        </w:rPr>
        <w:tab/>
        <w:t>Ing. Peter</w:t>
      </w:r>
      <w:r w:rsidRPr="00FB616B">
        <w:rPr>
          <w:rFonts w:ascii="Times New Roman" w:hAnsi="Times New Roman"/>
          <w:b/>
          <w:sz w:val="24"/>
          <w:szCs w:val="24"/>
        </w:rPr>
        <w:t xml:space="preserve"> Chrenko</w:t>
      </w:r>
    </w:p>
    <w:p w:rsidR="00385B00" w:rsidRPr="00FB616B" w:rsidRDefault="00385B00" w:rsidP="00385B00">
      <w:pPr>
        <w:widowControl/>
        <w:tabs>
          <w:tab w:val="left" w:pos="3402"/>
          <w:tab w:val="left" w:pos="4536"/>
        </w:tabs>
        <w:autoSpaceDE/>
        <w:autoSpaceDN/>
        <w:adjustRightInd/>
        <w:spacing w:line="360" w:lineRule="auto"/>
        <w:rPr>
          <w:rFonts w:ascii="Times New Roman" w:hAnsi="Times New Roman"/>
          <w:b/>
          <w:sz w:val="24"/>
          <w:szCs w:val="24"/>
        </w:rPr>
      </w:pPr>
      <w:r w:rsidRPr="00FB616B">
        <w:rPr>
          <w:rFonts w:ascii="Times New Roman" w:hAnsi="Times New Roman"/>
          <w:sz w:val="24"/>
          <w:szCs w:val="24"/>
        </w:rPr>
        <w:t xml:space="preserve">Žiar nad Hronom </w:t>
      </w:r>
      <w:r w:rsidRPr="00FB616B">
        <w:rPr>
          <w:rFonts w:ascii="Times New Roman" w:hAnsi="Times New Roman"/>
          <w:sz w:val="24"/>
          <w:szCs w:val="24"/>
        </w:rPr>
        <w:tab/>
        <w:t xml:space="preserve">JUDr. Róbert </w:t>
      </w:r>
      <w:r w:rsidRPr="00FB616B">
        <w:rPr>
          <w:rFonts w:ascii="Times New Roman" w:hAnsi="Times New Roman"/>
          <w:b/>
          <w:sz w:val="24"/>
          <w:szCs w:val="24"/>
        </w:rPr>
        <w:t xml:space="preserve">Kováč </w:t>
      </w:r>
    </w:p>
    <w:p w:rsidR="00385B00" w:rsidRPr="00FB616B" w:rsidRDefault="00385B00" w:rsidP="00385B00">
      <w:pPr>
        <w:widowControl/>
        <w:tabs>
          <w:tab w:val="left" w:pos="3402"/>
          <w:tab w:val="left" w:pos="4536"/>
        </w:tabs>
        <w:autoSpaceDE/>
        <w:autoSpaceDN/>
        <w:adjustRightInd/>
        <w:spacing w:line="360" w:lineRule="auto"/>
        <w:rPr>
          <w:rFonts w:ascii="Times New Roman" w:hAnsi="Times New Roman"/>
          <w:sz w:val="24"/>
          <w:szCs w:val="24"/>
        </w:rPr>
      </w:pPr>
      <w:r w:rsidRPr="00FB616B">
        <w:rPr>
          <w:rFonts w:ascii="Times New Roman" w:hAnsi="Times New Roman"/>
          <w:sz w:val="24"/>
          <w:szCs w:val="24"/>
        </w:rPr>
        <w:t xml:space="preserve">Prešov </w:t>
      </w:r>
      <w:r w:rsidRPr="00FB616B">
        <w:rPr>
          <w:rFonts w:ascii="Times New Roman" w:hAnsi="Times New Roman"/>
          <w:sz w:val="24"/>
          <w:szCs w:val="24"/>
        </w:rPr>
        <w:tab/>
        <w:t xml:space="preserve">Ing. Juraj </w:t>
      </w:r>
      <w:proofErr w:type="spellStart"/>
      <w:r w:rsidRPr="00FB616B">
        <w:rPr>
          <w:rFonts w:ascii="Times New Roman" w:hAnsi="Times New Roman"/>
          <w:b/>
          <w:sz w:val="24"/>
          <w:szCs w:val="24"/>
        </w:rPr>
        <w:t>Hudáč</w:t>
      </w:r>
      <w:proofErr w:type="spellEnd"/>
      <w:r w:rsidRPr="00FB616B">
        <w:rPr>
          <w:rFonts w:ascii="Times New Roman" w:hAnsi="Times New Roman"/>
          <w:b/>
          <w:sz w:val="24"/>
          <w:szCs w:val="24"/>
        </w:rPr>
        <w:t xml:space="preserve"> </w:t>
      </w:r>
    </w:p>
    <w:p w:rsidR="00385B00" w:rsidRPr="00FB616B" w:rsidRDefault="00385B00" w:rsidP="00385B00">
      <w:pPr>
        <w:widowControl/>
        <w:tabs>
          <w:tab w:val="left" w:pos="3402"/>
          <w:tab w:val="left" w:pos="4536"/>
        </w:tabs>
        <w:autoSpaceDE/>
        <w:autoSpaceDN/>
        <w:adjustRightInd/>
        <w:spacing w:line="360" w:lineRule="auto"/>
        <w:rPr>
          <w:rFonts w:ascii="Times New Roman" w:hAnsi="Times New Roman"/>
          <w:sz w:val="24"/>
          <w:szCs w:val="24"/>
        </w:rPr>
      </w:pPr>
      <w:r w:rsidRPr="00FB616B">
        <w:rPr>
          <w:rFonts w:ascii="Times New Roman" w:hAnsi="Times New Roman"/>
          <w:sz w:val="24"/>
          <w:szCs w:val="24"/>
        </w:rPr>
        <w:t xml:space="preserve">Bardejov </w:t>
      </w:r>
      <w:r w:rsidRPr="00FB616B">
        <w:rPr>
          <w:rFonts w:ascii="Times New Roman" w:hAnsi="Times New Roman"/>
          <w:sz w:val="24"/>
          <w:szCs w:val="24"/>
        </w:rPr>
        <w:tab/>
        <w:t xml:space="preserve">Ing. Viliam </w:t>
      </w:r>
      <w:proofErr w:type="spellStart"/>
      <w:r w:rsidRPr="00FB616B">
        <w:rPr>
          <w:rFonts w:ascii="Times New Roman" w:hAnsi="Times New Roman"/>
          <w:b/>
          <w:sz w:val="24"/>
          <w:szCs w:val="24"/>
        </w:rPr>
        <w:t>Potanovič</w:t>
      </w:r>
      <w:proofErr w:type="spellEnd"/>
      <w:r w:rsidRPr="00FB616B">
        <w:rPr>
          <w:rFonts w:ascii="Times New Roman" w:hAnsi="Times New Roman"/>
          <w:sz w:val="24"/>
          <w:szCs w:val="24"/>
        </w:rPr>
        <w:t xml:space="preserve"> </w:t>
      </w:r>
    </w:p>
    <w:p w:rsidR="00385B00" w:rsidRPr="00FB616B" w:rsidRDefault="00385B00" w:rsidP="00385B00">
      <w:pPr>
        <w:widowControl/>
        <w:tabs>
          <w:tab w:val="left" w:pos="3402"/>
          <w:tab w:val="left" w:pos="4536"/>
        </w:tabs>
        <w:autoSpaceDE/>
        <w:autoSpaceDN/>
        <w:adjustRightInd/>
        <w:spacing w:line="360" w:lineRule="auto"/>
        <w:rPr>
          <w:rFonts w:ascii="Times New Roman" w:hAnsi="Times New Roman"/>
          <w:sz w:val="24"/>
          <w:szCs w:val="24"/>
        </w:rPr>
      </w:pPr>
      <w:r w:rsidRPr="00FB616B">
        <w:rPr>
          <w:rFonts w:ascii="Times New Roman" w:hAnsi="Times New Roman"/>
          <w:sz w:val="24"/>
          <w:szCs w:val="24"/>
        </w:rPr>
        <w:t xml:space="preserve">Humenné </w:t>
      </w:r>
      <w:r w:rsidRPr="00FB616B">
        <w:rPr>
          <w:rFonts w:ascii="Times New Roman" w:hAnsi="Times New Roman"/>
          <w:sz w:val="24"/>
          <w:szCs w:val="24"/>
        </w:rPr>
        <w:tab/>
        <w:t xml:space="preserve">Ing. Daniel </w:t>
      </w:r>
      <w:proofErr w:type="spellStart"/>
      <w:r w:rsidRPr="00FB616B">
        <w:rPr>
          <w:rFonts w:ascii="Times New Roman" w:hAnsi="Times New Roman"/>
          <w:b/>
          <w:sz w:val="24"/>
          <w:szCs w:val="24"/>
        </w:rPr>
        <w:t>Roško</w:t>
      </w:r>
      <w:proofErr w:type="spellEnd"/>
      <w:r w:rsidRPr="00FB616B">
        <w:rPr>
          <w:rFonts w:ascii="Times New Roman" w:hAnsi="Times New Roman"/>
          <w:sz w:val="24"/>
          <w:szCs w:val="24"/>
        </w:rPr>
        <w:t xml:space="preserve"> </w:t>
      </w:r>
    </w:p>
    <w:p w:rsidR="00385B00" w:rsidRPr="00FB616B" w:rsidRDefault="00385B00" w:rsidP="00385B00">
      <w:pPr>
        <w:widowControl/>
        <w:tabs>
          <w:tab w:val="left" w:pos="3402"/>
          <w:tab w:val="left" w:pos="4536"/>
        </w:tabs>
        <w:autoSpaceDE/>
        <w:autoSpaceDN/>
        <w:adjustRightInd/>
        <w:spacing w:line="360" w:lineRule="auto"/>
        <w:rPr>
          <w:rFonts w:ascii="Times New Roman" w:hAnsi="Times New Roman"/>
          <w:sz w:val="24"/>
          <w:szCs w:val="24"/>
        </w:rPr>
      </w:pPr>
      <w:r w:rsidRPr="00FB616B">
        <w:rPr>
          <w:rFonts w:ascii="Times New Roman" w:hAnsi="Times New Roman"/>
          <w:sz w:val="24"/>
          <w:szCs w:val="24"/>
        </w:rPr>
        <w:t xml:space="preserve">Poprad </w:t>
      </w:r>
      <w:r w:rsidRPr="00FB616B">
        <w:rPr>
          <w:rFonts w:ascii="Times New Roman" w:hAnsi="Times New Roman"/>
          <w:sz w:val="24"/>
          <w:szCs w:val="24"/>
        </w:rPr>
        <w:tab/>
        <w:t xml:space="preserve">Ing. Danka </w:t>
      </w:r>
      <w:proofErr w:type="spellStart"/>
      <w:r w:rsidRPr="00FB616B">
        <w:rPr>
          <w:rFonts w:ascii="Times New Roman" w:hAnsi="Times New Roman"/>
          <w:b/>
          <w:sz w:val="24"/>
          <w:szCs w:val="24"/>
        </w:rPr>
        <w:t>Vančišinová</w:t>
      </w:r>
      <w:proofErr w:type="spellEnd"/>
      <w:r w:rsidRPr="00FB616B">
        <w:rPr>
          <w:rFonts w:ascii="Times New Roman" w:hAnsi="Times New Roman"/>
          <w:sz w:val="24"/>
          <w:szCs w:val="24"/>
        </w:rPr>
        <w:t xml:space="preserve"> </w:t>
      </w:r>
    </w:p>
    <w:p w:rsidR="00385B00" w:rsidRPr="00FB616B" w:rsidRDefault="00385B00" w:rsidP="00385B00">
      <w:pPr>
        <w:widowControl/>
        <w:tabs>
          <w:tab w:val="left" w:pos="3402"/>
          <w:tab w:val="left" w:pos="4536"/>
        </w:tabs>
        <w:autoSpaceDE/>
        <w:autoSpaceDN/>
        <w:adjustRightInd/>
        <w:spacing w:line="360" w:lineRule="auto"/>
        <w:rPr>
          <w:rFonts w:ascii="Times New Roman" w:hAnsi="Times New Roman"/>
          <w:sz w:val="24"/>
          <w:szCs w:val="24"/>
        </w:rPr>
      </w:pPr>
      <w:r w:rsidRPr="00FB616B">
        <w:rPr>
          <w:rFonts w:ascii="Times New Roman" w:hAnsi="Times New Roman"/>
          <w:sz w:val="24"/>
          <w:szCs w:val="24"/>
        </w:rPr>
        <w:t xml:space="preserve">Stará Ľubovňa </w:t>
      </w:r>
      <w:r w:rsidRPr="00FB616B">
        <w:rPr>
          <w:rFonts w:ascii="Times New Roman" w:hAnsi="Times New Roman"/>
          <w:sz w:val="24"/>
          <w:szCs w:val="24"/>
        </w:rPr>
        <w:tab/>
        <w:t xml:space="preserve">PhDr. PaedDr. Danka </w:t>
      </w:r>
      <w:proofErr w:type="spellStart"/>
      <w:r w:rsidRPr="00FB616B">
        <w:rPr>
          <w:rFonts w:ascii="Times New Roman" w:hAnsi="Times New Roman"/>
          <w:b/>
          <w:sz w:val="24"/>
          <w:szCs w:val="24"/>
        </w:rPr>
        <w:t>Matiová</w:t>
      </w:r>
      <w:proofErr w:type="spellEnd"/>
      <w:r w:rsidRPr="00FB616B">
        <w:rPr>
          <w:rFonts w:ascii="Times New Roman" w:hAnsi="Times New Roman"/>
          <w:sz w:val="24"/>
          <w:szCs w:val="24"/>
        </w:rPr>
        <w:t xml:space="preserve">, PhD. </w:t>
      </w:r>
    </w:p>
    <w:p w:rsidR="00385B00" w:rsidRPr="00FB616B" w:rsidRDefault="00385B00" w:rsidP="00385B00">
      <w:pPr>
        <w:widowControl/>
        <w:tabs>
          <w:tab w:val="left" w:pos="3402"/>
          <w:tab w:val="left" w:pos="4536"/>
        </w:tabs>
        <w:autoSpaceDE/>
        <w:autoSpaceDN/>
        <w:adjustRightInd/>
        <w:spacing w:line="360" w:lineRule="auto"/>
        <w:rPr>
          <w:rFonts w:ascii="Times New Roman" w:hAnsi="Times New Roman"/>
          <w:sz w:val="24"/>
          <w:szCs w:val="24"/>
        </w:rPr>
      </w:pPr>
      <w:r w:rsidRPr="00FB616B">
        <w:rPr>
          <w:rFonts w:ascii="Times New Roman" w:hAnsi="Times New Roman"/>
          <w:sz w:val="24"/>
          <w:szCs w:val="24"/>
        </w:rPr>
        <w:t>Svidník</w:t>
      </w:r>
      <w:r w:rsidRPr="00FB616B">
        <w:rPr>
          <w:rFonts w:ascii="Times New Roman" w:hAnsi="Times New Roman"/>
          <w:sz w:val="24"/>
          <w:szCs w:val="24"/>
        </w:rPr>
        <w:tab/>
        <w:t xml:space="preserve">Ing. Martin </w:t>
      </w:r>
      <w:proofErr w:type="spellStart"/>
      <w:r w:rsidRPr="00FB616B">
        <w:rPr>
          <w:rFonts w:ascii="Times New Roman" w:hAnsi="Times New Roman"/>
          <w:b/>
          <w:sz w:val="24"/>
          <w:szCs w:val="24"/>
        </w:rPr>
        <w:t>Blicha</w:t>
      </w:r>
      <w:proofErr w:type="spellEnd"/>
      <w:r w:rsidRPr="00FB616B">
        <w:rPr>
          <w:rFonts w:ascii="Times New Roman" w:hAnsi="Times New Roman"/>
          <w:sz w:val="24"/>
          <w:szCs w:val="24"/>
        </w:rPr>
        <w:t xml:space="preserve"> </w:t>
      </w:r>
    </w:p>
    <w:p w:rsidR="00385B00" w:rsidRPr="00FB616B" w:rsidRDefault="00385B00" w:rsidP="00385B00">
      <w:pPr>
        <w:widowControl/>
        <w:tabs>
          <w:tab w:val="left" w:pos="3402"/>
        </w:tabs>
        <w:autoSpaceDE/>
        <w:autoSpaceDN/>
        <w:adjustRightInd/>
        <w:spacing w:line="360" w:lineRule="auto"/>
        <w:rPr>
          <w:rFonts w:ascii="Times New Roman" w:hAnsi="Times New Roman"/>
          <w:sz w:val="24"/>
          <w:szCs w:val="24"/>
        </w:rPr>
      </w:pPr>
      <w:r w:rsidRPr="00FB616B">
        <w:rPr>
          <w:rFonts w:ascii="Times New Roman" w:hAnsi="Times New Roman"/>
          <w:sz w:val="24"/>
          <w:szCs w:val="24"/>
        </w:rPr>
        <w:t>Vranov nad Topľou</w:t>
      </w:r>
      <w:r w:rsidRPr="00FB616B">
        <w:rPr>
          <w:rFonts w:ascii="Times New Roman" w:hAnsi="Times New Roman"/>
          <w:sz w:val="24"/>
          <w:szCs w:val="24"/>
        </w:rPr>
        <w:tab/>
      </w:r>
      <w:r w:rsidRPr="00FB616B">
        <w:rPr>
          <w:rFonts w:ascii="Times New Roman" w:hAnsi="Times New Roman"/>
          <w:bCs/>
          <w:sz w:val="24"/>
          <w:szCs w:val="24"/>
          <w:lang w:eastAsia="cs-CZ"/>
        </w:rPr>
        <w:t xml:space="preserve">Ing. Štefan </w:t>
      </w:r>
      <w:proofErr w:type="spellStart"/>
      <w:r w:rsidRPr="00FB616B">
        <w:rPr>
          <w:rFonts w:ascii="Times New Roman" w:hAnsi="Times New Roman"/>
          <w:b/>
          <w:bCs/>
          <w:sz w:val="24"/>
          <w:szCs w:val="24"/>
          <w:lang w:eastAsia="cs-CZ"/>
        </w:rPr>
        <w:t>Hreha</w:t>
      </w:r>
      <w:proofErr w:type="spellEnd"/>
    </w:p>
    <w:p w:rsidR="00385B00" w:rsidRPr="00FB616B" w:rsidRDefault="00385B00" w:rsidP="00385B00">
      <w:pPr>
        <w:widowControl/>
        <w:tabs>
          <w:tab w:val="left" w:pos="3402"/>
          <w:tab w:val="left" w:pos="4536"/>
        </w:tabs>
        <w:autoSpaceDE/>
        <w:autoSpaceDN/>
        <w:adjustRightInd/>
        <w:spacing w:line="360" w:lineRule="auto"/>
        <w:rPr>
          <w:rFonts w:ascii="Times New Roman" w:hAnsi="Times New Roman"/>
          <w:sz w:val="24"/>
          <w:szCs w:val="24"/>
        </w:rPr>
      </w:pPr>
      <w:r w:rsidRPr="00FB616B">
        <w:rPr>
          <w:rFonts w:ascii="Times New Roman" w:hAnsi="Times New Roman"/>
          <w:sz w:val="24"/>
          <w:szCs w:val="24"/>
        </w:rPr>
        <w:t xml:space="preserve">Košice </w:t>
      </w:r>
      <w:r w:rsidRPr="00FB616B">
        <w:rPr>
          <w:rFonts w:ascii="Times New Roman" w:hAnsi="Times New Roman"/>
          <w:sz w:val="24"/>
          <w:szCs w:val="24"/>
        </w:rPr>
        <w:tab/>
        <w:t xml:space="preserve">Ing. Marián </w:t>
      </w:r>
      <w:proofErr w:type="spellStart"/>
      <w:r w:rsidRPr="00FB616B">
        <w:rPr>
          <w:rFonts w:ascii="Times New Roman" w:hAnsi="Times New Roman"/>
          <w:b/>
          <w:sz w:val="24"/>
          <w:szCs w:val="24"/>
        </w:rPr>
        <w:t>Štofko</w:t>
      </w:r>
      <w:proofErr w:type="spellEnd"/>
      <w:r w:rsidRPr="00FB616B">
        <w:rPr>
          <w:rFonts w:ascii="Times New Roman" w:hAnsi="Times New Roman"/>
          <w:sz w:val="24"/>
          <w:szCs w:val="24"/>
        </w:rPr>
        <w:t>, MBA</w:t>
      </w:r>
    </w:p>
    <w:p w:rsidR="00385B00" w:rsidRPr="00FB616B" w:rsidRDefault="00385B00" w:rsidP="00385B00">
      <w:pPr>
        <w:widowControl/>
        <w:tabs>
          <w:tab w:val="left" w:pos="3402"/>
          <w:tab w:val="left" w:pos="4536"/>
        </w:tabs>
        <w:autoSpaceDE/>
        <w:autoSpaceDN/>
        <w:adjustRightInd/>
        <w:spacing w:line="360" w:lineRule="auto"/>
        <w:rPr>
          <w:rFonts w:ascii="Times New Roman" w:hAnsi="Times New Roman"/>
          <w:sz w:val="24"/>
          <w:szCs w:val="24"/>
        </w:rPr>
      </w:pPr>
      <w:r w:rsidRPr="00FB616B">
        <w:rPr>
          <w:rFonts w:ascii="Times New Roman" w:hAnsi="Times New Roman"/>
          <w:sz w:val="24"/>
          <w:szCs w:val="24"/>
        </w:rPr>
        <w:t xml:space="preserve">Michalovce </w:t>
      </w:r>
      <w:r w:rsidRPr="00FB616B">
        <w:rPr>
          <w:rFonts w:ascii="Times New Roman" w:hAnsi="Times New Roman"/>
          <w:sz w:val="24"/>
          <w:szCs w:val="24"/>
        </w:rPr>
        <w:tab/>
        <w:t xml:space="preserve">JUDr. Mária </w:t>
      </w:r>
      <w:proofErr w:type="spellStart"/>
      <w:r w:rsidRPr="00FB616B">
        <w:rPr>
          <w:rFonts w:ascii="Times New Roman" w:hAnsi="Times New Roman"/>
          <w:b/>
          <w:sz w:val="24"/>
          <w:szCs w:val="24"/>
        </w:rPr>
        <w:t>Lešňanská</w:t>
      </w:r>
      <w:proofErr w:type="spellEnd"/>
    </w:p>
    <w:p w:rsidR="00385B00" w:rsidRPr="00FB616B" w:rsidRDefault="00385B00" w:rsidP="00385B00">
      <w:pPr>
        <w:widowControl/>
        <w:tabs>
          <w:tab w:val="left" w:pos="3402"/>
          <w:tab w:val="left" w:pos="4536"/>
        </w:tabs>
        <w:autoSpaceDE/>
        <w:autoSpaceDN/>
        <w:adjustRightInd/>
        <w:spacing w:line="360" w:lineRule="auto"/>
        <w:rPr>
          <w:rFonts w:ascii="Times New Roman" w:hAnsi="Times New Roman"/>
          <w:sz w:val="24"/>
          <w:szCs w:val="24"/>
        </w:rPr>
      </w:pPr>
      <w:r w:rsidRPr="00FB616B">
        <w:rPr>
          <w:rFonts w:ascii="Times New Roman" w:hAnsi="Times New Roman"/>
          <w:sz w:val="24"/>
          <w:szCs w:val="24"/>
        </w:rPr>
        <w:t xml:space="preserve">Rožňava </w:t>
      </w:r>
      <w:r w:rsidRPr="00FB616B">
        <w:rPr>
          <w:rFonts w:ascii="Times New Roman" w:hAnsi="Times New Roman"/>
          <w:sz w:val="24"/>
          <w:szCs w:val="24"/>
        </w:rPr>
        <w:tab/>
      </w:r>
      <w:r w:rsidRPr="00FB616B">
        <w:rPr>
          <w:rFonts w:ascii="Times New Roman" w:hAnsi="Times New Roman"/>
          <w:bCs/>
          <w:sz w:val="24"/>
          <w:szCs w:val="24"/>
          <w:lang w:eastAsia="cs-CZ"/>
        </w:rPr>
        <w:t xml:space="preserve">Ing. Andrej </w:t>
      </w:r>
      <w:proofErr w:type="spellStart"/>
      <w:r w:rsidRPr="00FB616B">
        <w:rPr>
          <w:rFonts w:ascii="Times New Roman" w:hAnsi="Times New Roman"/>
          <w:b/>
          <w:bCs/>
          <w:sz w:val="24"/>
          <w:szCs w:val="24"/>
          <w:lang w:eastAsia="cs-CZ"/>
        </w:rPr>
        <w:t>Olexa</w:t>
      </w:r>
      <w:proofErr w:type="spellEnd"/>
    </w:p>
    <w:p w:rsidR="00385B00" w:rsidRPr="00FB616B" w:rsidRDefault="00385B00" w:rsidP="00385B00">
      <w:pPr>
        <w:widowControl/>
        <w:tabs>
          <w:tab w:val="left" w:pos="3402"/>
          <w:tab w:val="left" w:pos="4536"/>
        </w:tabs>
        <w:autoSpaceDE/>
        <w:autoSpaceDN/>
        <w:adjustRightInd/>
        <w:spacing w:line="360" w:lineRule="auto"/>
        <w:rPr>
          <w:rFonts w:ascii="Times New Roman" w:hAnsi="Times New Roman"/>
          <w:sz w:val="24"/>
          <w:szCs w:val="24"/>
        </w:rPr>
      </w:pPr>
      <w:r w:rsidRPr="00FB616B">
        <w:rPr>
          <w:rFonts w:ascii="Times New Roman" w:hAnsi="Times New Roman"/>
          <w:sz w:val="24"/>
          <w:szCs w:val="24"/>
        </w:rPr>
        <w:t xml:space="preserve">Spišská Nová Ves </w:t>
      </w:r>
      <w:r w:rsidRPr="00FB616B">
        <w:rPr>
          <w:rFonts w:ascii="Times New Roman" w:hAnsi="Times New Roman"/>
          <w:sz w:val="24"/>
          <w:szCs w:val="24"/>
        </w:rPr>
        <w:tab/>
        <w:t xml:space="preserve">Ing. Michal </w:t>
      </w:r>
      <w:proofErr w:type="spellStart"/>
      <w:r w:rsidRPr="00FB616B">
        <w:rPr>
          <w:rFonts w:ascii="Times New Roman" w:hAnsi="Times New Roman"/>
          <w:b/>
          <w:sz w:val="24"/>
          <w:szCs w:val="24"/>
        </w:rPr>
        <w:t>Beharka</w:t>
      </w:r>
      <w:proofErr w:type="spellEnd"/>
      <w:r w:rsidRPr="00FB616B">
        <w:rPr>
          <w:rFonts w:ascii="Times New Roman" w:hAnsi="Times New Roman"/>
          <w:sz w:val="24"/>
          <w:szCs w:val="24"/>
        </w:rPr>
        <w:t xml:space="preserve"> </w:t>
      </w:r>
    </w:p>
    <w:p w:rsidR="00385B00" w:rsidRPr="00FB616B" w:rsidRDefault="00385B00" w:rsidP="00385B00">
      <w:pPr>
        <w:widowControl/>
        <w:tabs>
          <w:tab w:val="left" w:pos="3402"/>
          <w:tab w:val="left" w:pos="4536"/>
        </w:tabs>
        <w:autoSpaceDE/>
        <w:autoSpaceDN/>
        <w:adjustRightInd/>
        <w:spacing w:line="360" w:lineRule="auto"/>
        <w:rPr>
          <w:rFonts w:ascii="Times New Roman" w:hAnsi="Times New Roman"/>
          <w:sz w:val="24"/>
          <w:szCs w:val="24"/>
        </w:rPr>
      </w:pPr>
      <w:r w:rsidRPr="00FB616B">
        <w:rPr>
          <w:rFonts w:ascii="Times New Roman" w:hAnsi="Times New Roman"/>
          <w:sz w:val="24"/>
          <w:szCs w:val="24"/>
        </w:rPr>
        <w:t xml:space="preserve">Trebišov </w:t>
      </w:r>
      <w:r w:rsidRPr="00FB616B">
        <w:rPr>
          <w:rFonts w:ascii="Times New Roman" w:hAnsi="Times New Roman"/>
          <w:sz w:val="24"/>
          <w:szCs w:val="24"/>
        </w:rPr>
        <w:tab/>
        <w:t xml:space="preserve">Mgr. Jana </w:t>
      </w:r>
      <w:proofErr w:type="spellStart"/>
      <w:r w:rsidRPr="00FB616B">
        <w:rPr>
          <w:rFonts w:ascii="Times New Roman" w:hAnsi="Times New Roman"/>
          <w:b/>
          <w:sz w:val="24"/>
          <w:szCs w:val="24"/>
        </w:rPr>
        <w:t>Mondíková</w:t>
      </w:r>
      <w:proofErr w:type="spellEnd"/>
      <w:r w:rsidRPr="00FB616B">
        <w:rPr>
          <w:rFonts w:ascii="Times New Roman" w:hAnsi="Times New Roman"/>
          <w:sz w:val="24"/>
          <w:szCs w:val="24"/>
        </w:rPr>
        <w:t xml:space="preserve"> </w:t>
      </w:r>
    </w:p>
    <w:p w:rsidR="00385B00" w:rsidRPr="000A2157" w:rsidRDefault="00385B00" w:rsidP="00385B00">
      <w:pPr>
        <w:widowControl/>
        <w:tabs>
          <w:tab w:val="left" w:pos="3402"/>
          <w:tab w:val="left" w:pos="4536"/>
        </w:tabs>
        <w:spacing w:line="360" w:lineRule="auto"/>
        <w:rPr>
          <w:rFonts w:ascii="Times New Roman" w:hAnsi="Times New Roman"/>
          <w:color w:val="000000" w:themeColor="text1"/>
          <w:sz w:val="24"/>
          <w:szCs w:val="24"/>
        </w:rPr>
      </w:pPr>
    </w:p>
    <w:p w:rsidR="00385B00" w:rsidRPr="000A2157" w:rsidRDefault="00385B00" w:rsidP="00385B00">
      <w:pPr>
        <w:widowControl/>
        <w:spacing w:line="360" w:lineRule="auto"/>
        <w:ind w:left="567" w:hanging="567"/>
        <w:jc w:val="both"/>
        <w:rPr>
          <w:rFonts w:ascii="Times New Roman" w:hAnsi="Times New Roman"/>
          <w:b/>
          <w:bCs/>
          <w:color w:val="000000" w:themeColor="text1"/>
          <w:sz w:val="24"/>
          <w:szCs w:val="24"/>
        </w:rPr>
      </w:pPr>
      <w:r w:rsidRPr="000A2157">
        <w:rPr>
          <w:rFonts w:ascii="Times New Roman" w:hAnsi="Times New Roman"/>
          <w:b/>
          <w:bCs/>
          <w:color w:val="000000" w:themeColor="text1"/>
          <w:sz w:val="24"/>
          <w:szCs w:val="24"/>
        </w:rPr>
        <w:t xml:space="preserve"> (1)</w:t>
      </w:r>
      <w:r w:rsidRPr="000A2157">
        <w:rPr>
          <w:rFonts w:ascii="Times New Roman" w:hAnsi="Times New Roman"/>
          <w:b/>
          <w:bCs/>
          <w:color w:val="000000" w:themeColor="text1"/>
          <w:sz w:val="24"/>
          <w:szCs w:val="24"/>
        </w:rPr>
        <w:tab/>
        <w:t>Informácia o počte zamestnancov</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2"/>
        <w:gridCol w:w="1697"/>
        <w:gridCol w:w="2206"/>
      </w:tblGrid>
      <w:tr w:rsidR="00385B00" w:rsidRPr="000A2157" w:rsidTr="007379ED">
        <w:trPr>
          <w:jc w:val="center"/>
        </w:trPr>
        <w:tc>
          <w:tcPr>
            <w:tcW w:w="5062" w:type="dxa"/>
            <w:tcBorders>
              <w:top w:val="single" w:sz="4" w:space="0" w:color="auto"/>
              <w:bottom w:val="single" w:sz="4" w:space="0" w:color="auto"/>
              <w:right w:val="single" w:sz="4" w:space="0" w:color="auto"/>
            </w:tcBorders>
            <w:vAlign w:val="center"/>
          </w:tcPr>
          <w:p w:rsidR="00385B00" w:rsidRPr="000A2157" w:rsidRDefault="00385B00" w:rsidP="007379ED">
            <w:pPr>
              <w:widowControl/>
              <w:jc w:val="center"/>
              <w:rPr>
                <w:rFonts w:ascii="Times New Roman" w:hAnsi="Times New Roman"/>
                <w:b/>
                <w:bCs/>
                <w:color w:val="000000" w:themeColor="text1"/>
                <w:sz w:val="24"/>
                <w:szCs w:val="24"/>
              </w:rPr>
            </w:pPr>
            <w:r w:rsidRPr="000A2157">
              <w:rPr>
                <w:rFonts w:ascii="Times New Roman" w:hAnsi="Times New Roman"/>
                <w:b/>
                <w:bCs/>
                <w:color w:val="000000" w:themeColor="text1"/>
                <w:sz w:val="24"/>
                <w:szCs w:val="24"/>
              </w:rPr>
              <w:t>Text</w:t>
            </w:r>
          </w:p>
        </w:tc>
        <w:tc>
          <w:tcPr>
            <w:tcW w:w="1697" w:type="dxa"/>
            <w:tcBorders>
              <w:top w:val="single" w:sz="4" w:space="0" w:color="auto"/>
              <w:left w:val="single" w:sz="4" w:space="0" w:color="auto"/>
              <w:bottom w:val="single" w:sz="4" w:space="0" w:color="auto"/>
              <w:right w:val="single" w:sz="4" w:space="0" w:color="auto"/>
            </w:tcBorders>
            <w:vAlign w:val="center"/>
          </w:tcPr>
          <w:p w:rsidR="00385B00" w:rsidRPr="000A2157" w:rsidRDefault="00385B00" w:rsidP="007379ED">
            <w:pPr>
              <w:widowControl/>
              <w:jc w:val="center"/>
              <w:rPr>
                <w:rFonts w:ascii="Times New Roman" w:hAnsi="Times New Roman"/>
                <w:b/>
                <w:bCs/>
                <w:color w:val="000000" w:themeColor="text1"/>
                <w:sz w:val="24"/>
                <w:szCs w:val="24"/>
              </w:rPr>
            </w:pPr>
            <w:r w:rsidRPr="000A2157">
              <w:rPr>
                <w:rFonts w:ascii="Times New Roman" w:hAnsi="Times New Roman"/>
                <w:b/>
                <w:bCs/>
                <w:color w:val="000000" w:themeColor="text1"/>
                <w:sz w:val="24"/>
                <w:szCs w:val="24"/>
              </w:rPr>
              <w:t>Bežné účtovné obdobie</w:t>
            </w:r>
          </w:p>
        </w:tc>
        <w:tc>
          <w:tcPr>
            <w:tcW w:w="2206" w:type="dxa"/>
            <w:tcBorders>
              <w:top w:val="single" w:sz="4" w:space="0" w:color="auto"/>
              <w:left w:val="single" w:sz="4" w:space="0" w:color="auto"/>
              <w:bottom w:val="single" w:sz="4" w:space="0" w:color="auto"/>
            </w:tcBorders>
            <w:vAlign w:val="center"/>
          </w:tcPr>
          <w:p w:rsidR="00385B00" w:rsidRPr="000A2157" w:rsidRDefault="00385B00" w:rsidP="007379ED">
            <w:pPr>
              <w:widowControl/>
              <w:jc w:val="center"/>
              <w:rPr>
                <w:rFonts w:ascii="Times New Roman" w:hAnsi="Times New Roman"/>
                <w:b/>
                <w:bCs/>
                <w:color w:val="000000" w:themeColor="text1"/>
                <w:sz w:val="24"/>
                <w:szCs w:val="24"/>
              </w:rPr>
            </w:pPr>
            <w:r w:rsidRPr="000A2157">
              <w:rPr>
                <w:rFonts w:ascii="Times New Roman" w:hAnsi="Times New Roman"/>
                <w:b/>
                <w:bCs/>
                <w:color w:val="000000" w:themeColor="text1"/>
                <w:sz w:val="24"/>
                <w:szCs w:val="24"/>
              </w:rPr>
              <w:t>Bezprostredne predchádzajúce účtovné obdobie</w:t>
            </w:r>
          </w:p>
        </w:tc>
      </w:tr>
      <w:tr w:rsidR="00385B00" w:rsidRPr="000A2157" w:rsidTr="007379ED">
        <w:trPr>
          <w:jc w:val="center"/>
        </w:trPr>
        <w:tc>
          <w:tcPr>
            <w:tcW w:w="5062" w:type="dxa"/>
            <w:tcBorders>
              <w:top w:val="single" w:sz="4" w:space="0" w:color="auto"/>
              <w:bottom w:val="single" w:sz="4" w:space="0" w:color="auto"/>
              <w:right w:val="single" w:sz="4" w:space="0" w:color="auto"/>
            </w:tcBorders>
          </w:tcPr>
          <w:p w:rsidR="00385B00" w:rsidRPr="000A2157" w:rsidRDefault="00385B00" w:rsidP="007379ED">
            <w:pPr>
              <w:widowControl/>
              <w:jc w:val="both"/>
              <w:rPr>
                <w:rFonts w:ascii="Times New Roman" w:hAnsi="Times New Roman"/>
                <w:color w:val="000000" w:themeColor="text1"/>
                <w:sz w:val="24"/>
                <w:szCs w:val="24"/>
              </w:rPr>
            </w:pPr>
            <w:r w:rsidRPr="000A2157">
              <w:rPr>
                <w:rFonts w:ascii="Times New Roman" w:hAnsi="Times New Roman"/>
                <w:color w:val="000000" w:themeColor="text1"/>
                <w:sz w:val="24"/>
                <w:szCs w:val="24"/>
              </w:rPr>
              <w:t>Priemerný prepočítaný počet zamestnancov</w:t>
            </w:r>
          </w:p>
        </w:tc>
        <w:tc>
          <w:tcPr>
            <w:tcW w:w="1697" w:type="dxa"/>
            <w:tcBorders>
              <w:top w:val="single" w:sz="4" w:space="0" w:color="auto"/>
              <w:left w:val="single" w:sz="4" w:space="0" w:color="auto"/>
              <w:bottom w:val="single" w:sz="4" w:space="0" w:color="auto"/>
              <w:right w:val="single" w:sz="4" w:space="0" w:color="auto"/>
            </w:tcBorders>
          </w:tcPr>
          <w:p w:rsidR="00385B00" w:rsidRPr="000A2157" w:rsidRDefault="00385B00" w:rsidP="007379ED">
            <w:pPr>
              <w:widowControl/>
              <w:jc w:val="center"/>
              <w:rPr>
                <w:rFonts w:ascii="Times New Roman" w:hAnsi="Times New Roman"/>
                <w:color w:val="000000" w:themeColor="text1"/>
                <w:sz w:val="24"/>
                <w:szCs w:val="24"/>
              </w:rPr>
            </w:pPr>
            <w:r w:rsidRPr="000A2157">
              <w:rPr>
                <w:rFonts w:ascii="Times New Roman" w:hAnsi="Times New Roman"/>
                <w:color w:val="000000" w:themeColor="text1"/>
                <w:sz w:val="24"/>
                <w:szCs w:val="24"/>
              </w:rPr>
              <w:t>5 149</w:t>
            </w:r>
          </w:p>
        </w:tc>
        <w:tc>
          <w:tcPr>
            <w:tcW w:w="2206" w:type="dxa"/>
            <w:tcBorders>
              <w:top w:val="single" w:sz="4" w:space="0" w:color="auto"/>
              <w:left w:val="single" w:sz="4" w:space="0" w:color="auto"/>
              <w:bottom w:val="single" w:sz="4" w:space="0" w:color="auto"/>
            </w:tcBorders>
          </w:tcPr>
          <w:p w:rsidR="00385B00" w:rsidRPr="000A2157" w:rsidRDefault="00385B00" w:rsidP="007379ED">
            <w:pPr>
              <w:widowControl/>
              <w:jc w:val="center"/>
              <w:rPr>
                <w:rFonts w:ascii="Times New Roman" w:hAnsi="Times New Roman"/>
                <w:color w:val="000000" w:themeColor="text1"/>
                <w:sz w:val="24"/>
                <w:szCs w:val="24"/>
              </w:rPr>
            </w:pPr>
            <w:r w:rsidRPr="000A2157">
              <w:rPr>
                <w:rFonts w:ascii="Times New Roman" w:hAnsi="Times New Roman"/>
                <w:color w:val="000000" w:themeColor="text1"/>
                <w:sz w:val="24"/>
                <w:szCs w:val="24"/>
              </w:rPr>
              <w:t>5 109</w:t>
            </w:r>
          </w:p>
        </w:tc>
      </w:tr>
      <w:tr w:rsidR="00385B00" w:rsidRPr="000A2157" w:rsidTr="007379ED">
        <w:trPr>
          <w:jc w:val="center"/>
        </w:trPr>
        <w:tc>
          <w:tcPr>
            <w:tcW w:w="5062" w:type="dxa"/>
            <w:tcBorders>
              <w:top w:val="single" w:sz="4" w:space="0" w:color="auto"/>
              <w:bottom w:val="single" w:sz="4" w:space="0" w:color="auto"/>
              <w:right w:val="single" w:sz="4" w:space="0" w:color="auto"/>
            </w:tcBorders>
          </w:tcPr>
          <w:p w:rsidR="00385B00" w:rsidRPr="000A2157" w:rsidRDefault="00385B00" w:rsidP="007379ED">
            <w:pPr>
              <w:widowControl/>
              <w:ind w:left="720" w:hanging="360"/>
              <w:jc w:val="both"/>
              <w:rPr>
                <w:rFonts w:ascii="Times New Roman" w:hAnsi="Times New Roman"/>
                <w:color w:val="000000" w:themeColor="text1"/>
                <w:sz w:val="24"/>
                <w:szCs w:val="24"/>
              </w:rPr>
            </w:pPr>
            <w:r w:rsidRPr="000A2157">
              <w:rPr>
                <w:rFonts w:ascii="Times New Roman" w:hAnsi="Times New Roman"/>
                <w:color w:val="000000" w:themeColor="text1"/>
                <w:sz w:val="24"/>
                <w:szCs w:val="24"/>
              </w:rPr>
              <w:t>-</w:t>
            </w:r>
            <w:r w:rsidRPr="000A2157">
              <w:rPr>
                <w:rFonts w:ascii="Times New Roman" w:hAnsi="Times New Roman"/>
                <w:color w:val="000000" w:themeColor="text1"/>
                <w:sz w:val="24"/>
                <w:szCs w:val="24"/>
              </w:rPr>
              <w:tab/>
              <w:t>z toho  počet vedúcich zamestnancov</w:t>
            </w:r>
          </w:p>
        </w:tc>
        <w:tc>
          <w:tcPr>
            <w:tcW w:w="1697" w:type="dxa"/>
            <w:tcBorders>
              <w:top w:val="single" w:sz="4" w:space="0" w:color="auto"/>
              <w:left w:val="single" w:sz="4" w:space="0" w:color="auto"/>
              <w:bottom w:val="single" w:sz="4" w:space="0" w:color="auto"/>
              <w:right w:val="single" w:sz="4" w:space="0" w:color="auto"/>
            </w:tcBorders>
          </w:tcPr>
          <w:p w:rsidR="00385B00" w:rsidRPr="000A2157" w:rsidRDefault="00385B00" w:rsidP="007379ED">
            <w:pPr>
              <w:widowControl/>
              <w:jc w:val="center"/>
              <w:rPr>
                <w:rFonts w:ascii="Times New Roman" w:hAnsi="Times New Roman"/>
                <w:color w:val="000000" w:themeColor="text1"/>
                <w:sz w:val="24"/>
                <w:szCs w:val="24"/>
              </w:rPr>
            </w:pPr>
            <w:r w:rsidRPr="000A2157">
              <w:rPr>
                <w:rFonts w:ascii="Times New Roman" w:hAnsi="Times New Roman"/>
                <w:color w:val="000000" w:themeColor="text1"/>
                <w:sz w:val="24"/>
                <w:szCs w:val="24"/>
              </w:rPr>
              <w:t>415</w:t>
            </w:r>
          </w:p>
        </w:tc>
        <w:tc>
          <w:tcPr>
            <w:tcW w:w="2206" w:type="dxa"/>
            <w:tcBorders>
              <w:top w:val="single" w:sz="4" w:space="0" w:color="auto"/>
              <w:left w:val="single" w:sz="4" w:space="0" w:color="auto"/>
              <w:bottom w:val="single" w:sz="4" w:space="0" w:color="auto"/>
            </w:tcBorders>
          </w:tcPr>
          <w:p w:rsidR="00385B00" w:rsidRPr="000A2157" w:rsidRDefault="00385B00" w:rsidP="007379ED">
            <w:pPr>
              <w:widowControl/>
              <w:jc w:val="center"/>
              <w:rPr>
                <w:rFonts w:ascii="Times New Roman" w:hAnsi="Times New Roman"/>
                <w:color w:val="000000" w:themeColor="text1"/>
                <w:sz w:val="24"/>
                <w:szCs w:val="24"/>
              </w:rPr>
            </w:pPr>
            <w:r w:rsidRPr="000A2157">
              <w:rPr>
                <w:rFonts w:ascii="Times New Roman" w:hAnsi="Times New Roman"/>
                <w:color w:val="000000" w:themeColor="text1"/>
                <w:sz w:val="24"/>
                <w:szCs w:val="24"/>
              </w:rPr>
              <w:t>415</w:t>
            </w:r>
          </w:p>
        </w:tc>
      </w:tr>
    </w:tbl>
    <w:p w:rsidR="00385B00" w:rsidRPr="000A2157" w:rsidRDefault="00385B00" w:rsidP="00385B00">
      <w:pPr>
        <w:widowControl/>
        <w:spacing w:line="360" w:lineRule="auto"/>
        <w:jc w:val="both"/>
        <w:rPr>
          <w:rFonts w:ascii="Times New Roman" w:hAnsi="Times New Roman"/>
          <w:color w:val="000000" w:themeColor="text1"/>
          <w:sz w:val="24"/>
          <w:szCs w:val="24"/>
        </w:rPr>
      </w:pPr>
    </w:p>
    <w:p w:rsidR="00385B00" w:rsidRPr="000A2157" w:rsidRDefault="00385B00" w:rsidP="00385B00">
      <w:pPr>
        <w:widowControl/>
        <w:spacing w:line="360" w:lineRule="auto"/>
        <w:jc w:val="both"/>
        <w:rPr>
          <w:rFonts w:ascii="Times New Roman" w:hAnsi="Times New Roman"/>
          <w:color w:val="000000" w:themeColor="text1"/>
          <w:sz w:val="24"/>
          <w:szCs w:val="24"/>
        </w:rPr>
      </w:pPr>
    </w:p>
    <w:p w:rsidR="00385B00" w:rsidRPr="009B2222" w:rsidRDefault="00385B00" w:rsidP="00385B00">
      <w:pPr>
        <w:pStyle w:val="Nadpis1"/>
        <w:jc w:val="center"/>
        <w:rPr>
          <w:rFonts w:ascii="Times New Roman" w:hAnsi="Times New Roman"/>
          <w:b/>
          <w:sz w:val="24"/>
          <w:szCs w:val="24"/>
        </w:rPr>
      </w:pPr>
      <w:r w:rsidRPr="009B2222">
        <w:rPr>
          <w:rFonts w:ascii="Times New Roman" w:hAnsi="Times New Roman"/>
          <w:b/>
          <w:sz w:val="24"/>
          <w:szCs w:val="24"/>
        </w:rPr>
        <w:t>Čl. II</w:t>
      </w:r>
    </w:p>
    <w:p w:rsidR="00385B00" w:rsidRPr="00C565E2" w:rsidRDefault="00385B00" w:rsidP="00385B00">
      <w:pPr>
        <w:pStyle w:val="Nadpis2"/>
        <w:keepNext/>
        <w:widowControl/>
        <w:spacing w:line="360" w:lineRule="auto"/>
        <w:jc w:val="center"/>
        <w:rPr>
          <w:rFonts w:ascii="Times New Roman" w:hAnsi="Times New Roman"/>
          <w:b/>
          <w:bCs/>
          <w:color w:val="000000" w:themeColor="text1"/>
          <w:sz w:val="24"/>
          <w:szCs w:val="24"/>
        </w:rPr>
      </w:pPr>
      <w:r w:rsidRPr="00C565E2">
        <w:rPr>
          <w:rFonts w:ascii="Times New Roman" w:hAnsi="Times New Roman"/>
          <w:b/>
          <w:bCs/>
          <w:color w:val="000000" w:themeColor="text1"/>
          <w:sz w:val="24"/>
          <w:szCs w:val="24"/>
        </w:rPr>
        <w:t>Informácie o účtovných zásadách a účtovných metódach</w:t>
      </w:r>
    </w:p>
    <w:p w:rsidR="00385B00" w:rsidRPr="00C565E2" w:rsidRDefault="00385B00" w:rsidP="00385B00">
      <w:pPr>
        <w:widowControl/>
        <w:spacing w:line="360" w:lineRule="auto"/>
        <w:jc w:val="both"/>
        <w:rPr>
          <w:rFonts w:ascii="Times New Roman" w:hAnsi="Times New Roman"/>
          <w:color w:val="000000" w:themeColor="text1"/>
          <w:sz w:val="24"/>
          <w:szCs w:val="24"/>
        </w:rPr>
      </w:pPr>
    </w:p>
    <w:p w:rsidR="00385B00" w:rsidRPr="00C565E2" w:rsidRDefault="00385B00" w:rsidP="00385B00">
      <w:pPr>
        <w:widowControl/>
        <w:spacing w:line="360" w:lineRule="auto"/>
        <w:jc w:val="both"/>
        <w:rPr>
          <w:rFonts w:ascii="Times New Roman" w:hAnsi="Times New Roman"/>
          <w:color w:val="000000" w:themeColor="text1"/>
          <w:sz w:val="24"/>
          <w:szCs w:val="24"/>
        </w:rPr>
      </w:pPr>
      <w:r w:rsidRPr="00C565E2">
        <w:rPr>
          <w:rFonts w:ascii="Times New Roman" w:hAnsi="Times New Roman"/>
          <w:b/>
          <w:bCs/>
          <w:color w:val="000000" w:themeColor="text1"/>
          <w:sz w:val="24"/>
          <w:szCs w:val="24"/>
        </w:rPr>
        <w:t>(1)</w:t>
      </w:r>
      <w:r w:rsidRPr="00C565E2">
        <w:rPr>
          <w:rFonts w:ascii="Times New Roman" w:hAnsi="Times New Roman"/>
          <w:b/>
          <w:bCs/>
          <w:color w:val="000000" w:themeColor="text1"/>
          <w:sz w:val="24"/>
          <w:szCs w:val="24"/>
        </w:rPr>
        <w:tab/>
      </w:r>
      <w:r w:rsidRPr="00C565E2">
        <w:rPr>
          <w:rFonts w:ascii="Times New Roman" w:hAnsi="Times New Roman"/>
          <w:color w:val="000000" w:themeColor="text1"/>
          <w:sz w:val="24"/>
          <w:szCs w:val="24"/>
        </w:rPr>
        <w:t>Účtovná závierka bola zostavená za splnenia predpokladu, že Sociálna poisťovňa bude nepretržite pokračovať vo svojej činnosti. Účtovná závierka je v súlade:</w:t>
      </w:r>
    </w:p>
    <w:p w:rsidR="00385B00" w:rsidRPr="00EC5AC6" w:rsidRDefault="00385B00" w:rsidP="00385B00">
      <w:pPr>
        <w:pStyle w:val="Odsekzoznamu"/>
        <w:widowControl/>
        <w:numPr>
          <w:ilvl w:val="0"/>
          <w:numId w:val="26"/>
        </w:numPr>
        <w:tabs>
          <w:tab w:val="left" w:pos="284"/>
        </w:tabs>
        <w:spacing w:line="360" w:lineRule="auto"/>
        <w:ind w:left="567"/>
        <w:jc w:val="both"/>
        <w:rPr>
          <w:rFonts w:ascii="Times New Roman" w:hAnsi="Times New Roman"/>
          <w:color w:val="000000" w:themeColor="text1"/>
          <w:sz w:val="24"/>
          <w:szCs w:val="24"/>
        </w:rPr>
      </w:pPr>
      <w:r w:rsidRPr="00EC5AC6">
        <w:rPr>
          <w:rFonts w:ascii="Times New Roman" w:hAnsi="Times New Roman"/>
          <w:color w:val="000000" w:themeColor="text1"/>
          <w:sz w:val="24"/>
          <w:szCs w:val="24"/>
        </w:rPr>
        <w:t xml:space="preserve">so zákonom 431/2002 </w:t>
      </w:r>
      <w:r>
        <w:rPr>
          <w:rFonts w:ascii="Times New Roman" w:hAnsi="Times New Roman"/>
          <w:color w:val="000000" w:themeColor="text1"/>
          <w:sz w:val="24"/>
          <w:szCs w:val="24"/>
        </w:rPr>
        <w:t xml:space="preserve">Z. z. </w:t>
      </w:r>
      <w:r w:rsidRPr="00EC5AC6">
        <w:rPr>
          <w:rFonts w:ascii="Times New Roman" w:hAnsi="Times New Roman"/>
          <w:color w:val="000000" w:themeColor="text1"/>
          <w:sz w:val="24"/>
          <w:szCs w:val="24"/>
        </w:rPr>
        <w:t>o účtovníctve v znení neskorších predpisov (ďalej len „zákon o účtovníctve“),</w:t>
      </w:r>
    </w:p>
    <w:p w:rsidR="00385B00" w:rsidRDefault="00385B00" w:rsidP="00385B00">
      <w:pPr>
        <w:pStyle w:val="Odsekzoznamu"/>
        <w:widowControl/>
        <w:numPr>
          <w:ilvl w:val="0"/>
          <w:numId w:val="24"/>
        </w:numPr>
        <w:tabs>
          <w:tab w:val="left" w:pos="567"/>
        </w:tabs>
        <w:spacing w:line="360" w:lineRule="auto"/>
        <w:ind w:left="567"/>
        <w:jc w:val="both"/>
        <w:rPr>
          <w:rFonts w:ascii="Times New Roman" w:hAnsi="Times New Roman"/>
          <w:color w:val="000000" w:themeColor="text1"/>
          <w:sz w:val="24"/>
          <w:szCs w:val="24"/>
        </w:rPr>
      </w:pPr>
      <w:r w:rsidRPr="00EC5AC6">
        <w:rPr>
          <w:rFonts w:ascii="Times New Roman" w:hAnsi="Times New Roman"/>
          <w:color w:val="000000" w:themeColor="text1"/>
          <w:sz w:val="24"/>
          <w:szCs w:val="24"/>
        </w:rPr>
        <w:t>s opatrením Ministerstva financií Slovenskej republiky z 20. októbra 2011                 č. MF/24032/2011-74, ktorým sa mení a dopĺňa opatrenie Ministerstva financií Slovenskej republiky zo 14. decembra 2005 č. MF/26940/2005-74, ktorým sa ustanovujú podrobnosti  o usporiadaní, označovaní a obsahovom vymedzení položiek účtovnej závierky pre Sociálnu poisťovňu v znení neskorších predpisov,</w:t>
      </w:r>
    </w:p>
    <w:p w:rsidR="00385B00" w:rsidRPr="00EC5AC6" w:rsidRDefault="00385B00" w:rsidP="00385B00">
      <w:pPr>
        <w:pStyle w:val="Odsekzoznamu"/>
        <w:widowControl/>
        <w:numPr>
          <w:ilvl w:val="0"/>
          <w:numId w:val="24"/>
        </w:numPr>
        <w:tabs>
          <w:tab w:val="left" w:pos="567"/>
        </w:tabs>
        <w:spacing w:line="360" w:lineRule="auto"/>
        <w:ind w:left="567"/>
        <w:jc w:val="both"/>
        <w:rPr>
          <w:rFonts w:ascii="Times New Roman" w:hAnsi="Times New Roman"/>
          <w:color w:val="000000" w:themeColor="text1"/>
          <w:sz w:val="24"/>
          <w:szCs w:val="24"/>
        </w:rPr>
      </w:pPr>
      <w:r w:rsidRPr="00EC5AC6">
        <w:rPr>
          <w:rFonts w:ascii="Times New Roman" w:hAnsi="Times New Roman"/>
          <w:color w:val="000000" w:themeColor="text1"/>
          <w:sz w:val="24"/>
          <w:szCs w:val="24"/>
        </w:rPr>
        <w:t>s opatrením Ministerstva financií Slovenskej republiky z 2.</w:t>
      </w:r>
      <w:r>
        <w:rPr>
          <w:rFonts w:ascii="Times New Roman" w:hAnsi="Times New Roman"/>
          <w:color w:val="000000" w:themeColor="text1"/>
          <w:sz w:val="24"/>
          <w:szCs w:val="24"/>
        </w:rPr>
        <w:t> </w:t>
      </w:r>
      <w:r w:rsidRPr="00EC5AC6">
        <w:rPr>
          <w:rFonts w:ascii="Times New Roman" w:hAnsi="Times New Roman"/>
          <w:color w:val="000000" w:themeColor="text1"/>
          <w:sz w:val="24"/>
          <w:szCs w:val="24"/>
        </w:rPr>
        <w:t>decembra 2015 č. MF/20338/2015-74, ktorým sa mení a dopĺňa opatrenie MF SR z 30. novembra 2005 č. MF/24035/2005-74, ktorým sa ustanovujú podrobnosti o postupoch účtovania a účtovej osnove pre Sociálnu poisťovňu v znení neskorších predpisov.</w:t>
      </w:r>
    </w:p>
    <w:p w:rsidR="00385B00" w:rsidRDefault="00385B00" w:rsidP="00385B00">
      <w:pPr>
        <w:widowControl/>
        <w:tabs>
          <w:tab w:val="left" w:pos="567"/>
        </w:tabs>
        <w:spacing w:line="360" w:lineRule="auto"/>
        <w:jc w:val="both"/>
        <w:rPr>
          <w:rFonts w:ascii="Times New Roman" w:hAnsi="Times New Roman"/>
          <w:b/>
          <w:bCs/>
          <w:color w:val="000000" w:themeColor="text1"/>
          <w:sz w:val="24"/>
          <w:szCs w:val="24"/>
        </w:rPr>
      </w:pPr>
    </w:p>
    <w:p w:rsidR="00385B00" w:rsidRDefault="00385B00" w:rsidP="00385B00">
      <w:pPr>
        <w:widowControl/>
        <w:tabs>
          <w:tab w:val="left" w:pos="567"/>
        </w:tabs>
        <w:spacing w:line="360" w:lineRule="auto"/>
        <w:jc w:val="both"/>
        <w:rPr>
          <w:rFonts w:ascii="Times New Roman" w:hAnsi="Times New Roman"/>
          <w:b/>
          <w:bCs/>
          <w:color w:val="000000" w:themeColor="text1"/>
          <w:sz w:val="24"/>
          <w:szCs w:val="24"/>
        </w:rPr>
      </w:pPr>
    </w:p>
    <w:p w:rsidR="00385B00" w:rsidRDefault="00385B00" w:rsidP="00385B00">
      <w:pPr>
        <w:widowControl/>
        <w:tabs>
          <w:tab w:val="left" w:pos="567"/>
        </w:tabs>
        <w:spacing w:line="360" w:lineRule="auto"/>
        <w:jc w:val="both"/>
        <w:rPr>
          <w:rFonts w:ascii="Times New Roman" w:hAnsi="Times New Roman"/>
          <w:b/>
          <w:bCs/>
          <w:color w:val="000000" w:themeColor="text1"/>
          <w:sz w:val="24"/>
          <w:szCs w:val="24"/>
        </w:rPr>
      </w:pPr>
    </w:p>
    <w:p w:rsidR="00385B00" w:rsidRDefault="00385B00" w:rsidP="00385B00">
      <w:pPr>
        <w:widowControl/>
        <w:tabs>
          <w:tab w:val="left" w:pos="567"/>
        </w:tabs>
        <w:spacing w:line="360" w:lineRule="auto"/>
        <w:jc w:val="both"/>
        <w:rPr>
          <w:rFonts w:ascii="Times New Roman" w:hAnsi="Times New Roman"/>
          <w:b/>
          <w:bCs/>
          <w:color w:val="000000" w:themeColor="text1"/>
          <w:sz w:val="24"/>
          <w:szCs w:val="24"/>
        </w:rPr>
      </w:pPr>
    </w:p>
    <w:p w:rsidR="00385B00" w:rsidRPr="00C565E2" w:rsidRDefault="00385B00" w:rsidP="00385B00">
      <w:pPr>
        <w:widowControl/>
        <w:tabs>
          <w:tab w:val="left" w:pos="567"/>
        </w:tabs>
        <w:spacing w:line="360" w:lineRule="auto"/>
        <w:jc w:val="both"/>
        <w:rPr>
          <w:rFonts w:ascii="Times New Roman" w:hAnsi="Times New Roman"/>
          <w:b/>
          <w:bCs/>
          <w:color w:val="000000" w:themeColor="text1"/>
          <w:sz w:val="24"/>
          <w:szCs w:val="24"/>
        </w:rPr>
      </w:pPr>
    </w:p>
    <w:p w:rsidR="00385B00" w:rsidRPr="00C565E2" w:rsidRDefault="00385B00" w:rsidP="00385B00">
      <w:pPr>
        <w:widowControl/>
        <w:spacing w:line="360" w:lineRule="auto"/>
        <w:ind w:left="567" w:hanging="567"/>
        <w:jc w:val="both"/>
        <w:rPr>
          <w:rFonts w:ascii="Times New Roman" w:hAnsi="Times New Roman"/>
          <w:b/>
          <w:bCs/>
          <w:color w:val="000000" w:themeColor="text1"/>
          <w:sz w:val="24"/>
          <w:szCs w:val="24"/>
        </w:rPr>
      </w:pPr>
      <w:r w:rsidRPr="00C565E2">
        <w:rPr>
          <w:rFonts w:ascii="Times New Roman" w:hAnsi="Times New Roman"/>
          <w:b/>
          <w:bCs/>
          <w:color w:val="000000" w:themeColor="text1"/>
          <w:sz w:val="24"/>
          <w:szCs w:val="24"/>
        </w:rPr>
        <w:t>(2)</w:t>
      </w:r>
      <w:r w:rsidRPr="00C565E2">
        <w:rPr>
          <w:rFonts w:ascii="Times New Roman" w:hAnsi="Times New Roman"/>
          <w:b/>
          <w:bCs/>
          <w:color w:val="000000" w:themeColor="text1"/>
          <w:sz w:val="24"/>
          <w:szCs w:val="24"/>
        </w:rPr>
        <w:tab/>
        <w:t xml:space="preserve">Zmeny účtovných zásad a zmeny účtovných metód </w:t>
      </w:r>
    </w:p>
    <w:p w:rsidR="00385B00" w:rsidRPr="00C565E2" w:rsidRDefault="00385B00" w:rsidP="00385B00">
      <w:pPr>
        <w:widowControl/>
        <w:spacing w:line="360" w:lineRule="auto"/>
        <w:jc w:val="both"/>
        <w:rPr>
          <w:rFonts w:ascii="Times New Roman" w:hAnsi="Times New Roman"/>
          <w:color w:val="000000" w:themeColor="text1"/>
          <w:sz w:val="24"/>
          <w:szCs w:val="24"/>
        </w:rPr>
      </w:pPr>
    </w:p>
    <w:p w:rsidR="00385B00" w:rsidRPr="00C565E2" w:rsidRDefault="00385B00" w:rsidP="00385B00">
      <w:pPr>
        <w:widowControl/>
        <w:spacing w:line="360" w:lineRule="auto"/>
        <w:ind w:firstLine="510"/>
        <w:jc w:val="both"/>
        <w:rPr>
          <w:rFonts w:ascii="Times New Roman" w:hAnsi="Times New Roman"/>
          <w:color w:val="000000" w:themeColor="text1"/>
          <w:sz w:val="24"/>
          <w:szCs w:val="24"/>
        </w:rPr>
      </w:pPr>
      <w:r w:rsidRPr="00C565E2">
        <w:rPr>
          <w:rFonts w:ascii="Times New Roman" w:hAnsi="Times New Roman"/>
          <w:color w:val="000000" w:themeColor="text1"/>
          <w:sz w:val="24"/>
          <w:szCs w:val="24"/>
        </w:rPr>
        <w:t xml:space="preserve">V priebehu účtovného obdobia roku </w:t>
      </w:r>
      <w:r>
        <w:rPr>
          <w:rFonts w:ascii="Times New Roman" w:hAnsi="Times New Roman"/>
          <w:color w:val="000000" w:themeColor="text1"/>
          <w:sz w:val="24"/>
          <w:szCs w:val="24"/>
        </w:rPr>
        <w:t>2018</w:t>
      </w:r>
      <w:r w:rsidRPr="00C565E2">
        <w:rPr>
          <w:rFonts w:ascii="Times New Roman" w:hAnsi="Times New Roman"/>
          <w:color w:val="000000" w:themeColor="text1"/>
          <w:sz w:val="24"/>
          <w:szCs w:val="24"/>
        </w:rPr>
        <w:t xml:space="preserve"> Sociálna poisťovňa nevykonala zmeny účtovných zásad a  účtovných metód, ktoré by mali vplyv na finančnú hodnotu majetku, záväzkov a výsledku hospodárenia Sociálnej poisťovne.</w:t>
      </w:r>
    </w:p>
    <w:p w:rsidR="00385B00" w:rsidRPr="00C565E2" w:rsidRDefault="00385B00" w:rsidP="00385B00">
      <w:pPr>
        <w:widowControl/>
        <w:spacing w:line="360" w:lineRule="auto"/>
        <w:jc w:val="both"/>
        <w:rPr>
          <w:rFonts w:ascii="Times New Roman" w:hAnsi="Times New Roman"/>
          <w:b/>
          <w:bCs/>
          <w:color w:val="000000" w:themeColor="text1"/>
          <w:sz w:val="24"/>
          <w:szCs w:val="24"/>
        </w:rPr>
      </w:pPr>
    </w:p>
    <w:p w:rsidR="00385B00" w:rsidRPr="00C565E2" w:rsidRDefault="00385B00" w:rsidP="00385B00">
      <w:pPr>
        <w:widowControl/>
        <w:spacing w:line="360" w:lineRule="auto"/>
        <w:ind w:left="567" w:hanging="567"/>
        <w:jc w:val="both"/>
        <w:rPr>
          <w:rFonts w:ascii="Times New Roman" w:hAnsi="Times New Roman"/>
          <w:b/>
          <w:bCs/>
          <w:color w:val="000000" w:themeColor="text1"/>
          <w:sz w:val="24"/>
          <w:szCs w:val="24"/>
        </w:rPr>
      </w:pPr>
      <w:r w:rsidRPr="00C565E2">
        <w:rPr>
          <w:rFonts w:ascii="Times New Roman" w:hAnsi="Times New Roman"/>
          <w:b/>
          <w:bCs/>
          <w:color w:val="000000" w:themeColor="text1"/>
          <w:sz w:val="24"/>
          <w:szCs w:val="24"/>
        </w:rPr>
        <w:t>(3)</w:t>
      </w:r>
      <w:r w:rsidRPr="00C565E2">
        <w:rPr>
          <w:rFonts w:ascii="Times New Roman" w:hAnsi="Times New Roman"/>
          <w:b/>
          <w:bCs/>
          <w:color w:val="000000" w:themeColor="text1"/>
          <w:sz w:val="24"/>
          <w:szCs w:val="24"/>
        </w:rPr>
        <w:tab/>
        <w:t>Spôsob oceňovania jednotlivých zložiek majetku a záväzkov</w:t>
      </w:r>
    </w:p>
    <w:p w:rsidR="00385B00" w:rsidRPr="00C565E2" w:rsidRDefault="00385B00" w:rsidP="00385B00">
      <w:pPr>
        <w:widowControl/>
        <w:spacing w:line="360" w:lineRule="auto"/>
        <w:jc w:val="both"/>
        <w:rPr>
          <w:rFonts w:ascii="Times New Roman" w:hAnsi="Times New Roman"/>
          <w:b/>
          <w:bCs/>
          <w:color w:val="000000" w:themeColor="text1"/>
          <w:sz w:val="24"/>
          <w:szCs w:val="24"/>
        </w:rPr>
      </w:pPr>
    </w:p>
    <w:p w:rsidR="00385B00" w:rsidRPr="00C565E2" w:rsidRDefault="00385B00" w:rsidP="00385B00">
      <w:pPr>
        <w:widowControl/>
        <w:spacing w:line="360" w:lineRule="auto"/>
        <w:jc w:val="both"/>
        <w:rPr>
          <w:rFonts w:ascii="Times New Roman" w:hAnsi="Times New Roman"/>
          <w:color w:val="000000" w:themeColor="text1"/>
          <w:sz w:val="24"/>
          <w:szCs w:val="24"/>
        </w:rPr>
      </w:pPr>
      <w:r w:rsidRPr="00C565E2">
        <w:rPr>
          <w:rFonts w:ascii="Times New Roman" w:hAnsi="Times New Roman"/>
          <w:color w:val="000000" w:themeColor="text1"/>
          <w:sz w:val="24"/>
          <w:szCs w:val="24"/>
        </w:rPr>
        <w:tab/>
        <w:t>Jednotlivé zložky majetku a záväzkov v podmienkach Sociálnej poisťovne sa oceňujú takto:</w:t>
      </w:r>
    </w:p>
    <w:p w:rsidR="00385B00" w:rsidRPr="00C565E2" w:rsidRDefault="00385B00" w:rsidP="00385B00">
      <w:pPr>
        <w:widowControl/>
        <w:tabs>
          <w:tab w:val="left" w:pos="567"/>
        </w:tabs>
        <w:spacing w:line="360" w:lineRule="auto"/>
        <w:ind w:left="567" w:hanging="567"/>
        <w:jc w:val="both"/>
        <w:rPr>
          <w:rFonts w:ascii="Times New Roman" w:hAnsi="Times New Roman"/>
          <w:color w:val="000000" w:themeColor="text1"/>
          <w:sz w:val="24"/>
          <w:szCs w:val="24"/>
        </w:rPr>
      </w:pPr>
      <w:r w:rsidRPr="00C565E2">
        <w:rPr>
          <w:rFonts w:ascii="Times New Roman" w:hAnsi="Times New Roman"/>
          <w:color w:val="000000" w:themeColor="text1"/>
          <w:sz w:val="24"/>
          <w:szCs w:val="24"/>
        </w:rPr>
        <w:t>a)</w:t>
      </w:r>
      <w:r w:rsidRPr="00C565E2">
        <w:rPr>
          <w:rFonts w:ascii="Times New Roman" w:hAnsi="Times New Roman"/>
          <w:color w:val="000000" w:themeColor="text1"/>
          <w:sz w:val="24"/>
          <w:szCs w:val="24"/>
        </w:rPr>
        <w:tab/>
        <w:t>dlhodobý nehmotný majetok obstaraný kúpou sa oceňuje obstarávacou cenou,</w:t>
      </w:r>
    </w:p>
    <w:p w:rsidR="00385B00" w:rsidRPr="00C565E2" w:rsidRDefault="00385B00" w:rsidP="00385B00">
      <w:pPr>
        <w:widowControl/>
        <w:tabs>
          <w:tab w:val="left" w:pos="567"/>
        </w:tabs>
        <w:spacing w:line="360" w:lineRule="auto"/>
        <w:ind w:left="567" w:hanging="567"/>
        <w:jc w:val="both"/>
        <w:rPr>
          <w:rFonts w:ascii="Times New Roman" w:hAnsi="Times New Roman"/>
          <w:color w:val="000000" w:themeColor="text1"/>
          <w:sz w:val="24"/>
          <w:szCs w:val="24"/>
        </w:rPr>
      </w:pPr>
      <w:r w:rsidRPr="00C565E2">
        <w:rPr>
          <w:rFonts w:ascii="Times New Roman" w:hAnsi="Times New Roman"/>
          <w:color w:val="000000" w:themeColor="text1"/>
          <w:sz w:val="24"/>
          <w:szCs w:val="24"/>
        </w:rPr>
        <w:t>b)</w:t>
      </w:r>
      <w:r w:rsidRPr="00C565E2">
        <w:rPr>
          <w:rFonts w:ascii="Times New Roman" w:hAnsi="Times New Roman"/>
          <w:color w:val="000000" w:themeColor="text1"/>
          <w:sz w:val="24"/>
          <w:szCs w:val="24"/>
        </w:rPr>
        <w:tab/>
        <w:t>dlhodobý nehmotný majetok obstaraný iným spôsobom sa oceňuje reálnou hodnotou,</w:t>
      </w:r>
    </w:p>
    <w:p w:rsidR="00385B00" w:rsidRPr="00C565E2" w:rsidRDefault="00385B00" w:rsidP="00385B00">
      <w:pPr>
        <w:widowControl/>
        <w:tabs>
          <w:tab w:val="left" w:pos="567"/>
        </w:tabs>
        <w:spacing w:line="360" w:lineRule="auto"/>
        <w:ind w:left="567" w:hanging="567"/>
        <w:jc w:val="both"/>
        <w:rPr>
          <w:rFonts w:ascii="Times New Roman" w:hAnsi="Times New Roman"/>
          <w:color w:val="000000" w:themeColor="text1"/>
          <w:sz w:val="24"/>
          <w:szCs w:val="24"/>
        </w:rPr>
      </w:pPr>
      <w:r w:rsidRPr="00C565E2">
        <w:rPr>
          <w:rFonts w:ascii="Times New Roman" w:hAnsi="Times New Roman"/>
          <w:color w:val="000000" w:themeColor="text1"/>
          <w:sz w:val="24"/>
          <w:szCs w:val="24"/>
        </w:rPr>
        <w:t>c)</w:t>
      </w:r>
      <w:r w:rsidRPr="00C565E2">
        <w:rPr>
          <w:rFonts w:ascii="Times New Roman" w:hAnsi="Times New Roman"/>
          <w:color w:val="000000" w:themeColor="text1"/>
          <w:sz w:val="24"/>
          <w:szCs w:val="24"/>
        </w:rPr>
        <w:tab/>
        <w:t>dlhodobý hmotný majetok obstaraný kúpou sa oceňuje obstarávacou cenou,</w:t>
      </w:r>
    </w:p>
    <w:p w:rsidR="00385B00" w:rsidRPr="00C565E2" w:rsidRDefault="00385B00" w:rsidP="00385B00">
      <w:pPr>
        <w:widowControl/>
        <w:tabs>
          <w:tab w:val="left" w:pos="567"/>
        </w:tabs>
        <w:spacing w:line="360" w:lineRule="auto"/>
        <w:ind w:left="567" w:hanging="567"/>
        <w:jc w:val="both"/>
        <w:rPr>
          <w:rFonts w:ascii="Times New Roman" w:hAnsi="Times New Roman"/>
          <w:color w:val="000000" w:themeColor="text1"/>
          <w:sz w:val="24"/>
          <w:szCs w:val="24"/>
          <w:u w:val="single"/>
        </w:rPr>
      </w:pPr>
      <w:r w:rsidRPr="00C565E2">
        <w:rPr>
          <w:rFonts w:ascii="Times New Roman" w:hAnsi="Times New Roman"/>
          <w:color w:val="000000" w:themeColor="text1"/>
          <w:sz w:val="24"/>
          <w:szCs w:val="24"/>
        </w:rPr>
        <w:t>d)</w:t>
      </w:r>
      <w:r w:rsidRPr="00C565E2">
        <w:rPr>
          <w:rFonts w:ascii="Times New Roman" w:hAnsi="Times New Roman"/>
          <w:color w:val="000000" w:themeColor="text1"/>
          <w:sz w:val="24"/>
          <w:szCs w:val="24"/>
        </w:rPr>
        <w:tab/>
        <w:t>dlhodobý hmotný majetok obstaraný iným spôsobom sa oceňuje reálnou hodnotou,</w:t>
      </w:r>
    </w:p>
    <w:p w:rsidR="00385B00" w:rsidRPr="00C565E2" w:rsidRDefault="00385B00" w:rsidP="00385B00">
      <w:pPr>
        <w:widowControl/>
        <w:tabs>
          <w:tab w:val="left" w:pos="567"/>
        </w:tabs>
        <w:spacing w:line="360" w:lineRule="auto"/>
        <w:ind w:left="567" w:hanging="567"/>
        <w:jc w:val="both"/>
        <w:rPr>
          <w:rFonts w:ascii="Times New Roman" w:hAnsi="Times New Roman"/>
          <w:color w:val="000000" w:themeColor="text1"/>
          <w:sz w:val="24"/>
          <w:szCs w:val="24"/>
        </w:rPr>
      </w:pPr>
      <w:r w:rsidRPr="00C565E2">
        <w:rPr>
          <w:rFonts w:ascii="Times New Roman" w:hAnsi="Times New Roman"/>
          <w:color w:val="000000" w:themeColor="text1"/>
          <w:sz w:val="24"/>
          <w:szCs w:val="24"/>
        </w:rPr>
        <w:t>e)</w:t>
      </w:r>
      <w:r w:rsidRPr="00C565E2">
        <w:rPr>
          <w:rFonts w:ascii="Times New Roman" w:hAnsi="Times New Roman"/>
          <w:color w:val="000000" w:themeColor="text1"/>
          <w:sz w:val="24"/>
          <w:szCs w:val="24"/>
        </w:rPr>
        <w:tab/>
        <w:t>zásoby obstarané kúpou sa oceňujú obstarávacou cenou,</w:t>
      </w:r>
    </w:p>
    <w:p w:rsidR="00385B00" w:rsidRPr="00C565E2" w:rsidRDefault="00385B00" w:rsidP="00385B00">
      <w:pPr>
        <w:widowControl/>
        <w:tabs>
          <w:tab w:val="left" w:pos="567"/>
        </w:tabs>
        <w:spacing w:line="360" w:lineRule="auto"/>
        <w:ind w:left="567" w:hanging="567"/>
        <w:jc w:val="both"/>
        <w:rPr>
          <w:rFonts w:ascii="Times New Roman" w:hAnsi="Times New Roman"/>
          <w:color w:val="000000" w:themeColor="text1"/>
          <w:sz w:val="24"/>
          <w:szCs w:val="24"/>
        </w:rPr>
      </w:pPr>
      <w:r w:rsidRPr="00C565E2">
        <w:rPr>
          <w:rFonts w:ascii="Times New Roman" w:hAnsi="Times New Roman"/>
          <w:color w:val="000000" w:themeColor="text1"/>
          <w:sz w:val="24"/>
          <w:szCs w:val="24"/>
        </w:rPr>
        <w:t>f)</w:t>
      </w:r>
      <w:r w:rsidRPr="00C565E2">
        <w:rPr>
          <w:rFonts w:ascii="Times New Roman" w:hAnsi="Times New Roman"/>
          <w:color w:val="000000" w:themeColor="text1"/>
          <w:sz w:val="24"/>
          <w:szCs w:val="24"/>
        </w:rPr>
        <w:tab/>
        <w:t>zásoby obstarané iným spôsobom sa oceňujú reálnou hodnotou,</w:t>
      </w:r>
    </w:p>
    <w:p w:rsidR="00385B00" w:rsidRPr="00C565E2" w:rsidRDefault="00385B00" w:rsidP="00385B00">
      <w:pPr>
        <w:widowControl/>
        <w:tabs>
          <w:tab w:val="left" w:pos="567"/>
        </w:tabs>
        <w:spacing w:line="360" w:lineRule="auto"/>
        <w:ind w:left="567" w:hanging="567"/>
        <w:jc w:val="both"/>
        <w:rPr>
          <w:rFonts w:ascii="Times New Roman" w:hAnsi="Times New Roman"/>
          <w:color w:val="000000" w:themeColor="text1"/>
          <w:sz w:val="24"/>
          <w:szCs w:val="24"/>
        </w:rPr>
      </w:pPr>
      <w:r w:rsidRPr="00C565E2">
        <w:rPr>
          <w:rFonts w:ascii="Times New Roman" w:hAnsi="Times New Roman"/>
          <w:color w:val="000000" w:themeColor="text1"/>
          <w:sz w:val="24"/>
          <w:szCs w:val="24"/>
        </w:rPr>
        <w:t>g)</w:t>
      </w:r>
      <w:r w:rsidRPr="00C565E2">
        <w:rPr>
          <w:rFonts w:ascii="Times New Roman" w:hAnsi="Times New Roman"/>
          <w:color w:val="000000" w:themeColor="text1"/>
          <w:sz w:val="24"/>
          <w:szCs w:val="24"/>
        </w:rPr>
        <w:tab/>
        <w:t>pohľadávky sa oceňujú ich menovitou hodnotou pri ich vzniku,</w:t>
      </w:r>
    </w:p>
    <w:p w:rsidR="00385B00" w:rsidRPr="00C565E2" w:rsidRDefault="00385B00" w:rsidP="00385B00">
      <w:pPr>
        <w:widowControl/>
        <w:tabs>
          <w:tab w:val="left" w:pos="567"/>
        </w:tabs>
        <w:spacing w:line="360" w:lineRule="auto"/>
        <w:ind w:left="567" w:hanging="567"/>
        <w:jc w:val="both"/>
        <w:rPr>
          <w:rFonts w:ascii="Times New Roman" w:hAnsi="Times New Roman"/>
          <w:color w:val="000000" w:themeColor="text1"/>
          <w:sz w:val="24"/>
          <w:szCs w:val="24"/>
        </w:rPr>
      </w:pPr>
      <w:r w:rsidRPr="00C565E2">
        <w:rPr>
          <w:rFonts w:ascii="Times New Roman" w:hAnsi="Times New Roman"/>
          <w:color w:val="000000" w:themeColor="text1"/>
          <w:sz w:val="24"/>
          <w:szCs w:val="24"/>
        </w:rPr>
        <w:t>h)</w:t>
      </w:r>
      <w:r w:rsidRPr="00C565E2">
        <w:rPr>
          <w:rFonts w:ascii="Times New Roman" w:hAnsi="Times New Roman"/>
          <w:color w:val="000000" w:themeColor="text1"/>
          <w:sz w:val="24"/>
          <w:szCs w:val="24"/>
        </w:rPr>
        <w:tab/>
        <w:t>krátkodobý finančný majetok sa oceňuje menovitou hodnotou,</w:t>
      </w:r>
    </w:p>
    <w:p w:rsidR="00385B00" w:rsidRPr="00C565E2" w:rsidRDefault="00385B00" w:rsidP="00385B00">
      <w:pPr>
        <w:widowControl/>
        <w:tabs>
          <w:tab w:val="left" w:pos="567"/>
        </w:tabs>
        <w:spacing w:line="360" w:lineRule="auto"/>
        <w:ind w:left="567" w:hanging="567"/>
        <w:jc w:val="both"/>
        <w:rPr>
          <w:rFonts w:ascii="Times New Roman" w:hAnsi="Times New Roman"/>
          <w:color w:val="000000" w:themeColor="text1"/>
          <w:sz w:val="24"/>
          <w:szCs w:val="24"/>
        </w:rPr>
      </w:pPr>
      <w:r w:rsidRPr="00C565E2">
        <w:rPr>
          <w:rFonts w:ascii="Times New Roman" w:hAnsi="Times New Roman"/>
          <w:color w:val="000000" w:themeColor="text1"/>
          <w:sz w:val="24"/>
          <w:szCs w:val="24"/>
        </w:rPr>
        <w:t>i)</w:t>
      </w:r>
      <w:r w:rsidRPr="00C565E2">
        <w:rPr>
          <w:rFonts w:ascii="Times New Roman" w:hAnsi="Times New Roman"/>
          <w:color w:val="000000" w:themeColor="text1"/>
          <w:sz w:val="24"/>
          <w:szCs w:val="24"/>
        </w:rPr>
        <w:tab/>
        <w:t>časové rozlíšenie na strane aktív sa oceňuje menovitou hodnotou,</w:t>
      </w:r>
    </w:p>
    <w:p w:rsidR="00385B00" w:rsidRPr="00C565E2" w:rsidRDefault="00385B00" w:rsidP="00385B00">
      <w:pPr>
        <w:widowControl/>
        <w:tabs>
          <w:tab w:val="left" w:pos="567"/>
        </w:tabs>
        <w:spacing w:line="360" w:lineRule="auto"/>
        <w:ind w:left="567" w:hanging="567"/>
        <w:jc w:val="both"/>
        <w:rPr>
          <w:rFonts w:ascii="Times New Roman" w:hAnsi="Times New Roman"/>
          <w:color w:val="000000" w:themeColor="text1"/>
          <w:sz w:val="24"/>
          <w:szCs w:val="24"/>
        </w:rPr>
      </w:pPr>
      <w:r w:rsidRPr="00C565E2">
        <w:rPr>
          <w:rFonts w:ascii="Times New Roman" w:hAnsi="Times New Roman"/>
          <w:color w:val="000000" w:themeColor="text1"/>
          <w:sz w:val="24"/>
          <w:szCs w:val="24"/>
        </w:rPr>
        <w:t>j)</w:t>
      </w:r>
      <w:r w:rsidRPr="00C565E2">
        <w:rPr>
          <w:rFonts w:ascii="Times New Roman" w:hAnsi="Times New Roman"/>
          <w:color w:val="000000" w:themeColor="text1"/>
          <w:sz w:val="24"/>
          <w:szCs w:val="24"/>
        </w:rPr>
        <w:tab/>
        <w:t>záväzky, vrátane rezerv, dlhopisov, pôžičiek a úverov sa oceňujú ich menovitou hodnotou pri ich vzniku,</w:t>
      </w:r>
    </w:p>
    <w:p w:rsidR="00385B00" w:rsidRPr="00C565E2" w:rsidRDefault="00385B00" w:rsidP="00385B00">
      <w:pPr>
        <w:widowControl/>
        <w:tabs>
          <w:tab w:val="left" w:pos="567"/>
        </w:tabs>
        <w:spacing w:line="360" w:lineRule="auto"/>
        <w:ind w:left="567" w:hanging="567"/>
        <w:jc w:val="both"/>
        <w:rPr>
          <w:rFonts w:ascii="Times New Roman" w:hAnsi="Times New Roman"/>
          <w:color w:val="000000" w:themeColor="text1"/>
          <w:sz w:val="24"/>
          <w:szCs w:val="24"/>
        </w:rPr>
      </w:pPr>
      <w:r w:rsidRPr="00C565E2">
        <w:rPr>
          <w:rFonts w:ascii="Times New Roman" w:hAnsi="Times New Roman"/>
          <w:color w:val="000000" w:themeColor="text1"/>
          <w:sz w:val="24"/>
          <w:szCs w:val="24"/>
        </w:rPr>
        <w:t>k)</w:t>
      </w:r>
      <w:r w:rsidRPr="00C565E2">
        <w:rPr>
          <w:rFonts w:ascii="Times New Roman" w:hAnsi="Times New Roman"/>
          <w:color w:val="000000" w:themeColor="text1"/>
          <w:sz w:val="24"/>
          <w:szCs w:val="24"/>
        </w:rPr>
        <w:tab/>
        <w:t>časové rozlíšenie na strane pasív sa oceňuje menovitou hodnotou.</w:t>
      </w:r>
    </w:p>
    <w:p w:rsidR="00385B00" w:rsidRPr="00AB2F85" w:rsidRDefault="00385B00" w:rsidP="00385B00">
      <w:pPr>
        <w:widowControl/>
        <w:spacing w:line="360" w:lineRule="auto"/>
        <w:jc w:val="both"/>
        <w:rPr>
          <w:rFonts w:ascii="Times New Roman" w:hAnsi="Times New Roman"/>
          <w:b/>
          <w:bCs/>
          <w:color w:val="000000" w:themeColor="text1"/>
          <w:sz w:val="24"/>
          <w:szCs w:val="24"/>
        </w:rPr>
      </w:pPr>
    </w:p>
    <w:p w:rsidR="00385B00" w:rsidRPr="00C565E2" w:rsidRDefault="00385B00" w:rsidP="00385B00">
      <w:pPr>
        <w:widowControl/>
        <w:spacing w:line="360" w:lineRule="auto"/>
        <w:jc w:val="both"/>
        <w:rPr>
          <w:rFonts w:ascii="Times New Roman" w:hAnsi="Times New Roman"/>
          <w:b/>
          <w:bCs/>
          <w:color w:val="000000" w:themeColor="text1"/>
          <w:sz w:val="24"/>
          <w:szCs w:val="24"/>
        </w:rPr>
      </w:pPr>
      <w:r w:rsidRPr="00C565E2">
        <w:rPr>
          <w:rFonts w:ascii="Times New Roman" w:hAnsi="Times New Roman"/>
          <w:b/>
          <w:bCs/>
          <w:color w:val="000000" w:themeColor="text1"/>
          <w:sz w:val="24"/>
          <w:szCs w:val="24"/>
        </w:rPr>
        <w:t>(4)</w:t>
      </w:r>
      <w:r w:rsidRPr="00C565E2">
        <w:rPr>
          <w:rFonts w:ascii="Times New Roman" w:hAnsi="Times New Roman"/>
          <w:b/>
          <w:bCs/>
          <w:color w:val="000000" w:themeColor="text1"/>
          <w:sz w:val="24"/>
          <w:szCs w:val="24"/>
        </w:rPr>
        <w:tab/>
        <w:t xml:space="preserve">Spôsob prepočtu údajov v cudzej mene na menu </w:t>
      </w:r>
      <w:r>
        <w:rPr>
          <w:rFonts w:ascii="Times New Roman" w:hAnsi="Times New Roman"/>
          <w:b/>
          <w:bCs/>
          <w:color w:val="000000" w:themeColor="text1"/>
          <w:sz w:val="24"/>
          <w:szCs w:val="24"/>
        </w:rPr>
        <w:t>EUR</w:t>
      </w:r>
      <w:r w:rsidRPr="00C565E2">
        <w:rPr>
          <w:rFonts w:ascii="Times New Roman" w:hAnsi="Times New Roman"/>
          <w:b/>
          <w:bCs/>
          <w:color w:val="000000" w:themeColor="text1"/>
          <w:sz w:val="24"/>
          <w:szCs w:val="24"/>
        </w:rPr>
        <w:t xml:space="preserve"> </w:t>
      </w:r>
    </w:p>
    <w:p w:rsidR="00385B00" w:rsidRPr="00C565E2" w:rsidRDefault="00385B00" w:rsidP="00385B00">
      <w:pPr>
        <w:widowControl/>
        <w:spacing w:line="360" w:lineRule="auto"/>
        <w:jc w:val="both"/>
        <w:rPr>
          <w:rFonts w:ascii="Times New Roman" w:hAnsi="Times New Roman"/>
          <w:b/>
          <w:bCs/>
          <w:color w:val="000000" w:themeColor="text1"/>
          <w:sz w:val="24"/>
          <w:szCs w:val="24"/>
        </w:rPr>
      </w:pPr>
    </w:p>
    <w:p w:rsidR="00385B00" w:rsidRPr="00C565E2" w:rsidRDefault="00385B00" w:rsidP="00385B00">
      <w:pPr>
        <w:widowControl/>
        <w:spacing w:line="360" w:lineRule="auto"/>
        <w:jc w:val="both"/>
        <w:rPr>
          <w:rFonts w:ascii="Times New Roman" w:hAnsi="Times New Roman"/>
          <w:color w:val="000000" w:themeColor="text1"/>
          <w:sz w:val="24"/>
          <w:szCs w:val="24"/>
        </w:rPr>
      </w:pPr>
      <w:r w:rsidRPr="00C565E2">
        <w:rPr>
          <w:rFonts w:ascii="Times New Roman" w:hAnsi="Times New Roman"/>
          <w:color w:val="000000" w:themeColor="text1"/>
          <w:sz w:val="24"/>
          <w:szCs w:val="24"/>
        </w:rPr>
        <w:tab/>
        <w:t xml:space="preserve">Majetok a záväzky vyjadrené v cudzej mene Sociálna poisťovňa v roku </w:t>
      </w:r>
      <w:r>
        <w:rPr>
          <w:rFonts w:ascii="Times New Roman" w:hAnsi="Times New Roman"/>
          <w:color w:val="000000" w:themeColor="text1"/>
          <w:sz w:val="24"/>
          <w:szCs w:val="24"/>
        </w:rPr>
        <w:t>2018</w:t>
      </w:r>
      <w:r w:rsidRPr="00C565E2">
        <w:rPr>
          <w:rFonts w:ascii="Times New Roman" w:hAnsi="Times New Roman"/>
          <w:color w:val="000000" w:themeColor="text1"/>
          <w:sz w:val="24"/>
          <w:szCs w:val="24"/>
        </w:rPr>
        <w:t xml:space="preserve"> prepočítala na </w:t>
      </w:r>
      <w:r>
        <w:rPr>
          <w:rFonts w:ascii="Times New Roman" w:hAnsi="Times New Roman"/>
          <w:color w:val="000000" w:themeColor="text1"/>
          <w:sz w:val="24"/>
          <w:szCs w:val="24"/>
        </w:rPr>
        <w:t>EUR</w:t>
      </w:r>
      <w:r w:rsidRPr="00C565E2">
        <w:rPr>
          <w:rFonts w:ascii="Times New Roman" w:hAnsi="Times New Roman"/>
          <w:color w:val="000000" w:themeColor="text1"/>
          <w:sz w:val="24"/>
          <w:szCs w:val="24"/>
        </w:rPr>
        <w:t xml:space="preserve"> referenčným výmenným kurzom určeným a vyhláseným </w:t>
      </w:r>
      <w:r>
        <w:rPr>
          <w:rFonts w:ascii="Times New Roman" w:hAnsi="Times New Roman"/>
          <w:color w:val="000000" w:themeColor="text1"/>
          <w:sz w:val="24"/>
          <w:szCs w:val="24"/>
        </w:rPr>
        <w:t>Eur</w:t>
      </w:r>
      <w:r w:rsidRPr="00C565E2">
        <w:rPr>
          <w:rFonts w:ascii="Times New Roman" w:hAnsi="Times New Roman"/>
          <w:color w:val="000000" w:themeColor="text1"/>
          <w:sz w:val="24"/>
          <w:szCs w:val="24"/>
        </w:rPr>
        <w:t>ópskou centrálnou bankou ku</w:t>
      </w:r>
      <w:r>
        <w:rPr>
          <w:rFonts w:ascii="Times New Roman" w:hAnsi="Times New Roman"/>
          <w:color w:val="000000" w:themeColor="text1"/>
          <w:sz w:val="24"/>
          <w:szCs w:val="24"/>
        </w:rPr>
        <w:t> </w:t>
      </w:r>
      <w:r w:rsidRPr="00C565E2">
        <w:rPr>
          <w:rFonts w:ascii="Times New Roman" w:hAnsi="Times New Roman"/>
          <w:color w:val="000000" w:themeColor="text1"/>
          <w:sz w:val="24"/>
          <w:szCs w:val="24"/>
        </w:rPr>
        <w:t xml:space="preserve">dňu zostavenia účtovnej závierky. </w:t>
      </w:r>
    </w:p>
    <w:p w:rsidR="00385B00" w:rsidRDefault="00385B00" w:rsidP="00385B00">
      <w:pPr>
        <w:widowControl/>
        <w:spacing w:line="360" w:lineRule="auto"/>
        <w:jc w:val="both"/>
        <w:rPr>
          <w:rFonts w:ascii="Times New Roman" w:hAnsi="Times New Roman"/>
          <w:b/>
          <w:bCs/>
          <w:color w:val="000000" w:themeColor="text1"/>
          <w:sz w:val="24"/>
          <w:szCs w:val="24"/>
        </w:rPr>
      </w:pPr>
    </w:p>
    <w:p w:rsidR="00385B00" w:rsidRDefault="00385B00" w:rsidP="00385B00">
      <w:pPr>
        <w:widowControl/>
        <w:spacing w:line="360" w:lineRule="auto"/>
        <w:jc w:val="both"/>
        <w:rPr>
          <w:rFonts w:ascii="Times New Roman" w:hAnsi="Times New Roman"/>
          <w:b/>
          <w:bCs/>
          <w:color w:val="000000" w:themeColor="text1"/>
          <w:sz w:val="24"/>
          <w:szCs w:val="24"/>
        </w:rPr>
      </w:pPr>
    </w:p>
    <w:p w:rsidR="00385B00" w:rsidRDefault="00385B00" w:rsidP="00385B00">
      <w:pPr>
        <w:widowControl/>
        <w:spacing w:line="360" w:lineRule="auto"/>
        <w:jc w:val="both"/>
        <w:rPr>
          <w:rFonts w:ascii="Times New Roman" w:hAnsi="Times New Roman"/>
          <w:b/>
          <w:bCs/>
          <w:color w:val="000000" w:themeColor="text1"/>
          <w:sz w:val="24"/>
          <w:szCs w:val="24"/>
        </w:rPr>
      </w:pPr>
    </w:p>
    <w:p w:rsidR="00385B00" w:rsidRPr="00AB2F85" w:rsidRDefault="00385B00" w:rsidP="00385B00">
      <w:pPr>
        <w:widowControl/>
        <w:spacing w:line="360" w:lineRule="auto"/>
        <w:jc w:val="both"/>
        <w:rPr>
          <w:rFonts w:ascii="Times New Roman" w:hAnsi="Times New Roman"/>
          <w:b/>
          <w:bCs/>
          <w:color w:val="000000" w:themeColor="text1"/>
          <w:sz w:val="24"/>
          <w:szCs w:val="24"/>
        </w:rPr>
      </w:pPr>
    </w:p>
    <w:p w:rsidR="00385B00" w:rsidRPr="00C565E2" w:rsidRDefault="00385B00" w:rsidP="00385B00">
      <w:pPr>
        <w:widowControl/>
        <w:spacing w:line="360" w:lineRule="auto"/>
        <w:jc w:val="both"/>
        <w:rPr>
          <w:rFonts w:ascii="Times New Roman" w:hAnsi="Times New Roman"/>
          <w:b/>
          <w:bCs/>
          <w:color w:val="000000" w:themeColor="text1"/>
          <w:sz w:val="24"/>
          <w:szCs w:val="24"/>
        </w:rPr>
      </w:pPr>
      <w:r w:rsidRPr="00C565E2">
        <w:rPr>
          <w:rFonts w:ascii="Times New Roman" w:hAnsi="Times New Roman"/>
          <w:b/>
          <w:bCs/>
          <w:color w:val="000000" w:themeColor="text1"/>
          <w:sz w:val="24"/>
          <w:szCs w:val="24"/>
        </w:rPr>
        <w:t>(5)</w:t>
      </w:r>
      <w:r w:rsidRPr="00C565E2">
        <w:rPr>
          <w:rFonts w:ascii="Times New Roman" w:hAnsi="Times New Roman"/>
          <w:b/>
          <w:bCs/>
          <w:color w:val="000000" w:themeColor="text1"/>
          <w:sz w:val="24"/>
          <w:szCs w:val="24"/>
        </w:rPr>
        <w:tab/>
        <w:t>Zásady pre zohľadnenie zníženia hodnoty majetku</w:t>
      </w:r>
    </w:p>
    <w:p w:rsidR="00385B00" w:rsidRPr="00AB2F85" w:rsidRDefault="00385B00" w:rsidP="00385B00">
      <w:pPr>
        <w:widowControl/>
        <w:spacing w:line="360" w:lineRule="auto"/>
        <w:jc w:val="both"/>
        <w:rPr>
          <w:rFonts w:ascii="Times New Roman" w:hAnsi="Times New Roman"/>
          <w:color w:val="000000" w:themeColor="text1"/>
          <w:sz w:val="24"/>
          <w:szCs w:val="24"/>
        </w:rPr>
      </w:pPr>
    </w:p>
    <w:p w:rsidR="00385B00" w:rsidRDefault="00385B00" w:rsidP="00385B00">
      <w:pPr>
        <w:widowControl/>
        <w:spacing w:line="360" w:lineRule="auto"/>
        <w:jc w:val="both"/>
        <w:rPr>
          <w:rFonts w:ascii="Times New Roman" w:hAnsi="Times New Roman"/>
          <w:color w:val="000000" w:themeColor="text1"/>
          <w:sz w:val="24"/>
          <w:szCs w:val="24"/>
        </w:rPr>
      </w:pPr>
      <w:r w:rsidRPr="00C565E2">
        <w:rPr>
          <w:rFonts w:ascii="Times New Roman" w:hAnsi="Times New Roman"/>
          <w:color w:val="000000" w:themeColor="text1"/>
          <w:sz w:val="24"/>
          <w:szCs w:val="24"/>
        </w:rPr>
        <w:tab/>
        <w:t>Pri zostavovaní účtovnej závierky Sociálna poisťovňa nevytvárala opravné položky k majetku, s výnimkou pohľadávok.</w:t>
      </w:r>
    </w:p>
    <w:p w:rsidR="00385B00" w:rsidRDefault="00385B00" w:rsidP="00385B00">
      <w:pPr>
        <w:widowControl/>
        <w:spacing w:line="360" w:lineRule="auto"/>
        <w:jc w:val="both"/>
        <w:rPr>
          <w:rFonts w:ascii="Times New Roman" w:hAnsi="Times New Roman"/>
          <w:color w:val="000000" w:themeColor="text1"/>
          <w:sz w:val="24"/>
          <w:szCs w:val="24"/>
        </w:rPr>
      </w:pPr>
    </w:p>
    <w:p w:rsidR="00385B00" w:rsidRPr="00E914B5" w:rsidRDefault="00385B00" w:rsidP="00385B00">
      <w:pPr>
        <w:widowControl/>
        <w:spacing w:line="360" w:lineRule="auto"/>
        <w:jc w:val="both"/>
        <w:rPr>
          <w:rFonts w:ascii="Times New Roman" w:hAnsi="Times New Roman"/>
          <w:color w:val="000000" w:themeColor="text1"/>
          <w:sz w:val="24"/>
          <w:szCs w:val="24"/>
        </w:rPr>
      </w:pPr>
      <w:r w:rsidRPr="00C565E2">
        <w:rPr>
          <w:rFonts w:ascii="Times New Roman" w:hAnsi="Times New Roman"/>
          <w:b/>
          <w:bCs/>
          <w:color w:val="000000" w:themeColor="text1"/>
          <w:sz w:val="24"/>
          <w:szCs w:val="24"/>
        </w:rPr>
        <w:t>(6)</w:t>
      </w:r>
      <w:r w:rsidRPr="00C565E2">
        <w:rPr>
          <w:rFonts w:ascii="Times New Roman" w:hAnsi="Times New Roman"/>
          <w:b/>
          <w:bCs/>
          <w:color w:val="000000" w:themeColor="text1"/>
          <w:sz w:val="24"/>
          <w:szCs w:val="24"/>
        </w:rPr>
        <w:tab/>
        <w:t>Spôsob zostavenia odpisového plánu pre jednotlivé druhy dlhodobého hmotného majetku a dlhodobého nehmotného majetku</w:t>
      </w:r>
    </w:p>
    <w:p w:rsidR="00385B00" w:rsidRPr="00AB2F85" w:rsidRDefault="00385B00" w:rsidP="00385B00">
      <w:pPr>
        <w:widowControl/>
        <w:spacing w:line="360" w:lineRule="auto"/>
        <w:jc w:val="both"/>
        <w:rPr>
          <w:rFonts w:ascii="Times New Roman" w:hAnsi="Times New Roman"/>
          <w:color w:val="000000" w:themeColor="text1"/>
          <w:sz w:val="24"/>
          <w:szCs w:val="24"/>
        </w:rPr>
      </w:pPr>
    </w:p>
    <w:p w:rsidR="00385B00" w:rsidRPr="00C565E2" w:rsidRDefault="00385B00" w:rsidP="00385B00">
      <w:pPr>
        <w:widowControl/>
        <w:spacing w:line="360" w:lineRule="auto"/>
        <w:jc w:val="both"/>
        <w:rPr>
          <w:rFonts w:ascii="Times New Roman" w:hAnsi="Times New Roman"/>
          <w:color w:val="000000" w:themeColor="text1"/>
          <w:sz w:val="24"/>
          <w:szCs w:val="24"/>
        </w:rPr>
      </w:pPr>
      <w:r w:rsidRPr="00C565E2">
        <w:rPr>
          <w:rFonts w:ascii="Times New Roman" w:hAnsi="Times New Roman"/>
          <w:color w:val="000000" w:themeColor="text1"/>
          <w:sz w:val="24"/>
          <w:szCs w:val="24"/>
        </w:rPr>
        <w:tab/>
        <w:t>Podľa Metodického usmernenia Sociálnej poisťovne č. 6/</w:t>
      </w:r>
      <w:r>
        <w:rPr>
          <w:rFonts w:ascii="Times New Roman" w:hAnsi="Times New Roman"/>
          <w:color w:val="000000" w:themeColor="text1"/>
          <w:sz w:val="24"/>
          <w:szCs w:val="24"/>
        </w:rPr>
        <w:t>2017</w:t>
      </w:r>
      <w:r w:rsidRPr="00C565E2">
        <w:rPr>
          <w:rFonts w:ascii="Times New Roman" w:hAnsi="Times New Roman"/>
          <w:color w:val="000000" w:themeColor="text1"/>
          <w:sz w:val="24"/>
          <w:szCs w:val="24"/>
        </w:rPr>
        <w:t xml:space="preserve"> „Správa majetku Sociálnej poisťovne“ v znení dodatkov je spôsob zostavenia odpisového plánu pre dlhodobý majetok nasledovný:</w:t>
      </w:r>
    </w:p>
    <w:p w:rsidR="00385B00" w:rsidRPr="00C565E2" w:rsidRDefault="00385B00" w:rsidP="00385B00">
      <w:pPr>
        <w:widowControl/>
        <w:spacing w:line="360" w:lineRule="auto"/>
        <w:jc w:val="both"/>
        <w:rPr>
          <w:rFonts w:ascii="Times New Roman" w:hAnsi="Times New Roman"/>
          <w:color w:val="000000" w:themeColor="text1"/>
          <w:sz w:val="24"/>
          <w:szCs w:val="24"/>
        </w:rPr>
      </w:pPr>
    </w:p>
    <w:p w:rsidR="00385B00" w:rsidRPr="00C565E2" w:rsidRDefault="00385B00" w:rsidP="00385B00">
      <w:pPr>
        <w:widowControl/>
        <w:spacing w:line="360" w:lineRule="auto"/>
        <w:jc w:val="both"/>
        <w:rPr>
          <w:rFonts w:ascii="Times New Roman" w:hAnsi="Times New Roman"/>
          <w:color w:val="000000" w:themeColor="text1"/>
          <w:sz w:val="24"/>
          <w:szCs w:val="24"/>
        </w:rPr>
      </w:pPr>
      <w:r w:rsidRPr="00C565E2">
        <w:rPr>
          <w:rFonts w:ascii="Times New Roman" w:hAnsi="Times New Roman"/>
          <w:color w:val="000000" w:themeColor="text1"/>
          <w:sz w:val="24"/>
          <w:szCs w:val="24"/>
        </w:rPr>
        <w:tab/>
        <w:t xml:space="preserve">Dlhodobý hmotný (DLHM) a nehmotný majetok (DLNM) sa rovnomerne odpisuje najviac do výšky obstarávacej ceny (vstupnej ceny), prípadne zvýšenej o vykonané technické zhodnotenie, ocenený podľa spôsobu jeho obstarania. </w:t>
      </w:r>
    </w:p>
    <w:p w:rsidR="00385B00" w:rsidRPr="00C565E2" w:rsidRDefault="00385B00" w:rsidP="00385B00">
      <w:pPr>
        <w:widowControl/>
        <w:spacing w:line="360" w:lineRule="auto"/>
        <w:jc w:val="both"/>
        <w:rPr>
          <w:rFonts w:ascii="Times New Roman" w:hAnsi="Times New Roman"/>
          <w:color w:val="000000" w:themeColor="text1"/>
          <w:sz w:val="24"/>
          <w:szCs w:val="24"/>
        </w:rPr>
      </w:pPr>
      <w:r w:rsidRPr="00C565E2">
        <w:rPr>
          <w:rFonts w:ascii="Times New Roman" w:hAnsi="Times New Roman"/>
          <w:color w:val="000000" w:themeColor="text1"/>
          <w:sz w:val="24"/>
          <w:szCs w:val="24"/>
        </w:rPr>
        <w:t>Doba odpisovania DLHM v jednotlivých skupinách je nasledovná:</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452"/>
        <w:gridCol w:w="2451"/>
        <w:gridCol w:w="2268"/>
      </w:tblGrid>
      <w:tr w:rsidR="00385B00" w:rsidRPr="00C565E2" w:rsidTr="007379ED">
        <w:trPr>
          <w:trHeight w:val="644"/>
          <w:jc w:val="center"/>
        </w:trPr>
        <w:tc>
          <w:tcPr>
            <w:tcW w:w="2452" w:type="dxa"/>
            <w:tcBorders>
              <w:top w:val="single" w:sz="4" w:space="0" w:color="auto"/>
              <w:bottom w:val="single" w:sz="4" w:space="0" w:color="auto"/>
              <w:right w:val="single" w:sz="4" w:space="0" w:color="auto"/>
            </w:tcBorders>
            <w:vAlign w:val="center"/>
          </w:tcPr>
          <w:p w:rsidR="00385B00" w:rsidRPr="00C565E2" w:rsidRDefault="00385B00" w:rsidP="007379ED">
            <w:pPr>
              <w:widowControl/>
              <w:jc w:val="center"/>
              <w:rPr>
                <w:rFonts w:ascii="Times New Roman" w:hAnsi="Times New Roman"/>
                <w:b/>
                <w:bCs/>
                <w:color w:val="000000" w:themeColor="text1"/>
                <w:sz w:val="24"/>
                <w:szCs w:val="24"/>
              </w:rPr>
            </w:pPr>
            <w:r w:rsidRPr="00C565E2">
              <w:rPr>
                <w:rFonts w:ascii="Times New Roman" w:hAnsi="Times New Roman"/>
                <w:b/>
                <w:bCs/>
                <w:color w:val="000000" w:themeColor="text1"/>
                <w:sz w:val="24"/>
                <w:szCs w:val="24"/>
              </w:rPr>
              <w:t>Odpisová skupina</w:t>
            </w:r>
          </w:p>
        </w:tc>
        <w:tc>
          <w:tcPr>
            <w:tcW w:w="2451" w:type="dxa"/>
            <w:tcBorders>
              <w:top w:val="single" w:sz="4" w:space="0" w:color="auto"/>
              <w:left w:val="single" w:sz="4" w:space="0" w:color="auto"/>
              <w:bottom w:val="single" w:sz="4" w:space="0" w:color="auto"/>
              <w:right w:val="single" w:sz="4" w:space="0" w:color="auto"/>
            </w:tcBorders>
            <w:vAlign w:val="center"/>
          </w:tcPr>
          <w:p w:rsidR="00385B00" w:rsidRPr="00C565E2" w:rsidRDefault="00385B00" w:rsidP="007379ED">
            <w:pPr>
              <w:widowControl/>
              <w:jc w:val="center"/>
              <w:rPr>
                <w:rFonts w:ascii="Times New Roman" w:hAnsi="Times New Roman"/>
                <w:b/>
                <w:bCs/>
                <w:color w:val="000000" w:themeColor="text1"/>
                <w:sz w:val="24"/>
                <w:szCs w:val="24"/>
              </w:rPr>
            </w:pPr>
            <w:r w:rsidRPr="00C565E2">
              <w:rPr>
                <w:rFonts w:ascii="Times New Roman" w:hAnsi="Times New Roman"/>
                <w:b/>
                <w:bCs/>
                <w:color w:val="000000" w:themeColor="text1"/>
                <w:sz w:val="24"/>
                <w:szCs w:val="24"/>
              </w:rPr>
              <w:t>Doba odpisovania</w:t>
            </w:r>
          </w:p>
        </w:tc>
        <w:tc>
          <w:tcPr>
            <w:tcW w:w="2268" w:type="dxa"/>
            <w:tcBorders>
              <w:top w:val="single" w:sz="4" w:space="0" w:color="auto"/>
              <w:left w:val="single" w:sz="4" w:space="0" w:color="auto"/>
              <w:bottom w:val="single" w:sz="4" w:space="0" w:color="auto"/>
            </w:tcBorders>
            <w:vAlign w:val="center"/>
          </w:tcPr>
          <w:p w:rsidR="00385B00" w:rsidRPr="00C565E2" w:rsidRDefault="00385B00" w:rsidP="007379ED">
            <w:pPr>
              <w:widowControl/>
              <w:jc w:val="center"/>
              <w:rPr>
                <w:rFonts w:ascii="Times New Roman" w:hAnsi="Times New Roman"/>
                <w:b/>
                <w:bCs/>
                <w:color w:val="000000" w:themeColor="text1"/>
                <w:sz w:val="24"/>
                <w:szCs w:val="24"/>
              </w:rPr>
            </w:pPr>
            <w:r w:rsidRPr="00C565E2">
              <w:rPr>
                <w:rFonts w:ascii="Times New Roman" w:hAnsi="Times New Roman"/>
                <w:b/>
                <w:bCs/>
                <w:color w:val="000000" w:themeColor="text1"/>
                <w:sz w:val="24"/>
                <w:szCs w:val="24"/>
              </w:rPr>
              <w:t>Ročný odpis v %</w:t>
            </w:r>
          </w:p>
        </w:tc>
      </w:tr>
      <w:tr w:rsidR="00385B00" w:rsidRPr="00C565E2" w:rsidTr="007379ED">
        <w:trPr>
          <w:trHeight w:val="259"/>
          <w:jc w:val="center"/>
        </w:trPr>
        <w:tc>
          <w:tcPr>
            <w:tcW w:w="2452" w:type="dxa"/>
            <w:tcBorders>
              <w:top w:val="single" w:sz="4" w:space="0" w:color="auto"/>
              <w:bottom w:val="single" w:sz="4" w:space="0" w:color="auto"/>
              <w:right w:val="single" w:sz="4" w:space="0" w:color="auto"/>
            </w:tcBorders>
            <w:vAlign w:val="center"/>
          </w:tcPr>
          <w:p w:rsidR="00385B00" w:rsidRPr="00C565E2" w:rsidRDefault="00385B00" w:rsidP="007379ED">
            <w:pPr>
              <w:widowControl/>
              <w:jc w:val="center"/>
              <w:rPr>
                <w:rFonts w:ascii="Times New Roman" w:hAnsi="Times New Roman"/>
                <w:color w:val="000000" w:themeColor="text1"/>
                <w:sz w:val="24"/>
                <w:szCs w:val="24"/>
              </w:rPr>
            </w:pPr>
            <w:r w:rsidRPr="00C565E2">
              <w:rPr>
                <w:rFonts w:ascii="Times New Roman" w:hAnsi="Times New Roman"/>
                <w:color w:val="000000" w:themeColor="text1"/>
                <w:sz w:val="24"/>
                <w:szCs w:val="24"/>
              </w:rPr>
              <w:t>1</w:t>
            </w:r>
          </w:p>
        </w:tc>
        <w:tc>
          <w:tcPr>
            <w:tcW w:w="2451" w:type="dxa"/>
            <w:tcBorders>
              <w:top w:val="single" w:sz="4" w:space="0" w:color="auto"/>
              <w:left w:val="single" w:sz="4" w:space="0" w:color="auto"/>
              <w:bottom w:val="single" w:sz="4" w:space="0" w:color="auto"/>
              <w:right w:val="single" w:sz="4" w:space="0" w:color="auto"/>
            </w:tcBorders>
            <w:vAlign w:val="center"/>
          </w:tcPr>
          <w:p w:rsidR="00385B00" w:rsidRPr="00C565E2" w:rsidRDefault="00385B00" w:rsidP="007379ED">
            <w:pPr>
              <w:widowControl/>
              <w:jc w:val="center"/>
              <w:rPr>
                <w:rFonts w:ascii="Times New Roman" w:hAnsi="Times New Roman"/>
                <w:color w:val="000000" w:themeColor="text1"/>
                <w:sz w:val="24"/>
                <w:szCs w:val="24"/>
              </w:rPr>
            </w:pPr>
            <w:r w:rsidRPr="00C565E2">
              <w:rPr>
                <w:rFonts w:ascii="Times New Roman" w:hAnsi="Times New Roman"/>
                <w:color w:val="000000" w:themeColor="text1"/>
                <w:sz w:val="24"/>
                <w:szCs w:val="24"/>
              </w:rPr>
              <w:t>4 roky</w:t>
            </w:r>
          </w:p>
        </w:tc>
        <w:tc>
          <w:tcPr>
            <w:tcW w:w="2268" w:type="dxa"/>
            <w:tcBorders>
              <w:top w:val="single" w:sz="4" w:space="0" w:color="auto"/>
              <w:left w:val="single" w:sz="4" w:space="0" w:color="auto"/>
              <w:bottom w:val="single" w:sz="4" w:space="0" w:color="auto"/>
            </w:tcBorders>
            <w:vAlign w:val="center"/>
          </w:tcPr>
          <w:p w:rsidR="00385B00" w:rsidRPr="00C565E2" w:rsidRDefault="00385B00" w:rsidP="007379ED">
            <w:pPr>
              <w:widowControl/>
              <w:jc w:val="center"/>
              <w:rPr>
                <w:rFonts w:ascii="Times New Roman" w:hAnsi="Times New Roman"/>
                <w:color w:val="000000" w:themeColor="text1"/>
                <w:sz w:val="24"/>
                <w:szCs w:val="24"/>
              </w:rPr>
            </w:pPr>
            <w:r w:rsidRPr="00C565E2">
              <w:rPr>
                <w:rFonts w:ascii="Times New Roman" w:hAnsi="Times New Roman"/>
                <w:color w:val="000000" w:themeColor="text1"/>
                <w:sz w:val="24"/>
                <w:szCs w:val="24"/>
              </w:rPr>
              <w:t>25,0</w:t>
            </w:r>
          </w:p>
        </w:tc>
      </w:tr>
      <w:tr w:rsidR="00385B00" w:rsidRPr="00C565E2" w:rsidTr="007379ED">
        <w:trPr>
          <w:trHeight w:val="131"/>
          <w:jc w:val="center"/>
        </w:trPr>
        <w:tc>
          <w:tcPr>
            <w:tcW w:w="2452" w:type="dxa"/>
            <w:tcBorders>
              <w:top w:val="single" w:sz="4" w:space="0" w:color="auto"/>
              <w:bottom w:val="single" w:sz="4" w:space="0" w:color="auto"/>
              <w:right w:val="single" w:sz="4" w:space="0" w:color="auto"/>
            </w:tcBorders>
            <w:vAlign w:val="center"/>
          </w:tcPr>
          <w:p w:rsidR="00385B00" w:rsidRPr="00C565E2" w:rsidRDefault="00385B00" w:rsidP="007379ED">
            <w:pPr>
              <w:widowControl/>
              <w:jc w:val="center"/>
              <w:rPr>
                <w:rFonts w:ascii="Times New Roman" w:hAnsi="Times New Roman"/>
                <w:color w:val="000000" w:themeColor="text1"/>
                <w:sz w:val="24"/>
                <w:szCs w:val="24"/>
              </w:rPr>
            </w:pPr>
            <w:r w:rsidRPr="00C565E2">
              <w:rPr>
                <w:rFonts w:ascii="Times New Roman" w:hAnsi="Times New Roman"/>
                <w:color w:val="000000" w:themeColor="text1"/>
                <w:sz w:val="24"/>
                <w:szCs w:val="24"/>
              </w:rPr>
              <w:t>2</w:t>
            </w:r>
          </w:p>
        </w:tc>
        <w:tc>
          <w:tcPr>
            <w:tcW w:w="2451" w:type="dxa"/>
            <w:tcBorders>
              <w:top w:val="single" w:sz="4" w:space="0" w:color="auto"/>
              <w:left w:val="single" w:sz="4" w:space="0" w:color="auto"/>
              <w:bottom w:val="single" w:sz="4" w:space="0" w:color="auto"/>
              <w:right w:val="single" w:sz="4" w:space="0" w:color="auto"/>
            </w:tcBorders>
            <w:vAlign w:val="center"/>
          </w:tcPr>
          <w:p w:rsidR="00385B00" w:rsidRPr="00C565E2" w:rsidRDefault="00385B00" w:rsidP="007379ED">
            <w:pPr>
              <w:widowControl/>
              <w:jc w:val="center"/>
              <w:rPr>
                <w:rFonts w:ascii="Times New Roman" w:hAnsi="Times New Roman"/>
                <w:color w:val="000000" w:themeColor="text1"/>
                <w:sz w:val="24"/>
                <w:szCs w:val="24"/>
              </w:rPr>
            </w:pPr>
            <w:r w:rsidRPr="00C565E2">
              <w:rPr>
                <w:rFonts w:ascii="Times New Roman" w:hAnsi="Times New Roman"/>
                <w:color w:val="000000" w:themeColor="text1"/>
                <w:sz w:val="24"/>
                <w:szCs w:val="24"/>
              </w:rPr>
              <w:t>6 rokov</w:t>
            </w:r>
          </w:p>
        </w:tc>
        <w:tc>
          <w:tcPr>
            <w:tcW w:w="2268" w:type="dxa"/>
            <w:tcBorders>
              <w:top w:val="single" w:sz="4" w:space="0" w:color="auto"/>
              <w:left w:val="single" w:sz="4" w:space="0" w:color="auto"/>
              <w:bottom w:val="single" w:sz="4" w:space="0" w:color="auto"/>
            </w:tcBorders>
            <w:vAlign w:val="center"/>
          </w:tcPr>
          <w:p w:rsidR="00385B00" w:rsidRPr="00C565E2" w:rsidRDefault="00385B00" w:rsidP="007379ED">
            <w:pPr>
              <w:widowControl/>
              <w:jc w:val="center"/>
              <w:rPr>
                <w:rFonts w:ascii="Times New Roman" w:hAnsi="Times New Roman"/>
                <w:color w:val="000000" w:themeColor="text1"/>
                <w:sz w:val="24"/>
                <w:szCs w:val="24"/>
              </w:rPr>
            </w:pPr>
            <w:r w:rsidRPr="00C565E2">
              <w:rPr>
                <w:rFonts w:ascii="Times New Roman" w:hAnsi="Times New Roman"/>
                <w:color w:val="000000" w:themeColor="text1"/>
                <w:sz w:val="24"/>
                <w:szCs w:val="24"/>
              </w:rPr>
              <w:t>16,7</w:t>
            </w:r>
          </w:p>
        </w:tc>
      </w:tr>
      <w:tr w:rsidR="00385B00" w:rsidRPr="00C565E2" w:rsidTr="007379ED">
        <w:trPr>
          <w:trHeight w:val="64"/>
          <w:jc w:val="center"/>
        </w:trPr>
        <w:tc>
          <w:tcPr>
            <w:tcW w:w="2452" w:type="dxa"/>
            <w:tcBorders>
              <w:top w:val="single" w:sz="4" w:space="0" w:color="auto"/>
              <w:bottom w:val="single" w:sz="4" w:space="0" w:color="auto"/>
              <w:right w:val="single" w:sz="4" w:space="0" w:color="auto"/>
            </w:tcBorders>
            <w:vAlign w:val="center"/>
          </w:tcPr>
          <w:p w:rsidR="00385B00" w:rsidRPr="00C565E2" w:rsidRDefault="00385B00" w:rsidP="007379ED">
            <w:pPr>
              <w:widowControl/>
              <w:jc w:val="center"/>
              <w:rPr>
                <w:rFonts w:ascii="Times New Roman" w:hAnsi="Times New Roman"/>
                <w:color w:val="000000" w:themeColor="text1"/>
                <w:sz w:val="24"/>
                <w:szCs w:val="24"/>
              </w:rPr>
            </w:pPr>
            <w:r w:rsidRPr="00C565E2">
              <w:rPr>
                <w:rFonts w:ascii="Times New Roman" w:hAnsi="Times New Roman"/>
                <w:color w:val="000000" w:themeColor="text1"/>
                <w:sz w:val="24"/>
                <w:szCs w:val="24"/>
              </w:rPr>
              <w:t>3</w:t>
            </w:r>
          </w:p>
        </w:tc>
        <w:tc>
          <w:tcPr>
            <w:tcW w:w="2451" w:type="dxa"/>
            <w:tcBorders>
              <w:top w:val="single" w:sz="4" w:space="0" w:color="auto"/>
              <w:left w:val="single" w:sz="4" w:space="0" w:color="auto"/>
              <w:bottom w:val="single" w:sz="4" w:space="0" w:color="auto"/>
              <w:right w:val="single" w:sz="4" w:space="0" w:color="auto"/>
            </w:tcBorders>
            <w:vAlign w:val="center"/>
          </w:tcPr>
          <w:p w:rsidR="00385B00" w:rsidRPr="00C565E2" w:rsidRDefault="00385B00" w:rsidP="007379ED">
            <w:pPr>
              <w:widowControl/>
              <w:jc w:val="center"/>
              <w:rPr>
                <w:rFonts w:ascii="Times New Roman" w:hAnsi="Times New Roman"/>
                <w:color w:val="000000" w:themeColor="text1"/>
                <w:sz w:val="24"/>
                <w:szCs w:val="24"/>
              </w:rPr>
            </w:pPr>
            <w:r w:rsidRPr="00C565E2">
              <w:rPr>
                <w:rFonts w:ascii="Times New Roman" w:hAnsi="Times New Roman"/>
                <w:color w:val="000000" w:themeColor="text1"/>
                <w:sz w:val="24"/>
                <w:szCs w:val="24"/>
              </w:rPr>
              <w:t>12 rokov</w:t>
            </w:r>
          </w:p>
        </w:tc>
        <w:tc>
          <w:tcPr>
            <w:tcW w:w="2268" w:type="dxa"/>
            <w:tcBorders>
              <w:top w:val="single" w:sz="4" w:space="0" w:color="auto"/>
              <w:left w:val="single" w:sz="4" w:space="0" w:color="auto"/>
              <w:bottom w:val="single" w:sz="4" w:space="0" w:color="auto"/>
            </w:tcBorders>
            <w:vAlign w:val="center"/>
          </w:tcPr>
          <w:p w:rsidR="00385B00" w:rsidRPr="00C565E2" w:rsidRDefault="00385B00" w:rsidP="007379ED">
            <w:pPr>
              <w:widowControl/>
              <w:jc w:val="center"/>
              <w:rPr>
                <w:rFonts w:ascii="Times New Roman" w:hAnsi="Times New Roman"/>
                <w:color w:val="000000" w:themeColor="text1"/>
                <w:sz w:val="24"/>
                <w:szCs w:val="24"/>
              </w:rPr>
            </w:pPr>
            <w:r w:rsidRPr="00C565E2">
              <w:rPr>
                <w:rFonts w:ascii="Times New Roman" w:hAnsi="Times New Roman"/>
                <w:color w:val="000000" w:themeColor="text1"/>
                <w:sz w:val="24"/>
                <w:szCs w:val="24"/>
              </w:rPr>
              <w:t xml:space="preserve"> 8,4</w:t>
            </w:r>
          </w:p>
        </w:tc>
      </w:tr>
      <w:tr w:rsidR="00385B00" w:rsidRPr="00C565E2" w:rsidTr="007379ED">
        <w:trPr>
          <w:trHeight w:val="64"/>
          <w:jc w:val="center"/>
        </w:trPr>
        <w:tc>
          <w:tcPr>
            <w:tcW w:w="2452" w:type="dxa"/>
            <w:tcBorders>
              <w:top w:val="single" w:sz="4" w:space="0" w:color="auto"/>
              <w:bottom w:val="single" w:sz="4" w:space="0" w:color="auto"/>
              <w:right w:val="single" w:sz="4" w:space="0" w:color="auto"/>
            </w:tcBorders>
            <w:vAlign w:val="center"/>
          </w:tcPr>
          <w:p w:rsidR="00385B00" w:rsidRPr="00C565E2" w:rsidRDefault="00385B00" w:rsidP="007379ED">
            <w:pPr>
              <w:widowControl/>
              <w:jc w:val="center"/>
              <w:rPr>
                <w:rFonts w:ascii="Times New Roman" w:hAnsi="Times New Roman"/>
                <w:color w:val="000000" w:themeColor="text1"/>
                <w:sz w:val="24"/>
                <w:szCs w:val="24"/>
              </w:rPr>
            </w:pPr>
            <w:r w:rsidRPr="00C565E2">
              <w:rPr>
                <w:rFonts w:ascii="Times New Roman" w:hAnsi="Times New Roman"/>
                <w:color w:val="000000" w:themeColor="text1"/>
                <w:sz w:val="24"/>
                <w:szCs w:val="24"/>
              </w:rPr>
              <w:t>4</w:t>
            </w:r>
          </w:p>
        </w:tc>
        <w:tc>
          <w:tcPr>
            <w:tcW w:w="2451" w:type="dxa"/>
            <w:tcBorders>
              <w:top w:val="single" w:sz="4" w:space="0" w:color="auto"/>
              <w:left w:val="single" w:sz="4" w:space="0" w:color="auto"/>
              <w:bottom w:val="single" w:sz="4" w:space="0" w:color="auto"/>
              <w:right w:val="single" w:sz="4" w:space="0" w:color="auto"/>
            </w:tcBorders>
            <w:vAlign w:val="center"/>
          </w:tcPr>
          <w:p w:rsidR="00385B00" w:rsidRPr="00C565E2" w:rsidRDefault="00385B00" w:rsidP="007379ED">
            <w:pPr>
              <w:widowControl/>
              <w:jc w:val="center"/>
              <w:rPr>
                <w:rFonts w:ascii="Times New Roman" w:hAnsi="Times New Roman"/>
                <w:color w:val="000000" w:themeColor="text1"/>
                <w:sz w:val="24"/>
                <w:szCs w:val="24"/>
              </w:rPr>
            </w:pPr>
            <w:r w:rsidRPr="00C565E2">
              <w:rPr>
                <w:rFonts w:ascii="Times New Roman" w:hAnsi="Times New Roman"/>
                <w:color w:val="000000" w:themeColor="text1"/>
                <w:sz w:val="24"/>
                <w:szCs w:val="24"/>
              </w:rPr>
              <w:t>20 rokov</w:t>
            </w:r>
          </w:p>
        </w:tc>
        <w:tc>
          <w:tcPr>
            <w:tcW w:w="2268" w:type="dxa"/>
            <w:tcBorders>
              <w:top w:val="single" w:sz="4" w:space="0" w:color="auto"/>
              <w:left w:val="single" w:sz="4" w:space="0" w:color="auto"/>
              <w:bottom w:val="single" w:sz="4" w:space="0" w:color="auto"/>
            </w:tcBorders>
            <w:vAlign w:val="center"/>
          </w:tcPr>
          <w:p w:rsidR="00385B00" w:rsidRPr="00C565E2" w:rsidRDefault="00385B00" w:rsidP="007379ED">
            <w:pPr>
              <w:widowControl/>
              <w:jc w:val="center"/>
              <w:rPr>
                <w:rFonts w:ascii="Times New Roman" w:hAnsi="Times New Roman"/>
                <w:color w:val="000000" w:themeColor="text1"/>
                <w:sz w:val="24"/>
                <w:szCs w:val="24"/>
              </w:rPr>
            </w:pPr>
            <w:r w:rsidRPr="00C565E2">
              <w:rPr>
                <w:rFonts w:ascii="Times New Roman" w:hAnsi="Times New Roman"/>
                <w:color w:val="000000" w:themeColor="text1"/>
                <w:sz w:val="24"/>
                <w:szCs w:val="24"/>
              </w:rPr>
              <w:t xml:space="preserve"> 5,0</w:t>
            </w:r>
          </w:p>
        </w:tc>
      </w:tr>
    </w:tbl>
    <w:p w:rsidR="00385B00" w:rsidRPr="00C565E2" w:rsidRDefault="00385B00" w:rsidP="00385B00">
      <w:pPr>
        <w:widowControl/>
        <w:spacing w:line="360" w:lineRule="auto"/>
        <w:jc w:val="both"/>
        <w:rPr>
          <w:rFonts w:ascii="Times New Roman" w:hAnsi="Times New Roman"/>
          <w:color w:val="000000" w:themeColor="text1"/>
          <w:sz w:val="24"/>
          <w:szCs w:val="24"/>
        </w:rPr>
      </w:pPr>
    </w:p>
    <w:p w:rsidR="00385B00" w:rsidRPr="00C565E2" w:rsidRDefault="00385B00" w:rsidP="00385B00">
      <w:pPr>
        <w:widowControl/>
        <w:spacing w:line="360" w:lineRule="auto"/>
        <w:jc w:val="both"/>
        <w:rPr>
          <w:rFonts w:ascii="Times New Roman" w:hAnsi="Times New Roman"/>
          <w:color w:val="000000" w:themeColor="text1"/>
          <w:sz w:val="24"/>
          <w:szCs w:val="24"/>
        </w:rPr>
      </w:pPr>
      <w:r w:rsidRPr="00C565E2">
        <w:rPr>
          <w:rFonts w:ascii="Times New Roman" w:hAnsi="Times New Roman"/>
          <w:color w:val="000000" w:themeColor="text1"/>
          <w:sz w:val="24"/>
          <w:szCs w:val="24"/>
        </w:rPr>
        <w:tab/>
        <w:t>DLNM sa zatriedi do odpisovej skupiny 1 s dobou odpisovania 4 roky (ročný odpis 25</w:t>
      </w:r>
      <w:r>
        <w:rPr>
          <w:rFonts w:ascii="Times New Roman" w:hAnsi="Times New Roman"/>
          <w:color w:val="000000" w:themeColor="text1"/>
          <w:sz w:val="24"/>
          <w:szCs w:val="24"/>
        </w:rPr>
        <w:t> </w:t>
      </w:r>
      <w:r w:rsidRPr="00C565E2">
        <w:rPr>
          <w:rFonts w:ascii="Times New Roman" w:hAnsi="Times New Roman"/>
          <w:color w:val="000000" w:themeColor="text1"/>
          <w:sz w:val="24"/>
          <w:szCs w:val="24"/>
        </w:rPr>
        <w:t>%). Informačný systém správy majetku (modul SAP FI-AA umožňuje automaticky aktualizovať odpisový plán pri mesačných uzávierkach majetku).</w:t>
      </w:r>
    </w:p>
    <w:p w:rsidR="00385B00" w:rsidRPr="00C565E2" w:rsidRDefault="00385B00" w:rsidP="00385B00">
      <w:pPr>
        <w:widowControl/>
        <w:spacing w:line="360" w:lineRule="auto"/>
        <w:jc w:val="both"/>
        <w:rPr>
          <w:rFonts w:ascii="Times New Roman" w:hAnsi="Times New Roman"/>
          <w:color w:val="000000" w:themeColor="text1"/>
          <w:sz w:val="24"/>
          <w:szCs w:val="24"/>
        </w:rPr>
      </w:pPr>
    </w:p>
    <w:p w:rsidR="00385B00" w:rsidRPr="00C565E2" w:rsidRDefault="00385B00" w:rsidP="00385B00">
      <w:pPr>
        <w:pStyle w:val="Nadpis1"/>
        <w:keepNext/>
        <w:widowControl/>
        <w:spacing w:line="360" w:lineRule="auto"/>
        <w:jc w:val="center"/>
        <w:rPr>
          <w:rFonts w:ascii="Times New Roman" w:hAnsi="Times New Roman"/>
          <w:b/>
          <w:bCs/>
          <w:color w:val="000000" w:themeColor="text1"/>
          <w:sz w:val="24"/>
          <w:szCs w:val="24"/>
        </w:rPr>
      </w:pPr>
      <w:r w:rsidRPr="00C565E2">
        <w:rPr>
          <w:rFonts w:ascii="Times New Roman" w:hAnsi="Times New Roman"/>
          <w:b/>
          <w:bCs/>
          <w:color w:val="000000" w:themeColor="text1"/>
          <w:sz w:val="24"/>
          <w:szCs w:val="24"/>
        </w:rPr>
        <w:t>Čl. III</w:t>
      </w:r>
    </w:p>
    <w:p w:rsidR="00385B00" w:rsidRPr="00C565E2" w:rsidRDefault="00385B00" w:rsidP="00385B00">
      <w:pPr>
        <w:pStyle w:val="Nadpis2"/>
        <w:keepNext/>
        <w:widowControl/>
        <w:spacing w:line="360" w:lineRule="auto"/>
        <w:jc w:val="center"/>
        <w:rPr>
          <w:rFonts w:ascii="Times New Roman" w:hAnsi="Times New Roman"/>
          <w:b/>
          <w:bCs/>
          <w:color w:val="000000" w:themeColor="text1"/>
          <w:sz w:val="24"/>
          <w:szCs w:val="24"/>
        </w:rPr>
      </w:pPr>
      <w:r w:rsidRPr="00C565E2">
        <w:rPr>
          <w:rFonts w:ascii="Times New Roman" w:hAnsi="Times New Roman"/>
          <w:b/>
          <w:bCs/>
          <w:color w:val="000000" w:themeColor="text1"/>
          <w:sz w:val="24"/>
          <w:szCs w:val="24"/>
        </w:rPr>
        <w:t>Informácie, ktoré dopĺňajú a vysvetľujú údaje v súvahe</w:t>
      </w:r>
    </w:p>
    <w:p w:rsidR="00385B00" w:rsidRPr="00C565E2" w:rsidRDefault="00385B00" w:rsidP="00385B00">
      <w:pPr>
        <w:widowControl/>
        <w:spacing w:line="360" w:lineRule="auto"/>
        <w:jc w:val="both"/>
        <w:rPr>
          <w:rFonts w:ascii="Times New Roman" w:hAnsi="Times New Roman"/>
          <w:color w:val="000000" w:themeColor="text1"/>
          <w:sz w:val="24"/>
          <w:szCs w:val="24"/>
        </w:rPr>
      </w:pPr>
    </w:p>
    <w:p w:rsidR="00385B00" w:rsidRPr="00C565E2" w:rsidRDefault="00385B00" w:rsidP="00385B00">
      <w:pPr>
        <w:widowControl/>
        <w:spacing w:line="360" w:lineRule="auto"/>
        <w:jc w:val="both"/>
        <w:rPr>
          <w:rFonts w:ascii="Times New Roman" w:hAnsi="Times New Roman"/>
          <w:color w:val="000000" w:themeColor="text1"/>
          <w:sz w:val="24"/>
          <w:szCs w:val="24"/>
        </w:rPr>
      </w:pPr>
      <w:r w:rsidRPr="00C565E2">
        <w:rPr>
          <w:rFonts w:ascii="Times New Roman" w:hAnsi="Times New Roman"/>
          <w:color w:val="000000" w:themeColor="text1"/>
          <w:sz w:val="24"/>
          <w:szCs w:val="24"/>
        </w:rPr>
        <w:tab/>
        <w:t>Posúdenie stavu majetku, záväzkov a finančnej situácie je uvedené v prehľade „Rámcová bilancia a vyjadrenie podielu majetku a zdrojov“ (tabuľka č. 1). Dokumentuje hlavné majetkové a zdrojové položky Sociálnej poisťovne a ich vývoj. V bilancii sú uvedené údaje k 31. 12. 201</w:t>
      </w:r>
      <w:r>
        <w:rPr>
          <w:rFonts w:ascii="Times New Roman" w:hAnsi="Times New Roman"/>
          <w:color w:val="000000" w:themeColor="text1"/>
          <w:sz w:val="24"/>
          <w:szCs w:val="24"/>
        </w:rPr>
        <w:t>6</w:t>
      </w:r>
      <w:r w:rsidRPr="00C565E2">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C565E2">
        <w:rPr>
          <w:rFonts w:ascii="Times New Roman" w:hAnsi="Times New Roman"/>
          <w:color w:val="000000" w:themeColor="text1"/>
          <w:sz w:val="24"/>
          <w:szCs w:val="24"/>
        </w:rPr>
        <w:t>k</w:t>
      </w:r>
      <w:r>
        <w:rPr>
          <w:rFonts w:ascii="Times New Roman" w:hAnsi="Times New Roman"/>
          <w:color w:val="000000" w:themeColor="text1"/>
          <w:sz w:val="24"/>
          <w:szCs w:val="24"/>
        </w:rPr>
        <w:t> </w:t>
      </w:r>
      <w:r w:rsidRPr="00C565E2">
        <w:rPr>
          <w:rFonts w:ascii="Times New Roman" w:hAnsi="Times New Roman"/>
          <w:color w:val="000000" w:themeColor="text1"/>
          <w:sz w:val="24"/>
          <w:szCs w:val="24"/>
        </w:rPr>
        <w:t>31. 12. </w:t>
      </w:r>
      <w:r>
        <w:rPr>
          <w:rFonts w:ascii="Times New Roman" w:hAnsi="Times New Roman"/>
          <w:color w:val="000000" w:themeColor="text1"/>
          <w:sz w:val="24"/>
          <w:szCs w:val="24"/>
        </w:rPr>
        <w:t>2017</w:t>
      </w:r>
      <w:r w:rsidRPr="00C565E2">
        <w:rPr>
          <w:rFonts w:ascii="Times New Roman" w:hAnsi="Times New Roman"/>
          <w:color w:val="000000" w:themeColor="text1"/>
          <w:sz w:val="24"/>
          <w:szCs w:val="24"/>
        </w:rPr>
        <w:t xml:space="preserve"> a k 31. 12. </w:t>
      </w:r>
      <w:r>
        <w:rPr>
          <w:rFonts w:ascii="Times New Roman" w:hAnsi="Times New Roman"/>
          <w:color w:val="000000" w:themeColor="text1"/>
          <w:sz w:val="24"/>
          <w:szCs w:val="24"/>
        </w:rPr>
        <w:t>2018</w:t>
      </w:r>
      <w:r w:rsidRPr="00C565E2">
        <w:rPr>
          <w:rFonts w:ascii="Times New Roman" w:hAnsi="Times New Roman"/>
          <w:color w:val="000000" w:themeColor="text1"/>
          <w:sz w:val="24"/>
          <w:szCs w:val="24"/>
        </w:rPr>
        <w:t>. Pre posúdenie štruktúry majetku sa neporovnávajú ich absolútne hodnoty, ale percentuálny podiel jednotlivých zložiek majetku na úhrne majetku a pasív.</w:t>
      </w:r>
    </w:p>
    <w:p w:rsidR="00385B00" w:rsidRPr="00C565E2" w:rsidRDefault="00385B00" w:rsidP="00385B00">
      <w:pPr>
        <w:widowControl/>
        <w:spacing w:line="360" w:lineRule="auto"/>
        <w:jc w:val="both"/>
        <w:rPr>
          <w:rFonts w:ascii="Times New Roman" w:hAnsi="Times New Roman"/>
          <w:color w:val="000000" w:themeColor="text1"/>
          <w:sz w:val="24"/>
          <w:szCs w:val="24"/>
        </w:rPr>
      </w:pPr>
    </w:p>
    <w:p w:rsidR="00385B00" w:rsidRPr="00C565E2" w:rsidRDefault="00385B00" w:rsidP="00385B00">
      <w:pPr>
        <w:widowControl/>
        <w:spacing w:line="360" w:lineRule="auto"/>
        <w:jc w:val="both"/>
        <w:rPr>
          <w:rFonts w:ascii="Times New Roman" w:hAnsi="Times New Roman"/>
          <w:color w:val="000000" w:themeColor="text1"/>
          <w:sz w:val="24"/>
          <w:szCs w:val="24"/>
        </w:rPr>
      </w:pPr>
      <w:r w:rsidRPr="00C565E2">
        <w:rPr>
          <w:rFonts w:ascii="Times New Roman" w:hAnsi="Times New Roman"/>
          <w:color w:val="000000" w:themeColor="text1"/>
          <w:sz w:val="24"/>
          <w:szCs w:val="24"/>
        </w:rPr>
        <w:tab/>
        <w:t xml:space="preserve">Pri posúdení štruktúry majetku vo vývoji troch účtovných období možno konštatovať, že k 31. 12. </w:t>
      </w:r>
      <w:r>
        <w:rPr>
          <w:rFonts w:ascii="Times New Roman" w:hAnsi="Times New Roman"/>
          <w:color w:val="000000" w:themeColor="text1"/>
          <w:sz w:val="24"/>
          <w:szCs w:val="24"/>
        </w:rPr>
        <w:t>2018</w:t>
      </w:r>
      <w:r w:rsidRPr="00C565E2">
        <w:rPr>
          <w:rFonts w:ascii="Times New Roman" w:hAnsi="Times New Roman"/>
          <w:color w:val="000000" w:themeColor="text1"/>
          <w:sz w:val="24"/>
          <w:szCs w:val="24"/>
        </w:rPr>
        <w:t xml:space="preserve"> podiel neobežného majetku (DLHM, DLNM, obstaranie DLHM a DLNM) na majetku celkom (</w:t>
      </w:r>
      <w:r>
        <w:rPr>
          <w:rFonts w:ascii="Times New Roman" w:hAnsi="Times New Roman"/>
          <w:color w:val="000000" w:themeColor="text1"/>
          <w:sz w:val="24"/>
          <w:szCs w:val="24"/>
        </w:rPr>
        <w:t xml:space="preserve">6,65 </w:t>
      </w:r>
      <w:r w:rsidRPr="00C565E2">
        <w:rPr>
          <w:rFonts w:ascii="Times New Roman" w:hAnsi="Times New Roman"/>
          <w:color w:val="000000" w:themeColor="text1"/>
          <w:sz w:val="24"/>
          <w:szCs w:val="24"/>
        </w:rPr>
        <w:t>%) korešponduje s poslaním Sociálnej poisťovne ako finančnej inštitúcie verejnoprávneho charakteru. Obežný majetok (zásoby, pohľadávky, finančný majetok, prechodné účty aktív) ocenený menovitou hodnotou v sume 1</w:t>
      </w:r>
      <w:r>
        <w:rPr>
          <w:rFonts w:ascii="Times New Roman" w:hAnsi="Times New Roman"/>
          <w:color w:val="000000" w:themeColor="text1"/>
          <w:sz w:val="24"/>
          <w:szCs w:val="24"/>
        </w:rPr>
        <w:t> 475 776 237,62</w:t>
      </w:r>
      <w:r w:rsidRPr="00C565E2">
        <w:rPr>
          <w:rFonts w:ascii="Times New Roman" w:hAnsi="Times New Roman"/>
          <w:color w:val="000000" w:themeColor="text1"/>
          <w:sz w:val="24"/>
          <w:szCs w:val="24"/>
        </w:rPr>
        <w:t> </w:t>
      </w:r>
      <w:r>
        <w:rPr>
          <w:rFonts w:ascii="Times New Roman" w:hAnsi="Times New Roman"/>
          <w:color w:val="000000" w:themeColor="text1"/>
          <w:sz w:val="24"/>
          <w:szCs w:val="24"/>
        </w:rPr>
        <w:t>EUR</w:t>
      </w:r>
      <w:r w:rsidRPr="00C565E2">
        <w:rPr>
          <w:rFonts w:ascii="Times New Roman" w:hAnsi="Times New Roman"/>
          <w:color w:val="000000" w:themeColor="text1"/>
          <w:sz w:val="24"/>
          <w:szCs w:val="24"/>
        </w:rPr>
        <w:t xml:space="preserve"> (riadok 025, stĺpec 1 súvahy) v porovnaní s rokom </w:t>
      </w:r>
      <w:r>
        <w:rPr>
          <w:rFonts w:ascii="Times New Roman" w:hAnsi="Times New Roman"/>
          <w:color w:val="000000" w:themeColor="text1"/>
          <w:sz w:val="24"/>
          <w:szCs w:val="24"/>
        </w:rPr>
        <w:t>2017</w:t>
      </w:r>
      <w:r w:rsidRPr="00C565E2">
        <w:rPr>
          <w:rFonts w:ascii="Times New Roman" w:hAnsi="Times New Roman"/>
          <w:color w:val="000000" w:themeColor="text1"/>
          <w:sz w:val="24"/>
          <w:szCs w:val="24"/>
        </w:rPr>
        <w:t xml:space="preserve"> stúpol o</w:t>
      </w:r>
      <w:r>
        <w:rPr>
          <w:rFonts w:ascii="Times New Roman" w:hAnsi="Times New Roman"/>
          <w:color w:val="000000" w:themeColor="text1"/>
          <w:sz w:val="24"/>
          <w:szCs w:val="24"/>
        </w:rPr>
        <w:t> 6 403 931,58</w:t>
      </w:r>
      <w:r w:rsidRPr="00C565E2">
        <w:rPr>
          <w:rFonts w:ascii="Times New Roman" w:hAnsi="Times New Roman"/>
          <w:color w:val="000000" w:themeColor="text1"/>
          <w:sz w:val="24"/>
          <w:szCs w:val="24"/>
        </w:rPr>
        <w:t> </w:t>
      </w:r>
      <w:r>
        <w:rPr>
          <w:rFonts w:ascii="Times New Roman" w:hAnsi="Times New Roman"/>
          <w:color w:val="000000" w:themeColor="text1"/>
          <w:sz w:val="24"/>
          <w:szCs w:val="24"/>
        </w:rPr>
        <w:t>EUR</w:t>
      </w:r>
      <w:r w:rsidRPr="00C565E2">
        <w:rPr>
          <w:rFonts w:ascii="Times New Roman" w:hAnsi="Times New Roman"/>
          <w:color w:val="000000" w:themeColor="text1"/>
          <w:sz w:val="24"/>
          <w:szCs w:val="24"/>
        </w:rPr>
        <w:t xml:space="preserve">. Hodnota obežného majetku je znížená o opravné položky vytvorené k pohľadávkam na poistnom voči dlžníkom v sume </w:t>
      </w:r>
      <w:r>
        <w:rPr>
          <w:rFonts w:ascii="Times New Roman" w:hAnsi="Times New Roman"/>
          <w:color w:val="000000" w:themeColor="text1"/>
          <w:sz w:val="24"/>
          <w:szCs w:val="24"/>
        </w:rPr>
        <w:t>390 126 814,72</w:t>
      </w:r>
      <w:r w:rsidRPr="00C565E2">
        <w:rPr>
          <w:rFonts w:ascii="Times New Roman" w:hAnsi="Times New Roman"/>
          <w:color w:val="000000" w:themeColor="text1"/>
          <w:sz w:val="24"/>
          <w:szCs w:val="24"/>
        </w:rPr>
        <w:t> </w:t>
      </w:r>
      <w:r>
        <w:rPr>
          <w:rFonts w:ascii="Times New Roman" w:hAnsi="Times New Roman"/>
          <w:color w:val="000000" w:themeColor="text1"/>
          <w:sz w:val="24"/>
          <w:szCs w:val="24"/>
        </w:rPr>
        <w:t>EUR</w:t>
      </w:r>
      <w:r w:rsidRPr="00C565E2">
        <w:rPr>
          <w:rFonts w:ascii="Times New Roman" w:hAnsi="Times New Roman"/>
          <w:color w:val="000000" w:themeColor="text1"/>
          <w:sz w:val="24"/>
          <w:szCs w:val="24"/>
        </w:rPr>
        <w:t xml:space="preserve">. Finančný majetok v porovnaní s predchádzajúcim účtovným obdobím v roku </w:t>
      </w:r>
      <w:r>
        <w:rPr>
          <w:rFonts w:ascii="Times New Roman" w:hAnsi="Times New Roman"/>
          <w:color w:val="000000" w:themeColor="text1"/>
          <w:sz w:val="24"/>
          <w:szCs w:val="24"/>
        </w:rPr>
        <w:t>2018</w:t>
      </w:r>
      <w:r w:rsidRPr="00C565E2">
        <w:rPr>
          <w:rFonts w:ascii="Times New Roman" w:hAnsi="Times New Roman"/>
          <w:color w:val="000000" w:themeColor="text1"/>
          <w:sz w:val="24"/>
          <w:szCs w:val="24"/>
        </w:rPr>
        <w:t xml:space="preserve"> stúpol o</w:t>
      </w:r>
      <w:r>
        <w:rPr>
          <w:rFonts w:ascii="Times New Roman" w:hAnsi="Times New Roman"/>
          <w:color w:val="000000" w:themeColor="text1"/>
          <w:sz w:val="24"/>
          <w:szCs w:val="24"/>
        </w:rPr>
        <w:t> 105 679 334,34</w:t>
      </w:r>
      <w:r w:rsidRPr="00C565E2">
        <w:rPr>
          <w:rFonts w:ascii="Times New Roman" w:hAnsi="Times New Roman"/>
          <w:color w:val="000000" w:themeColor="text1"/>
          <w:sz w:val="24"/>
          <w:szCs w:val="24"/>
        </w:rPr>
        <w:t xml:space="preserve"> </w:t>
      </w:r>
      <w:r>
        <w:rPr>
          <w:rFonts w:ascii="Times New Roman" w:hAnsi="Times New Roman"/>
          <w:color w:val="000000" w:themeColor="text1"/>
          <w:sz w:val="24"/>
          <w:szCs w:val="24"/>
        </w:rPr>
        <w:t>EUR</w:t>
      </w:r>
      <w:r w:rsidRPr="00C565E2">
        <w:rPr>
          <w:rFonts w:ascii="Times New Roman" w:hAnsi="Times New Roman"/>
          <w:color w:val="000000" w:themeColor="text1"/>
          <w:sz w:val="24"/>
          <w:szCs w:val="24"/>
        </w:rPr>
        <w:t>.</w:t>
      </w:r>
    </w:p>
    <w:p w:rsidR="00385B00" w:rsidRPr="00C565E2" w:rsidRDefault="00385B00" w:rsidP="00385B00">
      <w:pPr>
        <w:widowControl/>
        <w:spacing w:line="360" w:lineRule="auto"/>
        <w:jc w:val="both"/>
        <w:rPr>
          <w:rFonts w:ascii="Times New Roman" w:hAnsi="Times New Roman"/>
          <w:color w:val="000000" w:themeColor="text1"/>
          <w:sz w:val="24"/>
          <w:szCs w:val="24"/>
        </w:rPr>
      </w:pPr>
    </w:p>
    <w:p w:rsidR="00385B00" w:rsidRPr="00C565E2" w:rsidRDefault="00385B00" w:rsidP="00385B00">
      <w:pPr>
        <w:widowControl/>
        <w:spacing w:line="360" w:lineRule="auto"/>
        <w:jc w:val="both"/>
        <w:rPr>
          <w:rFonts w:ascii="Times New Roman" w:hAnsi="Times New Roman"/>
          <w:color w:val="000000" w:themeColor="text1"/>
          <w:sz w:val="24"/>
          <w:szCs w:val="24"/>
        </w:rPr>
      </w:pPr>
      <w:r w:rsidRPr="00C565E2">
        <w:rPr>
          <w:rFonts w:ascii="Times New Roman" w:hAnsi="Times New Roman"/>
          <w:color w:val="000000" w:themeColor="text1"/>
          <w:sz w:val="24"/>
          <w:szCs w:val="24"/>
        </w:rPr>
        <w:tab/>
        <w:t xml:space="preserve">Posúdenie vývoja zdrojov (pasív) dokumentuje, že podiel vlastných zdrojov krytia majetku (fondy Sociálnej poisťovne a výsledok hospodárenia) v porovnaní s rokom </w:t>
      </w:r>
      <w:r>
        <w:rPr>
          <w:rFonts w:ascii="Times New Roman" w:hAnsi="Times New Roman"/>
          <w:color w:val="000000" w:themeColor="text1"/>
          <w:sz w:val="24"/>
          <w:szCs w:val="24"/>
        </w:rPr>
        <w:t>2017</w:t>
      </w:r>
      <w:r w:rsidRPr="00C565E2">
        <w:rPr>
          <w:rFonts w:ascii="Times New Roman" w:hAnsi="Times New Roman"/>
          <w:color w:val="000000" w:themeColor="text1"/>
          <w:sz w:val="24"/>
          <w:szCs w:val="24"/>
        </w:rPr>
        <w:t xml:space="preserve"> </w:t>
      </w:r>
      <w:r>
        <w:rPr>
          <w:rFonts w:ascii="Times New Roman" w:hAnsi="Times New Roman"/>
          <w:color w:val="000000" w:themeColor="text1"/>
          <w:sz w:val="24"/>
          <w:szCs w:val="24"/>
        </w:rPr>
        <w:t>klesol</w:t>
      </w:r>
      <w:r w:rsidRPr="00C565E2">
        <w:rPr>
          <w:rFonts w:ascii="Times New Roman" w:hAnsi="Times New Roman"/>
          <w:color w:val="000000" w:themeColor="text1"/>
          <w:sz w:val="24"/>
          <w:szCs w:val="24"/>
        </w:rPr>
        <w:t xml:space="preserve">, podiel cudzích zdrojov (záväzky) na pasívach celkom v porovnaní s rokom </w:t>
      </w:r>
      <w:r>
        <w:rPr>
          <w:rFonts w:ascii="Times New Roman" w:hAnsi="Times New Roman"/>
          <w:color w:val="000000" w:themeColor="text1"/>
          <w:sz w:val="24"/>
          <w:szCs w:val="24"/>
        </w:rPr>
        <w:t>2017</w:t>
      </w:r>
      <w:r w:rsidRPr="00C565E2">
        <w:rPr>
          <w:rFonts w:ascii="Times New Roman" w:hAnsi="Times New Roman"/>
          <w:color w:val="000000" w:themeColor="text1"/>
          <w:sz w:val="24"/>
          <w:szCs w:val="24"/>
        </w:rPr>
        <w:t xml:space="preserve"> </w:t>
      </w:r>
      <w:r>
        <w:rPr>
          <w:rFonts w:ascii="Times New Roman" w:hAnsi="Times New Roman"/>
          <w:color w:val="000000" w:themeColor="text1"/>
          <w:sz w:val="24"/>
          <w:szCs w:val="24"/>
        </w:rPr>
        <w:t>stúpol</w:t>
      </w:r>
      <w:r w:rsidRPr="00C565E2">
        <w:rPr>
          <w:rFonts w:ascii="Times New Roman" w:hAnsi="Times New Roman"/>
          <w:color w:val="000000" w:themeColor="text1"/>
          <w:sz w:val="24"/>
          <w:szCs w:val="24"/>
        </w:rPr>
        <w:t>. Percentuálne vyjadrenie vývoja v sledovaných rokoch je takéto:</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18"/>
        <w:gridCol w:w="3260"/>
        <w:gridCol w:w="3119"/>
      </w:tblGrid>
      <w:tr w:rsidR="00385B00" w:rsidRPr="00C565E2" w:rsidTr="007379ED">
        <w:trPr>
          <w:jc w:val="center"/>
        </w:trPr>
        <w:tc>
          <w:tcPr>
            <w:tcW w:w="2518" w:type="dxa"/>
            <w:vMerge w:val="restart"/>
            <w:tcBorders>
              <w:top w:val="single" w:sz="4" w:space="0" w:color="auto"/>
              <w:bottom w:val="single" w:sz="4" w:space="0" w:color="auto"/>
              <w:right w:val="single" w:sz="4" w:space="0" w:color="auto"/>
            </w:tcBorders>
            <w:vAlign w:val="center"/>
          </w:tcPr>
          <w:p w:rsidR="00385B00" w:rsidRPr="00C565E2" w:rsidRDefault="00385B00" w:rsidP="007379ED">
            <w:pPr>
              <w:widowControl/>
              <w:jc w:val="center"/>
              <w:rPr>
                <w:rFonts w:ascii="Times New Roman" w:hAnsi="Times New Roman"/>
                <w:b/>
                <w:bCs/>
                <w:color w:val="000000" w:themeColor="text1"/>
                <w:sz w:val="24"/>
                <w:szCs w:val="24"/>
              </w:rPr>
            </w:pPr>
            <w:r w:rsidRPr="00C565E2">
              <w:rPr>
                <w:rFonts w:ascii="Times New Roman" w:hAnsi="Times New Roman"/>
                <w:b/>
                <w:bCs/>
                <w:color w:val="000000" w:themeColor="text1"/>
                <w:sz w:val="24"/>
                <w:szCs w:val="24"/>
              </w:rPr>
              <w:t>Účtovné obdobie (rok)</w:t>
            </w:r>
          </w:p>
        </w:tc>
        <w:tc>
          <w:tcPr>
            <w:tcW w:w="3260" w:type="dxa"/>
            <w:tcBorders>
              <w:top w:val="single" w:sz="4" w:space="0" w:color="auto"/>
              <w:left w:val="single" w:sz="4" w:space="0" w:color="auto"/>
              <w:bottom w:val="single" w:sz="4" w:space="0" w:color="auto"/>
              <w:right w:val="single" w:sz="4" w:space="0" w:color="auto"/>
            </w:tcBorders>
            <w:vAlign w:val="center"/>
          </w:tcPr>
          <w:p w:rsidR="00385B00" w:rsidRPr="00C565E2" w:rsidRDefault="00385B00" w:rsidP="007379ED">
            <w:pPr>
              <w:widowControl/>
              <w:jc w:val="center"/>
              <w:rPr>
                <w:rFonts w:ascii="Times New Roman" w:hAnsi="Times New Roman"/>
                <w:b/>
                <w:bCs/>
                <w:color w:val="000000" w:themeColor="text1"/>
                <w:sz w:val="24"/>
                <w:szCs w:val="24"/>
              </w:rPr>
            </w:pPr>
            <w:r w:rsidRPr="00C565E2">
              <w:rPr>
                <w:rFonts w:ascii="Times New Roman" w:hAnsi="Times New Roman"/>
                <w:b/>
                <w:bCs/>
                <w:color w:val="000000" w:themeColor="text1"/>
                <w:sz w:val="24"/>
                <w:szCs w:val="24"/>
              </w:rPr>
              <w:t>Vlastné zdroje krytia majetku</w:t>
            </w:r>
          </w:p>
        </w:tc>
        <w:tc>
          <w:tcPr>
            <w:tcW w:w="3119" w:type="dxa"/>
            <w:tcBorders>
              <w:top w:val="single" w:sz="4" w:space="0" w:color="auto"/>
              <w:left w:val="single" w:sz="4" w:space="0" w:color="auto"/>
              <w:bottom w:val="single" w:sz="4" w:space="0" w:color="auto"/>
            </w:tcBorders>
            <w:vAlign w:val="center"/>
          </w:tcPr>
          <w:p w:rsidR="00385B00" w:rsidRPr="00C565E2" w:rsidRDefault="00385B00" w:rsidP="007379ED">
            <w:pPr>
              <w:widowControl/>
              <w:jc w:val="center"/>
              <w:rPr>
                <w:rFonts w:ascii="Times New Roman" w:hAnsi="Times New Roman"/>
                <w:b/>
                <w:bCs/>
                <w:color w:val="000000" w:themeColor="text1"/>
                <w:sz w:val="24"/>
                <w:szCs w:val="24"/>
              </w:rPr>
            </w:pPr>
            <w:r w:rsidRPr="00C565E2">
              <w:rPr>
                <w:rFonts w:ascii="Times New Roman" w:hAnsi="Times New Roman"/>
                <w:b/>
                <w:bCs/>
                <w:color w:val="000000" w:themeColor="text1"/>
                <w:sz w:val="24"/>
                <w:szCs w:val="24"/>
              </w:rPr>
              <w:t>Cudzie zdroje</w:t>
            </w:r>
          </w:p>
        </w:tc>
      </w:tr>
      <w:tr w:rsidR="00385B00" w:rsidRPr="00C565E2" w:rsidTr="007379ED">
        <w:trPr>
          <w:jc w:val="center"/>
        </w:trPr>
        <w:tc>
          <w:tcPr>
            <w:tcW w:w="2518" w:type="dxa"/>
            <w:vMerge/>
            <w:tcBorders>
              <w:top w:val="single" w:sz="4" w:space="0" w:color="auto"/>
              <w:bottom w:val="single" w:sz="4" w:space="0" w:color="auto"/>
              <w:right w:val="single" w:sz="4" w:space="0" w:color="auto"/>
            </w:tcBorders>
            <w:shd w:val="clear" w:color="auto" w:fill="D9D9D9"/>
            <w:vAlign w:val="center"/>
          </w:tcPr>
          <w:p w:rsidR="00385B00" w:rsidRPr="00C565E2" w:rsidRDefault="00385B00" w:rsidP="007379ED">
            <w:pPr>
              <w:widowControl/>
              <w:jc w:val="center"/>
              <w:rPr>
                <w:rFonts w:ascii="Times New Roman" w:hAnsi="Times New Roman"/>
                <w:b/>
                <w:bCs/>
                <w:color w:val="000000" w:themeColor="text1"/>
                <w:sz w:val="24"/>
                <w:szCs w:val="24"/>
              </w:rPr>
            </w:pPr>
          </w:p>
        </w:tc>
        <w:tc>
          <w:tcPr>
            <w:tcW w:w="6379" w:type="dxa"/>
            <w:gridSpan w:val="2"/>
            <w:tcBorders>
              <w:top w:val="single" w:sz="4" w:space="0" w:color="auto"/>
              <w:left w:val="single" w:sz="4" w:space="0" w:color="auto"/>
              <w:bottom w:val="single" w:sz="4" w:space="0" w:color="auto"/>
            </w:tcBorders>
            <w:vAlign w:val="center"/>
          </w:tcPr>
          <w:p w:rsidR="00385B00" w:rsidRPr="00C565E2" w:rsidRDefault="00385B00" w:rsidP="007379ED">
            <w:pPr>
              <w:widowControl/>
              <w:jc w:val="center"/>
              <w:rPr>
                <w:rFonts w:ascii="Times New Roman" w:hAnsi="Times New Roman"/>
                <w:b/>
                <w:bCs/>
                <w:color w:val="000000" w:themeColor="text1"/>
                <w:sz w:val="24"/>
                <w:szCs w:val="24"/>
              </w:rPr>
            </w:pPr>
            <w:r w:rsidRPr="00C565E2">
              <w:rPr>
                <w:rFonts w:ascii="Times New Roman" w:hAnsi="Times New Roman"/>
                <w:b/>
                <w:bCs/>
                <w:color w:val="000000" w:themeColor="text1"/>
                <w:sz w:val="24"/>
                <w:szCs w:val="24"/>
              </w:rPr>
              <w:t>podiel v %</w:t>
            </w:r>
          </w:p>
        </w:tc>
      </w:tr>
      <w:tr w:rsidR="00385B00" w:rsidRPr="00C565E2" w:rsidTr="007379ED">
        <w:trPr>
          <w:jc w:val="center"/>
        </w:trPr>
        <w:tc>
          <w:tcPr>
            <w:tcW w:w="2518" w:type="dxa"/>
            <w:tcBorders>
              <w:top w:val="single" w:sz="4" w:space="0" w:color="auto"/>
              <w:bottom w:val="single" w:sz="4" w:space="0" w:color="auto"/>
              <w:right w:val="single" w:sz="4" w:space="0" w:color="auto"/>
            </w:tcBorders>
            <w:vAlign w:val="center"/>
          </w:tcPr>
          <w:p w:rsidR="00385B00" w:rsidRPr="00C565E2" w:rsidRDefault="00385B00" w:rsidP="007379ED">
            <w:pPr>
              <w:widowControl/>
              <w:jc w:val="center"/>
              <w:rPr>
                <w:rFonts w:ascii="Times New Roman" w:hAnsi="Times New Roman"/>
                <w:color w:val="000000" w:themeColor="text1"/>
                <w:sz w:val="24"/>
                <w:szCs w:val="24"/>
              </w:rPr>
            </w:pPr>
            <w:r>
              <w:rPr>
                <w:rFonts w:ascii="Times New Roman" w:hAnsi="Times New Roman"/>
                <w:color w:val="000000" w:themeColor="text1"/>
                <w:sz w:val="24"/>
                <w:szCs w:val="24"/>
              </w:rPr>
              <w:t>2016</w:t>
            </w:r>
          </w:p>
        </w:tc>
        <w:tc>
          <w:tcPr>
            <w:tcW w:w="3260" w:type="dxa"/>
            <w:tcBorders>
              <w:top w:val="single" w:sz="4" w:space="0" w:color="auto"/>
              <w:left w:val="single" w:sz="4" w:space="0" w:color="auto"/>
              <w:bottom w:val="single" w:sz="4" w:space="0" w:color="auto"/>
              <w:right w:val="single" w:sz="4" w:space="0" w:color="auto"/>
            </w:tcBorders>
            <w:vAlign w:val="center"/>
          </w:tcPr>
          <w:p w:rsidR="00385B00" w:rsidRPr="00C565E2" w:rsidRDefault="00385B00" w:rsidP="007379ED">
            <w:pPr>
              <w:widowControl/>
              <w:jc w:val="center"/>
              <w:rPr>
                <w:rFonts w:ascii="Times New Roman" w:hAnsi="Times New Roman"/>
                <w:color w:val="000000" w:themeColor="text1"/>
                <w:sz w:val="24"/>
                <w:szCs w:val="24"/>
              </w:rPr>
            </w:pPr>
            <w:r w:rsidRPr="00C565E2">
              <w:rPr>
                <w:rFonts w:ascii="Times New Roman" w:hAnsi="Times New Roman"/>
                <w:color w:val="000000" w:themeColor="text1"/>
                <w:sz w:val="24"/>
                <w:szCs w:val="24"/>
              </w:rPr>
              <w:t>9</w:t>
            </w:r>
            <w:r>
              <w:rPr>
                <w:rFonts w:ascii="Times New Roman" w:hAnsi="Times New Roman"/>
                <w:color w:val="000000" w:themeColor="text1"/>
                <w:sz w:val="24"/>
                <w:szCs w:val="24"/>
              </w:rPr>
              <w:t>5</w:t>
            </w:r>
            <w:r w:rsidRPr="00C565E2">
              <w:rPr>
                <w:rFonts w:ascii="Times New Roman" w:hAnsi="Times New Roman"/>
                <w:color w:val="000000" w:themeColor="text1"/>
                <w:sz w:val="24"/>
                <w:szCs w:val="24"/>
              </w:rPr>
              <w:t>,</w:t>
            </w:r>
            <w:r>
              <w:rPr>
                <w:rFonts w:ascii="Times New Roman" w:hAnsi="Times New Roman"/>
                <w:color w:val="000000" w:themeColor="text1"/>
                <w:sz w:val="24"/>
                <w:szCs w:val="24"/>
              </w:rPr>
              <w:t>65</w:t>
            </w:r>
          </w:p>
        </w:tc>
        <w:tc>
          <w:tcPr>
            <w:tcW w:w="3119" w:type="dxa"/>
            <w:tcBorders>
              <w:top w:val="single" w:sz="4" w:space="0" w:color="auto"/>
              <w:left w:val="single" w:sz="4" w:space="0" w:color="auto"/>
              <w:bottom w:val="single" w:sz="4" w:space="0" w:color="auto"/>
            </w:tcBorders>
            <w:vAlign w:val="center"/>
          </w:tcPr>
          <w:p w:rsidR="00385B00" w:rsidRPr="00C565E2" w:rsidRDefault="00385B00" w:rsidP="007379ED">
            <w:pPr>
              <w:widowControl/>
              <w:jc w:val="center"/>
              <w:rPr>
                <w:rFonts w:ascii="Times New Roman" w:hAnsi="Times New Roman"/>
                <w:color w:val="000000" w:themeColor="text1"/>
                <w:sz w:val="24"/>
                <w:szCs w:val="24"/>
              </w:rPr>
            </w:pPr>
            <w:r>
              <w:rPr>
                <w:rFonts w:ascii="Times New Roman" w:hAnsi="Times New Roman"/>
                <w:color w:val="000000" w:themeColor="text1"/>
                <w:sz w:val="24"/>
                <w:szCs w:val="24"/>
              </w:rPr>
              <w:t>4,35</w:t>
            </w:r>
          </w:p>
        </w:tc>
      </w:tr>
      <w:tr w:rsidR="00385B00" w:rsidRPr="00C565E2" w:rsidTr="007379ED">
        <w:trPr>
          <w:jc w:val="center"/>
        </w:trPr>
        <w:tc>
          <w:tcPr>
            <w:tcW w:w="2518" w:type="dxa"/>
            <w:tcBorders>
              <w:top w:val="single" w:sz="4" w:space="0" w:color="auto"/>
              <w:bottom w:val="single" w:sz="4" w:space="0" w:color="auto"/>
              <w:right w:val="single" w:sz="4" w:space="0" w:color="auto"/>
            </w:tcBorders>
            <w:vAlign w:val="center"/>
          </w:tcPr>
          <w:p w:rsidR="00385B00" w:rsidRPr="00C565E2" w:rsidRDefault="00385B00" w:rsidP="007379ED">
            <w:pPr>
              <w:widowControl/>
              <w:jc w:val="center"/>
              <w:rPr>
                <w:rFonts w:ascii="Times New Roman" w:hAnsi="Times New Roman"/>
                <w:color w:val="000000" w:themeColor="text1"/>
                <w:sz w:val="24"/>
                <w:szCs w:val="24"/>
              </w:rPr>
            </w:pPr>
            <w:r>
              <w:rPr>
                <w:rFonts w:ascii="Times New Roman" w:hAnsi="Times New Roman"/>
                <w:color w:val="000000" w:themeColor="text1"/>
                <w:sz w:val="24"/>
                <w:szCs w:val="24"/>
              </w:rPr>
              <w:t>2017</w:t>
            </w:r>
          </w:p>
        </w:tc>
        <w:tc>
          <w:tcPr>
            <w:tcW w:w="3260" w:type="dxa"/>
            <w:tcBorders>
              <w:top w:val="single" w:sz="4" w:space="0" w:color="auto"/>
              <w:left w:val="single" w:sz="4" w:space="0" w:color="auto"/>
              <w:bottom w:val="single" w:sz="4" w:space="0" w:color="auto"/>
              <w:right w:val="single" w:sz="4" w:space="0" w:color="auto"/>
            </w:tcBorders>
            <w:vAlign w:val="center"/>
          </w:tcPr>
          <w:p w:rsidR="00385B00" w:rsidRPr="00C565E2" w:rsidRDefault="00385B00" w:rsidP="007379ED">
            <w:pPr>
              <w:widowControl/>
              <w:jc w:val="center"/>
              <w:rPr>
                <w:rFonts w:ascii="Times New Roman" w:hAnsi="Times New Roman"/>
                <w:color w:val="000000" w:themeColor="text1"/>
                <w:sz w:val="24"/>
                <w:szCs w:val="24"/>
              </w:rPr>
            </w:pPr>
            <w:r w:rsidRPr="00C565E2">
              <w:rPr>
                <w:rFonts w:ascii="Times New Roman" w:hAnsi="Times New Roman"/>
                <w:color w:val="000000" w:themeColor="text1"/>
                <w:sz w:val="24"/>
                <w:szCs w:val="24"/>
              </w:rPr>
              <w:t>95,64</w:t>
            </w:r>
          </w:p>
        </w:tc>
        <w:tc>
          <w:tcPr>
            <w:tcW w:w="3119" w:type="dxa"/>
            <w:tcBorders>
              <w:top w:val="single" w:sz="4" w:space="0" w:color="auto"/>
              <w:left w:val="single" w:sz="4" w:space="0" w:color="auto"/>
              <w:bottom w:val="single" w:sz="4" w:space="0" w:color="auto"/>
            </w:tcBorders>
            <w:vAlign w:val="center"/>
          </w:tcPr>
          <w:p w:rsidR="00385B00" w:rsidRPr="00C565E2" w:rsidRDefault="00385B00" w:rsidP="007379ED">
            <w:pPr>
              <w:widowControl/>
              <w:jc w:val="center"/>
              <w:rPr>
                <w:rFonts w:ascii="Times New Roman" w:hAnsi="Times New Roman"/>
                <w:color w:val="000000" w:themeColor="text1"/>
                <w:sz w:val="24"/>
                <w:szCs w:val="24"/>
              </w:rPr>
            </w:pPr>
            <w:r w:rsidRPr="00C565E2">
              <w:rPr>
                <w:rFonts w:ascii="Times New Roman" w:hAnsi="Times New Roman"/>
                <w:color w:val="000000" w:themeColor="text1"/>
                <w:sz w:val="24"/>
                <w:szCs w:val="24"/>
              </w:rPr>
              <w:t>4,36</w:t>
            </w:r>
          </w:p>
        </w:tc>
      </w:tr>
      <w:tr w:rsidR="00385B00" w:rsidRPr="00C565E2" w:rsidTr="007379ED">
        <w:trPr>
          <w:jc w:val="center"/>
        </w:trPr>
        <w:tc>
          <w:tcPr>
            <w:tcW w:w="2518" w:type="dxa"/>
            <w:tcBorders>
              <w:top w:val="single" w:sz="4" w:space="0" w:color="auto"/>
              <w:bottom w:val="single" w:sz="4" w:space="0" w:color="auto"/>
              <w:right w:val="single" w:sz="4" w:space="0" w:color="auto"/>
            </w:tcBorders>
            <w:vAlign w:val="center"/>
          </w:tcPr>
          <w:p w:rsidR="00385B00" w:rsidRPr="00C565E2" w:rsidRDefault="00385B00" w:rsidP="007379ED">
            <w:pPr>
              <w:widowControl/>
              <w:jc w:val="center"/>
              <w:rPr>
                <w:rFonts w:ascii="Times New Roman" w:hAnsi="Times New Roman"/>
                <w:color w:val="000000" w:themeColor="text1"/>
                <w:sz w:val="24"/>
                <w:szCs w:val="24"/>
              </w:rPr>
            </w:pPr>
            <w:r>
              <w:rPr>
                <w:rFonts w:ascii="Times New Roman" w:hAnsi="Times New Roman"/>
                <w:color w:val="000000" w:themeColor="text1"/>
                <w:sz w:val="24"/>
                <w:szCs w:val="24"/>
              </w:rPr>
              <w:t>2018</w:t>
            </w:r>
          </w:p>
        </w:tc>
        <w:tc>
          <w:tcPr>
            <w:tcW w:w="3260" w:type="dxa"/>
            <w:tcBorders>
              <w:top w:val="single" w:sz="4" w:space="0" w:color="auto"/>
              <w:left w:val="single" w:sz="4" w:space="0" w:color="auto"/>
              <w:bottom w:val="single" w:sz="4" w:space="0" w:color="auto"/>
              <w:right w:val="single" w:sz="4" w:space="0" w:color="auto"/>
            </w:tcBorders>
            <w:vAlign w:val="center"/>
          </w:tcPr>
          <w:p w:rsidR="00385B00" w:rsidRPr="00C565E2" w:rsidRDefault="00385B00" w:rsidP="007379ED">
            <w:pPr>
              <w:widowControl/>
              <w:jc w:val="center"/>
              <w:rPr>
                <w:rFonts w:ascii="Times New Roman" w:hAnsi="Times New Roman"/>
                <w:color w:val="000000" w:themeColor="text1"/>
                <w:sz w:val="24"/>
                <w:szCs w:val="24"/>
              </w:rPr>
            </w:pPr>
            <w:r>
              <w:rPr>
                <w:rFonts w:ascii="Times New Roman" w:hAnsi="Times New Roman"/>
                <w:color w:val="000000" w:themeColor="text1"/>
                <w:sz w:val="24"/>
                <w:szCs w:val="24"/>
              </w:rPr>
              <w:t>95</w:t>
            </w:r>
            <w:r w:rsidRPr="00C565E2">
              <w:rPr>
                <w:rFonts w:ascii="Times New Roman" w:hAnsi="Times New Roman"/>
                <w:color w:val="000000" w:themeColor="text1"/>
                <w:sz w:val="24"/>
                <w:szCs w:val="24"/>
              </w:rPr>
              <w:t>,</w:t>
            </w:r>
            <w:r>
              <w:rPr>
                <w:rFonts w:ascii="Times New Roman" w:hAnsi="Times New Roman"/>
                <w:color w:val="000000" w:themeColor="text1"/>
                <w:sz w:val="24"/>
                <w:szCs w:val="24"/>
              </w:rPr>
              <w:t>39</w:t>
            </w:r>
          </w:p>
        </w:tc>
        <w:tc>
          <w:tcPr>
            <w:tcW w:w="3119" w:type="dxa"/>
            <w:tcBorders>
              <w:top w:val="single" w:sz="4" w:space="0" w:color="auto"/>
              <w:left w:val="single" w:sz="4" w:space="0" w:color="auto"/>
              <w:bottom w:val="single" w:sz="4" w:space="0" w:color="auto"/>
            </w:tcBorders>
            <w:vAlign w:val="center"/>
          </w:tcPr>
          <w:p w:rsidR="00385B00" w:rsidRPr="00C565E2" w:rsidRDefault="00385B00" w:rsidP="007379ED">
            <w:pPr>
              <w:widowControl/>
              <w:jc w:val="center"/>
              <w:rPr>
                <w:rFonts w:ascii="Times New Roman" w:hAnsi="Times New Roman"/>
                <w:color w:val="000000" w:themeColor="text1"/>
                <w:sz w:val="24"/>
                <w:szCs w:val="24"/>
              </w:rPr>
            </w:pPr>
            <w:r>
              <w:rPr>
                <w:rFonts w:ascii="Times New Roman" w:hAnsi="Times New Roman"/>
                <w:color w:val="000000" w:themeColor="text1"/>
                <w:sz w:val="24"/>
                <w:szCs w:val="24"/>
              </w:rPr>
              <w:t>4,61</w:t>
            </w:r>
          </w:p>
        </w:tc>
      </w:tr>
    </w:tbl>
    <w:p w:rsidR="00385B00" w:rsidRPr="00C565E2" w:rsidRDefault="00385B00" w:rsidP="00385B00">
      <w:pPr>
        <w:widowControl/>
        <w:spacing w:line="360" w:lineRule="auto"/>
        <w:jc w:val="both"/>
        <w:rPr>
          <w:rFonts w:ascii="Times New Roman" w:hAnsi="Times New Roman"/>
          <w:color w:val="000000" w:themeColor="text1"/>
          <w:sz w:val="24"/>
          <w:szCs w:val="24"/>
        </w:rPr>
      </w:pPr>
    </w:p>
    <w:p w:rsidR="00385B00" w:rsidRPr="00C565E2" w:rsidRDefault="00385B00" w:rsidP="00385B00">
      <w:pPr>
        <w:widowControl/>
        <w:spacing w:line="360" w:lineRule="auto"/>
        <w:jc w:val="both"/>
        <w:rPr>
          <w:rFonts w:ascii="Times New Roman" w:hAnsi="Times New Roman"/>
          <w:color w:val="000000" w:themeColor="text1"/>
          <w:sz w:val="24"/>
          <w:szCs w:val="24"/>
        </w:rPr>
      </w:pPr>
      <w:r w:rsidRPr="00C565E2">
        <w:rPr>
          <w:rFonts w:ascii="Times New Roman" w:hAnsi="Times New Roman"/>
          <w:color w:val="000000" w:themeColor="text1"/>
          <w:sz w:val="24"/>
          <w:szCs w:val="24"/>
        </w:rPr>
        <w:tab/>
        <w:t>V záujme preukázania hodnoty majetku,  záväzkov a rozdielu majetku a záväzkov bola v Sociálnej poisťovni vykonaná inventarizácia k 31. 12. </w:t>
      </w:r>
      <w:r>
        <w:rPr>
          <w:rFonts w:ascii="Times New Roman" w:hAnsi="Times New Roman"/>
          <w:color w:val="000000" w:themeColor="text1"/>
          <w:sz w:val="24"/>
          <w:szCs w:val="24"/>
        </w:rPr>
        <w:t>2018</w:t>
      </w:r>
      <w:r w:rsidRPr="00C565E2">
        <w:rPr>
          <w:rFonts w:ascii="Times New Roman" w:hAnsi="Times New Roman"/>
          <w:color w:val="000000" w:themeColor="text1"/>
          <w:sz w:val="24"/>
          <w:szCs w:val="24"/>
        </w:rPr>
        <w:t>, ktorá overila vecnú správnosť účtovníctva porovnaním so skutočnosťou. Organizačne bola vykonaná v súlade so samostatným vnútorným riadiacim aktom na úrovni organizačných zložiek Sociálnej poisťovne.</w:t>
      </w:r>
    </w:p>
    <w:p w:rsidR="00385B00" w:rsidRPr="00C565E2" w:rsidRDefault="00385B00" w:rsidP="00385B00">
      <w:pPr>
        <w:widowControl/>
        <w:spacing w:line="360" w:lineRule="auto"/>
        <w:jc w:val="both"/>
        <w:rPr>
          <w:rFonts w:ascii="Times New Roman" w:hAnsi="Times New Roman"/>
          <w:color w:val="000000" w:themeColor="text1"/>
          <w:sz w:val="24"/>
          <w:szCs w:val="24"/>
        </w:rPr>
      </w:pPr>
    </w:p>
    <w:p w:rsidR="00385B00" w:rsidRPr="00C565E2" w:rsidRDefault="00385B00" w:rsidP="00385B00">
      <w:pPr>
        <w:widowControl/>
        <w:spacing w:line="360" w:lineRule="auto"/>
        <w:jc w:val="both"/>
        <w:rPr>
          <w:rFonts w:ascii="Times New Roman" w:hAnsi="Times New Roman"/>
          <w:color w:val="000000" w:themeColor="text1"/>
          <w:sz w:val="24"/>
          <w:szCs w:val="24"/>
        </w:rPr>
      </w:pPr>
      <w:r w:rsidRPr="00C565E2">
        <w:rPr>
          <w:rFonts w:ascii="Times New Roman" w:hAnsi="Times New Roman"/>
          <w:color w:val="000000" w:themeColor="text1"/>
          <w:sz w:val="24"/>
          <w:szCs w:val="24"/>
        </w:rPr>
        <w:tab/>
        <w:t>Skutočné stavy majetku nehmotnej, hmotnej povahy a peňažných prostriedkov v hotovosti boli zistené fyzickou inventúrou. Pri záväzkoch a tých zložkách majetku, u ktorých nebolo možné vykonať fyzickú inventúru, bola uskutočnená dokladová inventúra, resp. v niektorých prípadoch bola vykonaná kombinovaným spôsobom.</w:t>
      </w:r>
    </w:p>
    <w:p w:rsidR="00385B00" w:rsidRPr="00C565E2" w:rsidRDefault="00385B00" w:rsidP="00385B00">
      <w:pPr>
        <w:widowControl/>
        <w:spacing w:line="360" w:lineRule="auto"/>
        <w:jc w:val="both"/>
        <w:rPr>
          <w:rFonts w:ascii="Times New Roman" w:hAnsi="Times New Roman"/>
          <w:b/>
          <w:color w:val="000000" w:themeColor="text1"/>
          <w:sz w:val="24"/>
          <w:szCs w:val="24"/>
        </w:rPr>
      </w:pPr>
      <w:r w:rsidRPr="00C565E2">
        <w:rPr>
          <w:rFonts w:ascii="Times New Roman" w:hAnsi="Times New Roman"/>
          <w:color w:val="000000" w:themeColor="text1"/>
          <w:sz w:val="24"/>
          <w:szCs w:val="24"/>
        </w:rPr>
        <w:tab/>
      </w:r>
      <w:r w:rsidRPr="00C565E2">
        <w:rPr>
          <w:rFonts w:ascii="Times New Roman" w:hAnsi="Times New Roman"/>
          <w:b/>
          <w:color w:val="000000" w:themeColor="text1"/>
          <w:sz w:val="24"/>
          <w:szCs w:val="24"/>
        </w:rPr>
        <w:t xml:space="preserve">Predmetom inventarizácie bol </w:t>
      </w:r>
    </w:p>
    <w:p w:rsidR="00385B00" w:rsidRPr="00C565E2" w:rsidRDefault="00385B00" w:rsidP="00385B00">
      <w:pPr>
        <w:widowControl/>
        <w:numPr>
          <w:ilvl w:val="0"/>
          <w:numId w:val="1"/>
        </w:numPr>
        <w:spacing w:line="360" w:lineRule="auto"/>
        <w:ind w:left="567" w:hanging="567"/>
        <w:jc w:val="both"/>
        <w:rPr>
          <w:rFonts w:ascii="Times New Roman" w:hAnsi="Times New Roman"/>
          <w:color w:val="000000" w:themeColor="text1"/>
          <w:sz w:val="24"/>
          <w:szCs w:val="24"/>
        </w:rPr>
      </w:pPr>
      <w:r w:rsidRPr="00C565E2">
        <w:rPr>
          <w:rFonts w:ascii="Times New Roman" w:hAnsi="Times New Roman"/>
          <w:color w:val="000000" w:themeColor="text1"/>
          <w:sz w:val="24"/>
          <w:szCs w:val="24"/>
        </w:rPr>
        <w:t>dlhodobý hmotný majetok (DLHM) a drobný hmotný majetok (DHM),</w:t>
      </w:r>
    </w:p>
    <w:p w:rsidR="00385B00" w:rsidRPr="00C565E2" w:rsidRDefault="00385B00" w:rsidP="00385B00">
      <w:pPr>
        <w:widowControl/>
        <w:numPr>
          <w:ilvl w:val="0"/>
          <w:numId w:val="1"/>
        </w:numPr>
        <w:spacing w:line="360" w:lineRule="auto"/>
        <w:ind w:left="567" w:hanging="567"/>
        <w:jc w:val="both"/>
        <w:rPr>
          <w:rFonts w:ascii="Times New Roman" w:hAnsi="Times New Roman"/>
          <w:color w:val="000000" w:themeColor="text1"/>
          <w:sz w:val="24"/>
          <w:szCs w:val="24"/>
        </w:rPr>
      </w:pPr>
      <w:r w:rsidRPr="00C565E2">
        <w:rPr>
          <w:rFonts w:ascii="Times New Roman" w:hAnsi="Times New Roman"/>
          <w:color w:val="000000" w:themeColor="text1"/>
          <w:sz w:val="24"/>
          <w:szCs w:val="24"/>
        </w:rPr>
        <w:t xml:space="preserve">dlhodobý nehmotný majetok (DLNM) a drobný nehmotný majetok (DNM), </w:t>
      </w:r>
    </w:p>
    <w:p w:rsidR="00385B00" w:rsidRDefault="00385B00" w:rsidP="00385B00">
      <w:pPr>
        <w:widowControl/>
        <w:numPr>
          <w:ilvl w:val="0"/>
          <w:numId w:val="1"/>
        </w:numPr>
        <w:spacing w:line="360" w:lineRule="auto"/>
        <w:ind w:left="567" w:hanging="567"/>
        <w:jc w:val="both"/>
        <w:rPr>
          <w:rFonts w:ascii="Times New Roman" w:hAnsi="Times New Roman"/>
          <w:color w:val="000000" w:themeColor="text1"/>
          <w:sz w:val="24"/>
          <w:szCs w:val="24"/>
        </w:rPr>
      </w:pPr>
      <w:r w:rsidRPr="00C565E2">
        <w:rPr>
          <w:rFonts w:ascii="Times New Roman" w:hAnsi="Times New Roman"/>
          <w:color w:val="000000" w:themeColor="text1"/>
          <w:sz w:val="24"/>
          <w:szCs w:val="24"/>
        </w:rPr>
        <w:t>zásoby,</w:t>
      </w:r>
    </w:p>
    <w:p w:rsidR="00385B00" w:rsidRPr="00FB1205" w:rsidRDefault="00385B00" w:rsidP="00385B00">
      <w:pPr>
        <w:widowControl/>
        <w:numPr>
          <w:ilvl w:val="0"/>
          <w:numId w:val="1"/>
        </w:numPr>
        <w:spacing w:line="360" w:lineRule="auto"/>
        <w:ind w:left="567" w:hanging="567"/>
        <w:jc w:val="both"/>
        <w:rPr>
          <w:rFonts w:ascii="Times New Roman" w:hAnsi="Times New Roman"/>
          <w:color w:val="000000" w:themeColor="text1"/>
          <w:sz w:val="24"/>
          <w:szCs w:val="24"/>
        </w:rPr>
      </w:pPr>
      <w:r w:rsidRPr="00FB1205">
        <w:rPr>
          <w:rFonts w:ascii="Times New Roman" w:hAnsi="Times New Roman"/>
          <w:color w:val="000000" w:themeColor="text1"/>
          <w:sz w:val="24"/>
          <w:szCs w:val="24"/>
        </w:rPr>
        <w:t>obstaranie DLHM a DLNM, poskytnuté preddavky na DLHM a DLNM, odpisy DLHM a DLNM a oprávky k DLHM a DLNM, dlhodobé a krátkodobé pohľadávky, finančný majetok (napr. pokladničná hotovosť, peňažné prostriedky na bankových účtoch, ceniny a pod.), prechodné účty aktív, dlhodobé a krátkodobé záväzky, prechodné účty pasív, rozdiel majetku a záväzkov a zostatky na podsúvahových účtoch.</w:t>
      </w:r>
    </w:p>
    <w:p w:rsidR="00385B00" w:rsidRDefault="00385B00" w:rsidP="00385B00">
      <w:pPr>
        <w:widowControl/>
        <w:spacing w:line="360" w:lineRule="auto"/>
        <w:ind w:left="454"/>
        <w:jc w:val="both"/>
        <w:rPr>
          <w:rFonts w:ascii="Times New Roman" w:hAnsi="Times New Roman"/>
          <w:color w:val="000000" w:themeColor="text1"/>
          <w:sz w:val="24"/>
          <w:szCs w:val="24"/>
        </w:rPr>
      </w:pPr>
    </w:p>
    <w:p w:rsidR="00385B00" w:rsidRPr="00C565E2" w:rsidRDefault="00385B00" w:rsidP="00385B00">
      <w:pPr>
        <w:widowControl/>
        <w:spacing w:line="360" w:lineRule="auto"/>
        <w:ind w:firstLine="454"/>
        <w:jc w:val="both"/>
        <w:rPr>
          <w:rFonts w:ascii="Times New Roman" w:hAnsi="Times New Roman"/>
          <w:color w:val="000000" w:themeColor="text1"/>
          <w:sz w:val="24"/>
          <w:szCs w:val="24"/>
        </w:rPr>
      </w:pPr>
      <w:r w:rsidRPr="00C565E2">
        <w:rPr>
          <w:rFonts w:ascii="Times New Roman" w:hAnsi="Times New Roman"/>
          <w:color w:val="000000" w:themeColor="text1"/>
          <w:sz w:val="24"/>
          <w:szCs w:val="24"/>
        </w:rPr>
        <w:t>Predmetom inventarizácie je okrem vlastného majetku Sociálnej poisťovne a majetku štátu, ktorý Sociálna poisťovňa spravuje aj majetok, ktorý nie je vo vlastníctve Sociálnej poisťovne, ale</w:t>
      </w:r>
      <w:r>
        <w:rPr>
          <w:rFonts w:ascii="Times New Roman" w:hAnsi="Times New Roman"/>
          <w:color w:val="000000" w:themeColor="text1"/>
          <w:sz w:val="24"/>
          <w:szCs w:val="24"/>
        </w:rPr>
        <w:t> </w:t>
      </w:r>
      <w:r w:rsidRPr="00C565E2">
        <w:rPr>
          <w:rFonts w:ascii="Times New Roman" w:hAnsi="Times New Roman"/>
          <w:color w:val="000000" w:themeColor="text1"/>
          <w:sz w:val="24"/>
          <w:szCs w:val="24"/>
        </w:rPr>
        <w:t>je v čas</w:t>
      </w:r>
      <w:r>
        <w:rPr>
          <w:rFonts w:ascii="Times New Roman" w:hAnsi="Times New Roman"/>
          <w:color w:val="000000" w:themeColor="text1"/>
          <w:sz w:val="24"/>
          <w:szCs w:val="24"/>
        </w:rPr>
        <w:t>e inventarizácie v jej užívaní.</w:t>
      </w:r>
    </w:p>
    <w:p w:rsidR="00385B00" w:rsidRPr="00C565E2" w:rsidRDefault="00385B00" w:rsidP="00385B00">
      <w:pPr>
        <w:widowControl/>
        <w:spacing w:line="360" w:lineRule="auto"/>
        <w:jc w:val="both"/>
        <w:rPr>
          <w:rFonts w:ascii="Times New Roman" w:hAnsi="Times New Roman"/>
          <w:color w:val="000000" w:themeColor="text1"/>
          <w:sz w:val="24"/>
          <w:szCs w:val="24"/>
        </w:rPr>
      </w:pPr>
    </w:p>
    <w:p w:rsidR="00385B00" w:rsidRPr="00C565E2" w:rsidRDefault="00385B00" w:rsidP="00385B00">
      <w:pPr>
        <w:widowControl/>
        <w:spacing w:line="360" w:lineRule="auto"/>
        <w:jc w:val="both"/>
        <w:rPr>
          <w:rFonts w:ascii="Times New Roman" w:hAnsi="Times New Roman"/>
          <w:b/>
          <w:bCs/>
          <w:color w:val="000000" w:themeColor="text1"/>
          <w:sz w:val="24"/>
          <w:szCs w:val="24"/>
        </w:rPr>
      </w:pPr>
      <w:r w:rsidRPr="00C565E2">
        <w:rPr>
          <w:rFonts w:ascii="Times New Roman" w:hAnsi="Times New Roman"/>
          <w:b/>
          <w:bCs/>
          <w:color w:val="000000" w:themeColor="text1"/>
          <w:sz w:val="24"/>
          <w:szCs w:val="24"/>
        </w:rPr>
        <w:t>(1)</w:t>
      </w:r>
      <w:r w:rsidRPr="00C565E2">
        <w:rPr>
          <w:rFonts w:ascii="Times New Roman" w:hAnsi="Times New Roman"/>
          <w:b/>
          <w:bCs/>
          <w:color w:val="000000" w:themeColor="text1"/>
          <w:sz w:val="24"/>
          <w:szCs w:val="24"/>
        </w:rPr>
        <w:tab/>
        <w:t xml:space="preserve">Údaje o dlhodobom nehmotnom majetku a  dlhodobom hmotnom majetku za rok </w:t>
      </w:r>
      <w:r>
        <w:rPr>
          <w:rFonts w:ascii="Times New Roman" w:hAnsi="Times New Roman"/>
          <w:b/>
          <w:bCs/>
          <w:color w:val="000000" w:themeColor="text1"/>
          <w:sz w:val="24"/>
          <w:szCs w:val="24"/>
        </w:rPr>
        <w:t>2018</w:t>
      </w:r>
    </w:p>
    <w:p w:rsidR="00385B00" w:rsidRPr="00C565E2" w:rsidRDefault="00385B00" w:rsidP="00385B00">
      <w:pPr>
        <w:widowControl/>
        <w:spacing w:line="360" w:lineRule="auto"/>
        <w:jc w:val="both"/>
        <w:rPr>
          <w:rFonts w:ascii="Times New Roman" w:hAnsi="Times New Roman"/>
          <w:b/>
          <w:bCs/>
          <w:color w:val="000000" w:themeColor="text1"/>
          <w:sz w:val="24"/>
          <w:szCs w:val="24"/>
        </w:rPr>
      </w:pPr>
    </w:p>
    <w:p w:rsidR="00385B00" w:rsidRPr="0055683F" w:rsidRDefault="00385B00" w:rsidP="00385B00">
      <w:pPr>
        <w:widowControl/>
        <w:spacing w:line="360" w:lineRule="auto"/>
        <w:ind w:firstLine="510"/>
        <w:jc w:val="both"/>
        <w:rPr>
          <w:rFonts w:ascii="Times New Roman" w:hAnsi="Times New Roman"/>
          <w:sz w:val="24"/>
        </w:rPr>
      </w:pPr>
      <w:r w:rsidRPr="0055683F">
        <w:rPr>
          <w:rFonts w:ascii="Times New Roman" w:hAnsi="Times New Roman"/>
          <w:sz w:val="24"/>
        </w:rPr>
        <w:t>Úhrn neobežného majetku po korekcii oprávok k</w:t>
      </w:r>
      <w:r w:rsidRPr="0046266F">
        <w:rPr>
          <w:rFonts w:ascii="Times New Roman" w:hAnsi="Times New Roman"/>
          <w:sz w:val="24"/>
          <w:szCs w:val="24"/>
        </w:rPr>
        <w:t xml:space="preserve"> </w:t>
      </w:r>
      <w:r w:rsidRPr="0055683F">
        <w:rPr>
          <w:rFonts w:ascii="Times New Roman" w:hAnsi="Times New Roman"/>
          <w:sz w:val="24"/>
        </w:rPr>
        <w:t>31. 12. 2018                           (77 </w:t>
      </w:r>
      <w:r w:rsidRPr="0046266F">
        <w:rPr>
          <w:rFonts w:ascii="Times New Roman" w:hAnsi="Times New Roman"/>
          <w:sz w:val="24"/>
          <w:szCs w:val="24"/>
        </w:rPr>
        <w:t>375 369,47</w:t>
      </w:r>
      <w:r w:rsidRPr="0055683F">
        <w:rPr>
          <w:rFonts w:ascii="Times New Roman" w:hAnsi="Times New Roman"/>
          <w:sz w:val="24"/>
        </w:rPr>
        <w:t xml:space="preserve"> EUR) sa znížil v  porovnaní so začiatočným zostatkom vykázaným v tabuľke č. 2 „Stav a pohyb dlhodobého nehmotného a  hmotného majetku k 31. 12. 2018“           (</w:t>
      </w:r>
      <w:r w:rsidRPr="0046266F">
        <w:rPr>
          <w:rFonts w:ascii="Times New Roman" w:hAnsi="Times New Roman"/>
          <w:sz w:val="24"/>
          <w:szCs w:val="24"/>
        </w:rPr>
        <w:t>77 586 060,25</w:t>
      </w:r>
      <w:r w:rsidRPr="0055683F">
        <w:rPr>
          <w:rFonts w:ascii="Times New Roman" w:hAnsi="Times New Roman"/>
          <w:sz w:val="24"/>
        </w:rPr>
        <w:t xml:space="preserve"> EUR) o objem </w:t>
      </w:r>
      <w:r w:rsidRPr="0046266F">
        <w:rPr>
          <w:rFonts w:ascii="Times New Roman" w:hAnsi="Times New Roman"/>
          <w:sz w:val="24"/>
          <w:szCs w:val="24"/>
        </w:rPr>
        <w:t>210 690,78</w:t>
      </w:r>
      <w:r w:rsidRPr="0055683F">
        <w:rPr>
          <w:rFonts w:ascii="Times New Roman" w:hAnsi="Times New Roman"/>
          <w:sz w:val="24"/>
        </w:rPr>
        <w:t xml:space="preserve"> EUR, t. j. zaznamenaný index zníženia 0,</w:t>
      </w:r>
      <w:r w:rsidRPr="0046266F">
        <w:rPr>
          <w:rFonts w:ascii="Times New Roman" w:hAnsi="Times New Roman"/>
          <w:sz w:val="24"/>
          <w:szCs w:val="24"/>
        </w:rPr>
        <w:t>99</w:t>
      </w:r>
      <w:r w:rsidRPr="0055683F">
        <w:rPr>
          <w:rFonts w:ascii="Times New Roman" w:hAnsi="Times New Roman"/>
          <w:sz w:val="24"/>
        </w:rPr>
        <w:t>.</w:t>
      </w:r>
    </w:p>
    <w:p w:rsidR="00385B00" w:rsidRPr="0055683F" w:rsidRDefault="00385B00" w:rsidP="00385B00">
      <w:pPr>
        <w:widowControl/>
        <w:spacing w:line="360" w:lineRule="auto"/>
        <w:jc w:val="both"/>
        <w:rPr>
          <w:rFonts w:ascii="Times New Roman" w:hAnsi="Times New Roman"/>
          <w:sz w:val="24"/>
        </w:rPr>
      </w:pPr>
    </w:p>
    <w:p w:rsidR="00385B00" w:rsidRPr="0055683F" w:rsidRDefault="00385B00" w:rsidP="00385B00">
      <w:pPr>
        <w:widowControl/>
        <w:spacing w:line="360" w:lineRule="auto"/>
        <w:ind w:firstLine="510"/>
        <w:jc w:val="both"/>
        <w:rPr>
          <w:rFonts w:ascii="Times New Roman" w:hAnsi="Times New Roman"/>
          <w:sz w:val="24"/>
        </w:rPr>
      </w:pPr>
      <w:r w:rsidRPr="0055683F">
        <w:rPr>
          <w:rFonts w:ascii="Times New Roman" w:hAnsi="Times New Roman"/>
          <w:sz w:val="24"/>
        </w:rPr>
        <w:t>Neobežný majetok k 31. 12. 2018 vyjadruje stav DLNM a DLHM  v obstarávacích cenách (</w:t>
      </w:r>
      <w:r w:rsidRPr="0046266F">
        <w:rPr>
          <w:rFonts w:ascii="Times New Roman" w:hAnsi="Times New Roman"/>
          <w:sz w:val="24"/>
          <w:szCs w:val="24"/>
        </w:rPr>
        <w:t>210 002 226,61</w:t>
      </w:r>
      <w:r w:rsidRPr="0055683F">
        <w:rPr>
          <w:rFonts w:ascii="Times New Roman" w:hAnsi="Times New Roman"/>
          <w:sz w:val="24"/>
        </w:rPr>
        <w:t xml:space="preserve"> EUR), ktorého opotrebenie je vyjadrené v objeme oprávok zaúčtovaných k DLNM a DLHM  v sume </w:t>
      </w:r>
      <w:r w:rsidRPr="0046266F">
        <w:rPr>
          <w:rFonts w:ascii="Times New Roman" w:hAnsi="Times New Roman"/>
          <w:sz w:val="24"/>
          <w:szCs w:val="24"/>
        </w:rPr>
        <w:t>132 626 857,14</w:t>
      </w:r>
      <w:r w:rsidRPr="0055683F">
        <w:rPr>
          <w:rFonts w:ascii="Times New Roman" w:hAnsi="Times New Roman"/>
          <w:sz w:val="24"/>
        </w:rPr>
        <w:t xml:space="preserve"> EUR. Súčasťou neobežného majetku sú účty obstarania DLNM a DLHM  (</w:t>
      </w:r>
      <w:r w:rsidRPr="0046266F">
        <w:rPr>
          <w:rFonts w:ascii="Times New Roman" w:hAnsi="Times New Roman"/>
          <w:sz w:val="24"/>
          <w:szCs w:val="24"/>
        </w:rPr>
        <w:t>4 572 061,43</w:t>
      </w:r>
      <w:r w:rsidRPr="0055683F">
        <w:rPr>
          <w:rFonts w:ascii="Times New Roman" w:hAnsi="Times New Roman"/>
          <w:sz w:val="24"/>
        </w:rPr>
        <w:t xml:space="preserve"> EUR). Vyjadrujú hodnotu obstarávaného DLNM a DLHM do doby jeho uvedenia do používania, vrátane ostatných výdavkov súvisiacich s jeho obstaraním.</w:t>
      </w:r>
    </w:p>
    <w:p w:rsidR="00385B00" w:rsidRPr="0055683F" w:rsidRDefault="00385B00" w:rsidP="00385B00">
      <w:pPr>
        <w:widowControl/>
        <w:spacing w:line="360" w:lineRule="auto"/>
        <w:ind w:firstLine="510"/>
        <w:jc w:val="both"/>
        <w:rPr>
          <w:rFonts w:ascii="Times New Roman" w:hAnsi="Times New Roman"/>
          <w:sz w:val="24"/>
        </w:rPr>
      </w:pPr>
    </w:p>
    <w:p w:rsidR="00385B00" w:rsidRPr="0055683F" w:rsidRDefault="00385B00" w:rsidP="00385B00">
      <w:pPr>
        <w:widowControl/>
        <w:spacing w:line="360" w:lineRule="auto"/>
        <w:ind w:firstLine="510"/>
        <w:jc w:val="both"/>
        <w:rPr>
          <w:rFonts w:ascii="Times New Roman" w:hAnsi="Times New Roman"/>
          <w:sz w:val="24"/>
        </w:rPr>
      </w:pPr>
      <w:r w:rsidRPr="0055683F">
        <w:rPr>
          <w:rFonts w:ascii="Times New Roman" w:hAnsi="Times New Roman"/>
          <w:sz w:val="24"/>
        </w:rPr>
        <w:t>Pri hodnotení stavu jednotlivých zložiek majetku tvoriacich neobežný majetok bola použitá ich obstarávacia cena.</w:t>
      </w:r>
    </w:p>
    <w:p w:rsidR="00385B00" w:rsidRPr="0046266F" w:rsidRDefault="00385B00" w:rsidP="00385B00">
      <w:pPr>
        <w:widowControl/>
        <w:spacing w:line="360" w:lineRule="auto"/>
        <w:ind w:firstLine="510"/>
        <w:jc w:val="both"/>
        <w:rPr>
          <w:rFonts w:ascii="Times New Roman" w:hAnsi="Times New Roman"/>
          <w:sz w:val="24"/>
          <w:szCs w:val="24"/>
        </w:rPr>
      </w:pPr>
    </w:p>
    <w:p w:rsidR="00385B00" w:rsidRPr="0055683F" w:rsidRDefault="00385B00" w:rsidP="00385B00">
      <w:pPr>
        <w:widowControl/>
        <w:spacing w:line="360" w:lineRule="auto"/>
        <w:ind w:firstLine="510"/>
        <w:jc w:val="both"/>
        <w:rPr>
          <w:rFonts w:ascii="Times New Roman" w:hAnsi="Times New Roman"/>
          <w:sz w:val="24"/>
        </w:rPr>
      </w:pPr>
      <w:r w:rsidRPr="0055683F">
        <w:rPr>
          <w:rFonts w:ascii="Times New Roman" w:hAnsi="Times New Roman"/>
          <w:sz w:val="24"/>
        </w:rPr>
        <w:t>Stav DLNM a DLHM k 31. 12. 2018 zaznamenal v porovnaní so stavom k 1. 1. 2018 celkový index 1,</w:t>
      </w:r>
      <w:r w:rsidRPr="0046266F">
        <w:rPr>
          <w:rFonts w:ascii="Times New Roman" w:hAnsi="Times New Roman"/>
          <w:sz w:val="24"/>
          <w:szCs w:val="24"/>
        </w:rPr>
        <w:t>01</w:t>
      </w:r>
      <w:r w:rsidRPr="0055683F">
        <w:rPr>
          <w:rFonts w:ascii="Times New Roman" w:hAnsi="Times New Roman"/>
          <w:sz w:val="24"/>
        </w:rPr>
        <w:t>; v tom: ústredie 1,</w:t>
      </w:r>
      <w:r w:rsidRPr="0046266F">
        <w:rPr>
          <w:rFonts w:ascii="Times New Roman" w:hAnsi="Times New Roman"/>
          <w:sz w:val="24"/>
          <w:szCs w:val="24"/>
        </w:rPr>
        <w:t>02</w:t>
      </w:r>
      <w:r w:rsidRPr="0055683F">
        <w:rPr>
          <w:rFonts w:ascii="Times New Roman" w:hAnsi="Times New Roman"/>
          <w:sz w:val="24"/>
        </w:rPr>
        <w:t xml:space="preserve"> a pobočky 1,</w:t>
      </w:r>
      <w:r w:rsidRPr="0046266F">
        <w:rPr>
          <w:rFonts w:ascii="Times New Roman" w:hAnsi="Times New Roman"/>
          <w:sz w:val="24"/>
          <w:szCs w:val="24"/>
        </w:rPr>
        <w:t>00</w:t>
      </w:r>
      <w:r w:rsidRPr="0055683F">
        <w:rPr>
          <w:rFonts w:ascii="Times New Roman" w:hAnsi="Times New Roman"/>
          <w:sz w:val="24"/>
        </w:rPr>
        <w:t xml:space="preserve"> v členení:</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1701"/>
        <w:gridCol w:w="1984"/>
        <w:gridCol w:w="2268"/>
      </w:tblGrid>
      <w:tr w:rsidR="00385B00" w:rsidRPr="00C565E2" w:rsidTr="007379ED">
        <w:trPr>
          <w:trHeight w:val="20"/>
          <w:jc w:val="center"/>
        </w:trPr>
        <w:tc>
          <w:tcPr>
            <w:tcW w:w="3119" w:type="dxa"/>
            <w:vMerge w:val="restart"/>
            <w:tcBorders>
              <w:top w:val="single" w:sz="4" w:space="0" w:color="auto"/>
              <w:bottom w:val="single" w:sz="4" w:space="0" w:color="auto"/>
              <w:right w:val="single" w:sz="4" w:space="0" w:color="auto"/>
            </w:tcBorders>
            <w:vAlign w:val="center"/>
          </w:tcPr>
          <w:p w:rsidR="00385B00" w:rsidRPr="0055683F" w:rsidRDefault="00385B00" w:rsidP="007379ED">
            <w:pPr>
              <w:widowControl/>
              <w:jc w:val="both"/>
              <w:rPr>
                <w:rFonts w:ascii="Times New Roman" w:hAnsi="Times New Roman"/>
                <w:b/>
                <w:sz w:val="24"/>
              </w:rPr>
            </w:pPr>
            <w:r w:rsidRPr="0055683F">
              <w:rPr>
                <w:rFonts w:ascii="Times New Roman" w:hAnsi="Times New Roman"/>
                <w:b/>
                <w:sz w:val="24"/>
              </w:rPr>
              <w:t>Druh majetku</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jc w:val="center"/>
              <w:rPr>
                <w:rFonts w:ascii="Times New Roman" w:hAnsi="Times New Roman"/>
                <w:b/>
                <w:sz w:val="24"/>
              </w:rPr>
            </w:pPr>
            <w:r w:rsidRPr="0055683F">
              <w:rPr>
                <w:rFonts w:ascii="Times New Roman" w:hAnsi="Times New Roman"/>
                <w:b/>
                <w:sz w:val="24"/>
              </w:rPr>
              <w:t>Sociálna</w:t>
            </w:r>
          </w:p>
          <w:p w:rsidR="00385B00" w:rsidRPr="0055683F" w:rsidRDefault="00385B00" w:rsidP="007379ED">
            <w:pPr>
              <w:widowControl/>
              <w:jc w:val="center"/>
              <w:rPr>
                <w:rFonts w:ascii="Times New Roman" w:hAnsi="Times New Roman"/>
                <w:b/>
                <w:sz w:val="24"/>
              </w:rPr>
            </w:pPr>
            <w:r w:rsidRPr="0055683F">
              <w:rPr>
                <w:rFonts w:ascii="Times New Roman" w:hAnsi="Times New Roman"/>
                <w:b/>
                <w:sz w:val="24"/>
              </w:rPr>
              <w:t>poisťovňa</w:t>
            </w:r>
          </w:p>
          <w:p w:rsidR="00385B00" w:rsidRPr="0055683F" w:rsidRDefault="00385B00" w:rsidP="007379ED">
            <w:pPr>
              <w:widowControl/>
              <w:jc w:val="center"/>
              <w:rPr>
                <w:rFonts w:ascii="Times New Roman" w:hAnsi="Times New Roman"/>
                <w:b/>
                <w:sz w:val="24"/>
              </w:rPr>
            </w:pPr>
            <w:r w:rsidRPr="0055683F">
              <w:rPr>
                <w:rFonts w:ascii="Times New Roman" w:hAnsi="Times New Roman"/>
                <w:b/>
                <w:sz w:val="24"/>
              </w:rPr>
              <w:t>celkom</w:t>
            </w:r>
          </w:p>
        </w:tc>
        <w:tc>
          <w:tcPr>
            <w:tcW w:w="4252" w:type="dxa"/>
            <w:gridSpan w:val="2"/>
            <w:tcBorders>
              <w:top w:val="single" w:sz="4" w:space="0" w:color="auto"/>
              <w:left w:val="single" w:sz="4" w:space="0" w:color="auto"/>
              <w:bottom w:val="single" w:sz="4" w:space="0" w:color="auto"/>
            </w:tcBorders>
            <w:vAlign w:val="center"/>
          </w:tcPr>
          <w:p w:rsidR="00385B00" w:rsidRPr="0055683F" w:rsidRDefault="00385B00" w:rsidP="007379ED">
            <w:pPr>
              <w:widowControl/>
              <w:jc w:val="center"/>
              <w:rPr>
                <w:rFonts w:ascii="Times New Roman" w:hAnsi="Times New Roman"/>
                <w:b/>
                <w:sz w:val="24"/>
              </w:rPr>
            </w:pPr>
            <w:r w:rsidRPr="0055683F">
              <w:rPr>
                <w:rFonts w:ascii="Times New Roman" w:hAnsi="Times New Roman"/>
                <w:b/>
                <w:sz w:val="24"/>
              </w:rPr>
              <w:t>Organizačná zložka</w:t>
            </w:r>
          </w:p>
        </w:tc>
      </w:tr>
      <w:tr w:rsidR="00385B00" w:rsidRPr="00C565E2" w:rsidTr="007379ED">
        <w:trPr>
          <w:trHeight w:val="20"/>
          <w:jc w:val="center"/>
        </w:trPr>
        <w:tc>
          <w:tcPr>
            <w:tcW w:w="3119" w:type="dxa"/>
            <w:vMerge/>
            <w:tcBorders>
              <w:top w:val="single" w:sz="4" w:space="0" w:color="auto"/>
              <w:bottom w:val="single" w:sz="4" w:space="0" w:color="auto"/>
              <w:right w:val="single" w:sz="4" w:space="0" w:color="auto"/>
            </w:tcBorders>
            <w:vAlign w:val="center"/>
          </w:tcPr>
          <w:p w:rsidR="00385B00" w:rsidRPr="0055683F" w:rsidRDefault="00385B00" w:rsidP="007379ED">
            <w:pPr>
              <w:widowControl/>
              <w:jc w:val="both"/>
              <w:rPr>
                <w:rFonts w:ascii="Times New Roman" w:hAnsi="Times New Roman"/>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jc w:val="center"/>
              <w:rPr>
                <w:rFonts w:ascii="Times New Roman" w:hAnsi="Times New Roman"/>
                <w:b/>
                <w:sz w:val="24"/>
              </w:rPr>
            </w:pPr>
          </w:p>
        </w:tc>
        <w:tc>
          <w:tcPr>
            <w:tcW w:w="1984"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ind w:left="-70"/>
              <w:jc w:val="center"/>
              <w:rPr>
                <w:rFonts w:ascii="Times New Roman" w:hAnsi="Times New Roman"/>
                <w:b/>
                <w:sz w:val="24"/>
              </w:rPr>
            </w:pPr>
            <w:r w:rsidRPr="0055683F">
              <w:rPr>
                <w:rFonts w:ascii="Times New Roman" w:hAnsi="Times New Roman"/>
                <w:b/>
                <w:sz w:val="24"/>
              </w:rPr>
              <w:t>Ústredie</w:t>
            </w:r>
          </w:p>
        </w:tc>
        <w:tc>
          <w:tcPr>
            <w:tcW w:w="2268" w:type="dxa"/>
            <w:tcBorders>
              <w:top w:val="single" w:sz="4" w:space="0" w:color="auto"/>
              <w:left w:val="single" w:sz="4" w:space="0" w:color="auto"/>
              <w:bottom w:val="single" w:sz="4" w:space="0" w:color="auto"/>
            </w:tcBorders>
            <w:vAlign w:val="center"/>
          </w:tcPr>
          <w:p w:rsidR="00385B00" w:rsidRPr="0055683F" w:rsidRDefault="00385B00" w:rsidP="007379ED">
            <w:pPr>
              <w:widowControl/>
              <w:jc w:val="both"/>
              <w:rPr>
                <w:rFonts w:ascii="Times New Roman" w:hAnsi="Times New Roman"/>
                <w:b/>
                <w:sz w:val="24"/>
              </w:rPr>
            </w:pPr>
            <w:r w:rsidRPr="0055683F">
              <w:rPr>
                <w:rFonts w:ascii="Times New Roman" w:hAnsi="Times New Roman"/>
                <w:b/>
                <w:sz w:val="24"/>
              </w:rPr>
              <w:t>Pobočky</w:t>
            </w:r>
          </w:p>
        </w:tc>
      </w:tr>
      <w:tr w:rsidR="00385B00" w:rsidRPr="00C565E2" w:rsidTr="007379ED">
        <w:trPr>
          <w:trHeight w:val="20"/>
          <w:jc w:val="center"/>
        </w:trPr>
        <w:tc>
          <w:tcPr>
            <w:tcW w:w="3119" w:type="dxa"/>
            <w:vMerge/>
            <w:tcBorders>
              <w:top w:val="single" w:sz="4" w:space="0" w:color="auto"/>
              <w:bottom w:val="single" w:sz="4" w:space="0" w:color="auto"/>
              <w:right w:val="single" w:sz="4" w:space="0" w:color="auto"/>
            </w:tcBorders>
            <w:vAlign w:val="center"/>
          </w:tcPr>
          <w:p w:rsidR="00385B00" w:rsidRPr="0055683F" w:rsidRDefault="00385B00" w:rsidP="007379ED">
            <w:pPr>
              <w:widowControl/>
              <w:jc w:val="both"/>
              <w:rPr>
                <w:rFonts w:ascii="Times New Roman" w:hAnsi="Times New Roman"/>
                <w:sz w:val="24"/>
              </w:rPr>
            </w:pPr>
          </w:p>
        </w:tc>
        <w:tc>
          <w:tcPr>
            <w:tcW w:w="5953" w:type="dxa"/>
            <w:gridSpan w:val="3"/>
            <w:tcBorders>
              <w:top w:val="single" w:sz="4" w:space="0" w:color="auto"/>
              <w:left w:val="single" w:sz="4" w:space="0" w:color="auto"/>
              <w:bottom w:val="single" w:sz="4" w:space="0" w:color="auto"/>
            </w:tcBorders>
            <w:vAlign w:val="center"/>
          </w:tcPr>
          <w:p w:rsidR="00385B00" w:rsidRPr="0055683F" w:rsidRDefault="00385B00" w:rsidP="007379ED">
            <w:pPr>
              <w:widowControl/>
              <w:jc w:val="center"/>
              <w:rPr>
                <w:rFonts w:ascii="Times New Roman" w:hAnsi="Times New Roman"/>
                <w:b/>
                <w:sz w:val="24"/>
              </w:rPr>
            </w:pPr>
            <w:r w:rsidRPr="0055683F">
              <w:rPr>
                <w:rFonts w:ascii="Times New Roman" w:hAnsi="Times New Roman"/>
                <w:b/>
                <w:sz w:val="24"/>
              </w:rPr>
              <w:t>Index</w:t>
            </w:r>
          </w:p>
        </w:tc>
      </w:tr>
      <w:tr w:rsidR="00385B00" w:rsidRPr="00C565E2" w:rsidTr="007379ED">
        <w:trPr>
          <w:trHeight w:val="20"/>
          <w:jc w:val="center"/>
        </w:trPr>
        <w:tc>
          <w:tcPr>
            <w:tcW w:w="3119" w:type="dxa"/>
            <w:tcBorders>
              <w:top w:val="single" w:sz="4" w:space="0" w:color="auto"/>
              <w:bottom w:val="single" w:sz="4" w:space="0" w:color="auto"/>
              <w:right w:val="single" w:sz="4" w:space="0" w:color="auto"/>
            </w:tcBorders>
            <w:vAlign w:val="center"/>
          </w:tcPr>
          <w:p w:rsidR="00385B00" w:rsidRPr="0055683F" w:rsidRDefault="00385B00" w:rsidP="007379ED">
            <w:pPr>
              <w:widowControl/>
              <w:jc w:val="both"/>
              <w:rPr>
                <w:rFonts w:ascii="Times New Roman" w:hAnsi="Times New Roman"/>
                <w:sz w:val="24"/>
              </w:rPr>
            </w:pPr>
            <w:r w:rsidRPr="0055683F">
              <w:rPr>
                <w:rFonts w:ascii="Times New Roman" w:hAnsi="Times New Roman"/>
                <w:sz w:val="24"/>
              </w:rPr>
              <w:t>Softvér</w:t>
            </w:r>
          </w:p>
        </w:tc>
        <w:tc>
          <w:tcPr>
            <w:tcW w:w="1701"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jc w:val="center"/>
              <w:rPr>
                <w:rFonts w:ascii="Times New Roman" w:hAnsi="Times New Roman"/>
                <w:sz w:val="24"/>
              </w:rPr>
            </w:pPr>
            <w:r w:rsidRPr="0055683F">
              <w:rPr>
                <w:rFonts w:ascii="Times New Roman" w:hAnsi="Times New Roman"/>
                <w:sz w:val="24"/>
              </w:rPr>
              <w:t>1,</w:t>
            </w:r>
            <w:r w:rsidRPr="0046266F">
              <w:rPr>
                <w:rFonts w:ascii="Times New Roman" w:hAnsi="Times New Roman"/>
                <w:sz w:val="24"/>
                <w:szCs w:val="24"/>
              </w:rPr>
              <w:t>02</w:t>
            </w:r>
          </w:p>
        </w:tc>
        <w:tc>
          <w:tcPr>
            <w:tcW w:w="1984"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jc w:val="center"/>
              <w:rPr>
                <w:rFonts w:ascii="Times New Roman" w:hAnsi="Times New Roman"/>
                <w:sz w:val="24"/>
              </w:rPr>
            </w:pPr>
            <w:r w:rsidRPr="0055683F">
              <w:rPr>
                <w:rFonts w:ascii="Times New Roman" w:hAnsi="Times New Roman"/>
                <w:sz w:val="24"/>
              </w:rPr>
              <w:t>1,</w:t>
            </w:r>
            <w:r w:rsidRPr="0046266F">
              <w:rPr>
                <w:rFonts w:ascii="Times New Roman" w:hAnsi="Times New Roman"/>
                <w:sz w:val="24"/>
                <w:szCs w:val="24"/>
              </w:rPr>
              <w:t>02</w:t>
            </w:r>
          </w:p>
        </w:tc>
        <w:tc>
          <w:tcPr>
            <w:tcW w:w="2268" w:type="dxa"/>
            <w:tcBorders>
              <w:top w:val="single" w:sz="4" w:space="0" w:color="auto"/>
              <w:left w:val="single" w:sz="4" w:space="0" w:color="auto"/>
              <w:bottom w:val="single" w:sz="4" w:space="0" w:color="auto"/>
            </w:tcBorders>
            <w:vAlign w:val="center"/>
          </w:tcPr>
          <w:p w:rsidR="00385B00" w:rsidRPr="0055683F" w:rsidRDefault="00385B00" w:rsidP="007379ED">
            <w:pPr>
              <w:widowControl/>
              <w:jc w:val="center"/>
              <w:rPr>
                <w:rFonts w:ascii="Times New Roman" w:hAnsi="Times New Roman"/>
                <w:sz w:val="24"/>
              </w:rPr>
            </w:pPr>
            <w:r w:rsidRPr="0055683F">
              <w:rPr>
                <w:rFonts w:ascii="Times New Roman" w:hAnsi="Times New Roman"/>
                <w:sz w:val="24"/>
              </w:rPr>
              <w:t>0,</w:t>
            </w:r>
            <w:r w:rsidRPr="0046266F">
              <w:rPr>
                <w:rFonts w:ascii="Times New Roman" w:hAnsi="Times New Roman"/>
                <w:sz w:val="24"/>
                <w:szCs w:val="24"/>
              </w:rPr>
              <w:t>84</w:t>
            </w:r>
          </w:p>
        </w:tc>
      </w:tr>
      <w:tr w:rsidR="00385B00" w:rsidRPr="00C565E2" w:rsidTr="007379ED">
        <w:trPr>
          <w:trHeight w:val="20"/>
          <w:jc w:val="center"/>
        </w:trPr>
        <w:tc>
          <w:tcPr>
            <w:tcW w:w="3119" w:type="dxa"/>
            <w:tcBorders>
              <w:top w:val="single" w:sz="4" w:space="0" w:color="auto"/>
              <w:bottom w:val="single" w:sz="4" w:space="0" w:color="auto"/>
              <w:right w:val="single" w:sz="4" w:space="0" w:color="auto"/>
            </w:tcBorders>
            <w:vAlign w:val="center"/>
          </w:tcPr>
          <w:p w:rsidR="00385B00" w:rsidRPr="0055683F" w:rsidRDefault="00385B00" w:rsidP="007379ED">
            <w:pPr>
              <w:widowControl/>
              <w:jc w:val="both"/>
              <w:rPr>
                <w:rFonts w:ascii="Times New Roman" w:hAnsi="Times New Roman"/>
                <w:sz w:val="24"/>
              </w:rPr>
            </w:pPr>
            <w:r w:rsidRPr="0055683F">
              <w:rPr>
                <w:rFonts w:ascii="Times New Roman" w:hAnsi="Times New Roman"/>
                <w:sz w:val="24"/>
              </w:rPr>
              <w:t>Pozemky</w:t>
            </w:r>
          </w:p>
        </w:tc>
        <w:tc>
          <w:tcPr>
            <w:tcW w:w="1701"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jc w:val="center"/>
              <w:rPr>
                <w:rFonts w:ascii="Times New Roman" w:hAnsi="Times New Roman"/>
                <w:sz w:val="24"/>
              </w:rPr>
            </w:pPr>
            <w:r w:rsidRPr="0055683F">
              <w:rPr>
                <w:rFonts w:ascii="Times New Roman" w:hAnsi="Times New Roman"/>
                <w:sz w:val="24"/>
              </w:rPr>
              <w:t>1,</w:t>
            </w:r>
            <w:r w:rsidRPr="0046266F">
              <w:rPr>
                <w:rFonts w:ascii="Times New Roman" w:hAnsi="Times New Roman"/>
                <w:sz w:val="24"/>
                <w:szCs w:val="24"/>
              </w:rPr>
              <w:t>00</w:t>
            </w:r>
          </w:p>
        </w:tc>
        <w:tc>
          <w:tcPr>
            <w:tcW w:w="1984"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jc w:val="center"/>
              <w:rPr>
                <w:rFonts w:ascii="Times New Roman" w:hAnsi="Times New Roman"/>
                <w:sz w:val="24"/>
              </w:rPr>
            </w:pPr>
            <w:r w:rsidRPr="0046266F">
              <w:rPr>
                <w:rFonts w:ascii="Times New Roman" w:hAnsi="Times New Roman"/>
                <w:sz w:val="24"/>
                <w:szCs w:val="24"/>
              </w:rPr>
              <w:t>1,00</w:t>
            </w:r>
          </w:p>
        </w:tc>
        <w:tc>
          <w:tcPr>
            <w:tcW w:w="2268" w:type="dxa"/>
            <w:tcBorders>
              <w:top w:val="single" w:sz="4" w:space="0" w:color="auto"/>
              <w:left w:val="single" w:sz="4" w:space="0" w:color="auto"/>
              <w:bottom w:val="single" w:sz="4" w:space="0" w:color="auto"/>
            </w:tcBorders>
            <w:vAlign w:val="center"/>
          </w:tcPr>
          <w:p w:rsidR="00385B00" w:rsidRPr="0055683F" w:rsidRDefault="00385B00" w:rsidP="007379ED">
            <w:pPr>
              <w:widowControl/>
              <w:jc w:val="center"/>
              <w:rPr>
                <w:rFonts w:ascii="Times New Roman" w:hAnsi="Times New Roman"/>
                <w:sz w:val="24"/>
              </w:rPr>
            </w:pPr>
            <w:r w:rsidRPr="0055683F">
              <w:rPr>
                <w:rFonts w:ascii="Times New Roman" w:hAnsi="Times New Roman"/>
                <w:sz w:val="24"/>
              </w:rPr>
              <w:t>1,</w:t>
            </w:r>
            <w:r w:rsidRPr="0046266F">
              <w:rPr>
                <w:rFonts w:ascii="Times New Roman" w:hAnsi="Times New Roman"/>
                <w:sz w:val="24"/>
                <w:szCs w:val="24"/>
              </w:rPr>
              <w:t>00</w:t>
            </w:r>
          </w:p>
        </w:tc>
      </w:tr>
      <w:tr w:rsidR="00385B00" w:rsidRPr="00C565E2" w:rsidTr="007379ED">
        <w:trPr>
          <w:trHeight w:val="20"/>
          <w:jc w:val="center"/>
        </w:trPr>
        <w:tc>
          <w:tcPr>
            <w:tcW w:w="3119" w:type="dxa"/>
            <w:tcBorders>
              <w:top w:val="single" w:sz="4" w:space="0" w:color="auto"/>
              <w:bottom w:val="single" w:sz="4" w:space="0" w:color="auto"/>
              <w:right w:val="single" w:sz="4" w:space="0" w:color="auto"/>
            </w:tcBorders>
            <w:vAlign w:val="center"/>
          </w:tcPr>
          <w:p w:rsidR="00385B00" w:rsidRPr="0055683F" w:rsidRDefault="00385B00" w:rsidP="007379ED">
            <w:pPr>
              <w:widowControl/>
              <w:jc w:val="both"/>
              <w:rPr>
                <w:rFonts w:ascii="Times New Roman" w:hAnsi="Times New Roman"/>
                <w:sz w:val="24"/>
              </w:rPr>
            </w:pPr>
            <w:r w:rsidRPr="0055683F">
              <w:rPr>
                <w:rFonts w:ascii="Times New Roman" w:hAnsi="Times New Roman"/>
                <w:sz w:val="24"/>
              </w:rPr>
              <w:t>Umelecké diela a zbierky</w:t>
            </w:r>
          </w:p>
        </w:tc>
        <w:tc>
          <w:tcPr>
            <w:tcW w:w="1701"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jc w:val="center"/>
              <w:rPr>
                <w:rFonts w:ascii="Times New Roman" w:hAnsi="Times New Roman"/>
                <w:sz w:val="24"/>
              </w:rPr>
            </w:pPr>
            <w:r w:rsidRPr="0055683F">
              <w:rPr>
                <w:rFonts w:ascii="Times New Roman" w:hAnsi="Times New Roman"/>
                <w:sz w:val="24"/>
              </w:rPr>
              <w:t>1,00</w:t>
            </w:r>
          </w:p>
        </w:tc>
        <w:tc>
          <w:tcPr>
            <w:tcW w:w="1984"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jc w:val="center"/>
              <w:rPr>
                <w:rFonts w:ascii="Times New Roman" w:hAnsi="Times New Roman"/>
                <w:sz w:val="24"/>
              </w:rPr>
            </w:pPr>
            <w:r w:rsidRPr="0055683F">
              <w:rPr>
                <w:rFonts w:ascii="Times New Roman" w:hAnsi="Times New Roman"/>
                <w:sz w:val="24"/>
              </w:rPr>
              <w:t>1,00</w:t>
            </w:r>
          </w:p>
        </w:tc>
        <w:tc>
          <w:tcPr>
            <w:tcW w:w="2268" w:type="dxa"/>
            <w:tcBorders>
              <w:top w:val="single" w:sz="4" w:space="0" w:color="auto"/>
              <w:left w:val="single" w:sz="4" w:space="0" w:color="auto"/>
              <w:bottom w:val="single" w:sz="4" w:space="0" w:color="auto"/>
            </w:tcBorders>
            <w:vAlign w:val="center"/>
          </w:tcPr>
          <w:p w:rsidR="00385B00" w:rsidRPr="0055683F" w:rsidRDefault="00385B00" w:rsidP="007379ED">
            <w:pPr>
              <w:widowControl/>
              <w:jc w:val="center"/>
              <w:rPr>
                <w:rFonts w:ascii="Times New Roman" w:hAnsi="Times New Roman"/>
                <w:sz w:val="24"/>
              </w:rPr>
            </w:pPr>
            <w:r w:rsidRPr="0055683F">
              <w:rPr>
                <w:rFonts w:ascii="Times New Roman" w:hAnsi="Times New Roman"/>
                <w:sz w:val="24"/>
              </w:rPr>
              <w:t>1,00</w:t>
            </w:r>
          </w:p>
        </w:tc>
      </w:tr>
      <w:tr w:rsidR="00385B00" w:rsidRPr="00C565E2" w:rsidTr="007379ED">
        <w:trPr>
          <w:trHeight w:val="20"/>
          <w:jc w:val="center"/>
        </w:trPr>
        <w:tc>
          <w:tcPr>
            <w:tcW w:w="3119" w:type="dxa"/>
            <w:tcBorders>
              <w:top w:val="single" w:sz="4" w:space="0" w:color="auto"/>
              <w:bottom w:val="single" w:sz="4" w:space="0" w:color="auto"/>
              <w:right w:val="single" w:sz="4" w:space="0" w:color="auto"/>
            </w:tcBorders>
            <w:vAlign w:val="center"/>
          </w:tcPr>
          <w:p w:rsidR="00385B00" w:rsidRPr="0055683F" w:rsidRDefault="00385B00" w:rsidP="007379ED">
            <w:pPr>
              <w:widowControl/>
              <w:jc w:val="both"/>
              <w:rPr>
                <w:rFonts w:ascii="Times New Roman" w:hAnsi="Times New Roman"/>
                <w:sz w:val="24"/>
              </w:rPr>
            </w:pPr>
            <w:r w:rsidRPr="0055683F">
              <w:rPr>
                <w:rFonts w:ascii="Times New Roman" w:hAnsi="Times New Roman"/>
                <w:sz w:val="24"/>
              </w:rPr>
              <w:t>Stavby</w:t>
            </w:r>
          </w:p>
        </w:tc>
        <w:tc>
          <w:tcPr>
            <w:tcW w:w="1701"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jc w:val="center"/>
              <w:rPr>
                <w:rFonts w:ascii="Times New Roman" w:hAnsi="Times New Roman"/>
                <w:sz w:val="24"/>
              </w:rPr>
            </w:pPr>
            <w:r w:rsidRPr="0046266F">
              <w:rPr>
                <w:rFonts w:ascii="Times New Roman" w:hAnsi="Times New Roman"/>
                <w:sz w:val="24"/>
                <w:szCs w:val="24"/>
              </w:rPr>
              <w:t>1,00</w:t>
            </w:r>
          </w:p>
        </w:tc>
        <w:tc>
          <w:tcPr>
            <w:tcW w:w="1984"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jc w:val="center"/>
              <w:rPr>
                <w:rFonts w:ascii="Times New Roman" w:hAnsi="Times New Roman"/>
                <w:sz w:val="24"/>
              </w:rPr>
            </w:pPr>
            <w:r w:rsidRPr="0046266F">
              <w:rPr>
                <w:rFonts w:ascii="Times New Roman" w:hAnsi="Times New Roman"/>
                <w:sz w:val="24"/>
                <w:szCs w:val="24"/>
              </w:rPr>
              <w:t>1,01</w:t>
            </w:r>
          </w:p>
        </w:tc>
        <w:tc>
          <w:tcPr>
            <w:tcW w:w="2268" w:type="dxa"/>
            <w:tcBorders>
              <w:top w:val="single" w:sz="4" w:space="0" w:color="auto"/>
              <w:left w:val="single" w:sz="4" w:space="0" w:color="auto"/>
              <w:bottom w:val="single" w:sz="4" w:space="0" w:color="auto"/>
            </w:tcBorders>
            <w:vAlign w:val="center"/>
          </w:tcPr>
          <w:p w:rsidR="00385B00" w:rsidRPr="0055683F" w:rsidRDefault="00385B00" w:rsidP="007379ED">
            <w:pPr>
              <w:widowControl/>
              <w:jc w:val="center"/>
              <w:rPr>
                <w:rFonts w:ascii="Times New Roman" w:hAnsi="Times New Roman"/>
                <w:sz w:val="24"/>
              </w:rPr>
            </w:pPr>
            <w:r w:rsidRPr="0055683F">
              <w:rPr>
                <w:rFonts w:ascii="Times New Roman" w:hAnsi="Times New Roman"/>
                <w:sz w:val="24"/>
              </w:rPr>
              <w:t>1,</w:t>
            </w:r>
            <w:r w:rsidRPr="0046266F">
              <w:rPr>
                <w:rFonts w:ascii="Times New Roman" w:hAnsi="Times New Roman"/>
                <w:sz w:val="24"/>
                <w:szCs w:val="24"/>
              </w:rPr>
              <w:t>00</w:t>
            </w:r>
          </w:p>
        </w:tc>
      </w:tr>
      <w:tr w:rsidR="00385B00" w:rsidRPr="00C565E2" w:rsidTr="007379ED">
        <w:trPr>
          <w:trHeight w:val="20"/>
          <w:jc w:val="center"/>
        </w:trPr>
        <w:tc>
          <w:tcPr>
            <w:tcW w:w="3119" w:type="dxa"/>
            <w:tcBorders>
              <w:top w:val="single" w:sz="4" w:space="0" w:color="auto"/>
              <w:bottom w:val="single" w:sz="4" w:space="0" w:color="auto"/>
              <w:right w:val="single" w:sz="4" w:space="0" w:color="auto"/>
            </w:tcBorders>
            <w:vAlign w:val="center"/>
          </w:tcPr>
          <w:p w:rsidR="00385B00" w:rsidRPr="0055683F" w:rsidRDefault="00385B00" w:rsidP="007379ED">
            <w:pPr>
              <w:widowControl/>
              <w:jc w:val="both"/>
              <w:rPr>
                <w:rFonts w:ascii="Times New Roman" w:hAnsi="Times New Roman"/>
                <w:color w:val="000000"/>
                <w:sz w:val="24"/>
              </w:rPr>
            </w:pPr>
            <w:r w:rsidRPr="0055683F">
              <w:rPr>
                <w:rFonts w:ascii="Times New Roman" w:hAnsi="Times New Roman"/>
                <w:color w:val="000000"/>
                <w:sz w:val="24"/>
              </w:rPr>
              <w:t>Stroje, prístroje, zariadenia</w:t>
            </w:r>
          </w:p>
        </w:tc>
        <w:tc>
          <w:tcPr>
            <w:tcW w:w="1701"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jc w:val="center"/>
              <w:rPr>
                <w:rFonts w:ascii="Times New Roman" w:hAnsi="Times New Roman"/>
                <w:sz w:val="24"/>
              </w:rPr>
            </w:pPr>
            <w:r w:rsidRPr="0055683F">
              <w:rPr>
                <w:rFonts w:ascii="Times New Roman" w:hAnsi="Times New Roman"/>
                <w:sz w:val="24"/>
              </w:rPr>
              <w:t>1,</w:t>
            </w:r>
            <w:r w:rsidRPr="0046266F">
              <w:rPr>
                <w:rFonts w:ascii="Times New Roman" w:hAnsi="Times New Roman"/>
                <w:sz w:val="24"/>
                <w:szCs w:val="24"/>
              </w:rPr>
              <w:t>04</w:t>
            </w:r>
          </w:p>
        </w:tc>
        <w:tc>
          <w:tcPr>
            <w:tcW w:w="1984"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jc w:val="center"/>
              <w:rPr>
                <w:rFonts w:ascii="Times New Roman" w:hAnsi="Times New Roman"/>
                <w:sz w:val="24"/>
              </w:rPr>
            </w:pPr>
            <w:r w:rsidRPr="0055683F">
              <w:rPr>
                <w:rFonts w:ascii="Times New Roman" w:hAnsi="Times New Roman"/>
                <w:sz w:val="24"/>
              </w:rPr>
              <w:t>1,04</w:t>
            </w:r>
          </w:p>
        </w:tc>
        <w:tc>
          <w:tcPr>
            <w:tcW w:w="2268" w:type="dxa"/>
            <w:tcBorders>
              <w:top w:val="single" w:sz="4" w:space="0" w:color="auto"/>
              <w:left w:val="single" w:sz="4" w:space="0" w:color="auto"/>
              <w:bottom w:val="single" w:sz="4" w:space="0" w:color="auto"/>
            </w:tcBorders>
            <w:vAlign w:val="center"/>
          </w:tcPr>
          <w:p w:rsidR="00385B00" w:rsidRPr="0055683F" w:rsidRDefault="00385B00" w:rsidP="007379ED">
            <w:pPr>
              <w:widowControl/>
              <w:jc w:val="center"/>
              <w:rPr>
                <w:rFonts w:ascii="Times New Roman" w:hAnsi="Times New Roman"/>
                <w:sz w:val="24"/>
              </w:rPr>
            </w:pPr>
            <w:r w:rsidRPr="0055683F">
              <w:rPr>
                <w:rFonts w:ascii="Times New Roman" w:hAnsi="Times New Roman"/>
                <w:sz w:val="24"/>
              </w:rPr>
              <w:t>1,</w:t>
            </w:r>
            <w:r w:rsidRPr="0046266F">
              <w:rPr>
                <w:rFonts w:ascii="Times New Roman" w:hAnsi="Times New Roman"/>
                <w:sz w:val="24"/>
                <w:szCs w:val="24"/>
              </w:rPr>
              <w:t>03</w:t>
            </w:r>
          </w:p>
        </w:tc>
      </w:tr>
      <w:tr w:rsidR="00385B00" w:rsidRPr="00C565E2" w:rsidTr="007379ED">
        <w:trPr>
          <w:trHeight w:val="20"/>
          <w:jc w:val="center"/>
        </w:trPr>
        <w:tc>
          <w:tcPr>
            <w:tcW w:w="3119" w:type="dxa"/>
            <w:tcBorders>
              <w:top w:val="single" w:sz="4" w:space="0" w:color="auto"/>
              <w:bottom w:val="single" w:sz="4" w:space="0" w:color="auto"/>
              <w:right w:val="single" w:sz="4" w:space="0" w:color="auto"/>
            </w:tcBorders>
            <w:vAlign w:val="center"/>
          </w:tcPr>
          <w:p w:rsidR="00385B00" w:rsidRPr="0055683F" w:rsidRDefault="00385B00" w:rsidP="007379ED">
            <w:pPr>
              <w:widowControl/>
              <w:jc w:val="both"/>
              <w:rPr>
                <w:rFonts w:ascii="Times New Roman" w:hAnsi="Times New Roman"/>
                <w:sz w:val="24"/>
              </w:rPr>
            </w:pPr>
            <w:r w:rsidRPr="0055683F">
              <w:rPr>
                <w:rFonts w:ascii="Times New Roman" w:hAnsi="Times New Roman"/>
                <w:sz w:val="24"/>
              </w:rPr>
              <w:t>Dopravné prostriedky</w:t>
            </w:r>
          </w:p>
        </w:tc>
        <w:tc>
          <w:tcPr>
            <w:tcW w:w="1701"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jc w:val="center"/>
              <w:rPr>
                <w:rFonts w:ascii="Times New Roman" w:hAnsi="Times New Roman"/>
                <w:sz w:val="24"/>
              </w:rPr>
            </w:pPr>
            <w:r w:rsidRPr="0055683F">
              <w:rPr>
                <w:rFonts w:ascii="Times New Roman" w:hAnsi="Times New Roman"/>
                <w:sz w:val="24"/>
              </w:rPr>
              <w:t>0,</w:t>
            </w:r>
            <w:r w:rsidRPr="0046266F">
              <w:rPr>
                <w:rFonts w:ascii="Times New Roman" w:hAnsi="Times New Roman"/>
                <w:sz w:val="24"/>
                <w:szCs w:val="24"/>
              </w:rPr>
              <w:t>97</w:t>
            </w:r>
          </w:p>
        </w:tc>
        <w:tc>
          <w:tcPr>
            <w:tcW w:w="1984"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jc w:val="center"/>
              <w:rPr>
                <w:rFonts w:ascii="Times New Roman" w:hAnsi="Times New Roman"/>
                <w:sz w:val="24"/>
              </w:rPr>
            </w:pPr>
            <w:r w:rsidRPr="0055683F">
              <w:rPr>
                <w:rFonts w:ascii="Times New Roman" w:hAnsi="Times New Roman"/>
                <w:sz w:val="24"/>
              </w:rPr>
              <w:t>0,</w:t>
            </w:r>
            <w:r w:rsidRPr="0046266F">
              <w:rPr>
                <w:rFonts w:ascii="Times New Roman" w:hAnsi="Times New Roman"/>
                <w:sz w:val="24"/>
                <w:szCs w:val="24"/>
              </w:rPr>
              <w:t>97</w:t>
            </w:r>
          </w:p>
        </w:tc>
        <w:tc>
          <w:tcPr>
            <w:tcW w:w="2268" w:type="dxa"/>
            <w:tcBorders>
              <w:top w:val="single" w:sz="4" w:space="0" w:color="auto"/>
              <w:left w:val="single" w:sz="4" w:space="0" w:color="auto"/>
              <w:bottom w:val="single" w:sz="4" w:space="0" w:color="auto"/>
            </w:tcBorders>
            <w:vAlign w:val="center"/>
          </w:tcPr>
          <w:p w:rsidR="00385B00" w:rsidRPr="0055683F" w:rsidRDefault="00385B00" w:rsidP="007379ED">
            <w:pPr>
              <w:widowControl/>
              <w:jc w:val="center"/>
              <w:rPr>
                <w:rFonts w:ascii="Times New Roman" w:hAnsi="Times New Roman"/>
                <w:sz w:val="24"/>
              </w:rPr>
            </w:pPr>
            <w:r w:rsidRPr="0055683F">
              <w:rPr>
                <w:rFonts w:ascii="Times New Roman" w:hAnsi="Times New Roman"/>
                <w:sz w:val="24"/>
              </w:rPr>
              <w:t>0,</w:t>
            </w:r>
            <w:r w:rsidRPr="0046266F">
              <w:rPr>
                <w:rFonts w:ascii="Times New Roman" w:hAnsi="Times New Roman"/>
                <w:sz w:val="24"/>
                <w:szCs w:val="24"/>
              </w:rPr>
              <w:t>97</w:t>
            </w:r>
          </w:p>
        </w:tc>
      </w:tr>
    </w:tbl>
    <w:p w:rsidR="00385B00" w:rsidRDefault="00385B00" w:rsidP="00385B00">
      <w:pPr>
        <w:widowControl/>
        <w:spacing w:line="360" w:lineRule="auto"/>
        <w:jc w:val="both"/>
        <w:rPr>
          <w:rFonts w:ascii="Times New Roman" w:hAnsi="Times New Roman"/>
          <w:sz w:val="24"/>
        </w:rPr>
      </w:pPr>
      <w:r w:rsidRPr="0055683F">
        <w:rPr>
          <w:rFonts w:ascii="Times New Roman" w:hAnsi="Times New Roman"/>
          <w:sz w:val="24"/>
        </w:rPr>
        <w:tab/>
      </w:r>
    </w:p>
    <w:p w:rsidR="00385B00" w:rsidRPr="0055683F" w:rsidRDefault="00385B00" w:rsidP="00385B00">
      <w:pPr>
        <w:widowControl/>
        <w:spacing w:line="360" w:lineRule="auto"/>
        <w:ind w:firstLine="510"/>
        <w:jc w:val="both"/>
        <w:rPr>
          <w:rFonts w:ascii="Times New Roman" w:hAnsi="Times New Roman"/>
          <w:sz w:val="24"/>
        </w:rPr>
      </w:pPr>
      <w:r w:rsidRPr="0055683F">
        <w:rPr>
          <w:rFonts w:ascii="Times New Roman" w:hAnsi="Times New Roman"/>
          <w:sz w:val="24"/>
        </w:rPr>
        <w:t xml:space="preserve">Obstaranie DLNM a DLHM (do doby jeho uvedenia do používania) zaznamenalo index </w:t>
      </w:r>
      <w:r w:rsidRPr="0046266F">
        <w:rPr>
          <w:rFonts w:ascii="Times New Roman" w:hAnsi="Times New Roman"/>
          <w:sz w:val="24"/>
          <w:szCs w:val="24"/>
        </w:rPr>
        <w:t>zvýšenia</w:t>
      </w:r>
      <w:r w:rsidRPr="0055683F">
        <w:rPr>
          <w:rFonts w:ascii="Times New Roman" w:hAnsi="Times New Roman"/>
          <w:sz w:val="24"/>
        </w:rPr>
        <w:t xml:space="preserve"> 1,</w:t>
      </w:r>
      <w:r w:rsidRPr="0046266F">
        <w:rPr>
          <w:rFonts w:ascii="Times New Roman" w:hAnsi="Times New Roman"/>
          <w:sz w:val="24"/>
          <w:szCs w:val="24"/>
        </w:rPr>
        <w:t>71</w:t>
      </w:r>
      <w:r w:rsidRPr="0055683F">
        <w:rPr>
          <w:rFonts w:ascii="Times New Roman" w:hAnsi="Times New Roman"/>
          <w:sz w:val="24"/>
        </w:rPr>
        <w:t>.</w:t>
      </w:r>
    </w:p>
    <w:p w:rsidR="00385B00" w:rsidRPr="0055683F" w:rsidRDefault="00385B00" w:rsidP="00385B00">
      <w:pPr>
        <w:widowControl/>
        <w:spacing w:line="360" w:lineRule="auto"/>
        <w:jc w:val="both"/>
        <w:rPr>
          <w:rFonts w:ascii="Times New Roman" w:hAnsi="Times New Roman"/>
          <w:sz w:val="24"/>
        </w:rPr>
      </w:pPr>
    </w:p>
    <w:p w:rsidR="00385B00" w:rsidRPr="0055683F" w:rsidRDefault="00385B00" w:rsidP="00385B00">
      <w:pPr>
        <w:widowControl/>
        <w:spacing w:line="360" w:lineRule="auto"/>
        <w:jc w:val="both"/>
        <w:rPr>
          <w:rFonts w:ascii="Times New Roman" w:hAnsi="Times New Roman"/>
          <w:b/>
          <w:sz w:val="24"/>
        </w:rPr>
      </w:pPr>
      <w:r w:rsidRPr="0055683F">
        <w:rPr>
          <w:rFonts w:ascii="Times New Roman" w:hAnsi="Times New Roman"/>
          <w:b/>
          <w:sz w:val="24"/>
        </w:rPr>
        <w:t>a)</w:t>
      </w:r>
      <w:r w:rsidRPr="0055683F">
        <w:rPr>
          <w:rFonts w:ascii="Times New Roman" w:hAnsi="Times New Roman"/>
          <w:b/>
          <w:sz w:val="24"/>
        </w:rPr>
        <w:tab/>
        <w:t>Prehľad o dlhodobom majetku podľa zložiek tohto majetku v členení podľa položiek súvahy s uvedením stavu dlhodobého majetku v obstarávacích cenách k 1. 1. 2018, jeho prírastky, úbytky a presuny v roku 2018 a zostatok k 31. 12. 2018</w:t>
      </w:r>
    </w:p>
    <w:p w:rsidR="00385B00" w:rsidRPr="0055683F" w:rsidRDefault="00385B00" w:rsidP="00385B00">
      <w:pPr>
        <w:widowControl/>
        <w:spacing w:line="360" w:lineRule="auto"/>
        <w:jc w:val="both"/>
        <w:rPr>
          <w:rFonts w:ascii="Times New Roman" w:hAnsi="Times New Roman"/>
          <w:sz w:val="24"/>
        </w:rPr>
      </w:pPr>
      <w:r w:rsidRPr="0046266F">
        <w:rPr>
          <w:rFonts w:ascii="Times New Roman" w:hAnsi="Times New Roman"/>
          <w:sz w:val="24"/>
          <w:szCs w:val="24"/>
        </w:rPr>
        <w:tab/>
      </w:r>
    </w:p>
    <w:p w:rsidR="00385B00" w:rsidRPr="0055683F" w:rsidRDefault="00385B00" w:rsidP="00385B00">
      <w:pPr>
        <w:widowControl/>
        <w:spacing w:line="360" w:lineRule="auto"/>
        <w:ind w:firstLine="510"/>
        <w:jc w:val="both"/>
        <w:rPr>
          <w:rFonts w:ascii="Times New Roman" w:hAnsi="Times New Roman"/>
          <w:sz w:val="24"/>
        </w:rPr>
      </w:pPr>
      <w:r w:rsidRPr="0055683F">
        <w:rPr>
          <w:rFonts w:ascii="Times New Roman" w:hAnsi="Times New Roman"/>
          <w:sz w:val="24"/>
        </w:rPr>
        <w:t xml:space="preserve">Vývoj neobežného majetku v roku 2018 s dôrazom na vecnú náplň, dokumentuje tabuľka  </w:t>
      </w:r>
      <w:r w:rsidRPr="0046266F">
        <w:rPr>
          <w:rFonts w:ascii="Times New Roman" w:hAnsi="Times New Roman"/>
          <w:sz w:val="24"/>
          <w:szCs w:val="24"/>
        </w:rPr>
        <w:t xml:space="preserve"> </w:t>
      </w:r>
      <w:r w:rsidRPr="0055683F">
        <w:rPr>
          <w:rFonts w:ascii="Times New Roman" w:hAnsi="Times New Roman"/>
          <w:sz w:val="24"/>
        </w:rPr>
        <w:t>č.</w:t>
      </w:r>
      <w:r w:rsidRPr="0046266F">
        <w:rPr>
          <w:rFonts w:ascii="Times New Roman" w:hAnsi="Times New Roman"/>
          <w:sz w:val="24"/>
          <w:szCs w:val="24"/>
        </w:rPr>
        <w:t xml:space="preserve"> </w:t>
      </w:r>
      <w:r w:rsidRPr="0055683F">
        <w:rPr>
          <w:rFonts w:ascii="Times New Roman" w:hAnsi="Times New Roman"/>
          <w:sz w:val="24"/>
        </w:rPr>
        <w:t>2 “Stav a pohyb dlhodobého nehmotného a  hmotného majetku k 31. 12. 2018“.</w:t>
      </w:r>
    </w:p>
    <w:p w:rsidR="00385B00" w:rsidRPr="0055683F" w:rsidRDefault="00385B00" w:rsidP="00385B00">
      <w:pPr>
        <w:widowControl/>
        <w:spacing w:line="360" w:lineRule="auto"/>
        <w:jc w:val="both"/>
        <w:rPr>
          <w:rFonts w:ascii="Times New Roman" w:hAnsi="Times New Roman"/>
          <w:sz w:val="24"/>
        </w:rPr>
      </w:pPr>
    </w:p>
    <w:p w:rsidR="00385B00" w:rsidRPr="0055683F" w:rsidRDefault="00385B00" w:rsidP="00385B00">
      <w:pPr>
        <w:widowControl/>
        <w:spacing w:line="360" w:lineRule="auto"/>
        <w:jc w:val="both"/>
        <w:rPr>
          <w:rFonts w:ascii="Times New Roman" w:hAnsi="Times New Roman"/>
          <w:b/>
          <w:sz w:val="24"/>
        </w:rPr>
      </w:pPr>
      <w:r w:rsidRPr="0055683F">
        <w:rPr>
          <w:rFonts w:ascii="Times New Roman" w:hAnsi="Times New Roman"/>
          <w:b/>
          <w:sz w:val="24"/>
        </w:rPr>
        <w:t>Riadok 003 - Softvér</w:t>
      </w:r>
      <w:r w:rsidRPr="0055683F">
        <w:rPr>
          <w:rFonts w:ascii="Times New Roman" w:hAnsi="Times New Roman"/>
          <w:b/>
          <w:sz w:val="24"/>
        </w:rPr>
        <w:tab/>
      </w:r>
    </w:p>
    <w:p w:rsidR="00385B00" w:rsidRPr="0055683F" w:rsidRDefault="00385B00" w:rsidP="00385B00">
      <w:pPr>
        <w:widowControl/>
        <w:spacing w:line="360" w:lineRule="auto"/>
        <w:rPr>
          <w:rFonts w:ascii="Times New Roman" w:hAnsi="Times New Roman"/>
          <w:b/>
          <w:sz w:val="24"/>
        </w:rPr>
      </w:pPr>
      <w:r w:rsidRPr="0055683F">
        <w:rPr>
          <w:rFonts w:ascii="Times New Roman" w:hAnsi="Times New Roman"/>
          <w:b/>
          <w:sz w:val="24"/>
        </w:rPr>
        <w:t>Začiatočný sta</w:t>
      </w:r>
      <w:r w:rsidRPr="0055683F">
        <w:rPr>
          <w:rFonts w:ascii="Times New Roman" w:hAnsi="Times New Roman"/>
          <w:sz w:val="24"/>
        </w:rPr>
        <w:t>v  majetku k 1.1.2018</w:t>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t xml:space="preserve"> </w:t>
      </w:r>
      <w:r>
        <w:rPr>
          <w:rFonts w:ascii="Times New Roman" w:hAnsi="Times New Roman"/>
          <w:sz w:val="24"/>
        </w:rPr>
        <w:t xml:space="preserve">  </w:t>
      </w:r>
      <w:r w:rsidRPr="0055683F">
        <w:rPr>
          <w:rFonts w:ascii="Times New Roman" w:hAnsi="Times New Roman"/>
          <w:b/>
          <w:sz w:val="24"/>
        </w:rPr>
        <w:t>45 </w:t>
      </w:r>
      <w:r w:rsidRPr="0046266F">
        <w:rPr>
          <w:rFonts w:ascii="Times New Roman" w:hAnsi="Times New Roman"/>
          <w:b/>
          <w:bCs/>
          <w:sz w:val="24"/>
          <w:szCs w:val="24"/>
        </w:rPr>
        <w:t>968 596,53</w:t>
      </w:r>
      <w:r w:rsidRPr="0055683F">
        <w:rPr>
          <w:rFonts w:ascii="Times New Roman" w:hAnsi="Times New Roman"/>
          <w:b/>
          <w:sz w:val="24"/>
        </w:rPr>
        <w:t xml:space="preserve"> EUR</w:t>
      </w:r>
    </w:p>
    <w:p w:rsidR="00385B00" w:rsidRPr="0055683F" w:rsidRDefault="00385B00" w:rsidP="00385B00">
      <w:pPr>
        <w:widowControl/>
        <w:spacing w:line="360" w:lineRule="auto"/>
        <w:rPr>
          <w:rFonts w:ascii="Times New Roman" w:hAnsi="Times New Roman"/>
          <w:sz w:val="24"/>
        </w:rPr>
      </w:pPr>
      <w:r w:rsidRPr="0055683F">
        <w:rPr>
          <w:rFonts w:ascii="Times New Roman" w:hAnsi="Times New Roman"/>
          <w:sz w:val="24"/>
        </w:rPr>
        <w:t>Prírastky v celkovej hodnote</w:t>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t xml:space="preserve"> </w:t>
      </w:r>
      <w:r w:rsidRPr="0046266F">
        <w:rPr>
          <w:rFonts w:ascii="Times New Roman" w:hAnsi="Times New Roman"/>
          <w:sz w:val="24"/>
          <w:szCs w:val="24"/>
        </w:rPr>
        <w:t>802 235,66</w:t>
      </w:r>
      <w:r w:rsidRPr="0055683F">
        <w:rPr>
          <w:rFonts w:ascii="Times New Roman" w:hAnsi="Times New Roman"/>
          <w:sz w:val="24"/>
        </w:rPr>
        <w:t xml:space="preserve"> EUR</w:t>
      </w:r>
    </w:p>
    <w:p w:rsidR="00385B00" w:rsidRPr="0046266F" w:rsidRDefault="00385B00" w:rsidP="00385B00">
      <w:pPr>
        <w:pStyle w:val="Odsekzoznamu"/>
        <w:widowControl/>
        <w:numPr>
          <w:ilvl w:val="0"/>
          <w:numId w:val="48"/>
        </w:numPr>
        <w:autoSpaceDE/>
        <w:autoSpaceDN/>
        <w:adjustRightInd/>
        <w:rPr>
          <w:rFonts w:ascii="Times New Roman" w:hAnsi="Times New Roman"/>
          <w:sz w:val="24"/>
          <w:szCs w:val="24"/>
        </w:rPr>
      </w:pPr>
      <w:r w:rsidRPr="0055683F">
        <w:rPr>
          <w:rFonts w:ascii="Times New Roman" w:hAnsi="Times New Roman"/>
          <w:sz w:val="24"/>
        </w:rPr>
        <w:t xml:space="preserve">zaradenie </w:t>
      </w:r>
      <w:r w:rsidRPr="0046266F">
        <w:rPr>
          <w:rFonts w:ascii="Times New Roman" w:hAnsi="Times New Roman"/>
          <w:sz w:val="24"/>
          <w:szCs w:val="24"/>
        </w:rPr>
        <w:t>DLNM – SW vybavenie Centrálny kolektor,</w:t>
      </w:r>
    </w:p>
    <w:p w:rsidR="00385B00" w:rsidRPr="0046266F" w:rsidRDefault="00385B00" w:rsidP="00385B00">
      <w:pPr>
        <w:pStyle w:val="Odsekzoznamu"/>
        <w:rPr>
          <w:rFonts w:ascii="Times New Roman" w:hAnsi="Times New Roman"/>
          <w:sz w:val="24"/>
          <w:szCs w:val="24"/>
        </w:rPr>
      </w:pPr>
      <w:r w:rsidRPr="0046266F">
        <w:rPr>
          <w:rFonts w:ascii="Times New Roman" w:hAnsi="Times New Roman"/>
          <w:sz w:val="24"/>
          <w:szCs w:val="24"/>
        </w:rPr>
        <w:t xml:space="preserve">SP, ústredie </w:t>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t xml:space="preserve">         </w:t>
      </w:r>
      <w:r w:rsidRPr="0046266F">
        <w:rPr>
          <w:rFonts w:ascii="Times New Roman" w:hAnsi="Times New Roman"/>
          <w:sz w:val="24"/>
          <w:szCs w:val="24"/>
        </w:rPr>
        <w:tab/>
      </w:r>
      <w:r w:rsidRPr="0046266F">
        <w:rPr>
          <w:rFonts w:ascii="Times New Roman" w:hAnsi="Times New Roman"/>
          <w:sz w:val="24"/>
          <w:szCs w:val="24"/>
        </w:rPr>
        <w:tab/>
      </w:r>
      <w:r>
        <w:rPr>
          <w:rFonts w:ascii="Times New Roman" w:hAnsi="Times New Roman"/>
          <w:sz w:val="24"/>
          <w:szCs w:val="24"/>
        </w:rPr>
        <w:t xml:space="preserve">        </w:t>
      </w:r>
      <w:r w:rsidRPr="0046266F">
        <w:rPr>
          <w:rFonts w:ascii="Times New Roman" w:hAnsi="Times New Roman"/>
          <w:sz w:val="24"/>
          <w:szCs w:val="24"/>
        </w:rPr>
        <w:t>79 500,00 EUR</w:t>
      </w:r>
    </w:p>
    <w:p w:rsidR="00385B00" w:rsidRPr="0046266F" w:rsidRDefault="00385B00" w:rsidP="00385B00">
      <w:pPr>
        <w:ind w:left="426"/>
        <w:rPr>
          <w:rFonts w:ascii="Times New Roman" w:hAnsi="Times New Roman"/>
          <w:sz w:val="24"/>
          <w:szCs w:val="24"/>
        </w:rPr>
      </w:pPr>
    </w:p>
    <w:p w:rsidR="00385B00" w:rsidRPr="0046266F" w:rsidRDefault="00385B00" w:rsidP="00385B00">
      <w:pPr>
        <w:pStyle w:val="Odsekzoznamu"/>
        <w:widowControl/>
        <w:numPr>
          <w:ilvl w:val="0"/>
          <w:numId w:val="48"/>
        </w:numPr>
        <w:autoSpaceDE/>
        <w:autoSpaceDN/>
        <w:adjustRightInd/>
        <w:rPr>
          <w:rFonts w:ascii="Times New Roman" w:hAnsi="Times New Roman"/>
          <w:sz w:val="24"/>
          <w:szCs w:val="24"/>
        </w:rPr>
      </w:pPr>
      <w:r w:rsidRPr="0046266F">
        <w:rPr>
          <w:rFonts w:ascii="Times New Roman" w:hAnsi="Times New Roman"/>
          <w:sz w:val="24"/>
          <w:szCs w:val="24"/>
        </w:rPr>
        <w:t>dodávka licenčného softvérového vybavenia HPE</w:t>
      </w:r>
      <w:r w:rsidRPr="0055683F">
        <w:rPr>
          <w:rFonts w:ascii="Times New Roman" w:hAnsi="Times New Roman"/>
          <w:sz w:val="24"/>
        </w:rPr>
        <w:t xml:space="preserve"> XP7 </w:t>
      </w:r>
      <w:r w:rsidRPr="0046266F">
        <w:rPr>
          <w:rFonts w:ascii="Times New Roman" w:hAnsi="Times New Roman"/>
          <w:sz w:val="24"/>
          <w:szCs w:val="24"/>
        </w:rPr>
        <w:t xml:space="preserve">MF </w:t>
      </w:r>
    </w:p>
    <w:p w:rsidR="00385B00" w:rsidRPr="0046266F" w:rsidRDefault="00385B00" w:rsidP="00385B00">
      <w:pPr>
        <w:pStyle w:val="Odsekzoznamu"/>
        <w:rPr>
          <w:rFonts w:ascii="Times New Roman" w:hAnsi="Times New Roman"/>
          <w:sz w:val="24"/>
          <w:szCs w:val="24"/>
        </w:rPr>
      </w:pPr>
      <w:proofErr w:type="spellStart"/>
      <w:r w:rsidRPr="0046266F">
        <w:rPr>
          <w:rFonts w:ascii="Times New Roman" w:hAnsi="Times New Roman"/>
          <w:sz w:val="24"/>
          <w:szCs w:val="24"/>
        </w:rPr>
        <w:t>BasicSuite</w:t>
      </w:r>
      <w:proofErr w:type="spellEnd"/>
      <w:r w:rsidRPr="0055683F">
        <w:rPr>
          <w:rFonts w:ascii="Times New Roman" w:hAnsi="Times New Roman"/>
          <w:sz w:val="24"/>
        </w:rPr>
        <w:t xml:space="preserve"> 1TB </w:t>
      </w:r>
      <w:r w:rsidRPr="0046266F">
        <w:rPr>
          <w:rFonts w:ascii="Times New Roman" w:hAnsi="Times New Roman"/>
          <w:sz w:val="24"/>
          <w:szCs w:val="24"/>
        </w:rPr>
        <w:t>0-100TB</w:t>
      </w:r>
      <w:r w:rsidRPr="0055683F">
        <w:rPr>
          <w:rFonts w:ascii="Times New Roman" w:hAnsi="Times New Roman"/>
          <w:sz w:val="24"/>
        </w:rPr>
        <w:t xml:space="preserve"> LTU</w:t>
      </w:r>
      <w:r w:rsidRPr="0046266F">
        <w:rPr>
          <w:rFonts w:ascii="Times New Roman" w:hAnsi="Times New Roman"/>
          <w:sz w:val="24"/>
          <w:szCs w:val="24"/>
        </w:rPr>
        <w:t>, SP, ústredie</w:t>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t xml:space="preserve">       </w:t>
      </w:r>
      <w:r w:rsidRPr="0046266F">
        <w:rPr>
          <w:rFonts w:ascii="Times New Roman" w:hAnsi="Times New Roman"/>
          <w:sz w:val="24"/>
          <w:szCs w:val="24"/>
        </w:rPr>
        <w:tab/>
      </w:r>
      <w:r w:rsidRPr="0046266F">
        <w:rPr>
          <w:rFonts w:ascii="Times New Roman" w:hAnsi="Times New Roman"/>
          <w:sz w:val="24"/>
          <w:szCs w:val="24"/>
        </w:rPr>
        <w:tab/>
        <w:t xml:space="preserve"> 352 999,99 EUR</w:t>
      </w:r>
    </w:p>
    <w:p w:rsidR="00385B00" w:rsidRPr="0046266F" w:rsidRDefault="00385B00" w:rsidP="00385B00">
      <w:pPr>
        <w:ind w:left="426"/>
        <w:rPr>
          <w:rFonts w:ascii="Times New Roman" w:hAnsi="Times New Roman"/>
          <w:sz w:val="24"/>
          <w:szCs w:val="24"/>
        </w:rPr>
      </w:pPr>
    </w:p>
    <w:p w:rsidR="00385B00" w:rsidRPr="0055683F" w:rsidRDefault="00385B00" w:rsidP="00385B00">
      <w:pPr>
        <w:pStyle w:val="Odsekzoznamu"/>
        <w:widowControl/>
        <w:numPr>
          <w:ilvl w:val="0"/>
          <w:numId w:val="48"/>
        </w:numPr>
        <w:autoSpaceDE/>
        <w:autoSpaceDN/>
        <w:adjustRightInd/>
        <w:rPr>
          <w:rFonts w:ascii="Times New Roman" w:hAnsi="Times New Roman"/>
          <w:sz w:val="24"/>
        </w:rPr>
      </w:pPr>
      <w:r w:rsidRPr="0046266F">
        <w:rPr>
          <w:rFonts w:ascii="Times New Roman" w:hAnsi="Times New Roman"/>
          <w:sz w:val="24"/>
          <w:szCs w:val="24"/>
        </w:rPr>
        <w:t>monitorovací systém pre bezpečnosť počítačových sieti –</w:t>
      </w:r>
      <w:r w:rsidRPr="0055683F">
        <w:rPr>
          <w:rFonts w:ascii="Times New Roman" w:hAnsi="Times New Roman"/>
          <w:sz w:val="24"/>
        </w:rPr>
        <w:t xml:space="preserve"> technická</w:t>
      </w:r>
    </w:p>
    <w:p w:rsidR="00385B00" w:rsidRPr="0046266F" w:rsidRDefault="00385B00" w:rsidP="00385B00">
      <w:pPr>
        <w:pStyle w:val="Odsekzoznamu"/>
        <w:rPr>
          <w:rFonts w:ascii="Times New Roman" w:hAnsi="Times New Roman"/>
          <w:sz w:val="24"/>
          <w:szCs w:val="24"/>
        </w:rPr>
      </w:pPr>
      <w:r w:rsidRPr="0046266F">
        <w:rPr>
          <w:rFonts w:ascii="Times New Roman" w:hAnsi="Times New Roman"/>
          <w:sz w:val="24"/>
          <w:szCs w:val="24"/>
        </w:rPr>
        <w:t>podpora SW, SP, ústredie, ul. 29. augusta</w:t>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t xml:space="preserve"> </w:t>
      </w:r>
      <w:r w:rsidRPr="0046266F">
        <w:rPr>
          <w:rFonts w:ascii="Times New Roman" w:hAnsi="Times New Roman"/>
          <w:sz w:val="24"/>
          <w:szCs w:val="24"/>
        </w:rPr>
        <w:tab/>
        <w:t xml:space="preserve"> </w:t>
      </w:r>
      <w:r>
        <w:rPr>
          <w:rFonts w:ascii="Times New Roman" w:hAnsi="Times New Roman"/>
          <w:sz w:val="24"/>
          <w:szCs w:val="24"/>
        </w:rPr>
        <w:t xml:space="preserve"> </w:t>
      </w:r>
      <w:r w:rsidRPr="0046266F">
        <w:rPr>
          <w:rFonts w:ascii="Times New Roman" w:hAnsi="Times New Roman"/>
          <w:sz w:val="24"/>
          <w:szCs w:val="24"/>
        </w:rPr>
        <w:t xml:space="preserve"> </w:t>
      </w:r>
      <w:r>
        <w:rPr>
          <w:rFonts w:ascii="Times New Roman" w:hAnsi="Times New Roman"/>
          <w:sz w:val="24"/>
          <w:szCs w:val="24"/>
        </w:rPr>
        <w:t xml:space="preserve"> </w:t>
      </w:r>
      <w:r w:rsidRPr="0046266F">
        <w:rPr>
          <w:rFonts w:ascii="Times New Roman" w:hAnsi="Times New Roman"/>
          <w:sz w:val="24"/>
          <w:szCs w:val="24"/>
        </w:rPr>
        <w:t>1 583,02 EUR</w:t>
      </w:r>
    </w:p>
    <w:p w:rsidR="00385B00" w:rsidRPr="0046266F" w:rsidRDefault="00385B00" w:rsidP="00385B00">
      <w:pPr>
        <w:ind w:left="426"/>
        <w:rPr>
          <w:rFonts w:ascii="Times New Roman" w:hAnsi="Times New Roman"/>
          <w:sz w:val="24"/>
          <w:szCs w:val="24"/>
        </w:rPr>
      </w:pPr>
    </w:p>
    <w:p w:rsidR="00385B00" w:rsidRPr="0046266F" w:rsidRDefault="00385B00" w:rsidP="00385B00">
      <w:pPr>
        <w:pStyle w:val="Odsekzoznamu"/>
        <w:widowControl/>
        <w:numPr>
          <w:ilvl w:val="0"/>
          <w:numId w:val="48"/>
        </w:numPr>
        <w:autoSpaceDE/>
        <w:autoSpaceDN/>
        <w:adjustRightInd/>
        <w:rPr>
          <w:rFonts w:ascii="Times New Roman" w:hAnsi="Times New Roman"/>
          <w:sz w:val="24"/>
          <w:szCs w:val="24"/>
        </w:rPr>
      </w:pPr>
      <w:r w:rsidRPr="0046266F">
        <w:rPr>
          <w:rFonts w:ascii="Times New Roman" w:hAnsi="Times New Roman"/>
          <w:sz w:val="24"/>
          <w:szCs w:val="24"/>
        </w:rPr>
        <w:t>monitorovací systém pre bezpečnosť počítačových sieti –</w:t>
      </w:r>
      <w:r w:rsidRPr="0055683F">
        <w:rPr>
          <w:rFonts w:ascii="Times New Roman" w:hAnsi="Times New Roman"/>
          <w:sz w:val="24"/>
        </w:rPr>
        <w:t xml:space="preserve"> technická</w:t>
      </w:r>
    </w:p>
    <w:p w:rsidR="00385B00" w:rsidRPr="0055683F" w:rsidRDefault="00385B00" w:rsidP="00385B00">
      <w:pPr>
        <w:pStyle w:val="Odsekzoznamu"/>
        <w:rPr>
          <w:rFonts w:ascii="Times New Roman" w:hAnsi="Times New Roman"/>
          <w:sz w:val="24"/>
        </w:rPr>
      </w:pPr>
      <w:r w:rsidRPr="0055683F">
        <w:rPr>
          <w:rFonts w:ascii="Times New Roman" w:hAnsi="Times New Roman"/>
          <w:sz w:val="24"/>
        </w:rPr>
        <w:t xml:space="preserve">podpora </w:t>
      </w:r>
      <w:r w:rsidRPr="0046266F">
        <w:rPr>
          <w:rFonts w:ascii="Times New Roman" w:hAnsi="Times New Roman"/>
          <w:sz w:val="24"/>
          <w:szCs w:val="24"/>
        </w:rPr>
        <w:t>SW, SP, ústredie, ul.</w:t>
      </w:r>
      <w:r w:rsidRPr="0055683F">
        <w:rPr>
          <w:rFonts w:ascii="Times New Roman" w:hAnsi="Times New Roman"/>
          <w:sz w:val="24"/>
        </w:rPr>
        <w:t xml:space="preserve"> 29. </w:t>
      </w:r>
      <w:r w:rsidRPr="0046266F">
        <w:rPr>
          <w:rFonts w:ascii="Times New Roman" w:hAnsi="Times New Roman"/>
          <w:sz w:val="24"/>
          <w:szCs w:val="24"/>
        </w:rPr>
        <w:t>augusta</w:t>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t xml:space="preserve">  </w:t>
      </w:r>
      <w:r>
        <w:rPr>
          <w:rFonts w:ascii="Times New Roman" w:hAnsi="Times New Roman"/>
          <w:sz w:val="24"/>
          <w:szCs w:val="24"/>
        </w:rPr>
        <w:t xml:space="preserve"> </w:t>
      </w:r>
      <w:r w:rsidRPr="0046266F">
        <w:rPr>
          <w:rFonts w:ascii="Times New Roman" w:hAnsi="Times New Roman"/>
          <w:sz w:val="24"/>
          <w:szCs w:val="24"/>
        </w:rPr>
        <w:t xml:space="preserve"> 1 657,50</w:t>
      </w:r>
      <w:r w:rsidRPr="0055683F">
        <w:rPr>
          <w:rFonts w:ascii="Times New Roman" w:hAnsi="Times New Roman"/>
          <w:sz w:val="24"/>
        </w:rPr>
        <w:t xml:space="preserve"> EUR</w:t>
      </w:r>
    </w:p>
    <w:p w:rsidR="00385B00" w:rsidRPr="0046266F" w:rsidRDefault="00385B00" w:rsidP="00385B00">
      <w:pPr>
        <w:ind w:left="426"/>
        <w:rPr>
          <w:rFonts w:ascii="Times New Roman" w:hAnsi="Times New Roman"/>
          <w:sz w:val="24"/>
          <w:szCs w:val="24"/>
        </w:rPr>
      </w:pPr>
    </w:p>
    <w:p w:rsidR="00385B00" w:rsidRPr="0046266F" w:rsidRDefault="00385B00" w:rsidP="00385B00">
      <w:pPr>
        <w:pStyle w:val="Odsekzoznamu"/>
        <w:widowControl/>
        <w:numPr>
          <w:ilvl w:val="0"/>
          <w:numId w:val="48"/>
        </w:numPr>
        <w:autoSpaceDE/>
        <w:autoSpaceDN/>
        <w:adjustRightInd/>
        <w:rPr>
          <w:rFonts w:ascii="Times New Roman" w:hAnsi="Times New Roman"/>
          <w:sz w:val="24"/>
          <w:szCs w:val="24"/>
        </w:rPr>
      </w:pPr>
      <w:r w:rsidRPr="0046266F">
        <w:rPr>
          <w:rFonts w:ascii="Times New Roman" w:hAnsi="Times New Roman"/>
          <w:sz w:val="24"/>
          <w:szCs w:val="24"/>
        </w:rPr>
        <w:t xml:space="preserve">zaradenie DLNM – licencie </w:t>
      </w:r>
      <w:proofErr w:type="spellStart"/>
      <w:r w:rsidRPr="0046266F">
        <w:rPr>
          <w:rFonts w:ascii="Times New Roman" w:hAnsi="Times New Roman"/>
          <w:sz w:val="24"/>
          <w:szCs w:val="24"/>
        </w:rPr>
        <w:t>CISSteDCCORE</w:t>
      </w:r>
      <w:proofErr w:type="spellEnd"/>
      <w:r w:rsidRPr="0046266F">
        <w:rPr>
          <w:rFonts w:ascii="Times New Roman" w:hAnsi="Times New Roman"/>
          <w:sz w:val="24"/>
          <w:szCs w:val="24"/>
        </w:rPr>
        <w:t xml:space="preserve"> SNGL k </w:t>
      </w:r>
      <w:proofErr w:type="spellStart"/>
      <w:r w:rsidRPr="0046266F">
        <w:rPr>
          <w:rFonts w:ascii="Times New Roman" w:hAnsi="Times New Roman"/>
          <w:sz w:val="24"/>
          <w:szCs w:val="24"/>
        </w:rPr>
        <w:t>PB-S-projekt</w:t>
      </w:r>
      <w:proofErr w:type="spellEnd"/>
    </w:p>
    <w:p w:rsidR="00385B00" w:rsidRDefault="00385B00" w:rsidP="00385B00">
      <w:pPr>
        <w:pStyle w:val="Odsekzoznamu"/>
        <w:rPr>
          <w:rFonts w:ascii="Times New Roman" w:hAnsi="Times New Roman"/>
          <w:sz w:val="24"/>
          <w:szCs w:val="24"/>
        </w:rPr>
      </w:pPr>
      <w:proofErr w:type="spellStart"/>
      <w:r>
        <w:rPr>
          <w:rFonts w:ascii="Times New Roman" w:hAnsi="Times New Roman"/>
          <w:sz w:val="24"/>
          <w:szCs w:val="24"/>
        </w:rPr>
        <w:t>Electronic</w:t>
      </w:r>
      <w:proofErr w:type="spellEnd"/>
      <w:r>
        <w:rPr>
          <w:rFonts w:ascii="Times New Roman" w:hAnsi="Times New Roman"/>
          <w:sz w:val="24"/>
          <w:szCs w:val="24"/>
        </w:rPr>
        <w:t xml:space="preserve"> Exchange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Social</w:t>
      </w:r>
      <w:proofErr w:type="spellEnd"/>
      <w:r>
        <w:rPr>
          <w:rFonts w:ascii="Times New Roman" w:hAnsi="Times New Roman"/>
          <w:sz w:val="24"/>
          <w:szCs w:val="24"/>
        </w:rPr>
        <w:t xml:space="preserve"> </w:t>
      </w:r>
      <w:proofErr w:type="spellStart"/>
      <w:r>
        <w:rPr>
          <w:rFonts w:ascii="Times New Roman" w:hAnsi="Times New Roman"/>
          <w:sz w:val="24"/>
          <w:szCs w:val="24"/>
        </w:rPr>
        <w:t>Security</w:t>
      </w:r>
      <w:proofErr w:type="spellEnd"/>
      <w:r>
        <w:rPr>
          <w:rFonts w:ascii="Times New Roman" w:hAnsi="Times New Roman"/>
          <w:sz w:val="24"/>
          <w:szCs w:val="24"/>
        </w:rPr>
        <w:t xml:space="preserve"> </w:t>
      </w:r>
      <w:proofErr w:type="spellStart"/>
      <w:r>
        <w:rPr>
          <w:rFonts w:ascii="Times New Roman" w:hAnsi="Times New Roman"/>
          <w:sz w:val="24"/>
          <w:szCs w:val="24"/>
        </w:rPr>
        <w:t>Information</w:t>
      </w:r>
      <w:proofErr w:type="spellEnd"/>
      <w:r>
        <w:rPr>
          <w:rFonts w:ascii="Times New Roman" w:hAnsi="Times New Roman"/>
          <w:sz w:val="24"/>
          <w:szCs w:val="24"/>
        </w:rPr>
        <w:t xml:space="preserve"> (ďalej len </w:t>
      </w:r>
      <w:r w:rsidRPr="0046266F">
        <w:rPr>
          <w:rFonts w:ascii="Times New Roman" w:hAnsi="Times New Roman"/>
          <w:sz w:val="24"/>
          <w:szCs w:val="24"/>
        </w:rPr>
        <w:t>EESSI</w:t>
      </w:r>
      <w:r>
        <w:rPr>
          <w:rFonts w:ascii="Times New Roman" w:hAnsi="Times New Roman"/>
          <w:sz w:val="24"/>
          <w:szCs w:val="24"/>
        </w:rPr>
        <w:t>)</w:t>
      </w:r>
      <w:r w:rsidRPr="0046266F">
        <w:rPr>
          <w:rFonts w:ascii="Times New Roman" w:hAnsi="Times New Roman"/>
          <w:sz w:val="24"/>
          <w:szCs w:val="24"/>
        </w:rPr>
        <w:t xml:space="preserve">, </w:t>
      </w:r>
    </w:p>
    <w:p w:rsidR="00385B00" w:rsidRPr="0046266F" w:rsidRDefault="00385B00" w:rsidP="00385B00">
      <w:pPr>
        <w:pStyle w:val="Odsekzoznamu"/>
        <w:rPr>
          <w:rFonts w:ascii="Times New Roman" w:hAnsi="Times New Roman"/>
          <w:sz w:val="24"/>
          <w:szCs w:val="24"/>
        </w:rPr>
      </w:pPr>
      <w:r w:rsidRPr="0046266F">
        <w:rPr>
          <w:rFonts w:ascii="Times New Roman" w:hAnsi="Times New Roman"/>
          <w:sz w:val="24"/>
          <w:szCs w:val="24"/>
        </w:rPr>
        <w:t>SP, ústredie, ul.</w:t>
      </w:r>
      <w:r w:rsidRPr="0055683F">
        <w:rPr>
          <w:rFonts w:ascii="Times New Roman" w:hAnsi="Times New Roman"/>
          <w:sz w:val="24"/>
        </w:rPr>
        <w:t xml:space="preserve"> 29. </w:t>
      </w:r>
      <w:r w:rsidRPr="0046266F">
        <w:rPr>
          <w:rFonts w:ascii="Times New Roman" w:hAnsi="Times New Roman"/>
          <w:sz w:val="24"/>
          <w:szCs w:val="24"/>
        </w:rPr>
        <w:t>augusta</w:t>
      </w:r>
      <w:r w:rsidRPr="0046266F">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t xml:space="preserve">      </w:t>
      </w:r>
      <w:r w:rsidRPr="0046266F">
        <w:rPr>
          <w:rFonts w:ascii="Times New Roman" w:hAnsi="Times New Roman"/>
          <w:sz w:val="24"/>
          <w:szCs w:val="24"/>
        </w:rPr>
        <w:tab/>
      </w:r>
      <w:r w:rsidRPr="0046266F">
        <w:rPr>
          <w:rFonts w:ascii="Times New Roman" w:hAnsi="Times New Roman"/>
          <w:sz w:val="24"/>
          <w:szCs w:val="24"/>
        </w:rPr>
        <w:tab/>
      </w:r>
      <w:r>
        <w:rPr>
          <w:rFonts w:ascii="Times New Roman" w:hAnsi="Times New Roman"/>
          <w:sz w:val="24"/>
          <w:szCs w:val="24"/>
        </w:rPr>
        <w:t xml:space="preserve"> </w:t>
      </w:r>
      <w:r w:rsidRPr="0046266F">
        <w:rPr>
          <w:rFonts w:ascii="Times New Roman" w:hAnsi="Times New Roman"/>
          <w:sz w:val="24"/>
          <w:szCs w:val="24"/>
        </w:rPr>
        <w:t>233 625,60 EUR</w:t>
      </w:r>
    </w:p>
    <w:p w:rsidR="00385B00" w:rsidRPr="0046266F" w:rsidRDefault="00385B00" w:rsidP="00385B00">
      <w:pPr>
        <w:ind w:left="426"/>
        <w:rPr>
          <w:rFonts w:ascii="Times New Roman" w:hAnsi="Times New Roman"/>
          <w:sz w:val="24"/>
          <w:szCs w:val="24"/>
        </w:rPr>
      </w:pPr>
    </w:p>
    <w:p w:rsidR="00385B00" w:rsidRPr="0046266F" w:rsidRDefault="00385B00" w:rsidP="00385B00">
      <w:pPr>
        <w:pStyle w:val="Odsekzoznamu"/>
        <w:widowControl/>
        <w:numPr>
          <w:ilvl w:val="0"/>
          <w:numId w:val="48"/>
        </w:numPr>
        <w:autoSpaceDE/>
        <w:autoSpaceDN/>
        <w:adjustRightInd/>
        <w:rPr>
          <w:rFonts w:ascii="Times New Roman" w:hAnsi="Times New Roman"/>
          <w:sz w:val="24"/>
          <w:szCs w:val="24"/>
        </w:rPr>
      </w:pPr>
      <w:r w:rsidRPr="0046266F">
        <w:rPr>
          <w:rFonts w:ascii="Times New Roman" w:hAnsi="Times New Roman"/>
          <w:sz w:val="24"/>
          <w:szCs w:val="24"/>
        </w:rPr>
        <w:t>monitorovací systém pre bezpečnosť počítačových sietí – technická</w:t>
      </w:r>
    </w:p>
    <w:p w:rsidR="00385B00" w:rsidRDefault="00385B00" w:rsidP="00385B00">
      <w:pPr>
        <w:pStyle w:val="Odsekzoznamu"/>
        <w:rPr>
          <w:rFonts w:ascii="Times New Roman" w:hAnsi="Times New Roman"/>
          <w:sz w:val="24"/>
          <w:szCs w:val="24"/>
        </w:rPr>
      </w:pPr>
      <w:r w:rsidRPr="0046266F">
        <w:rPr>
          <w:rFonts w:ascii="Times New Roman" w:hAnsi="Times New Roman"/>
          <w:sz w:val="24"/>
          <w:szCs w:val="24"/>
        </w:rPr>
        <w:t>podpora SW, SP, ústredie, ul.</w:t>
      </w:r>
      <w:r w:rsidRPr="0055683F">
        <w:rPr>
          <w:rFonts w:ascii="Times New Roman" w:hAnsi="Times New Roman"/>
          <w:sz w:val="24"/>
        </w:rPr>
        <w:t xml:space="preserve"> 29. </w:t>
      </w:r>
      <w:r w:rsidRPr="0046266F">
        <w:rPr>
          <w:rFonts w:ascii="Times New Roman" w:hAnsi="Times New Roman"/>
          <w:sz w:val="24"/>
          <w:szCs w:val="24"/>
        </w:rPr>
        <w:t>augusta</w:t>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Pr>
          <w:rFonts w:ascii="Times New Roman" w:hAnsi="Times New Roman"/>
          <w:sz w:val="24"/>
          <w:szCs w:val="24"/>
        </w:rPr>
        <w:t xml:space="preserve"> </w:t>
      </w:r>
      <w:r w:rsidRPr="0046266F">
        <w:rPr>
          <w:rFonts w:ascii="Times New Roman" w:hAnsi="Times New Roman"/>
          <w:sz w:val="24"/>
          <w:szCs w:val="24"/>
        </w:rPr>
        <w:t xml:space="preserve">   1 657,49 EUR</w:t>
      </w:r>
    </w:p>
    <w:p w:rsidR="00385B00" w:rsidRPr="0046266F" w:rsidRDefault="00385B00" w:rsidP="00385B00">
      <w:pPr>
        <w:pStyle w:val="Odsekzoznamu"/>
        <w:rPr>
          <w:rFonts w:ascii="Times New Roman" w:hAnsi="Times New Roman"/>
          <w:sz w:val="24"/>
          <w:szCs w:val="24"/>
        </w:rPr>
      </w:pPr>
      <w:r w:rsidRPr="0046266F">
        <w:rPr>
          <w:rFonts w:ascii="Times New Roman" w:hAnsi="Times New Roman"/>
          <w:sz w:val="24"/>
          <w:szCs w:val="24"/>
        </w:rPr>
        <w:tab/>
      </w:r>
    </w:p>
    <w:p w:rsidR="00385B00" w:rsidRPr="0055683F" w:rsidRDefault="00385B00" w:rsidP="00385B00">
      <w:pPr>
        <w:pStyle w:val="Odsekzoznamu"/>
        <w:widowControl/>
        <w:numPr>
          <w:ilvl w:val="0"/>
          <w:numId w:val="48"/>
        </w:numPr>
        <w:autoSpaceDE/>
        <w:autoSpaceDN/>
        <w:adjustRightInd/>
        <w:rPr>
          <w:rFonts w:ascii="Times New Roman" w:hAnsi="Times New Roman"/>
          <w:sz w:val="24"/>
        </w:rPr>
      </w:pPr>
      <w:r w:rsidRPr="0046266F">
        <w:rPr>
          <w:rFonts w:ascii="Times New Roman" w:hAnsi="Times New Roman"/>
          <w:sz w:val="24"/>
          <w:szCs w:val="24"/>
        </w:rPr>
        <w:t>zaradenie DLNM – licencie</w:t>
      </w:r>
      <w:r w:rsidRPr="0055683F">
        <w:rPr>
          <w:rFonts w:ascii="Times New Roman" w:hAnsi="Times New Roman"/>
          <w:sz w:val="24"/>
        </w:rPr>
        <w:t xml:space="preserve"> </w:t>
      </w:r>
      <w:proofErr w:type="spellStart"/>
      <w:r w:rsidRPr="0055683F">
        <w:rPr>
          <w:rFonts w:ascii="Times New Roman" w:hAnsi="Times New Roman"/>
          <w:sz w:val="24"/>
        </w:rPr>
        <w:t>CISSteDCCore</w:t>
      </w:r>
      <w:proofErr w:type="spellEnd"/>
      <w:r w:rsidRPr="0046266F">
        <w:rPr>
          <w:rFonts w:ascii="Times New Roman" w:hAnsi="Times New Roman"/>
          <w:sz w:val="24"/>
          <w:szCs w:val="24"/>
        </w:rPr>
        <w:t xml:space="preserve"> </w:t>
      </w:r>
      <w:r w:rsidRPr="0055683F">
        <w:rPr>
          <w:rFonts w:ascii="Times New Roman" w:hAnsi="Times New Roman"/>
          <w:sz w:val="24"/>
        </w:rPr>
        <w:t xml:space="preserve">SNGL </w:t>
      </w:r>
      <w:proofErr w:type="spellStart"/>
      <w:r w:rsidRPr="0055683F">
        <w:rPr>
          <w:rFonts w:ascii="Times New Roman" w:hAnsi="Times New Roman"/>
          <w:sz w:val="24"/>
        </w:rPr>
        <w:t>LicSAPk</w:t>
      </w:r>
      <w:proofErr w:type="spellEnd"/>
      <w:r w:rsidRPr="0055683F">
        <w:rPr>
          <w:rFonts w:ascii="Times New Roman" w:hAnsi="Times New Roman"/>
          <w:sz w:val="24"/>
        </w:rPr>
        <w:t xml:space="preserve"> MVL</w:t>
      </w:r>
      <w:r w:rsidRPr="0046266F">
        <w:rPr>
          <w:rFonts w:ascii="Times New Roman" w:hAnsi="Times New Roman"/>
          <w:sz w:val="24"/>
          <w:szCs w:val="24"/>
        </w:rPr>
        <w:t>+SA,</w:t>
      </w:r>
    </w:p>
    <w:p w:rsidR="00385B00" w:rsidRDefault="00385B00" w:rsidP="00385B00">
      <w:pPr>
        <w:pStyle w:val="Odsekzoznamu"/>
        <w:rPr>
          <w:rFonts w:ascii="Times New Roman" w:hAnsi="Times New Roman"/>
          <w:sz w:val="24"/>
          <w:szCs w:val="24"/>
        </w:rPr>
      </w:pPr>
      <w:r w:rsidRPr="0046266F">
        <w:rPr>
          <w:rFonts w:ascii="Times New Roman" w:hAnsi="Times New Roman"/>
          <w:sz w:val="24"/>
          <w:szCs w:val="24"/>
        </w:rPr>
        <w:t>SP, ústredie</w:t>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t xml:space="preserve">         </w:t>
      </w:r>
      <w:r w:rsidRPr="0046266F">
        <w:rPr>
          <w:rFonts w:ascii="Times New Roman" w:hAnsi="Times New Roman"/>
          <w:sz w:val="24"/>
          <w:szCs w:val="24"/>
        </w:rPr>
        <w:tab/>
      </w:r>
      <w:r w:rsidRPr="0046266F">
        <w:rPr>
          <w:rFonts w:ascii="Times New Roman" w:hAnsi="Times New Roman"/>
          <w:sz w:val="24"/>
          <w:szCs w:val="24"/>
        </w:rPr>
        <w:tab/>
      </w:r>
      <w:r>
        <w:rPr>
          <w:rFonts w:ascii="Times New Roman" w:hAnsi="Times New Roman"/>
          <w:sz w:val="24"/>
          <w:szCs w:val="24"/>
        </w:rPr>
        <w:t xml:space="preserve">      </w:t>
      </w:r>
      <w:r w:rsidRPr="0046266F">
        <w:rPr>
          <w:rFonts w:ascii="Times New Roman" w:hAnsi="Times New Roman"/>
          <w:sz w:val="24"/>
          <w:szCs w:val="24"/>
        </w:rPr>
        <w:t xml:space="preserve">  73 445,26 EUR</w:t>
      </w:r>
    </w:p>
    <w:p w:rsidR="00385B00" w:rsidRPr="0046266F" w:rsidRDefault="00385B00" w:rsidP="00385B00">
      <w:pPr>
        <w:pStyle w:val="Odsekzoznamu"/>
        <w:rPr>
          <w:rFonts w:ascii="Times New Roman" w:hAnsi="Times New Roman"/>
          <w:sz w:val="24"/>
          <w:szCs w:val="24"/>
        </w:rPr>
      </w:pPr>
    </w:p>
    <w:p w:rsidR="00385B00" w:rsidRPr="0046266F" w:rsidRDefault="00385B00" w:rsidP="00385B00">
      <w:pPr>
        <w:pStyle w:val="Odsekzoznamu"/>
        <w:widowControl/>
        <w:numPr>
          <w:ilvl w:val="0"/>
          <w:numId w:val="48"/>
        </w:numPr>
        <w:autoSpaceDE/>
        <w:autoSpaceDN/>
        <w:adjustRightInd/>
        <w:rPr>
          <w:rFonts w:ascii="Times New Roman" w:hAnsi="Times New Roman"/>
          <w:sz w:val="24"/>
          <w:szCs w:val="24"/>
        </w:rPr>
      </w:pPr>
      <w:r w:rsidRPr="0046266F">
        <w:rPr>
          <w:rFonts w:ascii="Times New Roman" w:hAnsi="Times New Roman"/>
          <w:sz w:val="24"/>
          <w:szCs w:val="24"/>
        </w:rPr>
        <w:t xml:space="preserve">dodávka, inštalácia a implementácia </w:t>
      </w:r>
      <w:proofErr w:type="spellStart"/>
      <w:r w:rsidRPr="0046266F">
        <w:rPr>
          <w:rFonts w:ascii="Times New Roman" w:hAnsi="Times New Roman"/>
          <w:sz w:val="24"/>
          <w:szCs w:val="24"/>
        </w:rPr>
        <w:t>Firewall</w:t>
      </w:r>
      <w:proofErr w:type="spellEnd"/>
      <w:r w:rsidRPr="0046266F">
        <w:rPr>
          <w:rFonts w:ascii="Times New Roman" w:hAnsi="Times New Roman"/>
          <w:sz w:val="24"/>
          <w:szCs w:val="24"/>
        </w:rPr>
        <w:t xml:space="preserve"> FW APP1 FWB-VM04 </w:t>
      </w:r>
    </w:p>
    <w:p w:rsidR="00385B00" w:rsidRPr="0046266F" w:rsidRDefault="00385B00" w:rsidP="00385B00">
      <w:pPr>
        <w:pStyle w:val="Odsekzoznamu"/>
        <w:rPr>
          <w:rFonts w:ascii="Times New Roman" w:hAnsi="Times New Roman"/>
          <w:sz w:val="24"/>
          <w:szCs w:val="24"/>
        </w:rPr>
      </w:pPr>
      <w:r w:rsidRPr="0046266F">
        <w:rPr>
          <w:rFonts w:ascii="Times New Roman" w:hAnsi="Times New Roman"/>
          <w:sz w:val="24"/>
          <w:szCs w:val="24"/>
        </w:rPr>
        <w:t xml:space="preserve">poskytovanie technickej podpory na 1 rok pre projekt EESSI, </w:t>
      </w:r>
    </w:p>
    <w:p w:rsidR="00385B00" w:rsidRPr="0046266F" w:rsidRDefault="00385B00" w:rsidP="00385B00">
      <w:pPr>
        <w:pStyle w:val="Odsekzoznamu"/>
        <w:rPr>
          <w:rFonts w:ascii="Times New Roman" w:hAnsi="Times New Roman"/>
          <w:sz w:val="24"/>
          <w:szCs w:val="24"/>
        </w:rPr>
      </w:pPr>
      <w:r w:rsidRPr="0046266F">
        <w:rPr>
          <w:rFonts w:ascii="Times New Roman" w:hAnsi="Times New Roman"/>
          <w:sz w:val="24"/>
          <w:szCs w:val="24"/>
        </w:rPr>
        <w:t>SP, ústredie</w:t>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t xml:space="preserve">        </w:t>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t xml:space="preserve">  36 104,25 EUR</w:t>
      </w:r>
    </w:p>
    <w:p w:rsidR="00385B00" w:rsidRPr="0046266F" w:rsidRDefault="00385B00" w:rsidP="00385B00">
      <w:pPr>
        <w:pStyle w:val="Odsekzoznamu"/>
        <w:rPr>
          <w:rFonts w:ascii="Times New Roman" w:hAnsi="Times New Roman"/>
          <w:sz w:val="24"/>
          <w:szCs w:val="24"/>
        </w:rPr>
      </w:pPr>
    </w:p>
    <w:p w:rsidR="00385B00" w:rsidRPr="0046266F" w:rsidRDefault="00385B00" w:rsidP="00385B00">
      <w:pPr>
        <w:pStyle w:val="Odsekzoznamu"/>
        <w:widowControl/>
        <w:numPr>
          <w:ilvl w:val="0"/>
          <w:numId w:val="48"/>
        </w:numPr>
        <w:autoSpaceDE/>
        <w:autoSpaceDN/>
        <w:adjustRightInd/>
        <w:rPr>
          <w:rFonts w:ascii="Times New Roman" w:hAnsi="Times New Roman"/>
          <w:sz w:val="24"/>
          <w:szCs w:val="24"/>
        </w:rPr>
      </w:pPr>
      <w:r w:rsidRPr="0046266F">
        <w:rPr>
          <w:rFonts w:ascii="Times New Roman" w:hAnsi="Times New Roman"/>
          <w:sz w:val="24"/>
          <w:szCs w:val="24"/>
        </w:rPr>
        <w:t xml:space="preserve">dodávka, inštalácia a implementácia </w:t>
      </w:r>
      <w:proofErr w:type="spellStart"/>
      <w:r w:rsidRPr="0046266F">
        <w:rPr>
          <w:rFonts w:ascii="Times New Roman" w:hAnsi="Times New Roman"/>
          <w:sz w:val="24"/>
          <w:szCs w:val="24"/>
        </w:rPr>
        <w:t>Firewall</w:t>
      </w:r>
      <w:proofErr w:type="spellEnd"/>
      <w:r w:rsidRPr="0046266F">
        <w:rPr>
          <w:rFonts w:ascii="Times New Roman" w:hAnsi="Times New Roman"/>
          <w:sz w:val="24"/>
          <w:szCs w:val="24"/>
        </w:rPr>
        <w:t xml:space="preserve"> FW APP1 FWB-VM04 </w:t>
      </w:r>
    </w:p>
    <w:p w:rsidR="00385B00" w:rsidRPr="0046266F" w:rsidRDefault="00385B00" w:rsidP="00385B00">
      <w:pPr>
        <w:pStyle w:val="Odsekzoznamu"/>
        <w:rPr>
          <w:rFonts w:ascii="Times New Roman" w:hAnsi="Times New Roman"/>
          <w:sz w:val="24"/>
          <w:szCs w:val="24"/>
        </w:rPr>
      </w:pPr>
      <w:r w:rsidRPr="0046266F">
        <w:rPr>
          <w:rFonts w:ascii="Times New Roman" w:hAnsi="Times New Roman"/>
          <w:sz w:val="24"/>
          <w:szCs w:val="24"/>
        </w:rPr>
        <w:t xml:space="preserve">poskytovanie technickej podpory na 1 rok pre projekt EESSI, </w:t>
      </w:r>
    </w:p>
    <w:p w:rsidR="00385B00" w:rsidRPr="0046266F" w:rsidRDefault="00385B00" w:rsidP="00385B00">
      <w:pPr>
        <w:pStyle w:val="Odsekzoznamu"/>
        <w:rPr>
          <w:rFonts w:ascii="Times New Roman" w:hAnsi="Times New Roman"/>
          <w:sz w:val="24"/>
          <w:szCs w:val="24"/>
        </w:rPr>
      </w:pPr>
      <w:r w:rsidRPr="0046266F">
        <w:rPr>
          <w:rFonts w:ascii="Times New Roman" w:hAnsi="Times New Roman"/>
          <w:sz w:val="24"/>
          <w:szCs w:val="24"/>
        </w:rPr>
        <w:t>SP, ústredie</w:t>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t xml:space="preserve">         </w:t>
      </w:r>
      <w:r w:rsidRPr="0046266F">
        <w:rPr>
          <w:rFonts w:ascii="Times New Roman" w:hAnsi="Times New Roman"/>
          <w:sz w:val="24"/>
          <w:szCs w:val="24"/>
        </w:rPr>
        <w:tab/>
      </w:r>
      <w:r w:rsidRPr="0046266F">
        <w:rPr>
          <w:rFonts w:ascii="Times New Roman" w:hAnsi="Times New Roman"/>
          <w:sz w:val="24"/>
          <w:szCs w:val="24"/>
        </w:rPr>
        <w:tab/>
      </w:r>
      <w:r>
        <w:rPr>
          <w:rFonts w:ascii="Times New Roman" w:hAnsi="Times New Roman"/>
          <w:sz w:val="24"/>
          <w:szCs w:val="24"/>
        </w:rPr>
        <w:t xml:space="preserve">      </w:t>
      </w:r>
      <w:r w:rsidRPr="0046266F">
        <w:rPr>
          <w:rFonts w:ascii="Times New Roman" w:hAnsi="Times New Roman"/>
          <w:sz w:val="24"/>
          <w:szCs w:val="24"/>
        </w:rPr>
        <w:t xml:space="preserve">  21 662,55 EUR</w:t>
      </w:r>
    </w:p>
    <w:p w:rsidR="00385B00" w:rsidRPr="0046266F" w:rsidRDefault="00385B00" w:rsidP="00385B00">
      <w:pPr>
        <w:widowControl/>
        <w:spacing w:line="360" w:lineRule="auto"/>
        <w:jc w:val="both"/>
        <w:rPr>
          <w:rFonts w:ascii="Times New Roman" w:hAnsi="Times New Roman"/>
          <w:sz w:val="24"/>
          <w:szCs w:val="24"/>
        </w:rPr>
      </w:pPr>
    </w:p>
    <w:p w:rsidR="00385B00" w:rsidRPr="0055683F" w:rsidRDefault="00385B00" w:rsidP="00385B00">
      <w:pPr>
        <w:widowControl/>
        <w:spacing w:line="360" w:lineRule="auto"/>
        <w:ind w:firstLine="510"/>
        <w:jc w:val="both"/>
        <w:rPr>
          <w:rFonts w:ascii="Times New Roman" w:hAnsi="Times New Roman"/>
          <w:sz w:val="24"/>
        </w:rPr>
      </w:pPr>
      <w:r w:rsidRPr="0055683F">
        <w:rPr>
          <w:rFonts w:ascii="Times New Roman" w:hAnsi="Times New Roman"/>
          <w:sz w:val="24"/>
        </w:rPr>
        <w:t xml:space="preserve">Úbytky za rok 2018 predstavovali sumu </w:t>
      </w:r>
      <w:r w:rsidRPr="0046266F">
        <w:rPr>
          <w:rFonts w:ascii="Times New Roman" w:hAnsi="Times New Roman"/>
          <w:sz w:val="24"/>
          <w:szCs w:val="24"/>
        </w:rPr>
        <w:t>17 501,58</w:t>
      </w:r>
      <w:r w:rsidRPr="0055683F">
        <w:rPr>
          <w:rFonts w:ascii="Times New Roman" w:hAnsi="Times New Roman"/>
          <w:sz w:val="24"/>
        </w:rPr>
        <w:t xml:space="preserve"> EUR. V konkrétnom vyjadrení ide o vyradenie softvéru v Sociálnej poisťovni, pobočky v sume </w:t>
      </w:r>
      <w:r w:rsidRPr="0046266F">
        <w:rPr>
          <w:rFonts w:ascii="Times New Roman" w:hAnsi="Times New Roman"/>
          <w:sz w:val="24"/>
          <w:szCs w:val="24"/>
        </w:rPr>
        <w:t>17 501,58</w:t>
      </w:r>
      <w:r w:rsidRPr="0055683F">
        <w:rPr>
          <w:rFonts w:ascii="Times New Roman" w:hAnsi="Times New Roman"/>
          <w:sz w:val="24"/>
        </w:rPr>
        <w:t xml:space="preserve"> EUR.</w:t>
      </w:r>
    </w:p>
    <w:p w:rsidR="00385B00" w:rsidRDefault="00385B00" w:rsidP="00385B00">
      <w:pPr>
        <w:widowControl/>
        <w:spacing w:line="360" w:lineRule="auto"/>
        <w:jc w:val="both"/>
        <w:rPr>
          <w:rFonts w:ascii="Times New Roman" w:hAnsi="Times New Roman"/>
          <w:b/>
          <w:sz w:val="24"/>
        </w:rPr>
      </w:pPr>
    </w:p>
    <w:p w:rsidR="00385B00" w:rsidRPr="0055683F" w:rsidRDefault="00385B00" w:rsidP="00385B00">
      <w:pPr>
        <w:widowControl/>
        <w:spacing w:line="360" w:lineRule="auto"/>
        <w:rPr>
          <w:rFonts w:ascii="Times New Roman" w:hAnsi="Times New Roman"/>
          <w:b/>
          <w:sz w:val="24"/>
        </w:rPr>
      </w:pPr>
      <w:r w:rsidRPr="0055683F">
        <w:rPr>
          <w:rFonts w:ascii="Times New Roman" w:hAnsi="Times New Roman"/>
          <w:b/>
          <w:sz w:val="24"/>
        </w:rPr>
        <w:t>Konečný zostatok</w:t>
      </w:r>
      <w:r w:rsidRPr="0055683F">
        <w:rPr>
          <w:rFonts w:ascii="Times New Roman" w:hAnsi="Times New Roman"/>
          <w:sz w:val="24"/>
        </w:rPr>
        <w:t xml:space="preserve"> majetku k 31.12.2018</w:t>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Pr>
          <w:rFonts w:ascii="Times New Roman" w:hAnsi="Times New Roman"/>
          <w:sz w:val="24"/>
        </w:rPr>
        <w:t xml:space="preserve">     </w:t>
      </w:r>
      <w:r w:rsidRPr="0055683F">
        <w:rPr>
          <w:rFonts w:ascii="Times New Roman" w:hAnsi="Times New Roman"/>
          <w:sz w:val="24"/>
        </w:rPr>
        <w:t xml:space="preserve">  </w:t>
      </w:r>
      <w:r>
        <w:rPr>
          <w:rFonts w:ascii="Times New Roman" w:hAnsi="Times New Roman"/>
          <w:sz w:val="24"/>
        </w:rPr>
        <w:t xml:space="preserve"> </w:t>
      </w:r>
      <w:r w:rsidRPr="0046266F">
        <w:rPr>
          <w:rFonts w:ascii="Times New Roman" w:hAnsi="Times New Roman"/>
          <w:b/>
          <w:bCs/>
          <w:sz w:val="24"/>
          <w:szCs w:val="24"/>
        </w:rPr>
        <w:t>46 753 330,61</w:t>
      </w:r>
      <w:r w:rsidRPr="0055683F">
        <w:rPr>
          <w:rFonts w:ascii="Times New Roman" w:hAnsi="Times New Roman"/>
          <w:b/>
          <w:sz w:val="24"/>
        </w:rPr>
        <w:t xml:space="preserve"> EUR</w:t>
      </w:r>
    </w:p>
    <w:p w:rsidR="00385B00" w:rsidRPr="0055683F" w:rsidRDefault="00385B00" w:rsidP="00385B00">
      <w:pPr>
        <w:widowControl/>
        <w:spacing w:line="360" w:lineRule="auto"/>
        <w:rPr>
          <w:rFonts w:ascii="Times New Roman" w:hAnsi="Times New Roman"/>
          <w:sz w:val="24"/>
        </w:rPr>
      </w:pPr>
    </w:p>
    <w:p w:rsidR="00385B00" w:rsidRPr="0055683F" w:rsidRDefault="00385B00" w:rsidP="00385B00">
      <w:pPr>
        <w:widowControl/>
        <w:spacing w:line="360" w:lineRule="auto"/>
        <w:rPr>
          <w:rFonts w:ascii="Times New Roman" w:hAnsi="Times New Roman"/>
          <w:b/>
          <w:sz w:val="24"/>
        </w:rPr>
      </w:pPr>
      <w:r w:rsidRPr="0055683F">
        <w:rPr>
          <w:rFonts w:ascii="Times New Roman" w:hAnsi="Times New Roman"/>
          <w:b/>
          <w:sz w:val="24"/>
        </w:rPr>
        <w:t xml:space="preserve">Riadok 009 – Pozemky </w:t>
      </w:r>
    </w:p>
    <w:p w:rsidR="00385B00" w:rsidRPr="0055683F" w:rsidRDefault="00385B00" w:rsidP="00385B00">
      <w:pPr>
        <w:widowControl/>
        <w:spacing w:line="360" w:lineRule="auto"/>
        <w:rPr>
          <w:rFonts w:ascii="Times New Roman" w:hAnsi="Times New Roman"/>
          <w:b/>
          <w:sz w:val="24"/>
        </w:rPr>
      </w:pPr>
      <w:r w:rsidRPr="0055683F">
        <w:rPr>
          <w:rFonts w:ascii="Times New Roman" w:hAnsi="Times New Roman"/>
          <w:b/>
          <w:sz w:val="24"/>
        </w:rPr>
        <w:t>Začiatočný zostatok</w:t>
      </w:r>
      <w:r w:rsidRPr="0055683F">
        <w:rPr>
          <w:rFonts w:ascii="Times New Roman" w:hAnsi="Times New Roman"/>
          <w:sz w:val="24"/>
        </w:rPr>
        <w:t xml:space="preserve"> k 1.1.2018 </w:t>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Pr>
          <w:rFonts w:ascii="Times New Roman" w:hAnsi="Times New Roman"/>
          <w:sz w:val="24"/>
        </w:rPr>
        <w:t xml:space="preserve">  </w:t>
      </w:r>
      <w:r w:rsidRPr="0055683F">
        <w:rPr>
          <w:rFonts w:ascii="Times New Roman" w:hAnsi="Times New Roman"/>
          <w:sz w:val="24"/>
        </w:rPr>
        <w:t xml:space="preserve"> </w:t>
      </w:r>
      <w:r w:rsidRPr="0055683F">
        <w:rPr>
          <w:rFonts w:ascii="Times New Roman" w:hAnsi="Times New Roman"/>
          <w:b/>
          <w:sz w:val="24"/>
        </w:rPr>
        <w:t xml:space="preserve"> 4 </w:t>
      </w:r>
      <w:r w:rsidRPr="0046266F">
        <w:rPr>
          <w:rFonts w:ascii="Times New Roman" w:hAnsi="Times New Roman"/>
          <w:b/>
          <w:bCs/>
          <w:sz w:val="24"/>
          <w:szCs w:val="24"/>
        </w:rPr>
        <w:t>276 809,57</w:t>
      </w:r>
      <w:r w:rsidRPr="0055683F">
        <w:rPr>
          <w:rFonts w:ascii="Times New Roman" w:hAnsi="Times New Roman"/>
          <w:b/>
          <w:sz w:val="24"/>
        </w:rPr>
        <w:t xml:space="preserve"> EUR</w:t>
      </w:r>
    </w:p>
    <w:p w:rsidR="00385B00" w:rsidRPr="0046266F" w:rsidRDefault="00385B00" w:rsidP="00385B00">
      <w:pPr>
        <w:widowControl/>
        <w:spacing w:line="360" w:lineRule="auto"/>
        <w:rPr>
          <w:rFonts w:ascii="Times New Roman" w:hAnsi="Times New Roman"/>
          <w:sz w:val="24"/>
          <w:szCs w:val="24"/>
        </w:rPr>
      </w:pPr>
      <w:r w:rsidRPr="0046266F">
        <w:rPr>
          <w:rFonts w:ascii="Times New Roman" w:hAnsi="Times New Roman"/>
          <w:sz w:val="24"/>
          <w:szCs w:val="24"/>
        </w:rPr>
        <w:t>Počas roka 2018 nenastali žiadne pohyby.</w:t>
      </w:r>
    </w:p>
    <w:p w:rsidR="00385B00" w:rsidRPr="0055683F" w:rsidRDefault="00385B00" w:rsidP="00385B00">
      <w:pPr>
        <w:widowControl/>
        <w:spacing w:line="360" w:lineRule="auto"/>
        <w:rPr>
          <w:rFonts w:ascii="Times New Roman" w:hAnsi="Times New Roman"/>
          <w:b/>
          <w:sz w:val="24"/>
        </w:rPr>
      </w:pPr>
      <w:r w:rsidRPr="0055683F">
        <w:rPr>
          <w:rFonts w:ascii="Times New Roman" w:hAnsi="Times New Roman"/>
          <w:b/>
          <w:sz w:val="24"/>
        </w:rPr>
        <w:t>Konečný zostatok</w:t>
      </w:r>
      <w:r w:rsidRPr="0055683F">
        <w:rPr>
          <w:rFonts w:ascii="Times New Roman" w:hAnsi="Times New Roman"/>
          <w:sz w:val="24"/>
        </w:rPr>
        <w:t xml:space="preserve"> k 31.12.2018</w:t>
      </w:r>
      <w:r w:rsidRPr="0055683F">
        <w:rPr>
          <w:rFonts w:ascii="Times New Roman" w:hAnsi="Times New Roman"/>
          <w:sz w:val="24"/>
        </w:rPr>
        <w:tab/>
      </w:r>
      <w:r w:rsidRPr="0055683F">
        <w:rPr>
          <w:rFonts w:ascii="Times New Roman" w:hAnsi="Times New Roman"/>
          <w:b/>
          <w:sz w:val="24"/>
        </w:rPr>
        <w:tab/>
      </w:r>
      <w:r w:rsidRPr="0055683F">
        <w:rPr>
          <w:rFonts w:ascii="Times New Roman" w:hAnsi="Times New Roman"/>
          <w:b/>
          <w:sz w:val="24"/>
        </w:rPr>
        <w:tab/>
      </w:r>
      <w:r w:rsidRPr="0055683F">
        <w:rPr>
          <w:rFonts w:ascii="Times New Roman" w:hAnsi="Times New Roman"/>
          <w:b/>
          <w:sz w:val="24"/>
        </w:rPr>
        <w:tab/>
      </w:r>
      <w:r w:rsidRPr="0055683F">
        <w:rPr>
          <w:rFonts w:ascii="Times New Roman" w:hAnsi="Times New Roman"/>
          <w:b/>
          <w:sz w:val="24"/>
        </w:rPr>
        <w:tab/>
      </w:r>
      <w:r w:rsidRPr="0055683F">
        <w:rPr>
          <w:rFonts w:ascii="Times New Roman" w:hAnsi="Times New Roman"/>
          <w:b/>
          <w:sz w:val="24"/>
        </w:rPr>
        <w:tab/>
      </w:r>
      <w:r w:rsidRPr="0055683F">
        <w:rPr>
          <w:rFonts w:ascii="Times New Roman" w:hAnsi="Times New Roman"/>
          <w:b/>
          <w:sz w:val="24"/>
        </w:rPr>
        <w:tab/>
      </w:r>
      <w:r w:rsidRPr="0055683F">
        <w:rPr>
          <w:rFonts w:ascii="Times New Roman" w:hAnsi="Times New Roman"/>
          <w:b/>
          <w:sz w:val="24"/>
        </w:rPr>
        <w:tab/>
      </w:r>
      <w:r>
        <w:rPr>
          <w:rFonts w:ascii="Times New Roman" w:hAnsi="Times New Roman"/>
          <w:b/>
          <w:sz w:val="24"/>
        </w:rPr>
        <w:t xml:space="preserve"> </w:t>
      </w:r>
      <w:r w:rsidRPr="0055683F">
        <w:rPr>
          <w:rFonts w:ascii="Times New Roman" w:hAnsi="Times New Roman"/>
          <w:b/>
          <w:sz w:val="24"/>
        </w:rPr>
        <w:t xml:space="preserve"> </w:t>
      </w:r>
      <w:r>
        <w:rPr>
          <w:rFonts w:ascii="Times New Roman" w:hAnsi="Times New Roman"/>
          <w:b/>
          <w:sz w:val="24"/>
        </w:rPr>
        <w:t xml:space="preserve"> </w:t>
      </w:r>
      <w:r w:rsidRPr="0055683F">
        <w:rPr>
          <w:rFonts w:ascii="Times New Roman" w:hAnsi="Times New Roman"/>
          <w:b/>
          <w:sz w:val="24"/>
        </w:rPr>
        <w:t xml:space="preserve"> 4 276 809,57 EUR</w:t>
      </w:r>
    </w:p>
    <w:p w:rsidR="00385B00" w:rsidRPr="0055683F" w:rsidRDefault="00385B00" w:rsidP="00385B00">
      <w:pPr>
        <w:widowControl/>
        <w:spacing w:line="360" w:lineRule="auto"/>
        <w:rPr>
          <w:rFonts w:ascii="Times New Roman" w:hAnsi="Times New Roman"/>
          <w:sz w:val="24"/>
        </w:rPr>
      </w:pPr>
    </w:p>
    <w:p w:rsidR="00385B00" w:rsidRPr="0055683F" w:rsidRDefault="00385B00" w:rsidP="00385B00">
      <w:pPr>
        <w:widowControl/>
        <w:spacing w:line="360" w:lineRule="auto"/>
        <w:rPr>
          <w:rFonts w:ascii="Times New Roman" w:hAnsi="Times New Roman"/>
          <w:b/>
          <w:sz w:val="24"/>
        </w:rPr>
      </w:pPr>
      <w:r w:rsidRPr="0055683F">
        <w:rPr>
          <w:rFonts w:ascii="Times New Roman" w:hAnsi="Times New Roman"/>
          <w:b/>
          <w:sz w:val="24"/>
        </w:rPr>
        <w:t>Riadok 010 – Umelecké diela a zbierky</w:t>
      </w:r>
    </w:p>
    <w:p w:rsidR="00385B00" w:rsidRPr="0055683F" w:rsidRDefault="00385B00" w:rsidP="00385B00">
      <w:pPr>
        <w:widowControl/>
        <w:spacing w:line="360" w:lineRule="auto"/>
        <w:rPr>
          <w:rFonts w:ascii="Times New Roman" w:hAnsi="Times New Roman"/>
          <w:sz w:val="24"/>
        </w:rPr>
      </w:pPr>
      <w:r w:rsidRPr="0055683F">
        <w:rPr>
          <w:rFonts w:ascii="Times New Roman" w:hAnsi="Times New Roman"/>
          <w:b/>
          <w:sz w:val="24"/>
        </w:rPr>
        <w:t>Začiatočný zostatok</w:t>
      </w:r>
      <w:r w:rsidRPr="0055683F">
        <w:rPr>
          <w:rFonts w:ascii="Times New Roman" w:hAnsi="Times New Roman"/>
          <w:sz w:val="24"/>
        </w:rPr>
        <w:t xml:space="preserve"> k 1.1.2018</w:t>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Pr>
          <w:rFonts w:ascii="Times New Roman" w:hAnsi="Times New Roman"/>
          <w:sz w:val="24"/>
        </w:rPr>
        <w:t xml:space="preserve"> </w:t>
      </w:r>
      <w:r w:rsidRPr="0055683F">
        <w:rPr>
          <w:rFonts w:ascii="Times New Roman" w:hAnsi="Times New Roman"/>
          <w:sz w:val="24"/>
        </w:rPr>
        <w:t xml:space="preserve"> </w:t>
      </w:r>
      <w:r w:rsidRPr="0055683F">
        <w:rPr>
          <w:rFonts w:ascii="Times New Roman" w:hAnsi="Times New Roman"/>
          <w:b/>
          <w:sz w:val="24"/>
        </w:rPr>
        <w:t>12 589,20 EUR</w:t>
      </w:r>
    </w:p>
    <w:p w:rsidR="00385B00" w:rsidRPr="0055683F" w:rsidRDefault="00385B00" w:rsidP="00385B00">
      <w:pPr>
        <w:widowControl/>
        <w:spacing w:line="360" w:lineRule="auto"/>
        <w:rPr>
          <w:rFonts w:ascii="Times New Roman" w:hAnsi="Times New Roman"/>
          <w:sz w:val="24"/>
        </w:rPr>
      </w:pPr>
      <w:r w:rsidRPr="0055683F">
        <w:rPr>
          <w:rFonts w:ascii="Times New Roman" w:hAnsi="Times New Roman"/>
          <w:sz w:val="24"/>
        </w:rPr>
        <w:t>Počas roka 2018 nenastali žiadne pohyby.</w:t>
      </w:r>
    </w:p>
    <w:p w:rsidR="00385B00" w:rsidRPr="0055683F" w:rsidRDefault="00385B00" w:rsidP="00385B00">
      <w:pPr>
        <w:widowControl/>
        <w:spacing w:line="360" w:lineRule="auto"/>
        <w:rPr>
          <w:rFonts w:ascii="Times New Roman" w:hAnsi="Times New Roman"/>
          <w:sz w:val="24"/>
        </w:rPr>
      </w:pPr>
      <w:r w:rsidRPr="0055683F">
        <w:rPr>
          <w:rFonts w:ascii="Times New Roman" w:hAnsi="Times New Roman"/>
          <w:b/>
          <w:sz w:val="24"/>
        </w:rPr>
        <w:t>Konečný zostatok</w:t>
      </w:r>
      <w:r w:rsidRPr="0055683F">
        <w:rPr>
          <w:rFonts w:ascii="Times New Roman" w:hAnsi="Times New Roman"/>
          <w:sz w:val="24"/>
        </w:rPr>
        <w:t xml:space="preserve"> k 31.12.2018</w:t>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t xml:space="preserve"> </w:t>
      </w:r>
      <w:r>
        <w:rPr>
          <w:rFonts w:ascii="Times New Roman" w:hAnsi="Times New Roman"/>
          <w:sz w:val="24"/>
        </w:rPr>
        <w:t xml:space="preserve"> </w:t>
      </w:r>
      <w:r w:rsidRPr="0055683F">
        <w:rPr>
          <w:rFonts w:ascii="Times New Roman" w:hAnsi="Times New Roman"/>
          <w:b/>
          <w:sz w:val="24"/>
        </w:rPr>
        <w:t>12 589,20 EUR</w:t>
      </w:r>
    </w:p>
    <w:p w:rsidR="00385B00" w:rsidRPr="0055683F" w:rsidRDefault="00385B00" w:rsidP="00385B00">
      <w:pPr>
        <w:widowControl/>
        <w:spacing w:line="360" w:lineRule="auto"/>
        <w:rPr>
          <w:rFonts w:ascii="Times New Roman" w:hAnsi="Times New Roman"/>
          <w:b/>
          <w:sz w:val="24"/>
        </w:rPr>
      </w:pPr>
    </w:p>
    <w:p w:rsidR="00385B00" w:rsidRPr="0055683F" w:rsidRDefault="00385B00" w:rsidP="00385B00">
      <w:pPr>
        <w:widowControl/>
        <w:spacing w:line="360" w:lineRule="auto"/>
        <w:rPr>
          <w:rFonts w:ascii="Times New Roman" w:hAnsi="Times New Roman"/>
          <w:b/>
          <w:sz w:val="24"/>
        </w:rPr>
      </w:pPr>
      <w:r w:rsidRPr="0055683F">
        <w:rPr>
          <w:rFonts w:ascii="Times New Roman" w:hAnsi="Times New Roman"/>
          <w:b/>
          <w:sz w:val="24"/>
        </w:rPr>
        <w:t>Riadok 011 – Stavby</w:t>
      </w:r>
      <w:r>
        <w:rPr>
          <w:rFonts w:ascii="Times New Roman" w:hAnsi="Times New Roman"/>
          <w:b/>
          <w:sz w:val="24"/>
        </w:rPr>
        <w:t xml:space="preserve"> </w:t>
      </w:r>
    </w:p>
    <w:p w:rsidR="00385B00" w:rsidRPr="0055683F" w:rsidRDefault="00385B00" w:rsidP="00385B00">
      <w:pPr>
        <w:widowControl/>
        <w:spacing w:line="360" w:lineRule="auto"/>
        <w:rPr>
          <w:rFonts w:ascii="Times New Roman" w:hAnsi="Times New Roman"/>
          <w:sz w:val="24"/>
        </w:rPr>
      </w:pPr>
      <w:r w:rsidRPr="0055683F">
        <w:rPr>
          <w:rFonts w:ascii="Times New Roman" w:hAnsi="Times New Roman"/>
          <w:b/>
          <w:sz w:val="24"/>
        </w:rPr>
        <w:t>Začiatočný zostatok</w:t>
      </w:r>
      <w:r w:rsidRPr="0055683F">
        <w:rPr>
          <w:rFonts w:ascii="Times New Roman" w:hAnsi="Times New Roman"/>
          <w:sz w:val="24"/>
        </w:rPr>
        <w:t xml:space="preserve"> k 1.1.2018 </w:t>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Pr>
          <w:rFonts w:ascii="Times New Roman" w:hAnsi="Times New Roman"/>
          <w:sz w:val="24"/>
        </w:rPr>
        <w:t xml:space="preserve">       </w:t>
      </w:r>
      <w:r w:rsidRPr="0046266F">
        <w:rPr>
          <w:rFonts w:ascii="Times New Roman" w:hAnsi="Times New Roman"/>
          <w:b/>
          <w:bCs/>
          <w:sz w:val="24"/>
          <w:szCs w:val="24"/>
        </w:rPr>
        <w:t>107 959 299,34</w:t>
      </w:r>
      <w:r w:rsidRPr="0055683F">
        <w:rPr>
          <w:rFonts w:ascii="Times New Roman" w:hAnsi="Times New Roman"/>
          <w:b/>
          <w:sz w:val="24"/>
        </w:rPr>
        <w:t xml:space="preserve"> EUR</w:t>
      </w:r>
    </w:p>
    <w:p w:rsidR="00385B00" w:rsidRPr="0055683F" w:rsidRDefault="00385B00" w:rsidP="00385B00">
      <w:pPr>
        <w:widowControl/>
        <w:spacing w:line="360" w:lineRule="auto"/>
        <w:rPr>
          <w:rFonts w:ascii="Times New Roman" w:hAnsi="Times New Roman"/>
          <w:sz w:val="24"/>
        </w:rPr>
      </w:pPr>
      <w:r w:rsidRPr="0055683F">
        <w:rPr>
          <w:rFonts w:ascii="Times New Roman" w:hAnsi="Times New Roman"/>
          <w:sz w:val="24"/>
        </w:rPr>
        <w:t xml:space="preserve">Prírastky v celkovej hodnote </w:t>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t xml:space="preserve"> </w:t>
      </w:r>
      <w:r w:rsidRPr="0055683F">
        <w:rPr>
          <w:rFonts w:ascii="Times New Roman" w:hAnsi="Times New Roman"/>
          <w:sz w:val="24"/>
        </w:rPr>
        <w:tab/>
      </w:r>
      <w:r w:rsidRPr="0055683F">
        <w:rPr>
          <w:rFonts w:ascii="Times New Roman" w:hAnsi="Times New Roman"/>
          <w:sz w:val="24"/>
        </w:rPr>
        <w:tab/>
      </w:r>
      <w:r w:rsidRPr="0055683F">
        <w:rPr>
          <w:rFonts w:ascii="Times New Roman" w:hAnsi="Times New Roman"/>
          <w:sz w:val="24"/>
        </w:rPr>
        <w:tab/>
        <w:t xml:space="preserve">  </w:t>
      </w:r>
      <w:r>
        <w:rPr>
          <w:rFonts w:ascii="Times New Roman" w:hAnsi="Times New Roman"/>
          <w:sz w:val="24"/>
        </w:rPr>
        <w:t xml:space="preserve">    </w:t>
      </w:r>
      <w:r w:rsidRPr="0046266F">
        <w:rPr>
          <w:rFonts w:ascii="Times New Roman" w:hAnsi="Times New Roman"/>
          <w:sz w:val="24"/>
          <w:szCs w:val="24"/>
        </w:rPr>
        <w:t>296 146,07</w:t>
      </w:r>
      <w:r w:rsidRPr="0055683F">
        <w:rPr>
          <w:rFonts w:ascii="Times New Roman" w:hAnsi="Times New Roman"/>
          <w:sz w:val="24"/>
        </w:rPr>
        <w:t xml:space="preserve"> EUR</w:t>
      </w:r>
    </w:p>
    <w:p w:rsidR="00385B00" w:rsidRPr="0055683F" w:rsidRDefault="00385B00" w:rsidP="00385B00">
      <w:pPr>
        <w:widowControl/>
        <w:spacing w:line="360" w:lineRule="auto"/>
        <w:rPr>
          <w:rFonts w:ascii="Times New Roman" w:hAnsi="Times New Roman"/>
          <w:sz w:val="24"/>
        </w:rPr>
      </w:pPr>
    </w:p>
    <w:p w:rsidR="00385B00" w:rsidRPr="0055683F" w:rsidRDefault="00385B00" w:rsidP="00385B00">
      <w:pPr>
        <w:widowControl/>
        <w:spacing w:line="360" w:lineRule="auto"/>
        <w:rPr>
          <w:rFonts w:ascii="Times New Roman" w:hAnsi="Times New Roman"/>
          <w:b/>
          <w:sz w:val="24"/>
        </w:rPr>
      </w:pPr>
      <w:r w:rsidRPr="0055683F">
        <w:rPr>
          <w:rFonts w:ascii="Times New Roman" w:hAnsi="Times New Roman"/>
          <w:sz w:val="24"/>
        </w:rPr>
        <w:t xml:space="preserve">Na úrovni </w:t>
      </w:r>
      <w:r w:rsidRPr="0055683F">
        <w:rPr>
          <w:rFonts w:ascii="Times New Roman" w:hAnsi="Times New Roman"/>
          <w:b/>
          <w:sz w:val="24"/>
        </w:rPr>
        <w:t>ústredia</w:t>
      </w:r>
      <w:r w:rsidRPr="0055683F">
        <w:rPr>
          <w:rFonts w:ascii="Times New Roman" w:hAnsi="Times New Roman"/>
          <w:b/>
          <w:sz w:val="24"/>
        </w:rPr>
        <w:tab/>
      </w:r>
      <w:r w:rsidRPr="0055683F">
        <w:rPr>
          <w:rFonts w:ascii="Times New Roman" w:hAnsi="Times New Roman"/>
          <w:b/>
          <w:sz w:val="24"/>
        </w:rPr>
        <w:tab/>
      </w:r>
      <w:r w:rsidRPr="0055683F">
        <w:rPr>
          <w:rFonts w:ascii="Times New Roman" w:hAnsi="Times New Roman"/>
          <w:b/>
          <w:sz w:val="24"/>
        </w:rPr>
        <w:tab/>
      </w:r>
      <w:r w:rsidRPr="0055683F">
        <w:rPr>
          <w:rFonts w:ascii="Times New Roman" w:hAnsi="Times New Roman"/>
          <w:b/>
          <w:sz w:val="24"/>
        </w:rPr>
        <w:tab/>
      </w:r>
      <w:r w:rsidRPr="0055683F">
        <w:rPr>
          <w:rFonts w:ascii="Times New Roman" w:hAnsi="Times New Roman"/>
          <w:b/>
          <w:sz w:val="24"/>
        </w:rPr>
        <w:tab/>
      </w:r>
      <w:r w:rsidRPr="0055683F">
        <w:rPr>
          <w:rFonts w:ascii="Times New Roman" w:hAnsi="Times New Roman"/>
          <w:b/>
          <w:sz w:val="24"/>
        </w:rPr>
        <w:tab/>
      </w:r>
      <w:r w:rsidRPr="0055683F">
        <w:rPr>
          <w:rFonts w:ascii="Times New Roman" w:hAnsi="Times New Roman"/>
          <w:b/>
          <w:sz w:val="24"/>
        </w:rPr>
        <w:tab/>
      </w:r>
      <w:r w:rsidRPr="0055683F">
        <w:rPr>
          <w:rFonts w:ascii="Times New Roman" w:hAnsi="Times New Roman"/>
          <w:b/>
          <w:sz w:val="24"/>
        </w:rPr>
        <w:tab/>
      </w:r>
      <w:r w:rsidRPr="0055683F">
        <w:rPr>
          <w:rFonts w:ascii="Times New Roman" w:hAnsi="Times New Roman"/>
          <w:b/>
          <w:sz w:val="24"/>
        </w:rPr>
        <w:tab/>
      </w:r>
      <w:r w:rsidRPr="0055683F">
        <w:rPr>
          <w:rFonts w:ascii="Times New Roman" w:hAnsi="Times New Roman"/>
          <w:b/>
          <w:sz w:val="24"/>
        </w:rPr>
        <w:tab/>
      </w:r>
      <w:r w:rsidRPr="0055683F">
        <w:rPr>
          <w:rFonts w:ascii="Times New Roman" w:hAnsi="Times New Roman"/>
          <w:b/>
          <w:sz w:val="24"/>
        </w:rPr>
        <w:tab/>
      </w:r>
      <w:r w:rsidRPr="0055683F">
        <w:rPr>
          <w:rFonts w:ascii="Times New Roman" w:hAnsi="Times New Roman"/>
          <w:b/>
          <w:sz w:val="24"/>
        </w:rPr>
        <w:tab/>
        <w:t xml:space="preserve"> </w:t>
      </w:r>
      <w:r w:rsidRPr="0046266F">
        <w:rPr>
          <w:rFonts w:ascii="Times New Roman" w:hAnsi="Times New Roman"/>
          <w:b/>
          <w:bCs/>
          <w:sz w:val="24"/>
          <w:szCs w:val="24"/>
        </w:rPr>
        <w:t>257 764,33</w:t>
      </w:r>
      <w:r w:rsidRPr="0055683F">
        <w:rPr>
          <w:rFonts w:ascii="Times New Roman" w:hAnsi="Times New Roman"/>
          <w:b/>
          <w:sz w:val="24"/>
        </w:rPr>
        <w:t xml:space="preserve"> EUR</w:t>
      </w:r>
    </w:p>
    <w:p w:rsidR="00385B00" w:rsidRPr="0055683F" w:rsidRDefault="00385B00" w:rsidP="00385B00">
      <w:pPr>
        <w:pStyle w:val="Odsekzoznamu"/>
        <w:widowControl/>
        <w:numPr>
          <w:ilvl w:val="0"/>
          <w:numId w:val="49"/>
        </w:numPr>
        <w:autoSpaceDE/>
        <w:autoSpaceDN/>
        <w:adjustRightInd/>
        <w:rPr>
          <w:rFonts w:ascii="Times New Roman" w:hAnsi="Times New Roman"/>
          <w:b/>
          <w:sz w:val="24"/>
        </w:rPr>
      </w:pPr>
      <w:r w:rsidRPr="0055683F">
        <w:rPr>
          <w:rFonts w:ascii="Times New Roman" w:hAnsi="Times New Roman"/>
          <w:sz w:val="24"/>
        </w:rPr>
        <w:t xml:space="preserve">navýšenie hodnoty budovy – stavebné </w:t>
      </w:r>
      <w:r w:rsidRPr="0046266F">
        <w:rPr>
          <w:rFonts w:ascii="Times New Roman" w:hAnsi="Times New Roman"/>
          <w:sz w:val="24"/>
          <w:szCs w:val="24"/>
        </w:rPr>
        <w:t>práce, klimatizácia budovy</w:t>
      </w:r>
      <w:r w:rsidRPr="0055683F">
        <w:rPr>
          <w:rFonts w:ascii="Times New Roman" w:hAnsi="Times New Roman"/>
          <w:sz w:val="24"/>
        </w:rPr>
        <w:t>,</w:t>
      </w:r>
    </w:p>
    <w:p w:rsidR="00385B00" w:rsidRPr="0046266F" w:rsidRDefault="00385B00" w:rsidP="00385B00">
      <w:pPr>
        <w:pStyle w:val="Odsekzoznamu"/>
        <w:rPr>
          <w:rFonts w:ascii="Times New Roman" w:hAnsi="Times New Roman"/>
          <w:sz w:val="24"/>
          <w:szCs w:val="24"/>
        </w:rPr>
      </w:pPr>
      <w:r w:rsidRPr="0046266F">
        <w:rPr>
          <w:rFonts w:ascii="Times New Roman" w:hAnsi="Times New Roman"/>
          <w:sz w:val="24"/>
          <w:szCs w:val="24"/>
        </w:rPr>
        <w:t xml:space="preserve">SP, ústredie, </w:t>
      </w:r>
      <w:proofErr w:type="spellStart"/>
      <w:r w:rsidRPr="0046266F">
        <w:rPr>
          <w:rFonts w:ascii="Times New Roman" w:hAnsi="Times New Roman"/>
          <w:sz w:val="24"/>
          <w:szCs w:val="24"/>
        </w:rPr>
        <w:t>Lazaretská</w:t>
      </w:r>
      <w:proofErr w:type="spellEnd"/>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t xml:space="preserve">          </w:t>
      </w:r>
      <w:r w:rsidRPr="0046266F">
        <w:rPr>
          <w:rFonts w:ascii="Times New Roman" w:hAnsi="Times New Roman"/>
          <w:sz w:val="24"/>
          <w:szCs w:val="24"/>
        </w:rPr>
        <w:tab/>
        <w:t xml:space="preserve"> </w:t>
      </w:r>
      <w:r w:rsidRPr="0046266F">
        <w:rPr>
          <w:rFonts w:ascii="Times New Roman" w:hAnsi="Times New Roman"/>
          <w:sz w:val="24"/>
          <w:szCs w:val="24"/>
        </w:rPr>
        <w:tab/>
      </w:r>
      <w:r>
        <w:rPr>
          <w:rFonts w:ascii="Times New Roman" w:hAnsi="Times New Roman"/>
          <w:sz w:val="24"/>
          <w:szCs w:val="24"/>
        </w:rPr>
        <w:t xml:space="preserve">      </w:t>
      </w:r>
      <w:r w:rsidRPr="0046266F">
        <w:rPr>
          <w:rFonts w:ascii="Times New Roman" w:hAnsi="Times New Roman"/>
          <w:sz w:val="24"/>
          <w:szCs w:val="24"/>
        </w:rPr>
        <w:t>147 140,70 EUR</w:t>
      </w:r>
      <w:r w:rsidRPr="0046266F">
        <w:rPr>
          <w:rFonts w:ascii="Times New Roman" w:hAnsi="Times New Roman"/>
          <w:sz w:val="24"/>
          <w:szCs w:val="24"/>
        </w:rPr>
        <w:tab/>
      </w:r>
    </w:p>
    <w:p w:rsidR="00385B00" w:rsidRPr="0046266F" w:rsidRDefault="00385B00" w:rsidP="00385B00">
      <w:pPr>
        <w:pStyle w:val="Odsekzoznamu"/>
        <w:widowControl/>
        <w:numPr>
          <w:ilvl w:val="0"/>
          <w:numId w:val="49"/>
        </w:numPr>
        <w:autoSpaceDE/>
        <w:autoSpaceDN/>
        <w:adjustRightInd/>
        <w:rPr>
          <w:rFonts w:ascii="Times New Roman" w:hAnsi="Times New Roman"/>
          <w:sz w:val="24"/>
          <w:szCs w:val="24"/>
        </w:rPr>
      </w:pPr>
      <w:r w:rsidRPr="0046266F">
        <w:rPr>
          <w:rFonts w:ascii="Times New Roman" w:hAnsi="Times New Roman"/>
          <w:sz w:val="24"/>
          <w:szCs w:val="24"/>
        </w:rPr>
        <w:t>navýšenie hodnoty budovy – projektová dokumentácia, klimatizácia</w:t>
      </w:r>
    </w:p>
    <w:p w:rsidR="00385B00" w:rsidRDefault="00385B00" w:rsidP="00385B00">
      <w:pPr>
        <w:pStyle w:val="Odsekzoznamu"/>
        <w:rPr>
          <w:rFonts w:ascii="Times New Roman" w:hAnsi="Times New Roman"/>
          <w:sz w:val="24"/>
          <w:szCs w:val="24"/>
        </w:rPr>
      </w:pPr>
      <w:r w:rsidRPr="0046266F">
        <w:rPr>
          <w:rFonts w:ascii="Times New Roman" w:hAnsi="Times New Roman"/>
          <w:sz w:val="24"/>
          <w:szCs w:val="24"/>
        </w:rPr>
        <w:t xml:space="preserve">budovy, SP, ústredie, </w:t>
      </w:r>
      <w:proofErr w:type="spellStart"/>
      <w:r w:rsidRPr="0046266F">
        <w:rPr>
          <w:rFonts w:ascii="Times New Roman" w:hAnsi="Times New Roman"/>
          <w:sz w:val="24"/>
          <w:szCs w:val="24"/>
        </w:rPr>
        <w:t>Lazaretská</w:t>
      </w:r>
      <w:proofErr w:type="spellEnd"/>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t xml:space="preserve">   </w:t>
      </w:r>
      <w:r w:rsidRPr="0046266F">
        <w:rPr>
          <w:rFonts w:ascii="Times New Roman" w:hAnsi="Times New Roman"/>
          <w:sz w:val="24"/>
          <w:szCs w:val="24"/>
        </w:rPr>
        <w:tab/>
      </w:r>
      <w:r>
        <w:rPr>
          <w:rFonts w:ascii="Times New Roman" w:hAnsi="Times New Roman"/>
          <w:sz w:val="24"/>
          <w:szCs w:val="24"/>
        </w:rPr>
        <w:t xml:space="preserve">   </w:t>
      </w:r>
      <w:r w:rsidRPr="0046266F">
        <w:rPr>
          <w:rFonts w:ascii="Times New Roman" w:hAnsi="Times New Roman"/>
          <w:sz w:val="24"/>
          <w:szCs w:val="24"/>
        </w:rPr>
        <w:t xml:space="preserve">  </w:t>
      </w:r>
      <w:r>
        <w:rPr>
          <w:rFonts w:ascii="Times New Roman" w:hAnsi="Times New Roman"/>
          <w:sz w:val="24"/>
          <w:szCs w:val="24"/>
        </w:rPr>
        <w:t xml:space="preserve">   </w:t>
      </w:r>
      <w:r w:rsidRPr="0046266F">
        <w:rPr>
          <w:rFonts w:ascii="Times New Roman" w:hAnsi="Times New Roman"/>
          <w:sz w:val="24"/>
          <w:szCs w:val="24"/>
        </w:rPr>
        <w:t xml:space="preserve"> 4 641,60 EUR</w:t>
      </w:r>
    </w:p>
    <w:p w:rsidR="00385B00" w:rsidRPr="0046266F" w:rsidRDefault="00385B00" w:rsidP="00385B00">
      <w:pPr>
        <w:pStyle w:val="Odsekzoznamu"/>
        <w:rPr>
          <w:rFonts w:ascii="Times New Roman" w:hAnsi="Times New Roman"/>
          <w:sz w:val="24"/>
          <w:szCs w:val="24"/>
        </w:rPr>
      </w:pPr>
    </w:p>
    <w:p w:rsidR="00385B00" w:rsidRPr="0055683F" w:rsidRDefault="00385B00" w:rsidP="00385B00">
      <w:pPr>
        <w:pStyle w:val="Odsekzoznamu"/>
        <w:widowControl/>
        <w:numPr>
          <w:ilvl w:val="0"/>
          <w:numId w:val="49"/>
        </w:numPr>
        <w:autoSpaceDE/>
        <w:autoSpaceDN/>
        <w:adjustRightInd/>
        <w:rPr>
          <w:rFonts w:ascii="Times New Roman" w:hAnsi="Times New Roman"/>
          <w:b/>
          <w:sz w:val="24"/>
        </w:rPr>
      </w:pPr>
      <w:r w:rsidRPr="0055683F">
        <w:rPr>
          <w:rFonts w:ascii="Times New Roman" w:hAnsi="Times New Roman"/>
          <w:sz w:val="24"/>
        </w:rPr>
        <w:t>navýšenie hodnoty budovy – digitalizácia</w:t>
      </w:r>
      <w:r w:rsidRPr="0046266F">
        <w:rPr>
          <w:rFonts w:ascii="Times New Roman" w:hAnsi="Times New Roman"/>
          <w:sz w:val="24"/>
          <w:szCs w:val="24"/>
        </w:rPr>
        <w:t xml:space="preserve"> stavebnej časti prevádzkovej</w:t>
      </w:r>
    </w:p>
    <w:p w:rsidR="00385B00" w:rsidRPr="0046266F" w:rsidRDefault="00385B00" w:rsidP="00385B00">
      <w:pPr>
        <w:pStyle w:val="Odsekzoznamu"/>
        <w:rPr>
          <w:rFonts w:ascii="Times New Roman" w:hAnsi="Times New Roman"/>
          <w:sz w:val="24"/>
          <w:szCs w:val="24"/>
        </w:rPr>
      </w:pPr>
      <w:r w:rsidRPr="0046266F">
        <w:rPr>
          <w:rFonts w:ascii="Times New Roman" w:hAnsi="Times New Roman"/>
          <w:sz w:val="24"/>
          <w:szCs w:val="24"/>
        </w:rPr>
        <w:t xml:space="preserve">budovy, SP, ústredie, </w:t>
      </w:r>
      <w:proofErr w:type="spellStart"/>
      <w:r w:rsidRPr="0046266F">
        <w:rPr>
          <w:rFonts w:ascii="Times New Roman" w:hAnsi="Times New Roman"/>
          <w:sz w:val="24"/>
          <w:szCs w:val="24"/>
        </w:rPr>
        <w:t>Lazaretská</w:t>
      </w:r>
      <w:proofErr w:type="spellEnd"/>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t xml:space="preserve">   </w:t>
      </w:r>
      <w:r>
        <w:rPr>
          <w:rFonts w:ascii="Times New Roman" w:hAnsi="Times New Roman"/>
          <w:sz w:val="24"/>
          <w:szCs w:val="24"/>
        </w:rPr>
        <w:t xml:space="preserve">    </w:t>
      </w:r>
      <w:r w:rsidRPr="0046266F">
        <w:rPr>
          <w:rFonts w:ascii="Times New Roman" w:hAnsi="Times New Roman"/>
          <w:sz w:val="24"/>
          <w:szCs w:val="24"/>
        </w:rPr>
        <w:t xml:space="preserve">  </w:t>
      </w:r>
      <w:r>
        <w:rPr>
          <w:rFonts w:ascii="Times New Roman" w:hAnsi="Times New Roman"/>
          <w:sz w:val="24"/>
          <w:szCs w:val="24"/>
        </w:rPr>
        <w:t xml:space="preserve">    </w:t>
      </w:r>
      <w:r w:rsidRPr="0046266F">
        <w:rPr>
          <w:rFonts w:ascii="Times New Roman" w:hAnsi="Times New Roman"/>
          <w:sz w:val="24"/>
          <w:szCs w:val="24"/>
        </w:rPr>
        <w:t xml:space="preserve"> 4 680,00 EUR</w:t>
      </w:r>
    </w:p>
    <w:p w:rsidR="00385B00" w:rsidRPr="0046266F" w:rsidRDefault="00385B00" w:rsidP="00385B00">
      <w:pPr>
        <w:pStyle w:val="Odsekzoznamu"/>
        <w:rPr>
          <w:rFonts w:ascii="Times New Roman" w:hAnsi="Times New Roman"/>
          <w:sz w:val="24"/>
          <w:szCs w:val="24"/>
        </w:rPr>
      </w:pPr>
    </w:p>
    <w:p w:rsidR="00385B00" w:rsidRPr="0055683F" w:rsidRDefault="00385B00" w:rsidP="00385B00">
      <w:pPr>
        <w:pStyle w:val="Odsekzoznamu"/>
        <w:widowControl/>
        <w:numPr>
          <w:ilvl w:val="0"/>
          <w:numId w:val="49"/>
        </w:numPr>
        <w:autoSpaceDE/>
        <w:autoSpaceDN/>
        <w:adjustRightInd/>
        <w:rPr>
          <w:rFonts w:ascii="Times New Roman" w:hAnsi="Times New Roman"/>
          <w:sz w:val="24"/>
        </w:rPr>
      </w:pPr>
      <w:r w:rsidRPr="0055683F">
        <w:rPr>
          <w:rFonts w:ascii="Times New Roman" w:hAnsi="Times New Roman"/>
          <w:sz w:val="24"/>
        </w:rPr>
        <w:t xml:space="preserve">navýšenie hodnoty budovy – </w:t>
      </w:r>
      <w:r w:rsidRPr="0046266F">
        <w:rPr>
          <w:rFonts w:ascii="Times New Roman" w:hAnsi="Times New Roman"/>
          <w:sz w:val="24"/>
          <w:szCs w:val="24"/>
        </w:rPr>
        <w:t>autorský dozor</w:t>
      </w:r>
      <w:r w:rsidRPr="0055683F">
        <w:rPr>
          <w:rFonts w:ascii="Times New Roman" w:hAnsi="Times New Roman"/>
          <w:sz w:val="24"/>
        </w:rPr>
        <w:t xml:space="preserve"> klimatizácie</w:t>
      </w:r>
      <w:r w:rsidRPr="0046266F">
        <w:rPr>
          <w:rFonts w:ascii="Times New Roman" w:hAnsi="Times New Roman"/>
          <w:sz w:val="24"/>
          <w:szCs w:val="24"/>
        </w:rPr>
        <w:t xml:space="preserve"> </w:t>
      </w:r>
    </w:p>
    <w:p w:rsidR="00385B00" w:rsidRPr="0046266F" w:rsidRDefault="00385B00" w:rsidP="00385B00">
      <w:pPr>
        <w:pStyle w:val="Odsekzoznamu"/>
        <w:rPr>
          <w:rFonts w:ascii="Times New Roman" w:hAnsi="Times New Roman"/>
          <w:sz w:val="24"/>
          <w:szCs w:val="24"/>
        </w:rPr>
      </w:pPr>
      <w:r w:rsidRPr="0046266F">
        <w:rPr>
          <w:rFonts w:ascii="Times New Roman" w:hAnsi="Times New Roman"/>
          <w:sz w:val="24"/>
          <w:szCs w:val="24"/>
        </w:rPr>
        <w:t xml:space="preserve">SP, ústredie </w:t>
      </w:r>
      <w:proofErr w:type="spellStart"/>
      <w:r w:rsidRPr="0046266F">
        <w:rPr>
          <w:rFonts w:ascii="Times New Roman" w:hAnsi="Times New Roman"/>
          <w:sz w:val="24"/>
          <w:szCs w:val="24"/>
        </w:rPr>
        <w:t>Lazaretská</w:t>
      </w:r>
      <w:proofErr w:type="spellEnd"/>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Pr>
          <w:rFonts w:ascii="Times New Roman" w:hAnsi="Times New Roman"/>
          <w:sz w:val="24"/>
          <w:szCs w:val="24"/>
        </w:rPr>
        <w:t xml:space="preserve">   </w:t>
      </w:r>
      <w:r w:rsidRPr="0046266F">
        <w:rPr>
          <w:rFonts w:ascii="Times New Roman" w:hAnsi="Times New Roman"/>
          <w:sz w:val="24"/>
          <w:szCs w:val="24"/>
        </w:rPr>
        <w:t xml:space="preserve"> </w:t>
      </w:r>
      <w:r>
        <w:rPr>
          <w:rFonts w:ascii="Times New Roman" w:hAnsi="Times New Roman"/>
          <w:sz w:val="24"/>
          <w:szCs w:val="24"/>
        </w:rPr>
        <w:t xml:space="preserve">   </w:t>
      </w:r>
      <w:r w:rsidRPr="0046266F">
        <w:rPr>
          <w:rFonts w:ascii="Times New Roman" w:hAnsi="Times New Roman"/>
          <w:sz w:val="24"/>
          <w:szCs w:val="24"/>
        </w:rPr>
        <w:t xml:space="preserve">  1 010,40 EUR</w:t>
      </w:r>
    </w:p>
    <w:p w:rsidR="00385B00" w:rsidRPr="0046266F" w:rsidRDefault="00385B00" w:rsidP="00385B00">
      <w:pPr>
        <w:ind w:left="426"/>
        <w:rPr>
          <w:rFonts w:ascii="Times New Roman" w:hAnsi="Times New Roman"/>
          <w:sz w:val="24"/>
          <w:szCs w:val="24"/>
        </w:rPr>
      </w:pPr>
    </w:p>
    <w:p w:rsidR="00385B00" w:rsidRPr="0055683F" w:rsidRDefault="00385B00" w:rsidP="00385B00">
      <w:pPr>
        <w:pStyle w:val="Odsekzoznamu"/>
        <w:widowControl/>
        <w:numPr>
          <w:ilvl w:val="0"/>
          <w:numId w:val="49"/>
        </w:numPr>
        <w:autoSpaceDE/>
        <w:autoSpaceDN/>
        <w:adjustRightInd/>
        <w:rPr>
          <w:rFonts w:ascii="Times New Roman" w:hAnsi="Times New Roman"/>
          <w:sz w:val="24"/>
        </w:rPr>
      </w:pPr>
      <w:r w:rsidRPr="0055683F">
        <w:rPr>
          <w:rFonts w:ascii="Times New Roman" w:hAnsi="Times New Roman"/>
          <w:sz w:val="24"/>
        </w:rPr>
        <w:t xml:space="preserve">navýšenie hodnoty budovy – </w:t>
      </w:r>
      <w:r w:rsidRPr="0046266F">
        <w:rPr>
          <w:rFonts w:ascii="Times New Roman" w:hAnsi="Times New Roman"/>
          <w:sz w:val="24"/>
          <w:szCs w:val="24"/>
        </w:rPr>
        <w:t xml:space="preserve">výmena klimatizačných jednotiek </w:t>
      </w:r>
    </w:p>
    <w:p w:rsidR="00385B00" w:rsidRPr="0046266F" w:rsidRDefault="00385B00" w:rsidP="00385B00">
      <w:pPr>
        <w:pStyle w:val="Odsekzoznamu"/>
        <w:rPr>
          <w:rFonts w:ascii="Times New Roman" w:hAnsi="Times New Roman"/>
          <w:sz w:val="24"/>
          <w:szCs w:val="24"/>
        </w:rPr>
      </w:pPr>
      <w:proofErr w:type="spellStart"/>
      <w:r w:rsidRPr="0046266F">
        <w:rPr>
          <w:rFonts w:ascii="Times New Roman" w:hAnsi="Times New Roman"/>
          <w:sz w:val="24"/>
          <w:szCs w:val="24"/>
        </w:rPr>
        <w:t>Mitsubishi</w:t>
      </w:r>
      <w:proofErr w:type="spellEnd"/>
      <w:r w:rsidRPr="0046266F">
        <w:rPr>
          <w:rFonts w:ascii="Times New Roman" w:hAnsi="Times New Roman"/>
          <w:sz w:val="24"/>
          <w:szCs w:val="24"/>
        </w:rPr>
        <w:t xml:space="preserve">, </w:t>
      </w:r>
      <w:proofErr w:type="spellStart"/>
      <w:r w:rsidRPr="0046266F">
        <w:rPr>
          <w:rFonts w:ascii="Times New Roman" w:hAnsi="Times New Roman"/>
          <w:sz w:val="24"/>
          <w:szCs w:val="24"/>
        </w:rPr>
        <w:t>serverovňa</w:t>
      </w:r>
      <w:proofErr w:type="spellEnd"/>
      <w:r w:rsidRPr="0046266F">
        <w:rPr>
          <w:rFonts w:ascii="Times New Roman" w:hAnsi="Times New Roman"/>
          <w:sz w:val="24"/>
          <w:szCs w:val="24"/>
        </w:rPr>
        <w:t>, SP, ústredie, ul.</w:t>
      </w:r>
      <w:r w:rsidRPr="0055683F">
        <w:rPr>
          <w:rFonts w:ascii="Times New Roman" w:hAnsi="Times New Roman"/>
          <w:sz w:val="24"/>
        </w:rPr>
        <w:t xml:space="preserve"> 29. </w:t>
      </w:r>
      <w:r w:rsidRPr="0046266F">
        <w:rPr>
          <w:rFonts w:ascii="Times New Roman" w:hAnsi="Times New Roman"/>
          <w:sz w:val="24"/>
          <w:szCs w:val="24"/>
        </w:rPr>
        <w:t>augusta</w:t>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Pr>
          <w:rFonts w:ascii="Times New Roman" w:hAnsi="Times New Roman"/>
          <w:sz w:val="24"/>
          <w:szCs w:val="24"/>
        </w:rPr>
        <w:t xml:space="preserve">   </w:t>
      </w:r>
      <w:r w:rsidRPr="0046266F">
        <w:rPr>
          <w:rFonts w:ascii="Times New Roman" w:hAnsi="Times New Roman"/>
          <w:sz w:val="24"/>
          <w:szCs w:val="24"/>
        </w:rPr>
        <w:t xml:space="preserve"> </w:t>
      </w:r>
      <w:r>
        <w:rPr>
          <w:rFonts w:ascii="Times New Roman" w:hAnsi="Times New Roman"/>
          <w:sz w:val="24"/>
          <w:szCs w:val="24"/>
        </w:rPr>
        <w:t xml:space="preserve"> </w:t>
      </w:r>
      <w:r w:rsidRPr="0046266F">
        <w:rPr>
          <w:rFonts w:ascii="Times New Roman" w:hAnsi="Times New Roman"/>
          <w:sz w:val="24"/>
          <w:szCs w:val="24"/>
        </w:rPr>
        <w:t xml:space="preserve"> </w:t>
      </w:r>
      <w:r>
        <w:rPr>
          <w:rFonts w:ascii="Times New Roman" w:hAnsi="Times New Roman"/>
          <w:sz w:val="24"/>
          <w:szCs w:val="24"/>
        </w:rPr>
        <w:t xml:space="preserve">  </w:t>
      </w:r>
      <w:r w:rsidRPr="0046266F">
        <w:rPr>
          <w:rFonts w:ascii="Times New Roman" w:hAnsi="Times New Roman"/>
          <w:sz w:val="24"/>
          <w:szCs w:val="24"/>
        </w:rPr>
        <w:t xml:space="preserve"> 5 780,16 EUR</w:t>
      </w:r>
    </w:p>
    <w:p w:rsidR="00385B00" w:rsidRPr="0046266F" w:rsidRDefault="00385B00" w:rsidP="00385B00">
      <w:pPr>
        <w:ind w:left="426"/>
        <w:rPr>
          <w:rFonts w:ascii="Times New Roman" w:hAnsi="Times New Roman"/>
          <w:sz w:val="24"/>
          <w:szCs w:val="24"/>
        </w:rPr>
      </w:pPr>
    </w:p>
    <w:p w:rsidR="00385B00" w:rsidRPr="0055683F" w:rsidRDefault="00385B00" w:rsidP="00385B00">
      <w:pPr>
        <w:pStyle w:val="Odsekzoznamu"/>
        <w:widowControl/>
        <w:numPr>
          <w:ilvl w:val="0"/>
          <w:numId w:val="49"/>
        </w:numPr>
        <w:autoSpaceDE/>
        <w:autoSpaceDN/>
        <w:adjustRightInd/>
        <w:rPr>
          <w:rFonts w:ascii="Times New Roman" w:hAnsi="Times New Roman"/>
          <w:sz w:val="24"/>
        </w:rPr>
      </w:pPr>
      <w:r w:rsidRPr="0055683F">
        <w:rPr>
          <w:rFonts w:ascii="Times New Roman" w:hAnsi="Times New Roman"/>
          <w:sz w:val="24"/>
        </w:rPr>
        <w:t xml:space="preserve">navýšenie hodnoty budovy – </w:t>
      </w:r>
      <w:r w:rsidRPr="0046266F">
        <w:rPr>
          <w:rFonts w:ascii="Times New Roman" w:hAnsi="Times New Roman"/>
          <w:sz w:val="24"/>
          <w:szCs w:val="24"/>
        </w:rPr>
        <w:t>vybudovanie parkoviska</w:t>
      </w:r>
      <w:r w:rsidRPr="0055683F">
        <w:rPr>
          <w:rFonts w:ascii="Times New Roman" w:hAnsi="Times New Roman"/>
          <w:sz w:val="24"/>
        </w:rPr>
        <w:t>,</w:t>
      </w:r>
    </w:p>
    <w:p w:rsidR="00385B00" w:rsidRPr="0046266F" w:rsidRDefault="00385B00" w:rsidP="00385B00">
      <w:pPr>
        <w:pStyle w:val="Odsekzoznamu"/>
        <w:rPr>
          <w:rFonts w:ascii="Times New Roman" w:hAnsi="Times New Roman"/>
          <w:sz w:val="24"/>
          <w:szCs w:val="24"/>
        </w:rPr>
      </w:pPr>
      <w:r w:rsidRPr="0046266F">
        <w:rPr>
          <w:rFonts w:ascii="Times New Roman" w:hAnsi="Times New Roman"/>
          <w:sz w:val="24"/>
          <w:szCs w:val="24"/>
        </w:rPr>
        <w:t xml:space="preserve">SP, ústredie, </w:t>
      </w:r>
      <w:proofErr w:type="spellStart"/>
      <w:r w:rsidRPr="0046266F">
        <w:rPr>
          <w:rFonts w:ascii="Times New Roman" w:hAnsi="Times New Roman"/>
          <w:sz w:val="24"/>
          <w:szCs w:val="24"/>
        </w:rPr>
        <w:t>DaRZ</w:t>
      </w:r>
      <w:proofErr w:type="spellEnd"/>
      <w:r w:rsidRPr="0046266F">
        <w:rPr>
          <w:rFonts w:ascii="Times New Roman" w:hAnsi="Times New Roman"/>
          <w:sz w:val="24"/>
          <w:szCs w:val="24"/>
        </w:rPr>
        <w:t xml:space="preserve"> Pavčina Lehota</w:t>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t xml:space="preserve">     </w:t>
      </w:r>
      <w:r>
        <w:rPr>
          <w:rFonts w:ascii="Times New Roman" w:hAnsi="Times New Roman"/>
          <w:sz w:val="24"/>
          <w:szCs w:val="24"/>
        </w:rPr>
        <w:t xml:space="preserve">  </w:t>
      </w:r>
      <w:r w:rsidRPr="0046266F">
        <w:rPr>
          <w:rFonts w:ascii="Times New Roman" w:hAnsi="Times New Roman"/>
          <w:sz w:val="24"/>
          <w:szCs w:val="24"/>
        </w:rPr>
        <w:t xml:space="preserve"> </w:t>
      </w:r>
      <w:r>
        <w:rPr>
          <w:rFonts w:ascii="Times New Roman" w:hAnsi="Times New Roman"/>
          <w:sz w:val="24"/>
          <w:szCs w:val="24"/>
        </w:rPr>
        <w:t xml:space="preserve">    </w:t>
      </w:r>
      <w:r w:rsidRPr="0046266F">
        <w:rPr>
          <w:rFonts w:ascii="Times New Roman" w:hAnsi="Times New Roman"/>
          <w:sz w:val="24"/>
          <w:szCs w:val="24"/>
        </w:rPr>
        <w:t xml:space="preserve"> 91 211,47 EUR </w:t>
      </w:r>
    </w:p>
    <w:p w:rsidR="00385B00" w:rsidRPr="0046266F" w:rsidRDefault="00385B00" w:rsidP="00385B00">
      <w:pPr>
        <w:ind w:left="426"/>
        <w:rPr>
          <w:rFonts w:ascii="Times New Roman" w:hAnsi="Times New Roman"/>
          <w:sz w:val="24"/>
          <w:szCs w:val="24"/>
        </w:rPr>
      </w:pPr>
    </w:p>
    <w:p w:rsidR="00385B00" w:rsidRPr="0046266F" w:rsidRDefault="00385B00" w:rsidP="00385B00">
      <w:pPr>
        <w:pStyle w:val="Odsekzoznamu"/>
        <w:widowControl/>
        <w:numPr>
          <w:ilvl w:val="0"/>
          <w:numId w:val="49"/>
        </w:numPr>
        <w:autoSpaceDE/>
        <w:autoSpaceDN/>
        <w:adjustRightInd/>
        <w:rPr>
          <w:rFonts w:ascii="Times New Roman" w:hAnsi="Times New Roman"/>
          <w:sz w:val="24"/>
          <w:szCs w:val="24"/>
        </w:rPr>
      </w:pPr>
      <w:r w:rsidRPr="0046266F">
        <w:rPr>
          <w:rFonts w:ascii="Times New Roman" w:hAnsi="Times New Roman"/>
          <w:sz w:val="24"/>
          <w:szCs w:val="24"/>
        </w:rPr>
        <w:t>navýšenie hodnoty budovy – vybudovanie parkoviska,</w:t>
      </w:r>
    </w:p>
    <w:p w:rsidR="00385B00" w:rsidRPr="0046266F" w:rsidRDefault="00385B00" w:rsidP="00385B00">
      <w:pPr>
        <w:pStyle w:val="Odsekzoznamu"/>
        <w:rPr>
          <w:rFonts w:ascii="Times New Roman" w:hAnsi="Times New Roman"/>
          <w:sz w:val="24"/>
          <w:szCs w:val="24"/>
        </w:rPr>
      </w:pPr>
      <w:r w:rsidRPr="0046266F">
        <w:rPr>
          <w:rFonts w:ascii="Times New Roman" w:hAnsi="Times New Roman"/>
          <w:sz w:val="24"/>
          <w:szCs w:val="24"/>
        </w:rPr>
        <w:t>projektová dokumentácia, projekt spevnenia plochy,</w:t>
      </w:r>
    </w:p>
    <w:p w:rsidR="00385B00" w:rsidRPr="0055683F" w:rsidRDefault="00385B00" w:rsidP="00385B00">
      <w:pPr>
        <w:pStyle w:val="Odsekzoznamu"/>
        <w:rPr>
          <w:rFonts w:ascii="Times New Roman" w:hAnsi="Times New Roman"/>
          <w:sz w:val="24"/>
        </w:rPr>
      </w:pPr>
      <w:r w:rsidRPr="0046266F">
        <w:rPr>
          <w:rFonts w:ascii="Times New Roman" w:hAnsi="Times New Roman"/>
          <w:sz w:val="24"/>
          <w:szCs w:val="24"/>
        </w:rPr>
        <w:t xml:space="preserve">SP, ústredie, </w:t>
      </w:r>
      <w:proofErr w:type="spellStart"/>
      <w:r w:rsidRPr="0046266F">
        <w:rPr>
          <w:rFonts w:ascii="Times New Roman" w:hAnsi="Times New Roman"/>
          <w:sz w:val="24"/>
          <w:szCs w:val="24"/>
        </w:rPr>
        <w:t>DaRZ</w:t>
      </w:r>
      <w:proofErr w:type="spellEnd"/>
      <w:r w:rsidRPr="0046266F">
        <w:rPr>
          <w:rFonts w:ascii="Times New Roman" w:hAnsi="Times New Roman"/>
          <w:sz w:val="24"/>
          <w:szCs w:val="24"/>
        </w:rPr>
        <w:t xml:space="preserve"> Pavčina Lehota</w:t>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t xml:space="preserve">   </w:t>
      </w:r>
      <w:r>
        <w:rPr>
          <w:rFonts w:ascii="Times New Roman" w:hAnsi="Times New Roman"/>
          <w:sz w:val="24"/>
          <w:szCs w:val="24"/>
        </w:rPr>
        <w:t xml:space="preserve"> </w:t>
      </w:r>
      <w:r w:rsidRPr="0046266F">
        <w:rPr>
          <w:rFonts w:ascii="Times New Roman" w:hAnsi="Times New Roman"/>
          <w:sz w:val="24"/>
          <w:szCs w:val="24"/>
        </w:rPr>
        <w:t>3 300</w:t>
      </w:r>
      <w:r w:rsidRPr="0055683F">
        <w:rPr>
          <w:rFonts w:ascii="Times New Roman" w:hAnsi="Times New Roman"/>
          <w:sz w:val="24"/>
        </w:rPr>
        <w:t>,00 EUR</w:t>
      </w:r>
    </w:p>
    <w:p w:rsidR="00385B00" w:rsidRPr="0055683F" w:rsidRDefault="00385B00" w:rsidP="00385B00">
      <w:pPr>
        <w:widowControl/>
        <w:tabs>
          <w:tab w:val="left" w:pos="567"/>
        </w:tabs>
        <w:spacing w:line="360" w:lineRule="auto"/>
        <w:ind w:left="567" w:hanging="567"/>
        <w:rPr>
          <w:rFonts w:ascii="Times New Roman" w:hAnsi="Times New Roman"/>
          <w:sz w:val="24"/>
          <w:u w:color="000000"/>
        </w:rPr>
      </w:pPr>
    </w:p>
    <w:p w:rsidR="00385B00" w:rsidRPr="0055683F" w:rsidRDefault="00385B00" w:rsidP="00385B00">
      <w:pPr>
        <w:widowControl/>
        <w:spacing w:line="360" w:lineRule="auto"/>
        <w:rPr>
          <w:rFonts w:ascii="Times New Roman" w:hAnsi="Times New Roman"/>
          <w:b/>
          <w:sz w:val="24"/>
          <w:u w:color="000000"/>
        </w:rPr>
      </w:pPr>
      <w:r w:rsidRPr="0055683F">
        <w:rPr>
          <w:rFonts w:ascii="Times New Roman" w:hAnsi="Times New Roman"/>
          <w:sz w:val="24"/>
          <w:u w:color="000000"/>
        </w:rPr>
        <w:t xml:space="preserve">Na úrovni </w:t>
      </w:r>
      <w:r w:rsidRPr="0055683F">
        <w:rPr>
          <w:rFonts w:ascii="Times New Roman" w:hAnsi="Times New Roman"/>
          <w:b/>
          <w:sz w:val="24"/>
          <w:u w:color="000000"/>
        </w:rPr>
        <w:t>pobočiek</w:t>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t xml:space="preserve">   </w:t>
      </w:r>
      <w:r w:rsidRPr="0046266F">
        <w:rPr>
          <w:rFonts w:ascii="Times New Roman" w:hAnsi="Times New Roman"/>
          <w:sz w:val="24"/>
          <w:szCs w:val="24"/>
          <w:u w:color="000000"/>
        </w:rPr>
        <w:tab/>
        <w:t xml:space="preserve">  </w:t>
      </w:r>
      <w:r w:rsidRPr="0046266F">
        <w:rPr>
          <w:rFonts w:ascii="Times New Roman" w:hAnsi="Times New Roman"/>
          <w:b/>
          <w:bCs/>
          <w:sz w:val="24"/>
          <w:szCs w:val="24"/>
          <w:u w:color="000000"/>
        </w:rPr>
        <w:t>38 381,74</w:t>
      </w:r>
      <w:r w:rsidRPr="0055683F">
        <w:rPr>
          <w:rFonts w:ascii="Times New Roman" w:hAnsi="Times New Roman"/>
          <w:b/>
          <w:sz w:val="24"/>
          <w:u w:color="000000"/>
        </w:rPr>
        <w:t xml:space="preserve"> EUR</w:t>
      </w:r>
    </w:p>
    <w:p w:rsidR="00385B00" w:rsidRDefault="00385B00" w:rsidP="00385B00">
      <w:pPr>
        <w:widowControl/>
        <w:spacing w:line="360" w:lineRule="auto"/>
        <w:rPr>
          <w:rFonts w:ascii="Times New Roman" w:hAnsi="Times New Roman"/>
          <w:sz w:val="24"/>
          <w:u w:color="000000"/>
        </w:rPr>
      </w:pPr>
    </w:p>
    <w:p w:rsidR="00385B00" w:rsidRPr="0055683F" w:rsidRDefault="00385B00" w:rsidP="00385B00">
      <w:pPr>
        <w:widowControl/>
        <w:spacing w:line="360" w:lineRule="auto"/>
        <w:jc w:val="both"/>
        <w:rPr>
          <w:rFonts w:ascii="Times New Roman" w:hAnsi="Times New Roman"/>
          <w:sz w:val="24"/>
          <w:u w:color="000000"/>
        </w:rPr>
      </w:pPr>
      <w:r w:rsidRPr="0055683F">
        <w:rPr>
          <w:rFonts w:ascii="Times New Roman" w:hAnsi="Times New Roman"/>
          <w:sz w:val="24"/>
          <w:u w:color="000000"/>
        </w:rPr>
        <w:tab/>
      </w:r>
      <w:r w:rsidRPr="0055683F">
        <w:rPr>
          <w:rFonts w:ascii="Times New Roman" w:hAnsi="Times New Roman"/>
          <w:sz w:val="24"/>
        </w:rPr>
        <w:t xml:space="preserve">Prírastok v hodnote </w:t>
      </w:r>
      <w:r w:rsidRPr="0046266F">
        <w:rPr>
          <w:rFonts w:ascii="Times New Roman" w:hAnsi="Times New Roman"/>
          <w:sz w:val="24"/>
          <w:szCs w:val="24"/>
        </w:rPr>
        <w:t>38 381,74</w:t>
      </w:r>
      <w:r w:rsidRPr="0055683F">
        <w:rPr>
          <w:rFonts w:ascii="Times New Roman" w:hAnsi="Times New Roman"/>
          <w:sz w:val="24"/>
        </w:rPr>
        <w:t xml:space="preserve"> EUR zahŕňa zaradenie </w:t>
      </w:r>
      <w:r>
        <w:rPr>
          <w:rFonts w:ascii="Times New Roman" w:hAnsi="Times New Roman"/>
          <w:sz w:val="24"/>
          <w:szCs w:val="24"/>
        </w:rPr>
        <w:t>dodávka</w:t>
      </w:r>
      <w:r w:rsidRPr="0046266F">
        <w:rPr>
          <w:rFonts w:ascii="Times New Roman" w:hAnsi="Times New Roman"/>
          <w:sz w:val="24"/>
          <w:szCs w:val="24"/>
        </w:rPr>
        <w:t xml:space="preserve"> a montáž protipožiarnych dverí 10 ks (Banská Bystrica), dodávk</w:t>
      </w:r>
      <w:r>
        <w:rPr>
          <w:rFonts w:ascii="Times New Roman" w:hAnsi="Times New Roman"/>
          <w:sz w:val="24"/>
          <w:szCs w:val="24"/>
        </w:rPr>
        <w:t>a</w:t>
      </w:r>
      <w:r w:rsidRPr="0046266F">
        <w:rPr>
          <w:rFonts w:ascii="Times New Roman" w:hAnsi="Times New Roman"/>
          <w:sz w:val="24"/>
          <w:szCs w:val="24"/>
        </w:rPr>
        <w:t xml:space="preserve"> a montáž automatickej závory RAPID (Nitra, Žilina), rekonštrukciu vstupného dverného systému v prevádzkovej budove (Poprad), </w:t>
      </w:r>
      <w:r w:rsidRPr="0055683F">
        <w:rPr>
          <w:rFonts w:ascii="Times New Roman" w:hAnsi="Times New Roman"/>
          <w:sz w:val="24"/>
        </w:rPr>
        <w:t>dodávk</w:t>
      </w:r>
      <w:r>
        <w:rPr>
          <w:rFonts w:ascii="Times New Roman" w:hAnsi="Times New Roman"/>
          <w:sz w:val="24"/>
        </w:rPr>
        <w:t>a</w:t>
      </w:r>
      <w:r w:rsidRPr="0055683F">
        <w:rPr>
          <w:rFonts w:ascii="Times New Roman" w:hAnsi="Times New Roman"/>
          <w:sz w:val="24"/>
        </w:rPr>
        <w:t xml:space="preserve"> a montáž zabudovaných klimatizačných zariadení </w:t>
      </w:r>
      <w:r w:rsidRPr="0046266F">
        <w:rPr>
          <w:rFonts w:ascii="Times New Roman" w:hAnsi="Times New Roman"/>
          <w:sz w:val="24"/>
          <w:szCs w:val="24"/>
        </w:rPr>
        <w:t>FISCHER (Vranov nad Topľou) a o technické zhodnotenie budovy - zhodnotenie</w:t>
      </w:r>
      <w:r w:rsidRPr="0055683F">
        <w:rPr>
          <w:rFonts w:ascii="Times New Roman" w:hAnsi="Times New Roman"/>
          <w:sz w:val="24"/>
        </w:rPr>
        <w:t xml:space="preserve"> projektovej dokumentácie na </w:t>
      </w:r>
      <w:r w:rsidRPr="0046266F">
        <w:rPr>
          <w:rFonts w:ascii="Times New Roman" w:hAnsi="Times New Roman"/>
          <w:sz w:val="24"/>
          <w:szCs w:val="24"/>
        </w:rPr>
        <w:t xml:space="preserve">predložku NN vedenia </w:t>
      </w:r>
      <w:r w:rsidRPr="0055683F">
        <w:rPr>
          <w:rFonts w:ascii="Times New Roman" w:hAnsi="Times New Roman"/>
          <w:sz w:val="24"/>
        </w:rPr>
        <w:t xml:space="preserve">prevádzkovej </w:t>
      </w:r>
      <w:r w:rsidRPr="0046266F">
        <w:rPr>
          <w:rFonts w:ascii="Times New Roman" w:hAnsi="Times New Roman"/>
          <w:sz w:val="24"/>
          <w:szCs w:val="24"/>
        </w:rPr>
        <w:t>budovy (Rož</w:t>
      </w:r>
      <w:r>
        <w:rPr>
          <w:rFonts w:ascii="Times New Roman" w:hAnsi="Times New Roman"/>
          <w:sz w:val="24"/>
          <w:szCs w:val="24"/>
        </w:rPr>
        <w:t>ň</w:t>
      </w:r>
      <w:r w:rsidRPr="0046266F">
        <w:rPr>
          <w:rFonts w:ascii="Times New Roman" w:hAnsi="Times New Roman"/>
          <w:sz w:val="24"/>
          <w:szCs w:val="24"/>
        </w:rPr>
        <w:t>ava</w:t>
      </w:r>
      <w:r w:rsidRPr="0055683F">
        <w:rPr>
          <w:rFonts w:ascii="Times New Roman" w:hAnsi="Times New Roman"/>
          <w:sz w:val="24"/>
        </w:rPr>
        <w:t>).</w:t>
      </w:r>
    </w:p>
    <w:p w:rsidR="00385B00" w:rsidRDefault="00385B00" w:rsidP="00385B00">
      <w:pPr>
        <w:widowControl/>
        <w:spacing w:line="360" w:lineRule="auto"/>
        <w:jc w:val="both"/>
        <w:rPr>
          <w:rFonts w:ascii="Times New Roman" w:hAnsi="Times New Roman"/>
          <w:sz w:val="24"/>
          <w:u w:color="000000"/>
        </w:rPr>
      </w:pPr>
    </w:p>
    <w:p w:rsidR="00385B00" w:rsidRPr="0055683F" w:rsidRDefault="00385B00" w:rsidP="00385B00">
      <w:pPr>
        <w:widowControl/>
        <w:spacing w:line="360" w:lineRule="auto"/>
        <w:jc w:val="both"/>
        <w:rPr>
          <w:rFonts w:ascii="Times New Roman" w:hAnsi="Times New Roman"/>
          <w:sz w:val="24"/>
          <w:u w:color="000000"/>
        </w:rPr>
      </w:pPr>
      <w:r w:rsidRPr="0055683F">
        <w:rPr>
          <w:rFonts w:ascii="Times New Roman" w:hAnsi="Times New Roman"/>
          <w:sz w:val="24"/>
          <w:u w:color="000000"/>
        </w:rPr>
        <w:tab/>
        <w:t xml:space="preserve">Úbytky predstavujú sumu </w:t>
      </w:r>
      <w:r w:rsidRPr="0046266F">
        <w:rPr>
          <w:rFonts w:ascii="Times New Roman" w:hAnsi="Times New Roman"/>
          <w:sz w:val="24"/>
          <w:szCs w:val="24"/>
          <w:u w:color="000000"/>
        </w:rPr>
        <w:t>0,00</w:t>
      </w:r>
      <w:r w:rsidRPr="0055683F">
        <w:rPr>
          <w:rFonts w:ascii="Times New Roman" w:hAnsi="Times New Roman"/>
          <w:sz w:val="24"/>
          <w:u w:color="000000"/>
        </w:rPr>
        <w:t xml:space="preserve"> EUR</w:t>
      </w:r>
      <w:r w:rsidRPr="0046266F">
        <w:rPr>
          <w:rFonts w:ascii="Times New Roman" w:hAnsi="Times New Roman"/>
          <w:sz w:val="24"/>
          <w:szCs w:val="24"/>
          <w:u w:color="000000"/>
        </w:rPr>
        <w:t>.</w:t>
      </w:r>
    </w:p>
    <w:p w:rsidR="00385B00" w:rsidRPr="0055683F" w:rsidRDefault="00385B00" w:rsidP="00385B00">
      <w:pPr>
        <w:widowControl/>
        <w:tabs>
          <w:tab w:val="left" w:pos="709"/>
        </w:tabs>
        <w:spacing w:line="360" w:lineRule="auto"/>
        <w:rPr>
          <w:rFonts w:ascii="Times New Roman" w:hAnsi="Times New Roman"/>
          <w:b/>
          <w:sz w:val="24"/>
          <w:u w:color="000000"/>
        </w:rPr>
      </w:pPr>
      <w:r w:rsidRPr="0055683F">
        <w:rPr>
          <w:rFonts w:ascii="Times New Roman" w:hAnsi="Times New Roman"/>
          <w:b/>
          <w:sz w:val="24"/>
          <w:u w:color="000000"/>
        </w:rPr>
        <w:t>Konečný zostatok</w:t>
      </w:r>
      <w:r w:rsidRPr="0055683F">
        <w:rPr>
          <w:rFonts w:ascii="Times New Roman" w:hAnsi="Times New Roman"/>
          <w:sz w:val="24"/>
          <w:u w:color="000000"/>
        </w:rPr>
        <w:t xml:space="preserve"> k 31.12.2018</w:t>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Pr>
          <w:rFonts w:ascii="Times New Roman" w:hAnsi="Times New Roman"/>
          <w:sz w:val="24"/>
          <w:u w:color="000000"/>
        </w:rPr>
        <w:t xml:space="preserve"> </w:t>
      </w:r>
      <w:r w:rsidRPr="0055683F">
        <w:rPr>
          <w:rFonts w:ascii="Times New Roman" w:hAnsi="Times New Roman"/>
          <w:sz w:val="24"/>
          <w:u w:color="000000"/>
        </w:rPr>
        <w:t xml:space="preserve"> </w:t>
      </w:r>
      <w:r w:rsidRPr="0046266F">
        <w:rPr>
          <w:rFonts w:ascii="Times New Roman" w:hAnsi="Times New Roman"/>
          <w:b/>
          <w:bCs/>
          <w:sz w:val="24"/>
          <w:szCs w:val="24"/>
          <w:u w:color="000000"/>
        </w:rPr>
        <w:t>108 255 445,41</w:t>
      </w:r>
      <w:r w:rsidRPr="0055683F">
        <w:rPr>
          <w:rFonts w:ascii="Times New Roman" w:hAnsi="Times New Roman"/>
          <w:b/>
          <w:sz w:val="24"/>
          <w:u w:color="000000"/>
        </w:rPr>
        <w:t xml:space="preserve"> EUR</w:t>
      </w:r>
    </w:p>
    <w:p w:rsidR="00385B00" w:rsidRPr="0055683F" w:rsidRDefault="00385B00" w:rsidP="00385B00">
      <w:pPr>
        <w:widowControl/>
        <w:tabs>
          <w:tab w:val="left" w:pos="709"/>
        </w:tabs>
        <w:spacing w:line="360" w:lineRule="auto"/>
        <w:jc w:val="both"/>
        <w:rPr>
          <w:rFonts w:ascii="Times New Roman" w:hAnsi="Times New Roman"/>
          <w:sz w:val="24"/>
          <w:u w:color="000000"/>
        </w:rPr>
      </w:pPr>
    </w:p>
    <w:p w:rsidR="00385B00" w:rsidRPr="0055683F" w:rsidRDefault="00385B00" w:rsidP="00385B00">
      <w:pPr>
        <w:widowControl/>
        <w:spacing w:line="360" w:lineRule="auto"/>
        <w:jc w:val="both"/>
        <w:rPr>
          <w:rFonts w:ascii="Times New Roman" w:hAnsi="Times New Roman"/>
          <w:b/>
          <w:sz w:val="24"/>
          <w:u w:color="000000"/>
        </w:rPr>
      </w:pPr>
      <w:r w:rsidRPr="0055683F">
        <w:rPr>
          <w:rFonts w:ascii="Times New Roman" w:hAnsi="Times New Roman"/>
          <w:b/>
          <w:sz w:val="24"/>
          <w:u w:color="000000"/>
        </w:rPr>
        <w:t>Riadok 012 – Stroje, prístroje a zariadenia</w:t>
      </w:r>
    </w:p>
    <w:p w:rsidR="00385B00" w:rsidRPr="0055683F" w:rsidRDefault="00385B00" w:rsidP="00385B00">
      <w:pPr>
        <w:widowControl/>
        <w:spacing w:line="360" w:lineRule="auto"/>
        <w:rPr>
          <w:rFonts w:ascii="Times New Roman" w:hAnsi="Times New Roman"/>
          <w:sz w:val="24"/>
          <w:u w:color="000000"/>
        </w:rPr>
      </w:pPr>
      <w:r w:rsidRPr="0055683F">
        <w:rPr>
          <w:rFonts w:ascii="Times New Roman" w:hAnsi="Times New Roman"/>
          <w:b/>
          <w:sz w:val="24"/>
          <w:u w:color="000000"/>
        </w:rPr>
        <w:t>Začiatočný zostatok</w:t>
      </w:r>
      <w:r w:rsidRPr="0055683F">
        <w:rPr>
          <w:rFonts w:ascii="Times New Roman" w:hAnsi="Times New Roman"/>
          <w:sz w:val="24"/>
          <w:u w:color="000000"/>
        </w:rPr>
        <w:t xml:space="preserve"> k 1.1.2018</w:t>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t xml:space="preserve"> </w:t>
      </w:r>
      <w:r>
        <w:rPr>
          <w:rFonts w:ascii="Times New Roman" w:hAnsi="Times New Roman"/>
          <w:sz w:val="24"/>
          <w:u w:color="000000"/>
        </w:rPr>
        <w:t xml:space="preserve"> </w:t>
      </w:r>
      <w:r w:rsidRPr="0055683F">
        <w:rPr>
          <w:rFonts w:ascii="Times New Roman" w:hAnsi="Times New Roman"/>
          <w:sz w:val="24"/>
          <w:u w:color="000000"/>
        </w:rPr>
        <w:t xml:space="preserve"> </w:t>
      </w:r>
      <w:r w:rsidRPr="0046266F">
        <w:rPr>
          <w:rFonts w:ascii="Times New Roman" w:hAnsi="Times New Roman"/>
          <w:b/>
          <w:bCs/>
          <w:sz w:val="24"/>
          <w:szCs w:val="24"/>
          <w:u w:color="000000"/>
        </w:rPr>
        <w:t>42 534 224,45</w:t>
      </w:r>
      <w:r w:rsidRPr="0055683F">
        <w:rPr>
          <w:rFonts w:ascii="Times New Roman" w:hAnsi="Times New Roman"/>
          <w:b/>
          <w:sz w:val="24"/>
          <w:u w:color="000000"/>
        </w:rPr>
        <w:t xml:space="preserve"> EUR</w:t>
      </w:r>
    </w:p>
    <w:p w:rsidR="00385B00" w:rsidRPr="0055683F" w:rsidRDefault="00385B00" w:rsidP="00385B00">
      <w:pPr>
        <w:widowControl/>
        <w:tabs>
          <w:tab w:val="left" w:pos="709"/>
        </w:tabs>
        <w:spacing w:line="360" w:lineRule="auto"/>
        <w:rPr>
          <w:rFonts w:ascii="Times New Roman" w:hAnsi="Times New Roman"/>
          <w:b/>
          <w:sz w:val="24"/>
          <w:u w:color="000000"/>
        </w:rPr>
      </w:pPr>
      <w:r w:rsidRPr="0055683F">
        <w:rPr>
          <w:rFonts w:ascii="Times New Roman" w:hAnsi="Times New Roman"/>
          <w:sz w:val="24"/>
          <w:u w:color="000000"/>
        </w:rPr>
        <w:t>Prírastky v celkovej hodnote</w:t>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t xml:space="preserve">   </w:t>
      </w:r>
      <w:r>
        <w:rPr>
          <w:rFonts w:ascii="Times New Roman" w:hAnsi="Times New Roman"/>
          <w:sz w:val="24"/>
          <w:u w:color="000000"/>
        </w:rPr>
        <w:t xml:space="preserve">       </w:t>
      </w:r>
      <w:r w:rsidRPr="0046266F">
        <w:rPr>
          <w:rFonts w:ascii="Times New Roman" w:hAnsi="Times New Roman"/>
          <w:sz w:val="24"/>
          <w:szCs w:val="24"/>
          <w:u w:color="000000"/>
        </w:rPr>
        <w:t>3 447 762,47</w:t>
      </w:r>
      <w:r w:rsidRPr="0055683F">
        <w:rPr>
          <w:rFonts w:ascii="Times New Roman" w:hAnsi="Times New Roman"/>
          <w:sz w:val="24"/>
          <w:u w:color="000000"/>
        </w:rPr>
        <w:t xml:space="preserve"> EUR</w:t>
      </w:r>
    </w:p>
    <w:p w:rsidR="00385B00" w:rsidRPr="0055683F" w:rsidRDefault="00385B00" w:rsidP="00385B00">
      <w:pPr>
        <w:widowControl/>
        <w:spacing w:line="360" w:lineRule="auto"/>
        <w:jc w:val="both"/>
        <w:rPr>
          <w:rFonts w:ascii="Times New Roman" w:hAnsi="Times New Roman"/>
          <w:sz w:val="24"/>
          <w:u w:color="000000"/>
        </w:rPr>
      </w:pPr>
    </w:p>
    <w:p w:rsidR="00385B00" w:rsidRPr="0055683F" w:rsidRDefault="00385B00" w:rsidP="00385B00">
      <w:pPr>
        <w:widowControl/>
        <w:spacing w:line="360" w:lineRule="auto"/>
        <w:rPr>
          <w:rFonts w:ascii="Times New Roman" w:hAnsi="Times New Roman"/>
          <w:b/>
          <w:sz w:val="24"/>
          <w:u w:color="000000"/>
        </w:rPr>
      </w:pPr>
      <w:r w:rsidRPr="0055683F">
        <w:rPr>
          <w:rFonts w:ascii="Times New Roman" w:hAnsi="Times New Roman"/>
          <w:sz w:val="24"/>
          <w:u w:color="000000"/>
        </w:rPr>
        <w:t xml:space="preserve">Na úrovni </w:t>
      </w:r>
      <w:r w:rsidRPr="0055683F">
        <w:rPr>
          <w:rFonts w:ascii="Times New Roman" w:hAnsi="Times New Roman"/>
          <w:b/>
          <w:sz w:val="24"/>
          <w:u w:color="000000"/>
        </w:rPr>
        <w:t>ústredia</w:t>
      </w:r>
      <w:r w:rsidRPr="0055683F">
        <w:rPr>
          <w:rFonts w:ascii="Times New Roman" w:hAnsi="Times New Roman"/>
          <w:b/>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Pr>
          <w:rFonts w:ascii="Times New Roman" w:hAnsi="Times New Roman"/>
          <w:sz w:val="24"/>
          <w:u w:color="000000"/>
        </w:rPr>
        <w:t xml:space="preserve">      </w:t>
      </w:r>
      <w:r w:rsidRPr="0055683F">
        <w:rPr>
          <w:rFonts w:ascii="Times New Roman" w:hAnsi="Times New Roman"/>
          <w:sz w:val="24"/>
          <w:u w:color="000000"/>
        </w:rPr>
        <w:t xml:space="preserve">  </w:t>
      </w:r>
      <w:r>
        <w:rPr>
          <w:rFonts w:ascii="Times New Roman" w:hAnsi="Times New Roman"/>
          <w:sz w:val="24"/>
          <w:u w:color="000000"/>
        </w:rPr>
        <w:t xml:space="preserve">  </w:t>
      </w:r>
      <w:r w:rsidRPr="0055683F">
        <w:rPr>
          <w:rFonts w:ascii="Times New Roman" w:hAnsi="Times New Roman"/>
          <w:sz w:val="24"/>
          <w:u w:color="000000"/>
        </w:rPr>
        <w:t xml:space="preserve"> </w:t>
      </w:r>
      <w:r>
        <w:rPr>
          <w:rFonts w:ascii="Times New Roman" w:hAnsi="Times New Roman"/>
          <w:sz w:val="24"/>
          <w:u w:color="000000"/>
        </w:rPr>
        <w:t xml:space="preserve">    </w:t>
      </w:r>
      <w:r w:rsidRPr="0055683F">
        <w:rPr>
          <w:rFonts w:ascii="Times New Roman" w:hAnsi="Times New Roman"/>
          <w:b/>
          <w:sz w:val="24"/>
          <w:u w:color="000000"/>
        </w:rPr>
        <w:t>2 </w:t>
      </w:r>
      <w:r w:rsidRPr="0046266F">
        <w:rPr>
          <w:rFonts w:ascii="Times New Roman" w:hAnsi="Times New Roman"/>
          <w:b/>
          <w:bCs/>
          <w:sz w:val="24"/>
          <w:szCs w:val="24"/>
          <w:u w:color="000000"/>
        </w:rPr>
        <w:t>663 185</w:t>
      </w:r>
      <w:r w:rsidRPr="0055683F">
        <w:rPr>
          <w:rFonts w:ascii="Times New Roman" w:hAnsi="Times New Roman"/>
          <w:b/>
          <w:sz w:val="24"/>
          <w:u w:color="000000"/>
        </w:rPr>
        <w:t>,49 EUR</w:t>
      </w:r>
    </w:p>
    <w:p w:rsidR="00385B00" w:rsidRPr="0046266F" w:rsidRDefault="00385B00" w:rsidP="00385B00">
      <w:pPr>
        <w:pStyle w:val="Odsekzoznamu"/>
        <w:widowControl/>
        <w:numPr>
          <w:ilvl w:val="0"/>
          <w:numId w:val="50"/>
        </w:numPr>
        <w:autoSpaceDE/>
        <w:autoSpaceDN/>
        <w:adjustRightInd/>
        <w:rPr>
          <w:rFonts w:ascii="Times New Roman" w:hAnsi="Times New Roman"/>
          <w:sz w:val="24"/>
          <w:szCs w:val="24"/>
        </w:rPr>
      </w:pPr>
      <w:r w:rsidRPr="0046266F">
        <w:rPr>
          <w:rFonts w:ascii="Times New Roman" w:hAnsi="Times New Roman"/>
          <w:sz w:val="24"/>
          <w:szCs w:val="24"/>
        </w:rPr>
        <w:t xml:space="preserve">rozšírenie modulárnych </w:t>
      </w:r>
      <w:proofErr w:type="spellStart"/>
      <w:r w:rsidRPr="0046266F">
        <w:rPr>
          <w:rFonts w:ascii="Times New Roman" w:hAnsi="Times New Roman"/>
          <w:sz w:val="24"/>
          <w:szCs w:val="24"/>
        </w:rPr>
        <w:t>switchov</w:t>
      </w:r>
      <w:proofErr w:type="spellEnd"/>
      <w:r w:rsidRPr="0046266F">
        <w:rPr>
          <w:rFonts w:ascii="Times New Roman" w:hAnsi="Times New Roman"/>
          <w:sz w:val="24"/>
          <w:szCs w:val="24"/>
        </w:rPr>
        <w:t xml:space="preserve"> Cisco </w:t>
      </w:r>
      <w:proofErr w:type="spellStart"/>
      <w:r w:rsidRPr="0046266F">
        <w:rPr>
          <w:rFonts w:ascii="Times New Roman" w:hAnsi="Times New Roman"/>
          <w:sz w:val="24"/>
          <w:szCs w:val="24"/>
        </w:rPr>
        <w:t>Catalyst</w:t>
      </w:r>
      <w:proofErr w:type="spellEnd"/>
      <w:r w:rsidRPr="0046266F">
        <w:rPr>
          <w:rFonts w:ascii="Times New Roman" w:hAnsi="Times New Roman"/>
          <w:sz w:val="24"/>
          <w:szCs w:val="24"/>
        </w:rPr>
        <w:t xml:space="preserve"> 6500E </w:t>
      </w:r>
    </w:p>
    <w:p w:rsidR="00385B00" w:rsidRPr="0046266F" w:rsidRDefault="00385B00" w:rsidP="00385B00">
      <w:pPr>
        <w:pStyle w:val="Odsekzoznamu"/>
        <w:rPr>
          <w:rFonts w:ascii="Times New Roman" w:hAnsi="Times New Roman"/>
          <w:sz w:val="24"/>
          <w:szCs w:val="24"/>
        </w:rPr>
      </w:pPr>
      <w:r w:rsidRPr="0046266F">
        <w:rPr>
          <w:rFonts w:ascii="Times New Roman" w:hAnsi="Times New Roman"/>
          <w:sz w:val="24"/>
          <w:szCs w:val="24"/>
        </w:rPr>
        <w:t>o optický modul a príslušenstvo, SP, ústredie</w:t>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t xml:space="preserve">        </w:t>
      </w:r>
      <w:r w:rsidRPr="0046266F">
        <w:rPr>
          <w:rFonts w:ascii="Times New Roman" w:hAnsi="Times New Roman"/>
          <w:sz w:val="24"/>
          <w:szCs w:val="24"/>
        </w:rPr>
        <w:tab/>
        <w:t xml:space="preserve">  </w:t>
      </w:r>
      <w:r w:rsidRPr="0046266F">
        <w:rPr>
          <w:rFonts w:ascii="Times New Roman" w:hAnsi="Times New Roman"/>
          <w:sz w:val="24"/>
          <w:szCs w:val="24"/>
        </w:rPr>
        <w:tab/>
        <w:t xml:space="preserve">  90 000,00 EUR </w:t>
      </w:r>
    </w:p>
    <w:p w:rsidR="00385B00" w:rsidRPr="0046266F" w:rsidRDefault="00385B00" w:rsidP="00385B00">
      <w:pPr>
        <w:ind w:left="426"/>
        <w:rPr>
          <w:rFonts w:ascii="Times New Roman" w:hAnsi="Times New Roman"/>
          <w:sz w:val="24"/>
          <w:szCs w:val="24"/>
        </w:rPr>
      </w:pPr>
    </w:p>
    <w:p w:rsidR="00385B00" w:rsidRPr="0055683F" w:rsidRDefault="00385B00" w:rsidP="00385B00">
      <w:pPr>
        <w:pStyle w:val="Odsekzoznamu"/>
        <w:widowControl/>
        <w:numPr>
          <w:ilvl w:val="0"/>
          <w:numId w:val="50"/>
        </w:numPr>
        <w:autoSpaceDE/>
        <w:autoSpaceDN/>
        <w:adjustRightInd/>
        <w:rPr>
          <w:rFonts w:ascii="Times New Roman" w:hAnsi="Times New Roman"/>
          <w:sz w:val="24"/>
        </w:rPr>
      </w:pPr>
      <w:r w:rsidRPr="0055683F">
        <w:rPr>
          <w:rFonts w:ascii="Times New Roman" w:hAnsi="Times New Roman"/>
          <w:sz w:val="24"/>
        </w:rPr>
        <w:t xml:space="preserve">zaradenie </w:t>
      </w:r>
      <w:r w:rsidRPr="0046266F">
        <w:rPr>
          <w:rFonts w:ascii="Times New Roman" w:hAnsi="Times New Roman"/>
          <w:sz w:val="24"/>
          <w:szCs w:val="24"/>
        </w:rPr>
        <w:t xml:space="preserve">DLHM – HW vybavenie </w:t>
      </w:r>
      <w:proofErr w:type="spellStart"/>
      <w:r w:rsidRPr="0046266F">
        <w:rPr>
          <w:rFonts w:ascii="Times New Roman" w:hAnsi="Times New Roman"/>
          <w:sz w:val="24"/>
          <w:szCs w:val="24"/>
        </w:rPr>
        <w:t>Netfow</w:t>
      </w:r>
      <w:proofErr w:type="spellEnd"/>
      <w:r w:rsidRPr="0046266F">
        <w:rPr>
          <w:rFonts w:ascii="Times New Roman" w:hAnsi="Times New Roman"/>
          <w:sz w:val="24"/>
          <w:szCs w:val="24"/>
        </w:rPr>
        <w:t xml:space="preserve"> Sonda; typ:HSFNCM2,</w:t>
      </w:r>
    </w:p>
    <w:p w:rsidR="00385B00" w:rsidRPr="0046266F" w:rsidRDefault="00385B00" w:rsidP="00385B00">
      <w:pPr>
        <w:pStyle w:val="Odsekzoznamu"/>
        <w:rPr>
          <w:rFonts w:ascii="Times New Roman" w:hAnsi="Times New Roman"/>
          <w:sz w:val="24"/>
          <w:szCs w:val="24"/>
        </w:rPr>
      </w:pPr>
      <w:r w:rsidRPr="0046266F">
        <w:rPr>
          <w:rFonts w:ascii="Times New Roman" w:hAnsi="Times New Roman"/>
          <w:sz w:val="24"/>
          <w:szCs w:val="24"/>
        </w:rPr>
        <w:t xml:space="preserve">SP, ústredie </w:t>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t xml:space="preserve">       </w:t>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t xml:space="preserve">  31 780,00 EUR</w:t>
      </w:r>
    </w:p>
    <w:p w:rsidR="00385B00" w:rsidRPr="0046266F" w:rsidRDefault="00385B00" w:rsidP="00385B00">
      <w:pPr>
        <w:ind w:left="426"/>
        <w:rPr>
          <w:rFonts w:ascii="Times New Roman" w:hAnsi="Times New Roman"/>
          <w:sz w:val="24"/>
          <w:szCs w:val="24"/>
        </w:rPr>
      </w:pPr>
    </w:p>
    <w:p w:rsidR="00385B00" w:rsidRPr="0055683F" w:rsidRDefault="00385B00" w:rsidP="00385B00">
      <w:pPr>
        <w:pStyle w:val="Odsekzoznamu"/>
        <w:widowControl/>
        <w:numPr>
          <w:ilvl w:val="0"/>
          <w:numId w:val="50"/>
        </w:numPr>
        <w:autoSpaceDE/>
        <w:autoSpaceDN/>
        <w:adjustRightInd/>
        <w:rPr>
          <w:rFonts w:ascii="Times New Roman" w:hAnsi="Times New Roman"/>
          <w:sz w:val="24"/>
        </w:rPr>
      </w:pPr>
      <w:r w:rsidRPr="0055683F">
        <w:rPr>
          <w:rFonts w:ascii="Times New Roman" w:hAnsi="Times New Roman"/>
          <w:sz w:val="24"/>
        </w:rPr>
        <w:t xml:space="preserve">zaradenie </w:t>
      </w:r>
      <w:r w:rsidRPr="0046266F">
        <w:rPr>
          <w:rFonts w:ascii="Times New Roman" w:hAnsi="Times New Roman"/>
          <w:sz w:val="24"/>
          <w:szCs w:val="24"/>
        </w:rPr>
        <w:t xml:space="preserve">DLHM – </w:t>
      </w:r>
      <w:proofErr w:type="spellStart"/>
      <w:r w:rsidRPr="0046266F">
        <w:rPr>
          <w:rFonts w:ascii="Times New Roman" w:hAnsi="Times New Roman"/>
          <w:sz w:val="24"/>
          <w:szCs w:val="24"/>
        </w:rPr>
        <w:t>obálkovací</w:t>
      </w:r>
      <w:proofErr w:type="spellEnd"/>
      <w:r w:rsidRPr="0046266F">
        <w:rPr>
          <w:rFonts w:ascii="Times New Roman" w:hAnsi="Times New Roman"/>
          <w:sz w:val="24"/>
          <w:szCs w:val="24"/>
        </w:rPr>
        <w:t xml:space="preserve"> stroj </w:t>
      </w:r>
      <w:proofErr w:type="spellStart"/>
      <w:r w:rsidRPr="0046266F">
        <w:rPr>
          <w:rFonts w:ascii="Times New Roman" w:hAnsi="Times New Roman"/>
          <w:sz w:val="24"/>
          <w:szCs w:val="24"/>
        </w:rPr>
        <w:t>Neopost</w:t>
      </w:r>
      <w:proofErr w:type="spellEnd"/>
      <w:r w:rsidRPr="0046266F">
        <w:rPr>
          <w:rFonts w:ascii="Times New Roman" w:hAnsi="Times New Roman"/>
          <w:sz w:val="24"/>
          <w:szCs w:val="24"/>
        </w:rPr>
        <w:t xml:space="preserve"> DS – 75i, </w:t>
      </w:r>
    </w:p>
    <w:p w:rsidR="00385B00" w:rsidRPr="0046266F" w:rsidRDefault="00385B00" w:rsidP="00385B00">
      <w:pPr>
        <w:pStyle w:val="Odsekzoznamu"/>
        <w:rPr>
          <w:rFonts w:ascii="Times New Roman" w:hAnsi="Times New Roman"/>
          <w:sz w:val="24"/>
          <w:szCs w:val="24"/>
        </w:rPr>
      </w:pPr>
      <w:r w:rsidRPr="0046266F">
        <w:rPr>
          <w:rFonts w:ascii="Times New Roman" w:hAnsi="Times New Roman"/>
          <w:sz w:val="24"/>
          <w:szCs w:val="24"/>
        </w:rPr>
        <w:t xml:space="preserve">SP, ústredie, ul. 29. augusta 8 </w:t>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t xml:space="preserve">  12 780,00 EUR </w:t>
      </w:r>
    </w:p>
    <w:p w:rsidR="00385B00" w:rsidRPr="0046266F" w:rsidRDefault="00385B00" w:rsidP="00385B00">
      <w:pPr>
        <w:ind w:left="426"/>
        <w:rPr>
          <w:rFonts w:ascii="Times New Roman" w:hAnsi="Times New Roman"/>
          <w:sz w:val="24"/>
          <w:szCs w:val="24"/>
        </w:rPr>
      </w:pPr>
    </w:p>
    <w:p w:rsidR="00385B00" w:rsidRPr="0055683F" w:rsidRDefault="00385B00" w:rsidP="00385B00">
      <w:pPr>
        <w:pStyle w:val="Odsekzoznamu"/>
        <w:widowControl/>
        <w:numPr>
          <w:ilvl w:val="0"/>
          <w:numId w:val="50"/>
        </w:numPr>
        <w:autoSpaceDE/>
        <w:autoSpaceDN/>
        <w:adjustRightInd/>
        <w:rPr>
          <w:rFonts w:ascii="Times New Roman" w:hAnsi="Times New Roman"/>
          <w:sz w:val="24"/>
        </w:rPr>
      </w:pPr>
      <w:r w:rsidRPr="0055683F">
        <w:rPr>
          <w:rFonts w:ascii="Times New Roman" w:hAnsi="Times New Roman"/>
          <w:sz w:val="24"/>
        </w:rPr>
        <w:t xml:space="preserve">navýšenie hodnoty – </w:t>
      </w:r>
      <w:r w:rsidRPr="0046266F">
        <w:rPr>
          <w:rFonts w:ascii="Times New Roman" w:hAnsi="Times New Roman"/>
          <w:sz w:val="24"/>
          <w:szCs w:val="24"/>
        </w:rPr>
        <w:t>oprava kamerového systému, havarijný</w:t>
      </w:r>
      <w:r w:rsidRPr="0055683F">
        <w:rPr>
          <w:rFonts w:ascii="Times New Roman" w:hAnsi="Times New Roman"/>
          <w:sz w:val="24"/>
        </w:rPr>
        <w:t xml:space="preserve"> </w:t>
      </w:r>
    </w:p>
    <w:p w:rsidR="00385B00" w:rsidRPr="0046266F" w:rsidRDefault="00385B00" w:rsidP="00385B00">
      <w:pPr>
        <w:pStyle w:val="Odsekzoznamu"/>
        <w:rPr>
          <w:rFonts w:ascii="Times New Roman" w:hAnsi="Times New Roman"/>
          <w:sz w:val="24"/>
          <w:szCs w:val="24"/>
        </w:rPr>
      </w:pPr>
      <w:r w:rsidRPr="0046266F">
        <w:rPr>
          <w:rFonts w:ascii="Times New Roman" w:hAnsi="Times New Roman"/>
          <w:sz w:val="24"/>
          <w:szCs w:val="24"/>
        </w:rPr>
        <w:t>stav EPS, SP, ústredie, ul. 29. augusta 8</w:t>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t xml:space="preserve">  </w:t>
      </w:r>
      <w:r w:rsidRPr="0046266F">
        <w:rPr>
          <w:rFonts w:ascii="Times New Roman" w:hAnsi="Times New Roman"/>
          <w:sz w:val="24"/>
          <w:szCs w:val="24"/>
        </w:rPr>
        <w:tab/>
      </w:r>
      <w:r w:rsidRPr="0046266F">
        <w:rPr>
          <w:rFonts w:ascii="Times New Roman" w:hAnsi="Times New Roman"/>
          <w:sz w:val="24"/>
          <w:szCs w:val="24"/>
        </w:rPr>
        <w:tab/>
      </w:r>
      <w:r>
        <w:rPr>
          <w:rFonts w:ascii="Times New Roman" w:hAnsi="Times New Roman"/>
          <w:sz w:val="24"/>
          <w:szCs w:val="24"/>
        </w:rPr>
        <w:t xml:space="preserve"> </w:t>
      </w:r>
      <w:r w:rsidRPr="0046266F">
        <w:rPr>
          <w:rFonts w:ascii="Times New Roman" w:hAnsi="Times New Roman"/>
          <w:sz w:val="24"/>
          <w:szCs w:val="24"/>
        </w:rPr>
        <w:t xml:space="preserve">   3 715,70 EUR </w:t>
      </w:r>
    </w:p>
    <w:p w:rsidR="00385B00" w:rsidRPr="0046266F" w:rsidRDefault="00385B00" w:rsidP="00385B00">
      <w:pPr>
        <w:rPr>
          <w:rFonts w:ascii="Times New Roman" w:hAnsi="Times New Roman"/>
          <w:sz w:val="24"/>
          <w:szCs w:val="24"/>
        </w:rPr>
      </w:pPr>
    </w:p>
    <w:p w:rsidR="00385B00" w:rsidRPr="0055683F" w:rsidRDefault="00385B00" w:rsidP="00385B00">
      <w:pPr>
        <w:pStyle w:val="Odsekzoznamu"/>
        <w:widowControl/>
        <w:numPr>
          <w:ilvl w:val="0"/>
          <w:numId w:val="50"/>
        </w:numPr>
        <w:autoSpaceDE/>
        <w:autoSpaceDN/>
        <w:adjustRightInd/>
        <w:rPr>
          <w:rFonts w:ascii="Times New Roman" w:hAnsi="Times New Roman"/>
          <w:sz w:val="24"/>
        </w:rPr>
      </w:pPr>
      <w:r w:rsidRPr="0046266F">
        <w:rPr>
          <w:rFonts w:ascii="Times New Roman" w:hAnsi="Times New Roman"/>
          <w:sz w:val="24"/>
          <w:szCs w:val="24"/>
        </w:rPr>
        <w:t>rozšírenie technického a </w:t>
      </w:r>
      <w:r w:rsidRPr="0055683F">
        <w:rPr>
          <w:rFonts w:ascii="Times New Roman" w:hAnsi="Times New Roman"/>
          <w:sz w:val="24"/>
        </w:rPr>
        <w:t xml:space="preserve">licenčného </w:t>
      </w:r>
      <w:r w:rsidRPr="0046266F">
        <w:rPr>
          <w:rFonts w:ascii="Times New Roman" w:hAnsi="Times New Roman"/>
          <w:sz w:val="24"/>
          <w:szCs w:val="24"/>
        </w:rPr>
        <w:t xml:space="preserve">vybavenia existujúceho </w:t>
      </w:r>
    </w:p>
    <w:p w:rsidR="00385B00" w:rsidRPr="0046266F" w:rsidRDefault="00385B00" w:rsidP="00385B00">
      <w:pPr>
        <w:pStyle w:val="Odsekzoznamu"/>
        <w:rPr>
          <w:rFonts w:ascii="Times New Roman" w:hAnsi="Times New Roman"/>
          <w:sz w:val="24"/>
          <w:szCs w:val="24"/>
        </w:rPr>
      </w:pPr>
      <w:proofErr w:type="spellStart"/>
      <w:r w:rsidRPr="0046266F">
        <w:rPr>
          <w:rFonts w:ascii="Times New Roman" w:hAnsi="Times New Roman"/>
          <w:sz w:val="24"/>
          <w:szCs w:val="24"/>
        </w:rPr>
        <w:t>centr.dát.úložiska</w:t>
      </w:r>
      <w:proofErr w:type="spellEnd"/>
      <w:r w:rsidRPr="0046266F">
        <w:rPr>
          <w:rFonts w:ascii="Times New Roman" w:hAnsi="Times New Roman"/>
          <w:sz w:val="24"/>
          <w:szCs w:val="24"/>
        </w:rPr>
        <w:t xml:space="preserve">, dodávka a inštalácia technického vybavenia </w:t>
      </w:r>
    </w:p>
    <w:p w:rsidR="00385B00" w:rsidRPr="0055683F" w:rsidRDefault="00385B00" w:rsidP="00385B00">
      <w:pPr>
        <w:pStyle w:val="Odsekzoznamu"/>
        <w:rPr>
          <w:rFonts w:ascii="Times New Roman" w:hAnsi="Times New Roman"/>
          <w:sz w:val="24"/>
        </w:rPr>
      </w:pPr>
      <w:r w:rsidRPr="0046266F">
        <w:rPr>
          <w:rFonts w:ascii="Times New Roman" w:hAnsi="Times New Roman"/>
          <w:sz w:val="24"/>
          <w:szCs w:val="24"/>
        </w:rPr>
        <w:t xml:space="preserve">(diskové pole), </w:t>
      </w:r>
      <w:r w:rsidRPr="0055683F">
        <w:rPr>
          <w:rFonts w:ascii="Times New Roman" w:hAnsi="Times New Roman"/>
          <w:sz w:val="24"/>
        </w:rPr>
        <w:t xml:space="preserve">technická podpora </w:t>
      </w:r>
      <w:r w:rsidRPr="0046266F">
        <w:rPr>
          <w:rFonts w:ascii="Times New Roman" w:hAnsi="Times New Roman"/>
          <w:sz w:val="24"/>
          <w:szCs w:val="24"/>
        </w:rPr>
        <w:t>SP, ústredie</w:t>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t xml:space="preserve">        </w:t>
      </w:r>
      <w:r>
        <w:rPr>
          <w:rFonts w:ascii="Times New Roman" w:hAnsi="Times New Roman"/>
          <w:sz w:val="24"/>
          <w:szCs w:val="24"/>
        </w:rPr>
        <w:t xml:space="preserve">  </w:t>
      </w:r>
      <w:r w:rsidRPr="0046266F">
        <w:rPr>
          <w:rFonts w:ascii="Times New Roman" w:hAnsi="Times New Roman"/>
          <w:sz w:val="24"/>
          <w:szCs w:val="24"/>
        </w:rPr>
        <w:t xml:space="preserve">1 274 400,34 EUR </w:t>
      </w:r>
    </w:p>
    <w:p w:rsidR="00385B00" w:rsidRPr="0046266F" w:rsidRDefault="00385B00" w:rsidP="00385B00">
      <w:pPr>
        <w:ind w:left="426"/>
        <w:rPr>
          <w:rFonts w:ascii="Times New Roman" w:hAnsi="Times New Roman"/>
          <w:sz w:val="24"/>
          <w:szCs w:val="24"/>
        </w:rPr>
      </w:pPr>
    </w:p>
    <w:p w:rsidR="00385B00" w:rsidRPr="0046266F" w:rsidRDefault="00385B00" w:rsidP="00385B00">
      <w:pPr>
        <w:pStyle w:val="Odsekzoznamu"/>
        <w:widowControl/>
        <w:numPr>
          <w:ilvl w:val="0"/>
          <w:numId w:val="50"/>
        </w:numPr>
        <w:autoSpaceDE/>
        <w:autoSpaceDN/>
        <w:adjustRightInd/>
        <w:rPr>
          <w:rFonts w:ascii="Times New Roman" w:hAnsi="Times New Roman"/>
          <w:sz w:val="24"/>
          <w:szCs w:val="24"/>
        </w:rPr>
      </w:pPr>
      <w:r w:rsidRPr="0046266F">
        <w:rPr>
          <w:rFonts w:ascii="Times New Roman" w:hAnsi="Times New Roman"/>
          <w:sz w:val="24"/>
          <w:szCs w:val="24"/>
        </w:rPr>
        <w:t>virtuálny páskový server – dodávka HW a súvisiaceho SW Fujitsu,</w:t>
      </w:r>
    </w:p>
    <w:p w:rsidR="00385B00" w:rsidRPr="0046266F" w:rsidRDefault="00385B00" w:rsidP="00385B00">
      <w:pPr>
        <w:pStyle w:val="Odsekzoznamu"/>
        <w:rPr>
          <w:rFonts w:ascii="Times New Roman" w:hAnsi="Times New Roman"/>
          <w:sz w:val="24"/>
          <w:szCs w:val="24"/>
        </w:rPr>
      </w:pPr>
      <w:r w:rsidRPr="0046266F">
        <w:rPr>
          <w:rFonts w:ascii="Times New Roman" w:hAnsi="Times New Roman"/>
          <w:sz w:val="24"/>
          <w:szCs w:val="24"/>
        </w:rPr>
        <w:t>SP, ústredie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t xml:space="preserve">          </w:t>
      </w:r>
      <w:r w:rsidRPr="0046266F">
        <w:rPr>
          <w:rFonts w:ascii="Times New Roman" w:hAnsi="Times New Roman"/>
          <w:sz w:val="24"/>
          <w:szCs w:val="24"/>
        </w:rPr>
        <w:tab/>
      </w:r>
      <w:r>
        <w:rPr>
          <w:rFonts w:ascii="Times New Roman" w:hAnsi="Times New Roman"/>
          <w:sz w:val="24"/>
          <w:szCs w:val="24"/>
        </w:rPr>
        <w:t xml:space="preserve">     </w:t>
      </w:r>
      <w:r w:rsidRPr="0046266F">
        <w:rPr>
          <w:rFonts w:ascii="Times New Roman" w:hAnsi="Times New Roman"/>
          <w:sz w:val="24"/>
          <w:szCs w:val="24"/>
        </w:rPr>
        <w:t xml:space="preserve"> 161 750,00 EUR </w:t>
      </w:r>
    </w:p>
    <w:p w:rsidR="00385B00" w:rsidRPr="0046266F" w:rsidRDefault="00385B00" w:rsidP="00385B00">
      <w:pPr>
        <w:pStyle w:val="Odsekzoznamu"/>
        <w:rPr>
          <w:rFonts w:ascii="Times New Roman" w:hAnsi="Times New Roman"/>
          <w:sz w:val="24"/>
          <w:szCs w:val="24"/>
        </w:rPr>
      </w:pPr>
    </w:p>
    <w:p w:rsidR="00385B00" w:rsidRPr="0046266F" w:rsidRDefault="00385B00" w:rsidP="00385B00">
      <w:pPr>
        <w:pStyle w:val="Odsekzoznamu"/>
        <w:widowControl/>
        <w:numPr>
          <w:ilvl w:val="0"/>
          <w:numId w:val="50"/>
        </w:numPr>
        <w:autoSpaceDE/>
        <w:autoSpaceDN/>
        <w:adjustRightInd/>
        <w:rPr>
          <w:rFonts w:ascii="Times New Roman" w:hAnsi="Times New Roman"/>
          <w:sz w:val="24"/>
          <w:szCs w:val="24"/>
        </w:rPr>
      </w:pPr>
      <w:r w:rsidRPr="0046266F">
        <w:rPr>
          <w:rFonts w:ascii="Times New Roman" w:hAnsi="Times New Roman"/>
          <w:sz w:val="24"/>
          <w:szCs w:val="24"/>
        </w:rPr>
        <w:t xml:space="preserve">zaradenie DLHM – PC HP </w:t>
      </w:r>
      <w:proofErr w:type="spellStart"/>
      <w:r w:rsidRPr="0046266F">
        <w:rPr>
          <w:rFonts w:ascii="Times New Roman" w:hAnsi="Times New Roman"/>
          <w:sz w:val="24"/>
          <w:szCs w:val="24"/>
        </w:rPr>
        <w:t>EliteDesk</w:t>
      </w:r>
      <w:proofErr w:type="spellEnd"/>
      <w:r w:rsidRPr="0046266F">
        <w:rPr>
          <w:rFonts w:ascii="Times New Roman" w:hAnsi="Times New Roman"/>
          <w:sz w:val="24"/>
          <w:szCs w:val="24"/>
        </w:rPr>
        <w:t xml:space="preserve"> 705 G3SF 100 ks,</w:t>
      </w:r>
    </w:p>
    <w:p w:rsidR="00385B00" w:rsidRPr="0046266F" w:rsidRDefault="00385B00" w:rsidP="00385B00">
      <w:pPr>
        <w:pStyle w:val="Odsekzoznamu"/>
        <w:rPr>
          <w:rFonts w:ascii="Times New Roman" w:hAnsi="Times New Roman"/>
          <w:sz w:val="24"/>
          <w:szCs w:val="24"/>
        </w:rPr>
      </w:pPr>
      <w:r w:rsidRPr="0046266F">
        <w:rPr>
          <w:rFonts w:ascii="Times New Roman" w:hAnsi="Times New Roman"/>
          <w:sz w:val="24"/>
          <w:szCs w:val="24"/>
        </w:rPr>
        <w:t>SP, ústredie,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t xml:space="preserve"> 102 780,00 EUR</w:t>
      </w:r>
    </w:p>
    <w:p w:rsidR="00385B00" w:rsidRPr="0046266F" w:rsidRDefault="00385B00" w:rsidP="00385B00">
      <w:pPr>
        <w:ind w:left="426"/>
        <w:rPr>
          <w:rFonts w:ascii="Times New Roman" w:hAnsi="Times New Roman"/>
          <w:sz w:val="24"/>
          <w:szCs w:val="24"/>
        </w:rPr>
      </w:pPr>
    </w:p>
    <w:p w:rsidR="00385B00" w:rsidRPr="0055683F" w:rsidRDefault="00385B00" w:rsidP="00385B00">
      <w:pPr>
        <w:pStyle w:val="Odsekzoznamu"/>
        <w:widowControl/>
        <w:numPr>
          <w:ilvl w:val="0"/>
          <w:numId w:val="50"/>
        </w:numPr>
        <w:autoSpaceDE/>
        <w:autoSpaceDN/>
        <w:adjustRightInd/>
        <w:rPr>
          <w:rFonts w:ascii="Times New Roman" w:hAnsi="Times New Roman"/>
          <w:sz w:val="24"/>
        </w:rPr>
      </w:pPr>
      <w:r w:rsidRPr="0055683F">
        <w:rPr>
          <w:rFonts w:ascii="Times New Roman" w:hAnsi="Times New Roman"/>
          <w:sz w:val="24"/>
        </w:rPr>
        <w:t xml:space="preserve">zaradenie </w:t>
      </w:r>
      <w:r w:rsidRPr="0046266F">
        <w:rPr>
          <w:rFonts w:ascii="Times New Roman" w:hAnsi="Times New Roman"/>
          <w:sz w:val="24"/>
          <w:szCs w:val="24"/>
        </w:rPr>
        <w:t xml:space="preserve">DLHM – tlačiarne PR1 OKI B432dn (165 ks), </w:t>
      </w:r>
    </w:p>
    <w:p w:rsidR="00385B00" w:rsidRPr="0046266F" w:rsidRDefault="00385B00" w:rsidP="00385B00">
      <w:pPr>
        <w:pStyle w:val="Odsekzoznamu"/>
        <w:rPr>
          <w:rFonts w:ascii="Times New Roman" w:hAnsi="Times New Roman"/>
          <w:sz w:val="24"/>
          <w:szCs w:val="24"/>
        </w:rPr>
      </w:pPr>
      <w:r w:rsidRPr="0046266F">
        <w:rPr>
          <w:rFonts w:ascii="Times New Roman" w:hAnsi="Times New Roman"/>
          <w:sz w:val="24"/>
          <w:szCs w:val="24"/>
        </w:rPr>
        <w:t xml:space="preserve">MFPR1 OKI MB492dn (2 ks), MFPR2 OKI MC573dn (16 ks), </w:t>
      </w:r>
    </w:p>
    <w:p w:rsidR="00385B00" w:rsidRPr="0046266F" w:rsidRDefault="00385B00" w:rsidP="00385B00">
      <w:pPr>
        <w:pStyle w:val="Odsekzoznamu"/>
        <w:rPr>
          <w:rFonts w:ascii="Times New Roman" w:hAnsi="Times New Roman"/>
          <w:sz w:val="24"/>
          <w:szCs w:val="24"/>
        </w:rPr>
      </w:pPr>
      <w:r w:rsidRPr="0046266F">
        <w:rPr>
          <w:rFonts w:ascii="Times New Roman" w:hAnsi="Times New Roman"/>
          <w:sz w:val="24"/>
          <w:szCs w:val="24"/>
        </w:rPr>
        <w:t xml:space="preserve">MFPR3 OKI ES9466 (6 ks), AT1 HP </w:t>
      </w:r>
      <w:proofErr w:type="spellStart"/>
      <w:r w:rsidRPr="0046266F">
        <w:rPr>
          <w:rFonts w:ascii="Times New Roman" w:hAnsi="Times New Roman"/>
          <w:sz w:val="24"/>
          <w:szCs w:val="24"/>
        </w:rPr>
        <w:t>PageWide</w:t>
      </w:r>
      <w:proofErr w:type="spellEnd"/>
      <w:r w:rsidRPr="0046266F">
        <w:rPr>
          <w:rFonts w:ascii="Times New Roman" w:hAnsi="Times New Roman"/>
          <w:sz w:val="24"/>
          <w:szCs w:val="24"/>
        </w:rPr>
        <w:t xml:space="preserve"> Pro772dn (16 ks),</w:t>
      </w:r>
    </w:p>
    <w:p w:rsidR="00385B00" w:rsidRPr="0046266F" w:rsidRDefault="00385B00" w:rsidP="00385B00">
      <w:pPr>
        <w:pStyle w:val="Odsekzoznamu"/>
        <w:rPr>
          <w:rFonts w:ascii="Times New Roman" w:hAnsi="Times New Roman"/>
          <w:sz w:val="24"/>
          <w:szCs w:val="24"/>
        </w:rPr>
      </w:pPr>
      <w:r w:rsidRPr="0046266F">
        <w:rPr>
          <w:rFonts w:ascii="Times New Roman" w:hAnsi="Times New Roman"/>
          <w:sz w:val="24"/>
          <w:szCs w:val="24"/>
        </w:rPr>
        <w:t>SP, ústredie</w:t>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t xml:space="preserve"> 162 716,00 EUR </w:t>
      </w:r>
    </w:p>
    <w:p w:rsidR="00385B00" w:rsidRPr="0046266F" w:rsidRDefault="00385B00" w:rsidP="00385B00">
      <w:pPr>
        <w:ind w:left="426"/>
        <w:rPr>
          <w:rFonts w:ascii="Times New Roman" w:hAnsi="Times New Roman"/>
          <w:sz w:val="24"/>
          <w:szCs w:val="24"/>
        </w:rPr>
      </w:pPr>
    </w:p>
    <w:p w:rsidR="00385B00" w:rsidRPr="0046266F" w:rsidRDefault="00385B00" w:rsidP="00385B00">
      <w:pPr>
        <w:pStyle w:val="Odsekzoznamu"/>
        <w:widowControl/>
        <w:numPr>
          <w:ilvl w:val="0"/>
          <w:numId w:val="50"/>
        </w:numPr>
        <w:autoSpaceDE/>
        <w:autoSpaceDN/>
        <w:adjustRightInd/>
        <w:rPr>
          <w:rFonts w:ascii="Times New Roman" w:hAnsi="Times New Roman"/>
          <w:sz w:val="24"/>
          <w:szCs w:val="24"/>
        </w:rPr>
      </w:pPr>
      <w:r w:rsidRPr="0046266F">
        <w:rPr>
          <w:rFonts w:ascii="Times New Roman" w:hAnsi="Times New Roman"/>
          <w:sz w:val="24"/>
          <w:szCs w:val="24"/>
        </w:rPr>
        <w:t>zaradenie DLHM – dopravné značenie, SP, ústredie Nevädzová</w:t>
      </w:r>
      <w:r w:rsidRPr="0046266F">
        <w:rPr>
          <w:rFonts w:ascii="Times New Roman" w:hAnsi="Times New Roman"/>
          <w:sz w:val="24"/>
          <w:szCs w:val="24"/>
        </w:rPr>
        <w:tab/>
        <w:t xml:space="preserve">       </w:t>
      </w:r>
      <w:r w:rsidRPr="0046266F">
        <w:rPr>
          <w:rFonts w:ascii="Times New Roman" w:hAnsi="Times New Roman"/>
          <w:sz w:val="24"/>
          <w:szCs w:val="24"/>
        </w:rPr>
        <w:tab/>
        <w:t xml:space="preserve">324,00 EUR </w:t>
      </w:r>
    </w:p>
    <w:p w:rsidR="00385B00" w:rsidRPr="0046266F" w:rsidRDefault="00385B00" w:rsidP="00385B00">
      <w:pPr>
        <w:rPr>
          <w:rFonts w:ascii="Times New Roman" w:hAnsi="Times New Roman"/>
          <w:sz w:val="24"/>
          <w:szCs w:val="24"/>
        </w:rPr>
      </w:pPr>
    </w:p>
    <w:p w:rsidR="00385B00" w:rsidRPr="0046266F" w:rsidRDefault="00385B00" w:rsidP="00385B00">
      <w:pPr>
        <w:pStyle w:val="Odsekzoznamu"/>
        <w:widowControl/>
        <w:numPr>
          <w:ilvl w:val="0"/>
          <w:numId w:val="50"/>
        </w:numPr>
        <w:autoSpaceDE/>
        <w:autoSpaceDN/>
        <w:adjustRightInd/>
        <w:rPr>
          <w:rFonts w:ascii="Times New Roman" w:hAnsi="Times New Roman"/>
          <w:sz w:val="24"/>
          <w:szCs w:val="24"/>
        </w:rPr>
      </w:pPr>
      <w:r w:rsidRPr="0046266F">
        <w:rPr>
          <w:rFonts w:ascii="Times New Roman" w:hAnsi="Times New Roman"/>
          <w:sz w:val="24"/>
          <w:szCs w:val="24"/>
        </w:rPr>
        <w:t xml:space="preserve">zaradenie DLHM – technická podpora softvérového vybavenia, </w:t>
      </w:r>
    </w:p>
    <w:p w:rsidR="00385B00" w:rsidRPr="0046266F" w:rsidRDefault="00385B00" w:rsidP="00385B00">
      <w:pPr>
        <w:pStyle w:val="Odsekzoznamu"/>
        <w:rPr>
          <w:rFonts w:ascii="Times New Roman" w:hAnsi="Times New Roman"/>
          <w:sz w:val="24"/>
          <w:szCs w:val="24"/>
        </w:rPr>
      </w:pPr>
      <w:r w:rsidRPr="0046266F">
        <w:rPr>
          <w:rFonts w:ascii="Times New Roman" w:hAnsi="Times New Roman"/>
          <w:sz w:val="24"/>
          <w:szCs w:val="24"/>
        </w:rPr>
        <w:t xml:space="preserve">HPE XP7 </w:t>
      </w:r>
      <w:proofErr w:type="spellStart"/>
      <w:r w:rsidRPr="0046266F">
        <w:rPr>
          <w:rFonts w:ascii="Times New Roman" w:hAnsi="Times New Roman"/>
          <w:sz w:val="24"/>
          <w:szCs w:val="24"/>
        </w:rPr>
        <w:t>Storage</w:t>
      </w:r>
      <w:proofErr w:type="spellEnd"/>
      <w:r w:rsidRPr="0046266F">
        <w:rPr>
          <w:rFonts w:ascii="Times New Roman" w:hAnsi="Times New Roman"/>
          <w:sz w:val="24"/>
          <w:szCs w:val="24"/>
        </w:rPr>
        <w:t xml:space="preserve"> </w:t>
      </w:r>
      <w:proofErr w:type="spellStart"/>
      <w:r w:rsidRPr="0046266F">
        <w:rPr>
          <w:rFonts w:ascii="Times New Roman" w:hAnsi="Times New Roman"/>
          <w:sz w:val="24"/>
          <w:szCs w:val="24"/>
        </w:rPr>
        <w:t>System</w:t>
      </w:r>
      <w:proofErr w:type="spellEnd"/>
      <w:r w:rsidRPr="0046266F">
        <w:rPr>
          <w:rFonts w:ascii="Times New Roman" w:hAnsi="Times New Roman"/>
          <w:sz w:val="24"/>
          <w:szCs w:val="24"/>
        </w:rPr>
        <w:t>, SP, ústredie, ul. 29. augusta 8</w:t>
      </w:r>
      <w:r w:rsidRPr="0046266F">
        <w:rPr>
          <w:rFonts w:ascii="Times New Roman" w:hAnsi="Times New Roman"/>
          <w:sz w:val="24"/>
          <w:szCs w:val="24"/>
        </w:rPr>
        <w:tab/>
      </w:r>
      <w:r w:rsidRPr="0046266F">
        <w:rPr>
          <w:rFonts w:ascii="Times New Roman" w:hAnsi="Times New Roman"/>
          <w:sz w:val="24"/>
          <w:szCs w:val="24"/>
        </w:rPr>
        <w:tab/>
        <w:t xml:space="preserve">  </w:t>
      </w:r>
      <w:r w:rsidRPr="0046266F">
        <w:rPr>
          <w:rFonts w:ascii="Times New Roman" w:hAnsi="Times New Roman"/>
          <w:sz w:val="24"/>
          <w:szCs w:val="24"/>
        </w:rPr>
        <w:tab/>
        <w:t xml:space="preserve">  11 666,67 EUR </w:t>
      </w:r>
    </w:p>
    <w:p w:rsidR="00385B00" w:rsidRPr="0046266F" w:rsidRDefault="00385B00" w:rsidP="00385B00">
      <w:pPr>
        <w:ind w:left="426"/>
        <w:rPr>
          <w:rFonts w:ascii="Times New Roman" w:hAnsi="Times New Roman"/>
          <w:sz w:val="24"/>
          <w:szCs w:val="24"/>
        </w:rPr>
      </w:pPr>
    </w:p>
    <w:p w:rsidR="00385B00" w:rsidRPr="0055683F" w:rsidRDefault="00385B00" w:rsidP="00385B00">
      <w:pPr>
        <w:pStyle w:val="Odsekzoznamu"/>
        <w:widowControl/>
        <w:numPr>
          <w:ilvl w:val="0"/>
          <w:numId w:val="50"/>
        </w:numPr>
        <w:autoSpaceDE/>
        <w:autoSpaceDN/>
        <w:adjustRightInd/>
        <w:rPr>
          <w:rFonts w:ascii="Times New Roman" w:hAnsi="Times New Roman"/>
          <w:sz w:val="24"/>
        </w:rPr>
      </w:pPr>
      <w:r w:rsidRPr="0055683F">
        <w:rPr>
          <w:rFonts w:ascii="Times New Roman" w:hAnsi="Times New Roman"/>
          <w:sz w:val="24"/>
        </w:rPr>
        <w:t xml:space="preserve">navýšenie hodnoty </w:t>
      </w:r>
      <w:r w:rsidRPr="0046266F">
        <w:rPr>
          <w:rFonts w:ascii="Times New Roman" w:hAnsi="Times New Roman"/>
          <w:sz w:val="24"/>
          <w:szCs w:val="24"/>
        </w:rPr>
        <w:t>monitoringu – rozšírenie funkcionality systému</w:t>
      </w:r>
      <w:r w:rsidRPr="0055683F">
        <w:rPr>
          <w:rFonts w:ascii="Times New Roman" w:hAnsi="Times New Roman"/>
          <w:sz w:val="24"/>
        </w:rPr>
        <w:t xml:space="preserve"> </w:t>
      </w:r>
    </w:p>
    <w:p w:rsidR="00385B00" w:rsidRPr="0046266F" w:rsidRDefault="00385B00" w:rsidP="00385B00">
      <w:pPr>
        <w:pStyle w:val="Odsekzoznamu"/>
        <w:rPr>
          <w:rFonts w:ascii="Times New Roman" w:hAnsi="Times New Roman"/>
          <w:sz w:val="24"/>
          <w:szCs w:val="24"/>
        </w:rPr>
      </w:pPr>
      <w:r w:rsidRPr="0046266F">
        <w:rPr>
          <w:rFonts w:ascii="Times New Roman" w:hAnsi="Times New Roman"/>
          <w:sz w:val="24"/>
          <w:szCs w:val="24"/>
        </w:rPr>
        <w:t xml:space="preserve">na úroveň </w:t>
      </w:r>
      <w:proofErr w:type="spellStart"/>
      <w:r w:rsidRPr="0046266F">
        <w:rPr>
          <w:rFonts w:ascii="Times New Roman" w:hAnsi="Times New Roman"/>
          <w:sz w:val="24"/>
          <w:szCs w:val="24"/>
        </w:rPr>
        <w:t>Flowmon</w:t>
      </w:r>
      <w:proofErr w:type="spellEnd"/>
      <w:r w:rsidRPr="0046266F">
        <w:rPr>
          <w:rFonts w:ascii="Times New Roman" w:hAnsi="Times New Roman"/>
          <w:sz w:val="24"/>
          <w:szCs w:val="24"/>
        </w:rPr>
        <w:t xml:space="preserve"> ADS, SP, ústredie, ul. 29. augusta 8</w:t>
      </w:r>
      <w:r w:rsidRPr="0046266F">
        <w:rPr>
          <w:rFonts w:ascii="Times New Roman" w:hAnsi="Times New Roman"/>
          <w:sz w:val="24"/>
          <w:szCs w:val="24"/>
        </w:rPr>
        <w:tab/>
      </w:r>
      <w:r w:rsidRPr="0046266F">
        <w:rPr>
          <w:rFonts w:ascii="Times New Roman" w:hAnsi="Times New Roman"/>
          <w:sz w:val="24"/>
          <w:szCs w:val="24"/>
        </w:rPr>
        <w:tab/>
        <w:t xml:space="preserve">  </w:t>
      </w:r>
      <w:r w:rsidRPr="0046266F">
        <w:rPr>
          <w:rFonts w:ascii="Times New Roman" w:hAnsi="Times New Roman"/>
          <w:sz w:val="24"/>
          <w:szCs w:val="24"/>
        </w:rPr>
        <w:tab/>
        <w:t xml:space="preserve">  41 545,31 EUR </w:t>
      </w:r>
    </w:p>
    <w:p w:rsidR="00385B00" w:rsidRPr="0046266F" w:rsidRDefault="00385B00" w:rsidP="00385B00">
      <w:pPr>
        <w:ind w:left="426"/>
        <w:rPr>
          <w:rFonts w:ascii="Times New Roman" w:hAnsi="Times New Roman"/>
          <w:sz w:val="24"/>
          <w:szCs w:val="24"/>
        </w:rPr>
      </w:pPr>
    </w:p>
    <w:p w:rsidR="00385B00" w:rsidRPr="0046266F" w:rsidRDefault="00385B00" w:rsidP="00385B00">
      <w:pPr>
        <w:pStyle w:val="Odsekzoznamu"/>
        <w:widowControl/>
        <w:numPr>
          <w:ilvl w:val="0"/>
          <w:numId w:val="50"/>
        </w:numPr>
        <w:autoSpaceDE/>
        <w:autoSpaceDN/>
        <w:adjustRightInd/>
        <w:rPr>
          <w:rFonts w:ascii="Times New Roman" w:hAnsi="Times New Roman"/>
          <w:sz w:val="24"/>
          <w:szCs w:val="24"/>
        </w:rPr>
      </w:pPr>
      <w:r w:rsidRPr="0046266F">
        <w:rPr>
          <w:rFonts w:ascii="Times New Roman" w:hAnsi="Times New Roman"/>
          <w:sz w:val="24"/>
          <w:szCs w:val="24"/>
        </w:rPr>
        <w:t xml:space="preserve">zaradenie DLHM – dodávka PC staníc HP </w:t>
      </w:r>
      <w:proofErr w:type="spellStart"/>
      <w:r w:rsidRPr="0046266F">
        <w:rPr>
          <w:rFonts w:ascii="Times New Roman" w:hAnsi="Times New Roman"/>
          <w:sz w:val="24"/>
          <w:szCs w:val="24"/>
        </w:rPr>
        <w:t>ElitDesk</w:t>
      </w:r>
      <w:proofErr w:type="spellEnd"/>
      <w:r w:rsidRPr="0046266F">
        <w:rPr>
          <w:rFonts w:ascii="Times New Roman" w:hAnsi="Times New Roman"/>
          <w:sz w:val="24"/>
          <w:szCs w:val="24"/>
        </w:rPr>
        <w:t xml:space="preserve"> 705 G3 SFF</w:t>
      </w:r>
    </w:p>
    <w:p w:rsidR="00385B00" w:rsidRPr="0046266F" w:rsidRDefault="00385B00" w:rsidP="00385B00">
      <w:pPr>
        <w:pStyle w:val="Odsekzoznamu"/>
        <w:rPr>
          <w:rFonts w:ascii="Times New Roman" w:hAnsi="Times New Roman"/>
          <w:sz w:val="24"/>
          <w:szCs w:val="24"/>
        </w:rPr>
      </w:pPr>
      <w:proofErr w:type="spellStart"/>
      <w:r w:rsidRPr="0046266F">
        <w:rPr>
          <w:rFonts w:ascii="Times New Roman" w:hAnsi="Times New Roman"/>
          <w:sz w:val="24"/>
          <w:szCs w:val="24"/>
        </w:rPr>
        <w:t>Busines</w:t>
      </w:r>
      <w:proofErr w:type="spellEnd"/>
      <w:r w:rsidRPr="0046266F">
        <w:rPr>
          <w:rFonts w:ascii="Times New Roman" w:hAnsi="Times New Roman"/>
          <w:sz w:val="24"/>
          <w:szCs w:val="24"/>
        </w:rPr>
        <w:t xml:space="preserve"> 16 ks, SP, ústredie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t xml:space="preserve">  </w:t>
      </w:r>
      <w:r w:rsidRPr="0046266F">
        <w:rPr>
          <w:rFonts w:ascii="Times New Roman" w:hAnsi="Times New Roman"/>
          <w:sz w:val="24"/>
          <w:szCs w:val="24"/>
        </w:rPr>
        <w:tab/>
      </w:r>
      <w:r w:rsidRPr="0046266F">
        <w:rPr>
          <w:rFonts w:ascii="Times New Roman" w:hAnsi="Times New Roman"/>
          <w:sz w:val="24"/>
          <w:szCs w:val="24"/>
        </w:rPr>
        <w:tab/>
        <w:t xml:space="preserve">  16 444,80 EUR </w:t>
      </w:r>
    </w:p>
    <w:p w:rsidR="00385B00" w:rsidRPr="0046266F" w:rsidRDefault="00385B00" w:rsidP="00385B00">
      <w:pPr>
        <w:ind w:left="426"/>
        <w:rPr>
          <w:rFonts w:ascii="Times New Roman" w:hAnsi="Times New Roman"/>
          <w:sz w:val="24"/>
          <w:szCs w:val="24"/>
        </w:rPr>
      </w:pPr>
    </w:p>
    <w:p w:rsidR="00385B00" w:rsidRPr="0046266F" w:rsidRDefault="00385B00" w:rsidP="00385B00">
      <w:pPr>
        <w:pStyle w:val="Odsekzoznamu"/>
        <w:widowControl/>
        <w:numPr>
          <w:ilvl w:val="0"/>
          <w:numId w:val="50"/>
        </w:numPr>
        <w:autoSpaceDE/>
        <w:autoSpaceDN/>
        <w:adjustRightInd/>
        <w:rPr>
          <w:rFonts w:ascii="Times New Roman" w:hAnsi="Times New Roman"/>
          <w:sz w:val="24"/>
          <w:szCs w:val="24"/>
        </w:rPr>
      </w:pPr>
      <w:r w:rsidRPr="0046266F">
        <w:rPr>
          <w:rFonts w:ascii="Times New Roman" w:hAnsi="Times New Roman"/>
          <w:sz w:val="24"/>
          <w:szCs w:val="24"/>
        </w:rPr>
        <w:t xml:space="preserve">zaradenie DLHM – centrálny zdroj napájania UPS </w:t>
      </w:r>
    </w:p>
    <w:p w:rsidR="00385B00" w:rsidRPr="0046266F" w:rsidRDefault="00385B00" w:rsidP="00385B00">
      <w:pPr>
        <w:pStyle w:val="Odsekzoznamu"/>
        <w:rPr>
          <w:rFonts w:ascii="Times New Roman" w:hAnsi="Times New Roman"/>
          <w:sz w:val="24"/>
          <w:szCs w:val="24"/>
        </w:rPr>
      </w:pPr>
      <w:r w:rsidRPr="0046266F">
        <w:rPr>
          <w:rFonts w:ascii="Times New Roman" w:hAnsi="Times New Roman"/>
          <w:sz w:val="24"/>
          <w:szCs w:val="24"/>
        </w:rPr>
        <w:t>Powerwat+33300RMX, SP, ústredie</w:t>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t xml:space="preserve">  </w:t>
      </w:r>
      <w:r w:rsidRPr="0046266F">
        <w:rPr>
          <w:rFonts w:ascii="Times New Roman" w:hAnsi="Times New Roman"/>
          <w:sz w:val="24"/>
          <w:szCs w:val="24"/>
        </w:rPr>
        <w:tab/>
      </w:r>
      <w:r w:rsidRPr="0046266F">
        <w:rPr>
          <w:rFonts w:ascii="Times New Roman" w:hAnsi="Times New Roman"/>
          <w:sz w:val="24"/>
          <w:szCs w:val="24"/>
        </w:rPr>
        <w:tab/>
        <w:t xml:space="preserve">  68 480,00 EUR </w:t>
      </w:r>
    </w:p>
    <w:p w:rsidR="00385B00" w:rsidRPr="0046266F" w:rsidRDefault="00385B00" w:rsidP="00385B00">
      <w:pPr>
        <w:ind w:left="426"/>
        <w:rPr>
          <w:rFonts w:ascii="Times New Roman" w:hAnsi="Times New Roman"/>
          <w:sz w:val="24"/>
          <w:szCs w:val="24"/>
        </w:rPr>
      </w:pPr>
    </w:p>
    <w:p w:rsidR="00385B00" w:rsidRPr="0055683F" w:rsidRDefault="00385B00" w:rsidP="00385B00">
      <w:pPr>
        <w:pStyle w:val="Odsekzoznamu"/>
        <w:widowControl/>
        <w:numPr>
          <w:ilvl w:val="0"/>
          <w:numId w:val="50"/>
        </w:numPr>
        <w:autoSpaceDE/>
        <w:autoSpaceDN/>
        <w:adjustRightInd/>
        <w:rPr>
          <w:rFonts w:ascii="Times New Roman" w:hAnsi="Times New Roman"/>
          <w:sz w:val="24"/>
        </w:rPr>
      </w:pPr>
      <w:r w:rsidRPr="0055683F">
        <w:rPr>
          <w:rFonts w:ascii="Times New Roman" w:hAnsi="Times New Roman"/>
          <w:sz w:val="24"/>
        </w:rPr>
        <w:t xml:space="preserve">navýšenie hodnoty </w:t>
      </w:r>
      <w:r w:rsidRPr="0046266F">
        <w:rPr>
          <w:rFonts w:ascii="Times New Roman" w:hAnsi="Times New Roman"/>
          <w:sz w:val="24"/>
          <w:szCs w:val="24"/>
        </w:rPr>
        <w:t>HPE XP7</w:t>
      </w:r>
      <w:r w:rsidRPr="0055683F">
        <w:rPr>
          <w:rFonts w:ascii="Times New Roman" w:hAnsi="Times New Roman"/>
          <w:sz w:val="24"/>
        </w:rPr>
        <w:t xml:space="preserve"> </w:t>
      </w:r>
      <w:proofErr w:type="spellStart"/>
      <w:r w:rsidRPr="0055683F">
        <w:rPr>
          <w:rFonts w:ascii="Times New Roman" w:hAnsi="Times New Roman"/>
          <w:sz w:val="24"/>
        </w:rPr>
        <w:t>Storage</w:t>
      </w:r>
      <w:proofErr w:type="spellEnd"/>
      <w:r w:rsidRPr="0046266F">
        <w:rPr>
          <w:rFonts w:ascii="Times New Roman" w:hAnsi="Times New Roman"/>
          <w:sz w:val="24"/>
          <w:szCs w:val="24"/>
        </w:rPr>
        <w:t xml:space="preserve"> </w:t>
      </w:r>
      <w:proofErr w:type="spellStart"/>
      <w:r w:rsidRPr="0046266F">
        <w:rPr>
          <w:rFonts w:ascii="Times New Roman" w:hAnsi="Times New Roman"/>
          <w:sz w:val="24"/>
          <w:szCs w:val="24"/>
        </w:rPr>
        <w:t>System</w:t>
      </w:r>
      <w:proofErr w:type="spellEnd"/>
      <w:r w:rsidRPr="0046266F">
        <w:rPr>
          <w:rFonts w:ascii="Times New Roman" w:hAnsi="Times New Roman"/>
          <w:sz w:val="24"/>
          <w:szCs w:val="24"/>
        </w:rPr>
        <w:t xml:space="preserve"> – technické a licenčné</w:t>
      </w:r>
    </w:p>
    <w:p w:rsidR="00385B00" w:rsidRPr="0046266F" w:rsidRDefault="00385B00" w:rsidP="00385B00">
      <w:pPr>
        <w:pStyle w:val="Odsekzoznamu"/>
        <w:rPr>
          <w:rFonts w:ascii="Times New Roman" w:hAnsi="Times New Roman"/>
          <w:sz w:val="24"/>
          <w:szCs w:val="24"/>
        </w:rPr>
      </w:pPr>
      <w:r w:rsidRPr="0046266F">
        <w:rPr>
          <w:rFonts w:ascii="Times New Roman" w:hAnsi="Times New Roman"/>
          <w:sz w:val="24"/>
          <w:szCs w:val="24"/>
        </w:rPr>
        <w:t>vybavenie</w:t>
      </w:r>
      <w:r>
        <w:rPr>
          <w:rFonts w:ascii="Times New Roman" w:hAnsi="Times New Roman"/>
          <w:sz w:val="24"/>
          <w:szCs w:val="24"/>
        </w:rPr>
        <w:t xml:space="preserve"> </w:t>
      </w:r>
      <w:r w:rsidRPr="0046266F">
        <w:rPr>
          <w:rFonts w:ascii="Times New Roman" w:hAnsi="Times New Roman"/>
          <w:sz w:val="24"/>
          <w:szCs w:val="24"/>
        </w:rPr>
        <w:t>-</w:t>
      </w:r>
      <w:r>
        <w:rPr>
          <w:rFonts w:ascii="Times New Roman" w:hAnsi="Times New Roman"/>
          <w:sz w:val="24"/>
          <w:szCs w:val="24"/>
        </w:rPr>
        <w:t xml:space="preserve"> </w:t>
      </w:r>
      <w:r w:rsidRPr="0046266F">
        <w:rPr>
          <w:rFonts w:ascii="Times New Roman" w:hAnsi="Times New Roman"/>
          <w:sz w:val="24"/>
          <w:szCs w:val="24"/>
        </w:rPr>
        <w:t>technická podpora, SP, ústredie</w:t>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t xml:space="preserve">  </w:t>
      </w:r>
      <w:r w:rsidRPr="0046266F">
        <w:rPr>
          <w:rFonts w:ascii="Times New Roman" w:hAnsi="Times New Roman"/>
          <w:sz w:val="24"/>
          <w:szCs w:val="24"/>
        </w:rPr>
        <w:tab/>
      </w:r>
      <w:r w:rsidRPr="0046266F">
        <w:rPr>
          <w:rFonts w:ascii="Times New Roman" w:hAnsi="Times New Roman"/>
          <w:sz w:val="24"/>
          <w:szCs w:val="24"/>
        </w:rPr>
        <w:tab/>
        <w:t xml:space="preserve">  11 666,67 EUR </w:t>
      </w:r>
    </w:p>
    <w:p w:rsidR="00385B00" w:rsidRPr="0046266F" w:rsidRDefault="00385B00" w:rsidP="00385B00">
      <w:pPr>
        <w:ind w:left="426"/>
        <w:rPr>
          <w:rFonts w:ascii="Times New Roman" w:hAnsi="Times New Roman"/>
          <w:sz w:val="24"/>
          <w:szCs w:val="24"/>
        </w:rPr>
      </w:pPr>
    </w:p>
    <w:p w:rsidR="00385B00" w:rsidRPr="0046266F" w:rsidRDefault="00385B00" w:rsidP="00385B00">
      <w:pPr>
        <w:pStyle w:val="Odsekzoznamu"/>
        <w:widowControl/>
        <w:numPr>
          <w:ilvl w:val="0"/>
          <w:numId w:val="50"/>
        </w:numPr>
        <w:autoSpaceDE/>
        <w:autoSpaceDN/>
        <w:adjustRightInd/>
        <w:rPr>
          <w:rFonts w:ascii="Times New Roman" w:hAnsi="Times New Roman"/>
          <w:sz w:val="24"/>
          <w:szCs w:val="24"/>
        </w:rPr>
      </w:pPr>
      <w:r w:rsidRPr="0046266F">
        <w:rPr>
          <w:rFonts w:ascii="Times New Roman" w:hAnsi="Times New Roman"/>
          <w:sz w:val="24"/>
          <w:szCs w:val="24"/>
        </w:rPr>
        <w:t xml:space="preserve">zaradenie DLHM – Server S1-Lenovo </w:t>
      </w:r>
      <w:proofErr w:type="spellStart"/>
      <w:r w:rsidRPr="0046266F">
        <w:rPr>
          <w:rFonts w:ascii="Times New Roman" w:hAnsi="Times New Roman"/>
          <w:sz w:val="24"/>
          <w:szCs w:val="24"/>
        </w:rPr>
        <w:t>ThinkaSystem</w:t>
      </w:r>
      <w:proofErr w:type="spellEnd"/>
      <w:r w:rsidRPr="0046266F">
        <w:rPr>
          <w:rFonts w:ascii="Times New Roman" w:hAnsi="Times New Roman"/>
          <w:sz w:val="24"/>
          <w:szCs w:val="24"/>
        </w:rPr>
        <w:t xml:space="preserve"> SR850 CTO-SP,</w:t>
      </w:r>
    </w:p>
    <w:p w:rsidR="00385B00" w:rsidRPr="0046266F" w:rsidRDefault="00385B00" w:rsidP="00385B00">
      <w:pPr>
        <w:pStyle w:val="Odsekzoznamu"/>
        <w:rPr>
          <w:rFonts w:ascii="Times New Roman" w:hAnsi="Times New Roman"/>
          <w:sz w:val="24"/>
          <w:szCs w:val="24"/>
        </w:rPr>
      </w:pPr>
      <w:r w:rsidRPr="0046266F">
        <w:rPr>
          <w:rFonts w:ascii="Times New Roman" w:hAnsi="Times New Roman"/>
          <w:sz w:val="24"/>
          <w:szCs w:val="24"/>
        </w:rPr>
        <w:t>SP, ústredie</w:t>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t xml:space="preserve"> 269 000,00 EUR </w:t>
      </w:r>
    </w:p>
    <w:p w:rsidR="00385B00" w:rsidRPr="0046266F" w:rsidRDefault="00385B00" w:rsidP="00385B00">
      <w:pPr>
        <w:ind w:left="426"/>
        <w:rPr>
          <w:rFonts w:ascii="Times New Roman" w:hAnsi="Times New Roman"/>
          <w:sz w:val="24"/>
          <w:szCs w:val="24"/>
        </w:rPr>
      </w:pPr>
    </w:p>
    <w:p w:rsidR="00385B00" w:rsidRPr="0055683F" w:rsidRDefault="00385B00" w:rsidP="00385B00">
      <w:pPr>
        <w:pStyle w:val="Odsekzoznamu"/>
        <w:widowControl/>
        <w:numPr>
          <w:ilvl w:val="0"/>
          <w:numId w:val="50"/>
        </w:numPr>
        <w:autoSpaceDE/>
        <w:autoSpaceDN/>
        <w:adjustRightInd/>
        <w:rPr>
          <w:rFonts w:ascii="Times New Roman" w:hAnsi="Times New Roman"/>
          <w:sz w:val="24"/>
        </w:rPr>
      </w:pPr>
      <w:r w:rsidRPr="0055683F">
        <w:rPr>
          <w:rFonts w:ascii="Times New Roman" w:hAnsi="Times New Roman"/>
          <w:sz w:val="24"/>
        </w:rPr>
        <w:t xml:space="preserve">dodávka a inštalácia </w:t>
      </w:r>
      <w:r w:rsidRPr="0046266F">
        <w:rPr>
          <w:rFonts w:ascii="Times New Roman" w:hAnsi="Times New Roman"/>
          <w:sz w:val="24"/>
          <w:szCs w:val="24"/>
        </w:rPr>
        <w:t>Server S-PB-HP</w:t>
      </w:r>
      <w:r w:rsidRPr="0055683F">
        <w:rPr>
          <w:rFonts w:ascii="Times New Roman" w:hAnsi="Times New Roman"/>
          <w:sz w:val="24"/>
        </w:rPr>
        <w:t xml:space="preserve"> </w:t>
      </w:r>
      <w:proofErr w:type="spellStart"/>
      <w:r w:rsidRPr="0055683F">
        <w:rPr>
          <w:rFonts w:ascii="Times New Roman" w:hAnsi="Times New Roman"/>
          <w:sz w:val="24"/>
        </w:rPr>
        <w:t>ProLiant</w:t>
      </w:r>
      <w:proofErr w:type="spellEnd"/>
      <w:r w:rsidRPr="0055683F">
        <w:rPr>
          <w:rFonts w:ascii="Times New Roman" w:hAnsi="Times New Roman"/>
          <w:sz w:val="24"/>
        </w:rPr>
        <w:t xml:space="preserve"> </w:t>
      </w:r>
      <w:r w:rsidRPr="0046266F">
        <w:rPr>
          <w:rFonts w:ascii="Times New Roman" w:hAnsi="Times New Roman"/>
          <w:sz w:val="24"/>
          <w:szCs w:val="24"/>
        </w:rPr>
        <w:t xml:space="preserve">DL580 Gen9 2 ks, </w:t>
      </w:r>
    </w:p>
    <w:p w:rsidR="00385B00" w:rsidRPr="0046266F" w:rsidRDefault="00385B00" w:rsidP="00385B00">
      <w:pPr>
        <w:pStyle w:val="Odsekzoznamu"/>
        <w:rPr>
          <w:rFonts w:ascii="Times New Roman" w:hAnsi="Times New Roman"/>
          <w:sz w:val="24"/>
          <w:szCs w:val="24"/>
        </w:rPr>
      </w:pPr>
      <w:r w:rsidRPr="0046266F">
        <w:rPr>
          <w:rFonts w:ascii="Times New Roman" w:hAnsi="Times New Roman"/>
          <w:sz w:val="24"/>
          <w:szCs w:val="24"/>
        </w:rPr>
        <w:t xml:space="preserve">Server S-RINA HP </w:t>
      </w:r>
      <w:proofErr w:type="spellStart"/>
      <w:r w:rsidRPr="0046266F">
        <w:rPr>
          <w:rFonts w:ascii="Times New Roman" w:hAnsi="Times New Roman"/>
          <w:sz w:val="24"/>
          <w:szCs w:val="24"/>
        </w:rPr>
        <w:t>ProLiant</w:t>
      </w:r>
      <w:proofErr w:type="spellEnd"/>
      <w:r w:rsidRPr="0046266F">
        <w:rPr>
          <w:rFonts w:ascii="Times New Roman" w:hAnsi="Times New Roman"/>
          <w:sz w:val="24"/>
          <w:szCs w:val="24"/>
        </w:rPr>
        <w:t xml:space="preserve"> DL 580 Gen9 2 ks, zabezpečenie prístupového</w:t>
      </w:r>
    </w:p>
    <w:p w:rsidR="00385B00" w:rsidRPr="0046266F" w:rsidRDefault="00385B00" w:rsidP="00385B00">
      <w:pPr>
        <w:pStyle w:val="Odsekzoznamu"/>
        <w:rPr>
          <w:rFonts w:ascii="Times New Roman" w:hAnsi="Times New Roman"/>
          <w:sz w:val="24"/>
          <w:szCs w:val="24"/>
        </w:rPr>
      </w:pPr>
      <w:r w:rsidRPr="0046266F">
        <w:rPr>
          <w:rFonts w:ascii="Times New Roman" w:hAnsi="Times New Roman"/>
          <w:sz w:val="24"/>
          <w:szCs w:val="24"/>
        </w:rPr>
        <w:t>bodu pre projekt EESSI, SP, ústredie</w:t>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r>
      <w:r w:rsidRPr="0046266F">
        <w:rPr>
          <w:rFonts w:ascii="Times New Roman" w:hAnsi="Times New Roman"/>
          <w:sz w:val="24"/>
          <w:szCs w:val="24"/>
        </w:rPr>
        <w:tab/>
        <w:t xml:space="preserve"> 252 585,00 EUR </w:t>
      </w:r>
    </w:p>
    <w:p w:rsidR="00385B00" w:rsidRPr="0046266F" w:rsidRDefault="00385B00" w:rsidP="00385B00">
      <w:pPr>
        <w:ind w:firstLine="426"/>
        <w:rPr>
          <w:rFonts w:ascii="Times New Roman" w:hAnsi="Times New Roman"/>
          <w:sz w:val="24"/>
          <w:szCs w:val="24"/>
        </w:rPr>
      </w:pPr>
    </w:p>
    <w:p w:rsidR="00385B00" w:rsidRPr="0046266F" w:rsidRDefault="00385B00" w:rsidP="00385B00">
      <w:pPr>
        <w:pStyle w:val="Odsekzoznamu"/>
        <w:widowControl/>
        <w:numPr>
          <w:ilvl w:val="0"/>
          <w:numId w:val="50"/>
        </w:numPr>
        <w:autoSpaceDE/>
        <w:autoSpaceDN/>
        <w:adjustRightInd/>
        <w:rPr>
          <w:rFonts w:ascii="Times New Roman" w:hAnsi="Times New Roman"/>
          <w:sz w:val="24"/>
          <w:szCs w:val="24"/>
        </w:rPr>
      </w:pPr>
      <w:r w:rsidRPr="0046266F">
        <w:rPr>
          <w:rFonts w:ascii="Times New Roman" w:hAnsi="Times New Roman"/>
          <w:sz w:val="24"/>
          <w:szCs w:val="24"/>
        </w:rPr>
        <w:t xml:space="preserve">dodávka a inštalácia Server S-PB-HP </w:t>
      </w:r>
      <w:proofErr w:type="spellStart"/>
      <w:r w:rsidRPr="0046266F">
        <w:rPr>
          <w:rFonts w:ascii="Times New Roman" w:hAnsi="Times New Roman"/>
          <w:sz w:val="24"/>
          <w:szCs w:val="24"/>
        </w:rPr>
        <w:t>ProLiant</w:t>
      </w:r>
      <w:proofErr w:type="spellEnd"/>
      <w:r w:rsidRPr="0046266F">
        <w:rPr>
          <w:rFonts w:ascii="Times New Roman" w:hAnsi="Times New Roman"/>
          <w:sz w:val="24"/>
          <w:szCs w:val="24"/>
        </w:rPr>
        <w:t xml:space="preserve"> DL580 Gen9 2 ks, </w:t>
      </w:r>
    </w:p>
    <w:p w:rsidR="00385B00" w:rsidRPr="0046266F" w:rsidRDefault="00385B00" w:rsidP="00385B00">
      <w:pPr>
        <w:pStyle w:val="Odsekzoznamu"/>
        <w:rPr>
          <w:rFonts w:ascii="Times New Roman" w:hAnsi="Times New Roman"/>
          <w:sz w:val="24"/>
          <w:szCs w:val="24"/>
        </w:rPr>
      </w:pPr>
      <w:r w:rsidRPr="0046266F">
        <w:rPr>
          <w:rFonts w:ascii="Times New Roman" w:hAnsi="Times New Roman"/>
          <w:sz w:val="24"/>
          <w:szCs w:val="24"/>
        </w:rPr>
        <w:t xml:space="preserve">Server S-RINA HP </w:t>
      </w:r>
      <w:proofErr w:type="spellStart"/>
      <w:r w:rsidRPr="0046266F">
        <w:rPr>
          <w:rFonts w:ascii="Times New Roman" w:hAnsi="Times New Roman"/>
          <w:sz w:val="24"/>
          <w:szCs w:val="24"/>
        </w:rPr>
        <w:t>ProLiant</w:t>
      </w:r>
      <w:proofErr w:type="spellEnd"/>
      <w:r w:rsidRPr="0046266F">
        <w:rPr>
          <w:rFonts w:ascii="Times New Roman" w:hAnsi="Times New Roman"/>
          <w:sz w:val="24"/>
          <w:szCs w:val="24"/>
        </w:rPr>
        <w:t xml:space="preserve"> DL 580 Gen9 2 ks, zabezpečenie prístupového</w:t>
      </w:r>
    </w:p>
    <w:p w:rsidR="00385B00" w:rsidRPr="0046266F" w:rsidRDefault="00385B00" w:rsidP="00385B00">
      <w:pPr>
        <w:pStyle w:val="Odsekzoznamu"/>
        <w:rPr>
          <w:rFonts w:ascii="Times New Roman" w:hAnsi="Times New Roman"/>
          <w:sz w:val="24"/>
          <w:szCs w:val="24"/>
        </w:rPr>
      </w:pPr>
      <w:r w:rsidRPr="0046266F">
        <w:rPr>
          <w:rFonts w:ascii="Times New Roman" w:hAnsi="Times New Roman"/>
          <w:sz w:val="24"/>
          <w:szCs w:val="24"/>
        </w:rPr>
        <w:t xml:space="preserve">bodu pre projekt EESSI, SP, </w:t>
      </w:r>
      <w:r>
        <w:rPr>
          <w:rFonts w:ascii="Times New Roman" w:hAnsi="Times New Roman"/>
          <w:sz w:val="24"/>
          <w:szCs w:val="24"/>
        </w:rPr>
        <w:t>ústredie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151 551,00 EUR </w:t>
      </w:r>
    </w:p>
    <w:p w:rsidR="00385B00" w:rsidRPr="0046266F" w:rsidRDefault="00385B00" w:rsidP="00385B00">
      <w:pPr>
        <w:widowControl/>
        <w:spacing w:line="360" w:lineRule="auto"/>
        <w:rPr>
          <w:rFonts w:ascii="Times New Roman" w:hAnsi="Times New Roman"/>
          <w:sz w:val="24"/>
          <w:szCs w:val="24"/>
          <w:u w:color="000000"/>
        </w:rPr>
      </w:pPr>
    </w:p>
    <w:p w:rsidR="00385B00" w:rsidRPr="0055683F" w:rsidRDefault="00385B00" w:rsidP="00385B00">
      <w:pPr>
        <w:widowControl/>
        <w:spacing w:line="360" w:lineRule="auto"/>
        <w:rPr>
          <w:rFonts w:ascii="Times New Roman" w:hAnsi="Times New Roman"/>
          <w:b/>
          <w:sz w:val="24"/>
          <w:u w:color="000000"/>
        </w:rPr>
      </w:pPr>
      <w:r w:rsidRPr="0055683F">
        <w:rPr>
          <w:rFonts w:ascii="Times New Roman" w:hAnsi="Times New Roman"/>
          <w:sz w:val="24"/>
          <w:u w:color="000000"/>
        </w:rPr>
        <w:t xml:space="preserve">Na úrovni </w:t>
      </w:r>
      <w:r w:rsidRPr="0055683F">
        <w:rPr>
          <w:rFonts w:ascii="Times New Roman" w:hAnsi="Times New Roman"/>
          <w:b/>
          <w:sz w:val="24"/>
          <w:u w:color="000000"/>
        </w:rPr>
        <w:t>pobočiek</w:t>
      </w:r>
      <w:r w:rsidRPr="0055683F">
        <w:rPr>
          <w:rFonts w:ascii="Times New Roman" w:hAnsi="Times New Roman"/>
          <w:b/>
          <w:sz w:val="24"/>
          <w:u w:color="000000"/>
        </w:rPr>
        <w:tab/>
      </w:r>
      <w:r w:rsidRPr="0055683F">
        <w:rPr>
          <w:rFonts w:ascii="Times New Roman" w:hAnsi="Times New Roman"/>
          <w:b/>
          <w:sz w:val="24"/>
          <w:u w:color="000000"/>
        </w:rPr>
        <w:tab/>
      </w:r>
      <w:r w:rsidRPr="0055683F">
        <w:rPr>
          <w:rFonts w:ascii="Times New Roman" w:hAnsi="Times New Roman"/>
          <w:b/>
          <w:sz w:val="24"/>
          <w:u w:color="000000"/>
        </w:rPr>
        <w:tab/>
      </w:r>
      <w:r w:rsidRPr="0055683F">
        <w:rPr>
          <w:rFonts w:ascii="Times New Roman" w:hAnsi="Times New Roman"/>
          <w:b/>
          <w:sz w:val="24"/>
          <w:u w:color="000000"/>
        </w:rPr>
        <w:tab/>
      </w:r>
      <w:r w:rsidRPr="0055683F">
        <w:rPr>
          <w:rFonts w:ascii="Times New Roman" w:hAnsi="Times New Roman"/>
          <w:b/>
          <w:sz w:val="24"/>
          <w:u w:color="000000"/>
        </w:rPr>
        <w:tab/>
      </w:r>
      <w:r w:rsidRPr="0055683F">
        <w:rPr>
          <w:rFonts w:ascii="Times New Roman" w:hAnsi="Times New Roman"/>
          <w:b/>
          <w:sz w:val="24"/>
          <w:u w:color="000000"/>
        </w:rPr>
        <w:tab/>
      </w:r>
      <w:r w:rsidRPr="0055683F">
        <w:rPr>
          <w:rFonts w:ascii="Times New Roman" w:hAnsi="Times New Roman"/>
          <w:b/>
          <w:sz w:val="24"/>
          <w:u w:color="000000"/>
        </w:rPr>
        <w:tab/>
      </w:r>
      <w:r w:rsidRPr="0055683F">
        <w:rPr>
          <w:rFonts w:ascii="Times New Roman" w:hAnsi="Times New Roman"/>
          <w:b/>
          <w:sz w:val="24"/>
          <w:u w:color="000000"/>
        </w:rPr>
        <w:tab/>
      </w:r>
      <w:r w:rsidRPr="0055683F">
        <w:rPr>
          <w:rFonts w:ascii="Times New Roman" w:hAnsi="Times New Roman"/>
          <w:b/>
          <w:sz w:val="24"/>
          <w:u w:color="000000"/>
        </w:rPr>
        <w:tab/>
      </w:r>
      <w:r w:rsidRPr="0055683F">
        <w:rPr>
          <w:rFonts w:ascii="Times New Roman" w:hAnsi="Times New Roman"/>
          <w:b/>
          <w:sz w:val="24"/>
          <w:u w:color="000000"/>
        </w:rPr>
        <w:tab/>
      </w:r>
      <w:r w:rsidRPr="0055683F">
        <w:rPr>
          <w:rFonts w:ascii="Times New Roman" w:hAnsi="Times New Roman"/>
          <w:b/>
          <w:sz w:val="24"/>
          <w:u w:color="000000"/>
        </w:rPr>
        <w:tab/>
      </w:r>
      <w:r w:rsidRPr="0055683F">
        <w:rPr>
          <w:rFonts w:ascii="Times New Roman" w:hAnsi="Times New Roman"/>
          <w:b/>
          <w:sz w:val="24"/>
          <w:u w:color="000000"/>
        </w:rPr>
        <w:tab/>
        <w:t xml:space="preserve"> </w:t>
      </w:r>
      <w:r w:rsidRPr="0046266F">
        <w:rPr>
          <w:rFonts w:ascii="Times New Roman" w:hAnsi="Times New Roman"/>
          <w:b/>
          <w:bCs/>
          <w:sz w:val="24"/>
          <w:szCs w:val="24"/>
          <w:u w:color="000000"/>
        </w:rPr>
        <w:t>784 576,98</w:t>
      </w:r>
      <w:r w:rsidRPr="0055683F">
        <w:rPr>
          <w:rFonts w:ascii="Times New Roman" w:hAnsi="Times New Roman"/>
          <w:b/>
          <w:sz w:val="24"/>
          <w:u w:color="000000"/>
        </w:rPr>
        <w:t xml:space="preserve"> EUR</w:t>
      </w:r>
    </w:p>
    <w:p w:rsidR="00385B00" w:rsidRPr="0055683F" w:rsidRDefault="00385B00" w:rsidP="00385B00">
      <w:pPr>
        <w:widowControl/>
        <w:spacing w:line="360" w:lineRule="auto"/>
        <w:jc w:val="both"/>
        <w:rPr>
          <w:rFonts w:ascii="Times New Roman" w:hAnsi="Times New Roman"/>
          <w:sz w:val="24"/>
          <w:u w:color="000000"/>
        </w:rPr>
      </w:pPr>
      <w:r w:rsidRPr="0055683F">
        <w:rPr>
          <w:rFonts w:ascii="Times New Roman" w:hAnsi="Times New Roman"/>
          <w:sz w:val="24"/>
          <w:u w:color="000000"/>
        </w:rPr>
        <w:tab/>
      </w:r>
      <w:r w:rsidRPr="0055683F">
        <w:rPr>
          <w:rFonts w:ascii="Times New Roman" w:hAnsi="Times New Roman"/>
          <w:sz w:val="24"/>
        </w:rPr>
        <w:t>Prírastok predstavujú prevody výpočtovej techniky a iných zariadení  (DLHM obstaraného Sociálnou poi</w:t>
      </w:r>
      <w:r>
        <w:rPr>
          <w:rFonts w:ascii="Times New Roman" w:hAnsi="Times New Roman"/>
          <w:sz w:val="24"/>
        </w:rPr>
        <w:t>sťovňou, ústredie pre pobočky), v tom</w:t>
      </w:r>
      <w:r w:rsidRPr="0055683F">
        <w:rPr>
          <w:rFonts w:ascii="Times New Roman" w:hAnsi="Times New Roman"/>
          <w:sz w:val="24"/>
        </w:rPr>
        <w:t xml:space="preserve"> </w:t>
      </w:r>
      <w:r w:rsidRPr="0046266F">
        <w:rPr>
          <w:rFonts w:ascii="Times New Roman" w:hAnsi="Times New Roman"/>
          <w:sz w:val="24"/>
          <w:szCs w:val="24"/>
        </w:rPr>
        <w:t xml:space="preserve">dodávku komunikačného serveru </w:t>
      </w:r>
      <w:proofErr w:type="spellStart"/>
      <w:r w:rsidRPr="0046266F">
        <w:rPr>
          <w:rFonts w:ascii="Times New Roman" w:hAnsi="Times New Roman"/>
          <w:sz w:val="24"/>
          <w:szCs w:val="24"/>
        </w:rPr>
        <w:t>Alcatel-Lucent</w:t>
      </w:r>
      <w:proofErr w:type="spellEnd"/>
      <w:r w:rsidRPr="0046266F">
        <w:rPr>
          <w:rFonts w:ascii="Times New Roman" w:hAnsi="Times New Roman"/>
          <w:sz w:val="24"/>
          <w:szCs w:val="24"/>
        </w:rPr>
        <w:t xml:space="preserve"> Omni PCX </w:t>
      </w:r>
      <w:proofErr w:type="spellStart"/>
      <w:r w:rsidRPr="0046266F">
        <w:rPr>
          <w:rFonts w:ascii="Times New Roman" w:hAnsi="Times New Roman"/>
          <w:sz w:val="24"/>
          <w:szCs w:val="24"/>
        </w:rPr>
        <w:t>Enterprise</w:t>
      </w:r>
      <w:proofErr w:type="spellEnd"/>
      <w:r w:rsidRPr="0046266F">
        <w:rPr>
          <w:rFonts w:ascii="Times New Roman" w:hAnsi="Times New Roman"/>
          <w:sz w:val="24"/>
          <w:szCs w:val="24"/>
        </w:rPr>
        <w:t xml:space="preserve"> (Bratislava), dodávku a montáž rozšírenia vyvolávacieho systému </w:t>
      </w:r>
      <w:proofErr w:type="spellStart"/>
      <w:r w:rsidRPr="0046266F">
        <w:rPr>
          <w:rFonts w:ascii="Times New Roman" w:hAnsi="Times New Roman"/>
          <w:sz w:val="24"/>
          <w:szCs w:val="24"/>
        </w:rPr>
        <w:t>Call</w:t>
      </w:r>
      <w:proofErr w:type="spellEnd"/>
      <w:r w:rsidRPr="0046266F">
        <w:rPr>
          <w:rFonts w:ascii="Times New Roman" w:hAnsi="Times New Roman"/>
          <w:sz w:val="24"/>
          <w:szCs w:val="24"/>
        </w:rPr>
        <w:t xml:space="preserve"> 250V (Žilina), navýšenie hodnoty </w:t>
      </w:r>
      <w:proofErr w:type="spellStart"/>
      <w:r w:rsidRPr="0046266F">
        <w:rPr>
          <w:rFonts w:ascii="Times New Roman" w:hAnsi="Times New Roman"/>
          <w:sz w:val="24"/>
          <w:szCs w:val="24"/>
        </w:rPr>
        <w:t>frankovacieho</w:t>
      </w:r>
      <w:proofErr w:type="spellEnd"/>
      <w:r w:rsidRPr="0046266F">
        <w:rPr>
          <w:rFonts w:ascii="Times New Roman" w:hAnsi="Times New Roman"/>
          <w:sz w:val="24"/>
          <w:szCs w:val="24"/>
        </w:rPr>
        <w:t xml:space="preserve"> stroja o automatický podávač AF-4001416R (Prešov), dodávku zariadení kancelárskej výpočtovej techniky PR1 – OKI B432dn, MFPR1 – OKI MB492dn, MFPR2 – OKI MC573dn, MFPR3 – OKI ES9466 (33 pobočiek), </w:t>
      </w:r>
      <w:proofErr w:type="spellStart"/>
      <w:r w:rsidRPr="0046266F">
        <w:rPr>
          <w:rFonts w:ascii="Times New Roman" w:hAnsi="Times New Roman"/>
          <w:sz w:val="24"/>
          <w:szCs w:val="24"/>
        </w:rPr>
        <w:t>frankovací</w:t>
      </w:r>
      <w:proofErr w:type="spellEnd"/>
      <w:r w:rsidRPr="0046266F">
        <w:rPr>
          <w:rFonts w:ascii="Times New Roman" w:hAnsi="Times New Roman"/>
          <w:sz w:val="24"/>
          <w:szCs w:val="24"/>
        </w:rPr>
        <w:t xml:space="preserve"> stroj </w:t>
      </w:r>
      <w:proofErr w:type="spellStart"/>
      <w:r w:rsidRPr="0046266F">
        <w:rPr>
          <w:rFonts w:ascii="Times New Roman" w:hAnsi="Times New Roman"/>
          <w:sz w:val="24"/>
          <w:szCs w:val="24"/>
        </w:rPr>
        <w:t>Neopost</w:t>
      </w:r>
      <w:proofErr w:type="spellEnd"/>
      <w:r w:rsidRPr="0046266F">
        <w:rPr>
          <w:rFonts w:ascii="Times New Roman" w:hAnsi="Times New Roman"/>
          <w:sz w:val="24"/>
          <w:szCs w:val="24"/>
        </w:rPr>
        <w:t xml:space="preserve"> IS 440 s automatickým podávačom (Trnava), dodávku PC staníc HP </w:t>
      </w:r>
      <w:proofErr w:type="spellStart"/>
      <w:r w:rsidRPr="0046266F">
        <w:rPr>
          <w:rFonts w:ascii="Times New Roman" w:hAnsi="Times New Roman"/>
          <w:sz w:val="24"/>
          <w:szCs w:val="24"/>
        </w:rPr>
        <w:t>ElitDesk</w:t>
      </w:r>
      <w:proofErr w:type="spellEnd"/>
      <w:r w:rsidRPr="0046266F">
        <w:rPr>
          <w:rFonts w:ascii="Times New Roman" w:hAnsi="Times New Roman"/>
          <w:sz w:val="24"/>
          <w:szCs w:val="24"/>
        </w:rPr>
        <w:t xml:space="preserve"> 705 G3 SFF </w:t>
      </w:r>
      <w:proofErr w:type="spellStart"/>
      <w:r w:rsidRPr="0046266F">
        <w:rPr>
          <w:rFonts w:ascii="Times New Roman" w:hAnsi="Times New Roman"/>
          <w:sz w:val="24"/>
          <w:szCs w:val="24"/>
        </w:rPr>
        <w:t>Busines</w:t>
      </w:r>
      <w:proofErr w:type="spellEnd"/>
      <w:r w:rsidRPr="0046266F">
        <w:rPr>
          <w:rFonts w:ascii="Times New Roman" w:hAnsi="Times New Roman"/>
          <w:sz w:val="24"/>
          <w:szCs w:val="24"/>
        </w:rPr>
        <w:t xml:space="preserve"> (34 pobočiek), dodávku a montáž posuvného regálového systému do</w:t>
      </w:r>
      <w:r>
        <w:rPr>
          <w:rFonts w:ascii="Times New Roman" w:hAnsi="Times New Roman"/>
          <w:sz w:val="24"/>
          <w:szCs w:val="24"/>
        </w:rPr>
        <w:t> </w:t>
      </w:r>
      <w:r w:rsidRPr="0046266F">
        <w:rPr>
          <w:rFonts w:ascii="Times New Roman" w:hAnsi="Times New Roman"/>
          <w:sz w:val="24"/>
          <w:szCs w:val="24"/>
        </w:rPr>
        <w:t>registratúrneho stredi</w:t>
      </w:r>
      <w:r>
        <w:rPr>
          <w:rFonts w:ascii="Times New Roman" w:hAnsi="Times New Roman"/>
          <w:sz w:val="24"/>
          <w:szCs w:val="24"/>
        </w:rPr>
        <w:t>ska (Senica), realizáciu štruktú</w:t>
      </w:r>
      <w:r w:rsidRPr="0046266F">
        <w:rPr>
          <w:rFonts w:ascii="Times New Roman" w:hAnsi="Times New Roman"/>
          <w:sz w:val="24"/>
          <w:szCs w:val="24"/>
        </w:rPr>
        <w:t>rovanej kabeláže LAN (Rožňava).</w:t>
      </w:r>
      <w:r w:rsidRPr="0055683F">
        <w:rPr>
          <w:rFonts w:ascii="Times New Roman" w:hAnsi="Times New Roman"/>
          <w:sz w:val="24"/>
        </w:rPr>
        <w:t xml:space="preserve"> Majetok bol prevedený z ústredia pobočkám preberacími protokolmi.</w:t>
      </w:r>
    </w:p>
    <w:p w:rsidR="00385B00" w:rsidRDefault="00385B00" w:rsidP="00385B00">
      <w:pPr>
        <w:widowControl/>
        <w:spacing w:line="360" w:lineRule="auto"/>
        <w:ind w:firstLine="510"/>
        <w:jc w:val="both"/>
        <w:rPr>
          <w:rFonts w:ascii="Times New Roman" w:hAnsi="Times New Roman"/>
          <w:sz w:val="24"/>
          <w:u w:color="000000"/>
        </w:rPr>
      </w:pPr>
      <w:r w:rsidRPr="0055683F">
        <w:rPr>
          <w:rFonts w:ascii="Times New Roman" w:hAnsi="Times New Roman"/>
          <w:sz w:val="24"/>
          <w:u w:color="000000"/>
        </w:rPr>
        <w:t>Úbytky predstavujú sumu 1 </w:t>
      </w:r>
      <w:r w:rsidRPr="0046266F">
        <w:rPr>
          <w:rFonts w:ascii="Times New Roman" w:hAnsi="Times New Roman"/>
          <w:sz w:val="24"/>
          <w:szCs w:val="24"/>
          <w:u w:color="000000"/>
        </w:rPr>
        <w:t>921 342,31</w:t>
      </w:r>
      <w:r w:rsidRPr="0055683F">
        <w:rPr>
          <w:rFonts w:ascii="Times New Roman" w:hAnsi="Times New Roman"/>
          <w:sz w:val="24"/>
          <w:u w:color="000000"/>
        </w:rPr>
        <w:t xml:space="preserve"> EUR</w:t>
      </w:r>
      <w:r>
        <w:rPr>
          <w:rFonts w:ascii="Times New Roman" w:hAnsi="Times New Roman"/>
          <w:sz w:val="24"/>
          <w:u w:color="000000"/>
        </w:rPr>
        <w:t xml:space="preserve">. </w:t>
      </w:r>
    </w:p>
    <w:p w:rsidR="00385B00" w:rsidRPr="0055683F" w:rsidRDefault="00385B00" w:rsidP="00385B00">
      <w:pPr>
        <w:widowControl/>
        <w:spacing w:line="360" w:lineRule="auto"/>
        <w:ind w:firstLine="510"/>
        <w:jc w:val="both"/>
        <w:rPr>
          <w:rFonts w:ascii="Times New Roman" w:hAnsi="Times New Roman"/>
          <w:sz w:val="24"/>
          <w:u w:color="000000"/>
        </w:rPr>
      </w:pPr>
    </w:p>
    <w:p w:rsidR="00385B00" w:rsidRPr="0055683F" w:rsidRDefault="00385B00" w:rsidP="00385B00">
      <w:pPr>
        <w:widowControl/>
        <w:spacing w:line="360" w:lineRule="auto"/>
        <w:jc w:val="both"/>
        <w:rPr>
          <w:rFonts w:ascii="Times New Roman" w:hAnsi="Times New Roman"/>
          <w:b/>
          <w:sz w:val="24"/>
          <w:u w:color="000000"/>
        </w:rPr>
      </w:pPr>
      <w:r w:rsidRPr="0055683F">
        <w:rPr>
          <w:rFonts w:ascii="Times New Roman" w:hAnsi="Times New Roman"/>
          <w:sz w:val="24"/>
          <w:u w:color="000000"/>
        </w:rPr>
        <w:t xml:space="preserve">Na úrovni </w:t>
      </w:r>
      <w:r w:rsidRPr="0055683F">
        <w:rPr>
          <w:rFonts w:ascii="Times New Roman" w:hAnsi="Times New Roman"/>
          <w:b/>
          <w:sz w:val="24"/>
          <w:u w:color="000000"/>
        </w:rPr>
        <w:t>ústredia</w:t>
      </w:r>
    </w:p>
    <w:p w:rsidR="00385B00" w:rsidRPr="0055683F" w:rsidRDefault="00385B00" w:rsidP="00385B00">
      <w:pPr>
        <w:pStyle w:val="Zarkazkladnhotextu"/>
        <w:spacing w:after="0"/>
        <w:ind w:left="0" w:firstLine="510"/>
        <w:rPr>
          <w:rFonts w:ascii="Times New Roman" w:hAnsi="Times New Roman"/>
        </w:rPr>
      </w:pPr>
      <w:r w:rsidRPr="0055683F">
        <w:rPr>
          <w:rFonts w:ascii="Times New Roman" w:hAnsi="Times New Roman"/>
        </w:rPr>
        <w:t xml:space="preserve">Vyradená fyzickou likvidáciou nepoužiteľná výpočtová technika a iné zariadenia </w:t>
      </w:r>
      <w:r>
        <w:rPr>
          <w:rFonts w:ascii="Times New Roman" w:hAnsi="Times New Roman"/>
        </w:rPr>
        <w:t xml:space="preserve">           </w:t>
      </w:r>
      <w:r w:rsidRPr="0055683F">
        <w:rPr>
          <w:rFonts w:ascii="Times New Roman" w:hAnsi="Times New Roman"/>
        </w:rPr>
        <w:t>v</w:t>
      </w:r>
      <w:r w:rsidRPr="0046266F">
        <w:rPr>
          <w:rFonts w:ascii="Times New Roman" w:hAnsi="Times New Roman"/>
          <w:szCs w:val="24"/>
        </w:rPr>
        <w:t xml:space="preserve"> </w:t>
      </w:r>
      <w:r w:rsidRPr="0055683F">
        <w:rPr>
          <w:rFonts w:ascii="Times New Roman" w:hAnsi="Times New Roman"/>
        </w:rPr>
        <w:t>hodnote  1 </w:t>
      </w:r>
      <w:r w:rsidRPr="0046266F">
        <w:rPr>
          <w:rFonts w:ascii="Times New Roman" w:hAnsi="Times New Roman"/>
          <w:szCs w:val="24"/>
        </w:rPr>
        <w:t>536 460,05</w:t>
      </w:r>
      <w:r w:rsidRPr="0055683F">
        <w:rPr>
          <w:rFonts w:ascii="Times New Roman" w:hAnsi="Times New Roman"/>
        </w:rPr>
        <w:t xml:space="preserve"> EUR. Vyradená výpočtová technika s príslušenstvom bola zlikvidovaná firmou Peter </w:t>
      </w:r>
      <w:proofErr w:type="spellStart"/>
      <w:r w:rsidRPr="0055683F">
        <w:rPr>
          <w:rFonts w:ascii="Times New Roman" w:hAnsi="Times New Roman"/>
        </w:rPr>
        <w:t>Bolek</w:t>
      </w:r>
      <w:proofErr w:type="spellEnd"/>
      <w:r w:rsidRPr="0055683F">
        <w:rPr>
          <w:rFonts w:ascii="Times New Roman" w:hAnsi="Times New Roman"/>
        </w:rPr>
        <w:t xml:space="preserve"> – EKORAY Námestovo, ktorá je oprávnená vykonávať ekologickú likvidáciu týchto zariadení. Vyradený kancelársky majetok a nábytok z ubytovne bol odvezený na fyzickú likvidáciu firmou PLUSIM PRIVATE MOVING, s.</w:t>
      </w:r>
      <w:r>
        <w:rPr>
          <w:rFonts w:ascii="Times New Roman" w:hAnsi="Times New Roman"/>
        </w:rPr>
        <w:t xml:space="preserve"> </w:t>
      </w:r>
      <w:r w:rsidRPr="0055683F">
        <w:rPr>
          <w:rFonts w:ascii="Times New Roman" w:hAnsi="Times New Roman"/>
        </w:rPr>
        <w:t>r.</w:t>
      </w:r>
      <w:r>
        <w:rPr>
          <w:rFonts w:ascii="Times New Roman" w:hAnsi="Times New Roman"/>
        </w:rPr>
        <w:t xml:space="preserve"> </w:t>
      </w:r>
      <w:r w:rsidRPr="0055683F">
        <w:rPr>
          <w:rFonts w:ascii="Times New Roman" w:hAnsi="Times New Roman"/>
        </w:rPr>
        <w:t>o., Bratislava, uložený na prevádzke Bučina EKO, s.</w:t>
      </w:r>
      <w:r>
        <w:rPr>
          <w:rFonts w:ascii="Times New Roman" w:hAnsi="Times New Roman"/>
        </w:rPr>
        <w:t xml:space="preserve"> </w:t>
      </w:r>
      <w:r w:rsidRPr="0055683F">
        <w:rPr>
          <w:rFonts w:ascii="Times New Roman" w:hAnsi="Times New Roman"/>
        </w:rPr>
        <w:t>r.</w:t>
      </w:r>
      <w:r>
        <w:rPr>
          <w:rFonts w:ascii="Times New Roman" w:hAnsi="Times New Roman"/>
        </w:rPr>
        <w:t xml:space="preserve"> </w:t>
      </w:r>
      <w:r w:rsidRPr="0055683F">
        <w:rPr>
          <w:rFonts w:ascii="Times New Roman" w:hAnsi="Times New Roman"/>
        </w:rPr>
        <w:t>o., Bratislava a na zbernom dvore VASSAL EKO, s.</w:t>
      </w:r>
      <w:r>
        <w:rPr>
          <w:rFonts w:ascii="Times New Roman" w:hAnsi="Times New Roman"/>
        </w:rPr>
        <w:t xml:space="preserve"> </w:t>
      </w:r>
      <w:r w:rsidRPr="0055683F">
        <w:rPr>
          <w:rFonts w:ascii="Times New Roman" w:hAnsi="Times New Roman"/>
        </w:rPr>
        <w:t>r.</w:t>
      </w:r>
      <w:r>
        <w:rPr>
          <w:rFonts w:ascii="Times New Roman" w:hAnsi="Times New Roman"/>
        </w:rPr>
        <w:t xml:space="preserve"> </w:t>
      </w:r>
      <w:r w:rsidRPr="0055683F">
        <w:rPr>
          <w:rFonts w:ascii="Times New Roman" w:hAnsi="Times New Roman"/>
        </w:rPr>
        <w:t>o., Bratislava.</w:t>
      </w:r>
    </w:p>
    <w:p w:rsidR="00385B00" w:rsidRPr="0055683F" w:rsidRDefault="00385B00" w:rsidP="00385B00">
      <w:pPr>
        <w:widowControl/>
        <w:spacing w:line="360" w:lineRule="auto"/>
        <w:jc w:val="both"/>
        <w:rPr>
          <w:rFonts w:ascii="Times New Roman" w:hAnsi="Times New Roman"/>
          <w:sz w:val="24"/>
          <w:u w:color="000000"/>
        </w:rPr>
      </w:pPr>
    </w:p>
    <w:p w:rsidR="00385B00" w:rsidRPr="0055683F" w:rsidRDefault="00385B00" w:rsidP="00385B00">
      <w:pPr>
        <w:widowControl/>
        <w:spacing w:line="360" w:lineRule="auto"/>
        <w:jc w:val="both"/>
        <w:rPr>
          <w:rFonts w:ascii="Times New Roman" w:hAnsi="Times New Roman"/>
          <w:b/>
          <w:sz w:val="24"/>
          <w:u w:color="000000"/>
        </w:rPr>
      </w:pPr>
      <w:r w:rsidRPr="0055683F">
        <w:rPr>
          <w:rFonts w:ascii="Times New Roman" w:hAnsi="Times New Roman"/>
          <w:sz w:val="24"/>
          <w:u w:color="000000"/>
        </w:rPr>
        <w:t xml:space="preserve">Na úrovni </w:t>
      </w:r>
      <w:r w:rsidRPr="0055683F">
        <w:rPr>
          <w:rFonts w:ascii="Times New Roman" w:hAnsi="Times New Roman"/>
          <w:b/>
          <w:sz w:val="24"/>
          <w:u w:color="000000"/>
        </w:rPr>
        <w:t xml:space="preserve">pobočiek </w:t>
      </w:r>
    </w:p>
    <w:p w:rsidR="00385B00" w:rsidRPr="0055683F" w:rsidRDefault="00385B00" w:rsidP="00385B00">
      <w:pPr>
        <w:widowControl/>
        <w:spacing w:line="360" w:lineRule="auto"/>
        <w:ind w:firstLine="510"/>
        <w:jc w:val="both"/>
        <w:rPr>
          <w:rFonts w:ascii="Times New Roman" w:hAnsi="Times New Roman"/>
          <w:b/>
          <w:sz w:val="24"/>
          <w:u w:color="000000"/>
        </w:rPr>
      </w:pPr>
      <w:r w:rsidRPr="0055683F">
        <w:rPr>
          <w:rFonts w:ascii="Times New Roman" w:hAnsi="Times New Roman"/>
          <w:sz w:val="24"/>
          <w:u w:color="000000"/>
        </w:rPr>
        <w:t xml:space="preserve">Úbytky predstavujú nepoužiteľnú, poškodenú, opotrebovanú výpočtovú techniku, pracovné stroje a zariadenia a iné zariadenia v hodnote </w:t>
      </w:r>
      <w:r w:rsidRPr="0046266F">
        <w:rPr>
          <w:rFonts w:ascii="Times New Roman" w:hAnsi="Times New Roman"/>
          <w:sz w:val="24"/>
          <w:szCs w:val="24"/>
          <w:u w:color="000000"/>
        </w:rPr>
        <w:t>384 882,26</w:t>
      </w:r>
      <w:r w:rsidRPr="0055683F">
        <w:rPr>
          <w:rFonts w:ascii="Times New Roman" w:hAnsi="Times New Roman"/>
          <w:sz w:val="24"/>
          <w:u w:color="000000"/>
        </w:rPr>
        <w:t xml:space="preserve"> EUR vyradenú fyzickou likvidáciou. </w:t>
      </w:r>
    </w:p>
    <w:p w:rsidR="00385B00" w:rsidRPr="0055683F" w:rsidRDefault="00385B00" w:rsidP="00385B00">
      <w:pPr>
        <w:widowControl/>
        <w:spacing w:line="360" w:lineRule="auto"/>
        <w:jc w:val="both"/>
        <w:rPr>
          <w:rFonts w:ascii="Times New Roman" w:hAnsi="Times New Roman"/>
          <w:sz w:val="24"/>
          <w:u w:color="000000"/>
        </w:rPr>
      </w:pPr>
    </w:p>
    <w:p w:rsidR="00385B00" w:rsidRPr="0055683F" w:rsidRDefault="00385B00" w:rsidP="00385B00">
      <w:pPr>
        <w:widowControl/>
        <w:tabs>
          <w:tab w:val="left" w:pos="567"/>
        </w:tabs>
        <w:spacing w:line="360" w:lineRule="auto"/>
        <w:jc w:val="both"/>
        <w:rPr>
          <w:rFonts w:ascii="Times New Roman" w:hAnsi="Times New Roman"/>
          <w:b/>
          <w:sz w:val="24"/>
          <w:u w:color="000000"/>
        </w:rPr>
      </w:pPr>
      <w:r w:rsidRPr="0055683F">
        <w:rPr>
          <w:rFonts w:ascii="Times New Roman" w:hAnsi="Times New Roman"/>
          <w:sz w:val="24"/>
          <w:u w:color="000000"/>
        </w:rPr>
        <w:tab/>
        <w:t>Pri vyraďovaní majetku sa postupovalo v súlade s metodickým usmernením Sociálnej poisťovne č. 6/</w:t>
      </w:r>
      <w:r w:rsidRPr="0046266F">
        <w:rPr>
          <w:rFonts w:ascii="Times New Roman" w:hAnsi="Times New Roman"/>
          <w:sz w:val="24"/>
          <w:szCs w:val="24"/>
          <w:u w:color="000000"/>
        </w:rPr>
        <w:t>2017</w:t>
      </w:r>
      <w:r w:rsidRPr="0055683F">
        <w:rPr>
          <w:rFonts w:ascii="Times New Roman" w:hAnsi="Times New Roman"/>
          <w:sz w:val="24"/>
          <w:u w:color="000000"/>
        </w:rPr>
        <w:t xml:space="preserve"> „Správa majetku Sociálnej poisťovne“. Majetok bol navrhnutý na vyradenie, posúdený vyraďovacou a likvidačnou komisiou a pri zohľadnení odborných posudkov bol uznaný za neupotrebiteľný, zastaraný, prípadne prebytočný, t. j. maximálne opotrebovaný, poškodený, z prevádzkového hľadiska nehospodárny, ktorý z technických a bezpečnostných dôvodov nemôže slúžiť svojmu účelu. </w:t>
      </w:r>
    </w:p>
    <w:p w:rsidR="00385B00" w:rsidRPr="0055683F" w:rsidRDefault="00385B00" w:rsidP="00385B00">
      <w:pPr>
        <w:widowControl/>
        <w:spacing w:line="360" w:lineRule="auto"/>
        <w:jc w:val="both"/>
        <w:rPr>
          <w:rFonts w:ascii="Times New Roman" w:hAnsi="Times New Roman"/>
          <w:sz w:val="24"/>
          <w:u w:color="000000"/>
        </w:rPr>
      </w:pPr>
    </w:p>
    <w:p w:rsidR="00385B00" w:rsidRPr="0055683F" w:rsidRDefault="00385B00" w:rsidP="00385B00">
      <w:pPr>
        <w:widowControl/>
        <w:spacing w:line="360" w:lineRule="auto"/>
        <w:rPr>
          <w:rFonts w:ascii="Times New Roman" w:hAnsi="Times New Roman"/>
          <w:sz w:val="24"/>
          <w:u w:color="000000"/>
        </w:rPr>
      </w:pPr>
      <w:r w:rsidRPr="0055683F">
        <w:rPr>
          <w:rFonts w:ascii="Times New Roman" w:hAnsi="Times New Roman"/>
          <w:b/>
          <w:sz w:val="24"/>
          <w:u w:color="000000"/>
        </w:rPr>
        <w:t xml:space="preserve">Konečný zostatok </w:t>
      </w:r>
      <w:r w:rsidRPr="0055683F">
        <w:rPr>
          <w:rFonts w:ascii="Times New Roman" w:hAnsi="Times New Roman"/>
          <w:sz w:val="24"/>
          <w:u w:color="000000"/>
        </w:rPr>
        <w:t>k 31.12.2018</w:t>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Pr>
          <w:rFonts w:ascii="Times New Roman" w:hAnsi="Times New Roman"/>
          <w:sz w:val="24"/>
          <w:u w:color="000000"/>
        </w:rPr>
        <w:t xml:space="preserve">         </w:t>
      </w:r>
      <w:r w:rsidRPr="0055683F">
        <w:rPr>
          <w:rFonts w:ascii="Times New Roman" w:hAnsi="Times New Roman"/>
          <w:sz w:val="24"/>
          <w:u w:color="000000"/>
        </w:rPr>
        <w:t xml:space="preserve"> </w:t>
      </w:r>
      <w:r>
        <w:rPr>
          <w:rFonts w:ascii="Times New Roman" w:hAnsi="Times New Roman"/>
          <w:sz w:val="24"/>
          <w:u w:color="000000"/>
        </w:rPr>
        <w:t xml:space="preserve">  </w:t>
      </w:r>
      <w:r w:rsidRPr="0055683F">
        <w:rPr>
          <w:rFonts w:ascii="Times New Roman" w:hAnsi="Times New Roman"/>
          <w:sz w:val="24"/>
          <w:u w:color="000000"/>
        </w:rPr>
        <w:t xml:space="preserve"> </w:t>
      </w:r>
      <w:r w:rsidRPr="0046266F">
        <w:rPr>
          <w:rFonts w:ascii="Times New Roman" w:hAnsi="Times New Roman"/>
          <w:b/>
          <w:bCs/>
          <w:sz w:val="24"/>
          <w:szCs w:val="24"/>
          <w:u w:color="000000"/>
        </w:rPr>
        <w:t>44 060 644,61</w:t>
      </w:r>
      <w:r w:rsidRPr="0055683F">
        <w:rPr>
          <w:rFonts w:ascii="Times New Roman" w:hAnsi="Times New Roman"/>
          <w:b/>
          <w:sz w:val="24"/>
          <w:u w:color="000000"/>
        </w:rPr>
        <w:t xml:space="preserve"> EUR</w:t>
      </w:r>
    </w:p>
    <w:p w:rsidR="00385B00" w:rsidRPr="0055683F" w:rsidRDefault="00385B00" w:rsidP="00385B00">
      <w:pPr>
        <w:widowControl/>
        <w:spacing w:line="360" w:lineRule="auto"/>
        <w:jc w:val="both"/>
        <w:rPr>
          <w:rFonts w:ascii="Times New Roman" w:hAnsi="Times New Roman"/>
          <w:sz w:val="24"/>
          <w:u w:color="000000"/>
        </w:rPr>
      </w:pPr>
    </w:p>
    <w:p w:rsidR="00385B00" w:rsidRPr="0055683F" w:rsidRDefault="00385B00" w:rsidP="00385B00">
      <w:pPr>
        <w:widowControl/>
        <w:spacing w:line="360" w:lineRule="auto"/>
        <w:jc w:val="both"/>
        <w:rPr>
          <w:rFonts w:ascii="Times New Roman" w:hAnsi="Times New Roman"/>
          <w:b/>
          <w:sz w:val="24"/>
          <w:u w:color="000000"/>
        </w:rPr>
      </w:pPr>
      <w:r w:rsidRPr="0055683F">
        <w:rPr>
          <w:rFonts w:ascii="Times New Roman" w:hAnsi="Times New Roman"/>
          <w:b/>
          <w:sz w:val="24"/>
          <w:u w:color="000000"/>
        </w:rPr>
        <w:t>Riadok 013 – Dopravné prostriedky</w:t>
      </w:r>
    </w:p>
    <w:p w:rsidR="00385B00" w:rsidRPr="0055683F" w:rsidRDefault="00385B00" w:rsidP="00385B00">
      <w:pPr>
        <w:widowControl/>
        <w:spacing w:line="360" w:lineRule="auto"/>
        <w:rPr>
          <w:rFonts w:ascii="Times New Roman" w:hAnsi="Times New Roman"/>
          <w:sz w:val="24"/>
          <w:u w:color="000000"/>
        </w:rPr>
      </w:pPr>
      <w:r w:rsidRPr="0055683F">
        <w:rPr>
          <w:rFonts w:ascii="Times New Roman" w:hAnsi="Times New Roman"/>
          <w:b/>
          <w:sz w:val="24"/>
          <w:u w:color="000000"/>
        </w:rPr>
        <w:t>Začiatočný zostatok</w:t>
      </w:r>
      <w:r w:rsidRPr="0055683F">
        <w:rPr>
          <w:rFonts w:ascii="Times New Roman" w:hAnsi="Times New Roman"/>
          <w:sz w:val="24"/>
          <w:u w:color="000000"/>
        </w:rPr>
        <w:t xml:space="preserve"> k 1.1.2018 </w:t>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t xml:space="preserve">   </w:t>
      </w:r>
      <w:r>
        <w:rPr>
          <w:rFonts w:ascii="Times New Roman" w:hAnsi="Times New Roman"/>
          <w:sz w:val="24"/>
          <w:u w:color="000000"/>
        </w:rPr>
        <w:t xml:space="preserve"> </w:t>
      </w:r>
      <w:r w:rsidRPr="0055683F">
        <w:rPr>
          <w:rFonts w:ascii="Times New Roman" w:hAnsi="Times New Roman"/>
          <w:b/>
          <w:sz w:val="24"/>
          <w:u w:color="000000"/>
        </w:rPr>
        <w:t>2 </w:t>
      </w:r>
      <w:r w:rsidRPr="0046266F">
        <w:rPr>
          <w:rFonts w:ascii="Times New Roman" w:hAnsi="Times New Roman"/>
          <w:b/>
          <w:bCs/>
          <w:sz w:val="24"/>
          <w:szCs w:val="24"/>
          <w:u w:color="000000"/>
        </w:rPr>
        <w:t>136 954,83</w:t>
      </w:r>
      <w:r w:rsidRPr="0055683F">
        <w:rPr>
          <w:rFonts w:ascii="Times New Roman" w:hAnsi="Times New Roman"/>
          <w:b/>
          <w:sz w:val="24"/>
          <w:u w:color="000000"/>
        </w:rPr>
        <w:t xml:space="preserve"> EUR</w:t>
      </w:r>
    </w:p>
    <w:p w:rsidR="00385B00" w:rsidRPr="0055683F" w:rsidRDefault="00385B00" w:rsidP="00385B00">
      <w:pPr>
        <w:widowControl/>
        <w:spacing w:line="360" w:lineRule="auto"/>
        <w:jc w:val="both"/>
        <w:rPr>
          <w:rFonts w:ascii="Times New Roman" w:hAnsi="Times New Roman"/>
          <w:sz w:val="24"/>
          <w:u w:color="000000"/>
        </w:rPr>
      </w:pPr>
      <w:r w:rsidRPr="0055683F">
        <w:rPr>
          <w:rFonts w:ascii="Times New Roman" w:hAnsi="Times New Roman"/>
          <w:sz w:val="24"/>
          <w:u w:color="000000"/>
        </w:rPr>
        <w:t xml:space="preserve">Prírastky za rok 2018 vyjadrujú celkovú sumu </w:t>
      </w:r>
      <w:r w:rsidRPr="0046266F">
        <w:rPr>
          <w:rFonts w:ascii="Times New Roman" w:hAnsi="Times New Roman"/>
          <w:sz w:val="24"/>
          <w:szCs w:val="24"/>
          <w:u w:color="000000"/>
        </w:rPr>
        <w:t>0</w:t>
      </w:r>
      <w:r w:rsidRPr="0055683F">
        <w:rPr>
          <w:rFonts w:ascii="Times New Roman" w:hAnsi="Times New Roman"/>
          <w:sz w:val="24"/>
          <w:u w:color="000000"/>
        </w:rPr>
        <w:t>,00 EUR.</w:t>
      </w:r>
    </w:p>
    <w:p w:rsidR="00385B00" w:rsidRPr="0055683F" w:rsidRDefault="00385B00" w:rsidP="00385B00">
      <w:pPr>
        <w:widowControl/>
        <w:spacing w:line="360" w:lineRule="auto"/>
        <w:jc w:val="both"/>
        <w:rPr>
          <w:rFonts w:ascii="Times New Roman" w:hAnsi="Times New Roman"/>
          <w:sz w:val="24"/>
          <w:u w:color="000000"/>
        </w:rPr>
      </w:pPr>
      <w:r w:rsidRPr="0055683F">
        <w:rPr>
          <w:rFonts w:ascii="Times New Roman" w:hAnsi="Times New Roman"/>
          <w:sz w:val="24"/>
          <w:u w:color="000000"/>
        </w:rPr>
        <w:t xml:space="preserve">Úbytky v sume </w:t>
      </w:r>
      <w:r w:rsidRPr="0046266F">
        <w:rPr>
          <w:rFonts w:ascii="Times New Roman" w:hAnsi="Times New Roman"/>
          <w:sz w:val="24"/>
          <w:szCs w:val="24"/>
          <w:u w:color="000000"/>
        </w:rPr>
        <w:t>65 609,05</w:t>
      </w:r>
      <w:r w:rsidRPr="0055683F">
        <w:rPr>
          <w:rFonts w:ascii="Times New Roman" w:hAnsi="Times New Roman"/>
          <w:sz w:val="24"/>
          <w:u w:color="000000"/>
        </w:rPr>
        <w:t xml:space="preserve"> EUR. Suma predstavuje vyradenie na</w:t>
      </w:r>
      <w:r w:rsidRPr="0046266F">
        <w:rPr>
          <w:rFonts w:ascii="Times New Roman" w:hAnsi="Times New Roman"/>
          <w:sz w:val="24"/>
          <w:szCs w:val="24"/>
          <w:u w:color="000000"/>
        </w:rPr>
        <w:t> </w:t>
      </w:r>
      <w:r w:rsidRPr="0055683F">
        <w:rPr>
          <w:rFonts w:ascii="Times New Roman" w:hAnsi="Times New Roman"/>
          <w:sz w:val="24"/>
          <w:u w:color="000000"/>
        </w:rPr>
        <w:t xml:space="preserve">úrovni </w:t>
      </w:r>
      <w:r w:rsidRPr="0046266F">
        <w:rPr>
          <w:rFonts w:ascii="Times New Roman" w:hAnsi="Times New Roman"/>
          <w:sz w:val="24"/>
          <w:szCs w:val="24"/>
          <w:u w:color="000000"/>
        </w:rPr>
        <w:t>pobočiek</w:t>
      </w:r>
      <w:r w:rsidRPr="0055683F">
        <w:rPr>
          <w:rFonts w:ascii="Times New Roman" w:hAnsi="Times New Roman"/>
          <w:sz w:val="24"/>
          <w:u w:color="000000"/>
        </w:rPr>
        <w:t xml:space="preserve"> fyzickou likvidáciou </w:t>
      </w:r>
      <w:r w:rsidRPr="0046266F">
        <w:rPr>
          <w:rFonts w:ascii="Times New Roman" w:hAnsi="Times New Roman"/>
          <w:sz w:val="24"/>
          <w:szCs w:val="24"/>
          <w:u w:color="000000"/>
        </w:rPr>
        <w:t>50 776,08</w:t>
      </w:r>
      <w:r w:rsidRPr="0055683F">
        <w:rPr>
          <w:rFonts w:ascii="Times New Roman" w:hAnsi="Times New Roman"/>
          <w:sz w:val="24"/>
          <w:u w:color="000000"/>
        </w:rPr>
        <w:t xml:space="preserve"> EUR a predajom </w:t>
      </w:r>
      <w:r w:rsidRPr="0046266F">
        <w:rPr>
          <w:rFonts w:ascii="Times New Roman" w:hAnsi="Times New Roman"/>
          <w:sz w:val="24"/>
          <w:szCs w:val="24"/>
          <w:u w:color="000000"/>
        </w:rPr>
        <w:t>14 832,97</w:t>
      </w:r>
      <w:r w:rsidRPr="0055683F">
        <w:rPr>
          <w:rFonts w:ascii="Times New Roman" w:hAnsi="Times New Roman"/>
          <w:sz w:val="24"/>
          <w:u w:color="000000"/>
        </w:rPr>
        <w:t xml:space="preserve"> EUR.</w:t>
      </w:r>
    </w:p>
    <w:p w:rsidR="00385B00" w:rsidRPr="0046266F" w:rsidRDefault="00385B00" w:rsidP="00385B00">
      <w:pPr>
        <w:widowControl/>
        <w:spacing w:line="360" w:lineRule="auto"/>
        <w:jc w:val="both"/>
        <w:rPr>
          <w:rFonts w:ascii="Times New Roman" w:hAnsi="Times New Roman"/>
          <w:b/>
          <w:bCs/>
          <w:sz w:val="24"/>
          <w:szCs w:val="24"/>
          <w:u w:color="000000"/>
        </w:rPr>
      </w:pPr>
    </w:p>
    <w:p w:rsidR="00385B00" w:rsidRPr="0055683F" w:rsidRDefault="00385B00" w:rsidP="00385B00">
      <w:pPr>
        <w:widowControl/>
        <w:spacing w:line="360" w:lineRule="auto"/>
        <w:rPr>
          <w:rFonts w:ascii="Times New Roman" w:hAnsi="Times New Roman"/>
          <w:sz w:val="24"/>
          <w:u w:color="000000"/>
        </w:rPr>
      </w:pPr>
      <w:r w:rsidRPr="0055683F">
        <w:rPr>
          <w:rFonts w:ascii="Times New Roman" w:hAnsi="Times New Roman"/>
          <w:b/>
          <w:sz w:val="24"/>
          <w:u w:color="000000"/>
        </w:rPr>
        <w:t>Konečný zostatok</w:t>
      </w:r>
      <w:r w:rsidRPr="0055683F">
        <w:rPr>
          <w:rFonts w:ascii="Times New Roman" w:hAnsi="Times New Roman"/>
          <w:sz w:val="24"/>
          <w:u w:color="000000"/>
        </w:rPr>
        <w:t xml:space="preserve"> k 31.12.2018 </w:t>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t xml:space="preserve">   </w:t>
      </w:r>
      <w:r>
        <w:rPr>
          <w:rFonts w:ascii="Times New Roman" w:hAnsi="Times New Roman"/>
          <w:sz w:val="24"/>
          <w:u w:color="000000"/>
        </w:rPr>
        <w:t xml:space="preserve"> </w:t>
      </w:r>
      <w:r w:rsidRPr="0055683F">
        <w:rPr>
          <w:rFonts w:ascii="Times New Roman" w:hAnsi="Times New Roman"/>
          <w:b/>
          <w:sz w:val="24"/>
          <w:u w:color="000000"/>
        </w:rPr>
        <w:t>2 </w:t>
      </w:r>
      <w:r w:rsidRPr="0046266F">
        <w:rPr>
          <w:rFonts w:ascii="Times New Roman" w:hAnsi="Times New Roman"/>
          <w:b/>
          <w:bCs/>
          <w:sz w:val="24"/>
          <w:szCs w:val="24"/>
          <w:u w:color="000000"/>
        </w:rPr>
        <w:t>071 345,78</w:t>
      </w:r>
      <w:r w:rsidRPr="0055683F">
        <w:rPr>
          <w:rFonts w:ascii="Times New Roman" w:hAnsi="Times New Roman"/>
          <w:b/>
          <w:sz w:val="24"/>
          <w:u w:color="000000"/>
        </w:rPr>
        <w:t xml:space="preserve"> EUR</w:t>
      </w:r>
    </w:p>
    <w:p w:rsidR="00385B00" w:rsidRPr="0055683F" w:rsidRDefault="00385B00" w:rsidP="00385B00">
      <w:pPr>
        <w:widowControl/>
        <w:spacing w:line="360" w:lineRule="auto"/>
        <w:jc w:val="both"/>
        <w:rPr>
          <w:rFonts w:ascii="Times New Roman" w:hAnsi="Times New Roman"/>
          <w:b/>
          <w:sz w:val="24"/>
          <w:u w:color="000000"/>
        </w:rPr>
      </w:pPr>
    </w:p>
    <w:p w:rsidR="00385B00" w:rsidRPr="0055683F" w:rsidRDefault="00385B00" w:rsidP="00385B00">
      <w:pPr>
        <w:widowControl/>
        <w:spacing w:line="360" w:lineRule="auto"/>
        <w:jc w:val="both"/>
        <w:rPr>
          <w:rFonts w:ascii="Times New Roman" w:hAnsi="Times New Roman"/>
          <w:b/>
          <w:sz w:val="24"/>
          <w:u w:color="000000"/>
        </w:rPr>
      </w:pPr>
      <w:r w:rsidRPr="0055683F">
        <w:rPr>
          <w:rFonts w:ascii="Times New Roman" w:hAnsi="Times New Roman"/>
          <w:b/>
          <w:sz w:val="24"/>
          <w:u w:color="000000"/>
        </w:rPr>
        <w:t>Riadok 016 – Obstaranie dlhodobého hmotného majetku</w:t>
      </w:r>
    </w:p>
    <w:p w:rsidR="00385B00" w:rsidRPr="0055683F" w:rsidRDefault="00385B00" w:rsidP="00385B00">
      <w:pPr>
        <w:widowControl/>
        <w:spacing w:line="360" w:lineRule="auto"/>
        <w:jc w:val="both"/>
        <w:rPr>
          <w:rFonts w:ascii="Times New Roman" w:hAnsi="Times New Roman"/>
          <w:b/>
          <w:sz w:val="24"/>
          <w:u w:color="000000"/>
        </w:rPr>
      </w:pPr>
      <w:r w:rsidRPr="0055683F">
        <w:rPr>
          <w:rFonts w:ascii="Times New Roman" w:hAnsi="Times New Roman"/>
          <w:b/>
          <w:sz w:val="24"/>
          <w:u w:color="000000"/>
        </w:rPr>
        <w:t>Riadok 006 – Obstaranie dlhodobého nehmotného majetku</w:t>
      </w:r>
    </w:p>
    <w:p w:rsidR="00385B00" w:rsidRPr="0055683F" w:rsidRDefault="00385B00" w:rsidP="00385B00">
      <w:pPr>
        <w:widowControl/>
        <w:spacing w:line="360" w:lineRule="auto"/>
        <w:jc w:val="both"/>
        <w:rPr>
          <w:rFonts w:ascii="Times New Roman" w:hAnsi="Times New Roman"/>
          <w:b/>
          <w:sz w:val="24"/>
          <w:u w:color="000000"/>
        </w:rPr>
      </w:pPr>
      <w:r w:rsidRPr="0055683F">
        <w:rPr>
          <w:rFonts w:ascii="Times New Roman" w:hAnsi="Times New Roman"/>
          <w:sz w:val="24"/>
          <w:u w:color="000000"/>
        </w:rPr>
        <w:tab/>
        <w:t xml:space="preserve">Súčasťou neobežného majetku je obstaranie DLHM a DLNM, ktorý je k 31. 12. 2018 v úhrnnej hodnote </w:t>
      </w:r>
      <w:r w:rsidRPr="0046266F">
        <w:rPr>
          <w:rFonts w:ascii="Times New Roman" w:hAnsi="Times New Roman"/>
          <w:sz w:val="24"/>
          <w:szCs w:val="24"/>
          <w:u w:color="000000"/>
        </w:rPr>
        <w:t>4 572 061,43</w:t>
      </w:r>
      <w:r w:rsidRPr="0055683F">
        <w:rPr>
          <w:rFonts w:ascii="Times New Roman" w:hAnsi="Times New Roman"/>
          <w:sz w:val="24"/>
          <w:u w:color="000000"/>
        </w:rPr>
        <w:t xml:space="preserve"> EUR.  V tom obstaranie DLNM v sume </w:t>
      </w:r>
      <w:r w:rsidRPr="0046266F">
        <w:rPr>
          <w:rFonts w:ascii="Times New Roman" w:hAnsi="Times New Roman"/>
          <w:sz w:val="24"/>
          <w:szCs w:val="24"/>
          <w:u w:color="000000"/>
        </w:rPr>
        <w:t>0,00</w:t>
      </w:r>
      <w:r w:rsidRPr="0055683F">
        <w:rPr>
          <w:rFonts w:ascii="Times New Roman" w:hAnsi="Times New Roman"/>
          <w:sz w:val="24"/>
          <w:u w:color="000000"/>
        </w:rPr>
        <w:t xml:space="preserve"> EUR (riadok 006 súvahy) a obstaranie DLHM v sume </w:t>
      </w:r>
      <w:r w:rsidRPr="0046266F">
        <w:rPr>
          <w:rFonts w:ascii="Times New Roman" w:hAnsi="Times New Roman"/>
          <w:sz w:val="24"/>
          <w:szCs w:val="24"/>
          <w:u w:color="000000"/>
        </w:rPr>
        <w:t>4 572 061,43</w:t>
      </w:r>
      <w:r w:rsidRPr="0055683F">
        <w:rPr>
          <w:rFonts w:ascii="Times New Roman" w:hAnsi="Times New Roman"/>
          <w:sz w:val="24"/>
          <w:u w:color="000000"/>
        </w:rPr>
        <w:t xml:space="preserve"> EUR (riadok 016 súvahy). </w:t>
      </w:r>
    </w:p>
    <w:p w:rsidR="00385B00" w:rsidRPr="0055683F" w:rsidRDefault="00385B00" w:rsidP="00385B00">
      <w:pPr>
        <w:widowControl/>
        <w:spacing w:line="360" w:lineRule="auto"/>
        <w:jc w:val="both"/>
        <w:rPr>
          <w:rFonts w:ascii="Times New Roman" w:hAnsi="Times New Roman"/>
          <w:sz w:val="24"/>
          <w:u w:color="000000"/>
        </w:rPr>
      </w:pPr>
    </w:p>
    <w:p w:rsidR="00385B00" w:rsidRPr="0055683F" w:rsidRDefault="00385B00" w:rsidP="00385B00">
      <w:pPr>
        <w:widowControl/>
        <w:spacing w:line="360" w:lineRule="auto"/>
        <w:ind w:firstLine="510"/>
        <w:jc w:val="both"/>
        <w:rPr>
          <w:rFonts w:ascii="Times New Roman" w:hAnsi="Times New Roman"/>
          <w:sz w:val="24"/>
          <w:u w:color="000000"/>
        </w:rPr>
      </w:pPr>
      <w:r w:rsidRPr="0055683F">
        <w:rPr>
          <w:rFonts w:ascii="Times New Roman" w:hAnsi="Times New Roman"/>
          <w:sz w:val="24"/>
          <w:u w:color="000000"/>
        </w:rPr>
        <w:t>Na účtoch obstarania DLNM a DLHM sa účtuje obstaraný DLNM a DLHM do doby jeho uvedenia do používania, vrátane výdavkov súvisiacich s jeho obstaraním na prípravu a zabezpečenie stavby, prieskumné a projektové práce, vrátane variantných riešení, dopravné, montáž, clo, technické zhodnotenie a pod.</w:t>
      </w:r>
    </w:p>
    <w:p w:rsidR="00385B00" w:rsidRPr="0055683F" w:rsidRDefault="00385B00" w:rsidP="00385B00">
      <w:pPr>
        <w:widowControl/>
        <w:spacing w:line="360" w:lineRule="auto"/>
        <w:jc w:val="both"/>
        <w:rPr>
          <w:rFonts w:ascii="Times New Roman" w:hAnsi="Times New Roman"/>
          <w:sz w:val="24"/>
          <w:u w:color="000000"/>
        </w:rPr>
      </w:pPr>
      <w:r w:rsidRPr="0055683F">
        <w:rPr>
          <w:rFonts w:ascii="Times New Roman" w:hAnsi="Times New Roman"/>
          <w:sz w:val="24"/>
          <w:u w:color="000000"/>
        </w:rPr>
        <w:tab/>
        <w:t xml:space="preserve">Začiatočný zostatok obstaraného DLNM a DLHM k 1. 1. 2018 v sume                </w:t>
      </w:r>
      <w:r w:rsidRPr="0046266F">
        <w:rPr>
          <w:rFonts w:ascii="Times New Roman" w:hAnsi="Times New Roman"/>
          <w:sz w:val="24"/>
          <w:szCs w:val="24"/>
          <w:u w:color="000000"/>
        </w:rPr>
        <w:t>2 674 771,13</w:t>
      </w:r>
      <w:r w:rsidRPr="0055683F">
        <w:rPr>
          <w:rFonts w:ascii="Times New Roman" w:hAnsi="Times New Roman"/>
          <w:sz w:val="24"/>
          <w:u w:color="000000"/>
        </w:rPr>
        <w:t xml:space="preserve"> EUR vzrástol o nový obstaraný DLNM a DLHM a ostatné </w:t>
      </w:r>
      <w:r w:rsidRPr="0055683F">
        <w:rPr>
          <w:rFonts w:ascii="Times New Roman" w:hAnsi="Times New Roman"/>
          <w:b/>
          <w:sz w:val="24"/>
          <w:u w:color="000000"/>
        </w:rPr>
        <w:t>prírastky</w:t>
      </w:r>
      <w:r w:rsidRPr="0055683F">
        <w:rPr>
          <w:rFonts w:ascii="Times New Roman" w:hAnsi="Times New Roman"/>
          <w:sz w:val="24"/>
          <w:u w:color="000000"/>
        </w:rPr>
        <w:t xml:space="preserve"> v celkovom objeme </w:t>
      </w:r>
      <w:r w:rsidRPr="0046266F">
        <w:rPr>
          <w:rFonts w:ascii="Times New Roman" w:hAnsi="Times New Roman"/>
          <w:sz w:val="24"/>
          <w:szCs w:val="24"/>
          <w:u w:color="000000"/>
        </w:rPr>
        <w:t>6 443 434,50</w:t>
      </w:r>
      <w:r w:rsidRPr="0055683F">
        <w:rPr>
          <w:rFonts w:ascii="Times New Roman" w:hAnsi="Times New Roman"/>
          <w:sz w:val="24"/>
          <w:u w:color="000000"/>
        </w:rPr>
        <w:t xml:space="preserve"> EUR, v tom:</w:t>
      </w:r>
    </w:p>
    <w:p w:rsidR="00385B00" w:rsidRPr="0055683F" w:rsidRDefault="00385B00" w:rsidP="00385B00">
      <w:pPr>
        <w:pStyle w:val="Odsekzoznamu"/>
        <w:widowControl/>
        <w:numPr>
          <w:ilvl w:val="0"/>
          <w:numId w:val="50"/>
        </w:numPr>
        <w:tabs>
          <w:tab w:val="left" w:pos="567"/>
        </w:tabs>
        <w:spacing w:line="360" w:lineRule="auto"/>
        <w:rPr>
          <w:rFonts w:ascii="Times New Roman" w:hAnsi="Times New Roman"/>
          <w:sz w:val="24"/>
          <w:u w:color="000000"/>
        </w:rPr>
      </w:pPr>
      <w:r w:rsidRPr="0055683F">
        <w:rPr>
          <w:rFonts w:ascii="Times New Roman" w:hAnsi="Times New Roman"/>
          <w:sz w:val="24"/>
          <w:u w:color="000000"/>
        </w:rPr>
        <w:t>softvér</w:t>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Pr>
          <w:rFonts w:ascii="Times New Roman" w:hAnsi="Times New Roman"/>
          <w:sz w:val="24"/>
          <w:u w:color="000000"/>
        </w:rPr>
        <w:t xml:space="preserve">            </w:t>
      </w:r>
      <w:r w:rsidRPr="0046266F">
        <w:rPr>
          <w:rFonts w:ascii="Times New Roman" w:hAnsi="Times New Roman"/>
          <w:sz w:val="24"/>
          <w:szCs w:val="24"/>
          <w:u w:color="000000"/>
        </w:rPr>
        <w:t>370 735,67</w:t>
      </w:r>
      <w:r w:rsidRPr="0055683F">
        <w:rPr>
          <w:rFonts w:ascii="Times New Roman" w:hAnsi="Times New Roman"/>
          <w:sz w:val="24"/>
          <w:u w:color="000000"/>
        </w:rPr>
        <w:t xml:space="preserve"> EUR</w:t>
      </w:r>
    </w:p>
    <w:p w:rsidR="00385B00" w:rsidRPr="0055683F" w:rsidRDefault="00385B00" w:rsidP="00385B00">
      <w:pPr>
        <w:pStyle w:val="Odsekzoznamu"/>
        <w:widowControl/>
        <w:numPr>
          <w:ilvl w:val="0"/>
          <w:numId w:val="50"/>
        </w:numPr>
        <w:tabs>
          <w:tab w:val="left" w:pos="567"/>
        </w:tabs>
        <w:spacing w:line="360" w:lineRule="auto"/>
        <w:rPr>
          <w:rFonts w:ascii="Times New Roman" w:hAnsi="Times New Roman"/>
          <w:sz w:val="24"/>
          <w:u w:color="000000"/>
        </w:rPr>
      </w:pPr>
      <w:r w:rsidRPr="0055683F">
        <w:rPr>
          <w:rFonts w:ascii="Times New Roman" w:hAnsi="Times New Roman"/>
          <w:sz w:val="24"/>
          <w:u w:color="000000"/>
        </w:rPr>
        <w:t>stavby</w:t>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Pr>
          <w:rFonts w:ascii="Times New Roman" w:hAnsi="Times New Roman"/>
          <w:sz w:val="24"/>
          <w:u w:color="000000"/>
        </w:rPr>
        <w:t xml:space="preserve">   </w:t>
      </w:r>
      <w:r w:rsidRPr="0046266F">
        <w:rPr>
          <w:rFonts w:ascii="Times New Roman" w:hAnsi="Times New Roman"/>
          <w:sz w:val="24"/>
          <w:szCs w:val="24"/>
          <w:u w:color="000000"/>
        </w:rPr>
        <w:t xml:space="preserve"> </w:t>
      </w:r>
      <w:r>
        <w:rPr>
          <w:rFonts w:ascii="Times New Roman" w:hAnsi="Times New Roman"/>
          <w:sz w:val="24"/>
          <w:szCs w:val="24"/>
          <w:u w:color="000000"/>
        </w:rPr>
        <w:t xml:space="preserve">      </w:t>
      </w:r>
      <w:r w:rsidRPr="0046266F">
        <w:rPr>
          <w:rFonts w:ascii="Times New Roman" w:hAnsi="Times New Roman"/>
          <w:sz w:val="24"/>
          <w:szCs w:val="24"/>
          <w:u w:color="000000"/>
        </w:rPr>
        <w:t>2 851 064,57</w:t>
      </w:r>
      <w:r w:rsidRPr="0055683F">
        <w:rPr>
          <w:rFonts w:ascii="Times New Roman" w:hAnsi="Times New Roman"/>
          <w:sz w:val="24"/>
          <w:u w:color="000000"/>
        </w:rPr>
        <w:t xml:space="preserve"> EUR</w:t>
      </w:r>
    </w:p>
    <w:p w:rsidR="00385B00" w:rsidRDefault="00385B00" w:rsidP="00385B00">
      <w:pPr>
        <w:pStyle w:val="Odsekzoznamu"/>
        <w:widowControl/>
        <w:numPr>
          <w:ilvl w:val="0"/>
          <w:numId w:val="50"/>
        </w:numPr>
        <w:tabs>
          <w:tab w:val="left" w:pos="567"/>
        </w:tabs>
        <w:spacing w:line="360" w:lineRule="auto"/>
        <w:rPr>
          <w:rFonts w:ascii="Times New Roman" w:hAnsi="Times New Roman"/>
          <w:sz w:val="24"/>
          <w:u w:color="000000"/>
        </w:rPr>
      </w:pPr>
      <w:r w:rsidRPr="00353471">
        <w:rPr>
          <w:rFonts w:ascii="Times New Roman" w:hAnsi="Times New Roman"/>
          <w:sz w:val="24"/>
          <w:u w:color="000000"/>
        </w:rPr>
        <w:t>stroje, prístroje a zariadenia</w:t>
      </w:r>
      <w:r w:rsidRPr="00353471">
        <w:rPr>
          <w:rFonts w:ascii="Times New Roman" w:hAnsi="Times New Roman"/>
          <w:sz w:val="24"/>
          <w:u w:color="000000"/>
        </w:rPr>
        <w:tab/>
      </w:r>
      <w:r w:rsidRPr="00353471">
        <w:rPr>
          <w:rFonts w:ascii="Times New Roman" w:hAnsi="Times New Roman"/>
          <w:sz w:val="24"/>
          <w:u w:color="000000"/>
        </w:rPr>
        <w:tab/>
      </w:r>
      <w:r w:rsidRPr="00353471">
        <w:rPr>
          <w:rFonts w:ascii="Times New Roman" w:hAnsi="Times New Roman"/>
          <w:sz w:val="24"/>
          <w:u w:color="000000"/>
        </w:rPr>
        <w:tab/>
      </w:r>
      <w:r w:rsidRPr="00353471">
        <w:rPr>
          <w:rFonts w:ascii="Times New Roman" w:hAnsi="Times New Roman"/>
          <w:sz w:val="24"/>
          <w:u w:color="000000"/>
        </w:rPr>
        <w:tab/>
      </w:r>
      <w:r w:rsidRPr="00353471">
        <w:rPr>
          <w:rFonts w:ascii="Times New Roman" w:hAnsi="Times New Roman"/>
          <w:sz w:val="24"/>
          <w:u w:color="000000"/>
        </w:rPr>
        <w:tab/>
      </w:r>
      <w:r w:rsidRPr="00353471">
        <w:rPr>
          <w:rFonts w:ascii="Times New Roman" w:hAnsi="Times New Roman"/>
          <w:sz w:val="24"/>
          <w:u w:color="000000"/>
        </w:rPr>
        <w:tab/>
      </w:r>
      <w:r w:rsidRPr="00353471">
        <w:rPr>
          <w:rFonts w:ascii="Times New Roman" w:hAnsi="Times New Roman"/>
          <w:sz w:val="24"/>
          <w:u w:color="000000"/>
        </w:rPr>
        <w:tab/>
      </w:r>
      <w:r>
        <w:rPr>
          <w:rFonts w:ascii="Times New Roman" w:hAnsi="Times New Roman"/>
          <w:sz w:val="24"/>
          <w:u w:color="000000"/>
        </w:rPr>
        <w:t xml:space="preserve">      </w:t>
      </w:r>
      <w:r w:rsidRPr="00353471">
        <w:rPr>
          <w:rFonts w:ascii="Times New Roman" w:hAnsi="Times New Roman"/>
          <w:sz w:val="24"/>
          <w:u w:color="000000"/>
        </w:rPr>
        <w:t xml:space="preserve">    3 </w:t>
      </w:r>
      <w:r w:rsidRPr="00353471">
        <w:rPr>
          <w:rFonts w:ascii="Times New Roman" w:hAnsi="Times New Roman"/>
          <w:sz w:val="24"/>
          <w:szCs w:val="24"/>
          <w:u w:color="000000"/>
        </w:rPr>
        <w:t>051 100,49</w:t>
      </w:r>
      <w:r w:rsidRPr="00353471">
        <w:rPr>
          <w:rFonts w:ascii="Times New Roman" w:hAnsi="Times New Roman"/>
          <w:sz w:val="24"/>
          <w:u w:color="000000"/>
        </w:rPr>
        <w:t xml:space="preserve"> EUR</w:t>
      </w:r>
    </w:p>
    <w:p w:rsidR="00385B00" w:rsidRPr="00353471" w:rsidRDefault="00385B00" w:rsidP="00385B00">
      <w:pPr>
        <w:pStyle w:val="Odsekzoznamu"/>
        <w:widowControl/>
        <w:numPr>
          <w:ilvl w:val="0"/>
          <w:numId w:val="50"/>
        </w:numPr>
        <w:tabs>
          <w:tab w:val="left" w:pos="567"/>
        </w:tabs>
        <w:spacing w:line="360" w:lineRule="auto"/>
        <w:rPr>
          <w:rFonts w:ascii="Times New Roman" w:hAnsi="Times New Roman"/>
          <w:sz w:val="24"/>
          <w:u w:color="000000"/>
        </w:rPr>
      </w:pPr>
      <w:r w:rsidRPr="00353471">
        <w:rPr>
          <w:rFonts w:ascii="Times New Roman" w:hAnsi="Times New Roman"/>
          <w:sz w:val="24"/>
          <w:u w:color="000000"/>
        </w:rPr>
        <w:t>dopravné prostriedky</w:t>
      </w:r>
      <w:r w:rsidRPr="00353471">
        <w:rPr>
          <w:rFonts w:ascii="Times New Roman" w:hAnsi="Times New Roman"/>
          <w:sz w:val="24"/>
          <w:u w:color="000000"/>
        </w:rPr>
        <w:tab/>
      </w:r>
      <w:r w:rsidRPr="00353471">
        <w:rPr>
          <w:rFonts w:ascii="Times New Roman" w:hAnsi="Times New Roman"/>
          <w:sz w:val="24"/>
          <w:u w:color="000000"/>
        </w:rPr>
        <w:tab/>
      </w:r>
      <w:r w:rsidRPr="00353471">
        <w:rPr>
          <w:rFonts w:ascii="Times New Roman" w:hAnsi="Times New Roman"/>
          <w:sz w:val="24"/>
          <w:u w:color="000000"/>
        </w:rPr>
        <w:tab/>
      </w:r>
      <w:r>
        <w:rPr>
          <w:rFonts w:ascii="Times New Roman" w:hAnsi="Times New Roman"/>
          <w:sz w:val="24"/>
          <w:u w:color="000000"/>
        </w:rPr>
        <w:tab/>
      </w:r>
      <w:r>
        <w:rPr>
          <w:rFonts w:ascii="Times New Roman" w:hAnsi="Times New Roman"/>
          <w:sz w:val="24"/>
          <w:u w:color="000000"/>
        </w:rPr>
        <w:tab/>
      </w:r>
      <w:r>
        <w:rPr>
          <w:rFonts w:ascii="Times New Roman" w:hAnsi="Times New Roman"/>
          <w:sz w:val="24"/>
          <w:u w:color="000000"/>
        </w:rPr>
        <w:tab/>
      </w:r>
      <w:r>
        <w:rPr>
          <w:rFonts w:ascii="Times New Roman" w:hAnsi="Times New Roman"/>
          <w:sz w:val="24"/>
          <w:u w:color="000000"/>
        </w:rPr>
        <w:tab/>
      </w:r>
      <w:r>
        <w:rPr>
          <w:rFonts w:ascii="Times New Roman" w:hAnsi="Times New Roman"/>
          <w:sz w:val="24"/>
          <w:u w:color="000000"/>
        </w:rPr>
        <w:tab/>
        <w:t xml:space="preserve">      </w:t>
      </w:r>
      <w:r w:rsidRPr="00353471">
        <w:rPr>
          <w:rFonts w:ascii="Times New Roman" w:hAnsi="Times New Roman"/>
          <w:sz w:val="24"/>
          <w:u w:color="000000"/>
        </w:rPr>
        <w:t xml:space="preserve">      </w:t>
      </w:r>
      <w:r w:rsidRPr="00353471">
        <w:rPr>
          <w:rFonts w:ascii="Times New Roman" w:hAnsi="Times New Roman"/>
          <w:sz w:val="24"/>
          <w:szCs w:val="24"/>
          <w:u w:color="000000"/>
        </w:rPr>
        <w:t>107 146,37</w:t>
      </w:r>
      <w:r w:rsidRPr="00353471">
        <w:rPr>
          <w:rFonts w:ascii="Times New Roman" w:hAnsi="Times New Roman"/>
          <w:sz w:val="24"/>
          <w:u w:color="000000"/>
        </w:rPr>
        <w:t xml:space="preserve"> EUR</w:t>
      </w:r>
    </w:p>
    <w:p w:rsidR="00385B00" w:rsidRPr="0055683F" w:rsidRDefault="00385B00" w:rsidP="00385B00">
      <w:pPr>
        <w:pStyle w:val="Odsekzoznamu"/>
        <w:widowControl/>
        <w:numPr>
          <w:ilvl w:val="0"/>
          <w:numId w:val="50"/>
        </w:numPr>
        <w:tabs>
          <w:tab w:val="left" w:pos="567"/>
        </w:tabs>
        <w:spacing w:line="360" w:lineRule="auto"/>
        <w:rPr>
          <w:rFonts w:ascii="Times New Roman" w:hAnsi="Times New Roman"/>
          <w:sz w:val="24"/>
          <w:u w:color="000000"/>
        </w:rPr>
      </w:pPr>
      <w:r w:rsidRPr="0055683F">
        <w:rPr>
          <w:rFonts w:ascii="Times New Roman" w:hAnsi="Times New Roman"/>
          <w:sz w:val="24"/>
          <w:u w:color="000000"/>
        </w:rPr>
        <w:t>projektová dokumentácia</w:t>
      </w:r>
      <w:r>
        <w:rPr>
          <w:rFonts w:ascii="Times New Roman" w:hAnsi="Times New Roman"/>
          <w:sz w:val="24"/>
          <w:u w:color="000000"/>
        </w:rPr>
        <w:t xml:space="preserve"> </w:t>
      </w:r>
      <w:r>
        <w:rPr>
          <w:rFonts w:ascii="Times New Roman" w:hAnsi="Times New Roman"/>
          <w:sz w:val="24"/>
          <w:u w:color="000000"/>
        </w:rPr>
        <w:tab/>
      </w:r>
      <w:r>
        <w:rPr>
          <w:rFonts w:ascii="Times New Roman" w:hAnsi="Times New Roman"/>
          <w:sz w:val="24"/>
          <w:u w:color="000000"/>
        </w:rPr>
        <w:tab/>
      </w:r>
      <w:r>
        <w:rPr>
          <w:rFonts w:ascii="Times New Roman" w:hAnsi="Times New Roman"/>
          <w:sz w:val="24"/>
          <w:u w:color="000000"/>
        </w:rPr>
        <w:tab/>
      </w:r>
      <w:r>
        <w:rPr>
          <w:rFonts w:ascii="Times New Roman" w:hAnsi="Times New Roman"/>
          <w:sz w:val="24"/>
          <w:u w:color="000000"/>
        </w:rPr>
        <w:tab/>
      </w:r>
      <w:r>
        <w:rPr>
          <w:rFonts w:ascii="Times New Roman" w:hAnsi="Times New Roman"/>
          <w:sz w:val="24"/>
          <w:u w:color="000000"/>
        </w:rPr>
        <w:tab/>
      </w:r>
      <w:r>
        <w:rPr>
          <w:rFonts w:ascii="Times New Roman" w:hAnsi="Times New Roman"/>
          <w:sz w:val="24"/>
          <w:u w:color="000000"/>
        </w:rPr>
        <w:tab/>
      </w:r>
      <w:r>
        <w:rPr>
          <w:rFonts w:ascii="Times New Roman" w:hAnsi="Times New Roman"/>
          <w:sz w:val="24"/>
          <w:u w:color="000000"/>
        </w:rPr>
        <w:tab/>
        <w:t xml:space="preserve">         </w:t>
      </w:r>
      <w:r w:rsidRPr="0055683F">
        <w:rPr>
          <w:rFonts w:ascii="Times New Roman" w:hAnsi="Times New Roman"/>
          <w:sz w:val="24"/>
          <w:u w:color="000000"/>
        </w:rPr>
        <w:t xml:space="preserve"> </w:t>
      </w:r>
      <w:r>
        <w:rPr>
          <w:rFonts w:ascii="Times New Roman" w:hAnsi="Times New Roman"/>
          <w:sz w:val="24"/>
          <w:u w:color="000000"/>
        </w:rPr>
        <w:t xml:space="preserve">   </w:t>
      </w:r>
      <w:r w:rsidRPr="0046266F">
        <w:rPr>
          <w:rFonts w:ascii="Times New Roman" w:hAnsi="Times New Roman"/>
          <w:sz w:val="24"/>
          <w:szCs w:val="24"/>
          <w:u w:color="000000"/>
        </w:rPr>
        <w:t>63 387,40</w:t>
      </w:r>
      <w:r w:rsidRPr="0055683F">
        <w:rPr>
          <w:rFonts w:ascii="Times New Roman" w:hAnsi="Times New Roman"/>
          <w:sz w:val="24"/>
          <w:u w:color="000000"/>
        </w:rPr>
        <w:t xml:space="preserve"> EUR</w:t>
      </w:r>
    </w:p>
    <w:p w:rsidR="00385B00" w:rsidRPr="0055683F" w:rsidRDefault="00385B00" w:rsidP="00385B00">
      <w:pPr>
        <w:pStyle w:val="Odsekzoznamu"/>
        <w:widowControl/>
        <w:tabs>
          <w:tab w:val="left" w:pos="567"/>
        </w:tabs>
        <w:spacing w:line="360" w:lineRule="auto"/>
        <w:jc w:val="both"/>
        <w:rPr>
          <w:rFonts w:ascii="Times New Roman" w:hAnsi="Times New Roman"/>
          <w:sz w:val="24"/>
          <w:u w:color="000000"/>
        </w:rPr>
      </w:pPr>
    </w:p>
    <w:p w:rsidR="00385B00" w:rsidRPr="0046266F" w:rsidRDefault="00385B00" w:rsidP="00385B00">
      <w:pPr>
        <w:widowControl/>
        <w:spacing w:line="360" w:lineRule="auto"/>
        <w:jc w:val="both"/>
        <w:rPr>
          <w:rFonts w:ascii="Times New Roman" w:hAnsi="Times New Roman"/>
          <w:sz w:val="24"/>
          <w:szCs w:val="24"/>
          <w:u w:color="000000"/>
        </w:rPr>
      </w:pPr>
      <w:r w:rsidRPr="0055683F">
        <w:rPr>
          <w:rFonts w:ascii="Times New Roman" w:hAnsi="Times New Roman"/>
          <w:sz w:val="24"/>
          <w:u w:color="000000"/>
        </w:rPr>
        <w:tab/>
        <w:t xml:space="preserve">Použitie zdrojov na nadobudnutie DLNM a DLHM v roku 2018 predstavovalo sumu </w:t>
      </w:r>
      <w:r w:rsidRPr="0046266F">
        <w:rPr>
          <w:rFonts w:ascii="Times New Roman" w:hAnsi="Times New Roman"/>
          <w:sz w:val="24"/>
          <w:szCs w:val="24"/>
          <w:u w:color="000000"/>
        </w:rPr>
        <w:t>6 443 434,50</w:t>
      </w:r>
      <w:r w:rsidRPr="0055683F">
        <w:rPr>
          <w:rFonts w:ascii="Times New Roman" w:hAnsi="Times New Roman"/>
          <w:sz w:val="24"/>
          <w:u w:color="000000"/>
        </w:rPr>
        <w:t xml:space="preserve"> EUR v tom</w:t>
      </w:r>
      <w:r w:rsidRPr="0046266F">
        <w:rPr>
          <w:rFonts w:ascii="Times New Roman" w:hAnsi="Times New Roman"/>
          <w:sz w:val="24"/>
          <w:szCs w:val="24"/>
          <w:u w:color="000000"/>
        </w:rPr>
        <w:t>:</w:t>
      </w:r>
    </w:p>
    <w:p w:rsidR="00385B00" w:rsidRPr="0055683F" w:rsidRDefault="00385B00" w:rsidP="00385B00">
      <w:pPr>
        <w:widowControl/>
        <w:spacing w:line="360" w:lineRule="auto"/>
        <w:jc w:val="both"/>
        <w:rPr>
          <w:rFonts w:ascii="Times New Roman" w:hAnsi="Times New Roman"/>
          <w:sz w:val="24"/>
          <w:u w:color="000000"/>
        </w:rPr>
      </w:pPr>
      <w:r w:rsidRPr="0046266F">
        <w:rPr>
          <w:rFonts w:ascii="Times New Roman" w:hAnsi="Times New Roman"/>
          <w:sz w:val="24"/>
          <w:szCs w:val="24"/>
          <w:u w:color="000000"/>
        </w:rPr>
        <w:t>-</w:t>
      </w:r>
      <w:r w:rsidRPr="0046266F">
        <w:rPr>
          <w:rFonts w:ascii="Times New Roman" w:hAnsi="Times New Roman"/>
          <w:sz w:val="24"/>
          <w:szCs w:val="24"/>
          <w:u w:color="000000"/>
        </w:rPr>
        <w:tab/>
      </w:r>
      <w:r w:rsidRPr="0055683F">
        <w:rPr>
          <w:rFonts w:ascii="Times New Roman" w:hAnsi="Times New Roman"/>
          <w:sz w:val="24"/>
          <w:u w:color="000000"/>
        </w:rPr>
        <w:t xml:space="preserve">investičné akcie na obstaranie DLNM a DLHM v objeme </w:t>
      </w:r>
      <w:r w:rsidRPr="0046266F">
        <w:rPr>
          <w:rFonts w:ascii="Times New Roman" w:hAnsi="Times New Roman"/>
          <w:sz w:val="24"/>
          <w:szCs w:val="24"/>
          <w:u w:color="000000"/>
        </w:rPr>
        <w:t xml:space="preserve">2 170 368,86 </w:t>
      </w:r>
      <w:r w:rsidRPr="0055683F">
        <w:rPr>
          <w:rFonts w:ascii="Times New Roman" w:hAnsi="Times New Roman"/>
          <w:sz w:val="24"/>
          <w:u w:color="000000"/>
        </w:rPr>
        <w:t xml:space="preserve">EUR boli zrealizované do konca roka, ich úhrada v banke sa uskutočnila v januári </w:t>
      </w:r>
      <w:r w:rsidRPr="0046266F">
        <w:rPr>
          <w:rFonts w:ascii="Times New Roman" w:hAnsi="Times New Roman"/>
          <w:sz w:val="24"/>
          <w:szCs w:val="24"/>
          <w:u w:color="000000"/>
        </w:rPr>
        <w:t>2019</w:t>
      </w:r>
      <w:r w:rsidRPr="0055683F">
        <w:rPr>
          <w:rFonts w:ascii="Times New Roman" w:hAnsi="Times New Roman"/>
          <w:sz w:val="24"/>
          <w:u w:color="000000"/>
        </w:rPr>
        <w:t xml:space="preserve"> zo zdrojov správneho fondu za rok 2018. Súpis dodávateľských faktúr za uvedené akcie je súčasťou dokladovej inventarizácie záväzkov Sociálnej poisťovne, ústredie.</w:t>
      </w:r>
    </w:p>
    <w:p w:rsidR="00385B00" w:rsidRPr="0055683F" w:rsidRDefault="00385B00" w:rsidP="00385B00">
      <w:pPr>
        <w:widowControl/>
        <w:spacing w:line="360" w:lineRule="auto"/>
        <w:jc w:val="both"/>
        <w:rPr>
          <w:rFonts w:ascii="Times New Roman" w:hAnsi="Times New Roman"/>
          <w:sz w:val="24"/>
          <w:u w:color="000000"/>
        </w:rPr>
      </w:pPr>
    </w:p>
    <w:p w:rsidR="00385B00" w:rsidRPr="0055683F" w:rsidRDefault="00385B00" w:rsidP="00385B00">
      <w:pPr>
        <w:widowControl/>
        <w:spacing w:line="360" w:lineRule="auto"/>
        <w:jc w:val="both"/>
        <w:rPr>
          <w:rFonts w:ascii="Times New Roman" w:hAnsi="Times New Roman"/>
          <w:sz w:val="24"/>
          <w:u w:color="000000"/>
        </w:rPr>
      </w:pPr>
      <w:r w:rsidRPr="0055683F">
        <w:rPr>
          <w:rFonts w:ascii="Times New Roman" w:hAnsi="Times New Roman"/>
          <w:b/>
          <w:sz w:val="24"/>
          <w:u w:color="000000"/>
        </w:rPr>
        <w:tab/>
        <w:t xml:space="preserve">Úbytky </w:t>
      </w:r>
      <w:r w:rsidRPr="0055683F">
        <w:rPr>
          <w:rFonts w:ascii="Times New Roman" w:hAnsi="Times New Roman"/>
          <w:sz w:val="24"/>
          <w:u w:color="000000"/>
        </w:rPr>
        <w:t>obstaraného DLNM a DLHM v roku 2018 predstavovali sumu           4 </w:t>
      </w:r>
      <w:r w:rsidRPr="0046266F">
        <w:rPr>
          <w:rFonts w:ascii="Times New Roman" w:hAnsi="Times New Roman"/>
          <w:sz w:val="24"/>
          <w:szCs w:val="24"/>
          <w:u w:color="000000"/>
        </w:rPr>
        <w:t>546 144,20</w:t>
      </w:r>
      <w:r w:rsidRPr="0055683F">
        <w:rPr>
          <w:rFonts w:ascii="Times New Roman" w:hAnsi="Times New Roman"/>
          <w:sz w:val="24"/>
          <w:u w:color="000000"/>
        </w:rPr>
        <w:t xml:space="preserve"> EUR</w:t>
      </w:r>
      <w:r w:rsidRPr="0046266F">
        <w:rPr>
          <w:rFonts w:ascii="Times New Roman" w:hAnsi="Times New Roman"/>
          <w:sz w:val="24"/>
          <w:szCs w:val="24"/>
          <w:u w:color="000000"/>
        </w:rPr>
        <w:t xml:space="preserve"> </w:t>
      </w:r>
      <w:r w:rsidRPr="0055683F">
        <w:rPr>
          <w:rFonts w:ascii="Times New Roman" w:hAnsi="Times New Roman"/>
          <w:sz w:val="24"/>
          <w:u w:color="000000"/>
        </w:rPr>
        <w:t xml:space="preserve">. Z toho úbytky v sume </w:t>
      </w:r>
      <w:r w:rsidRPr="0046266F">
        <w:rPr>
          <w:rFonts w:ascii="Times New Roman" w:hAnsi="Times New Roman"/>
          <w:sz w:val="24"/>
          <w:szCs w:val="24"/>
          <w:u w:color="000000"/>
        </w:rPr>
        <w:t>3 723 185,48</w:t>
      </w:r>
      <w:r w:rsidRPr="0055683F">
        <w:rPr>
          <w:rFonts w:ascii="Times New Roman" w:hAnsi="Times New Roman"/>
          <w:sz w:val="24"/>
          <w:u w:color="000000"/>
        </w:rPr>
        <w:t xml:space="preserve"> EUR predstavujú hodnotu obstaraného dlhodobého majetku zaradeného do používania Sociálnej poisťovne, ústredie. </w:t>
      </w:r>
    </w:p>
    <w:p w:rsidR="00385B00" w:rsidRPr="0055683F" w:rsidRDefault="00385B00" w:rsidP="00385B00">
      <w:pPr>
        <w:widowControl/>
        <w:spacing w:line="360" w:lineRule="auto"/>
        <w:jc w:val="both"/>
        <w:rPr>
          <w:rFonts w:ascii="Times New Roman" w:hAnsi="Times New Roman"/>
          <w:sz w:val="24"/>
          <w:u w:color="000000"/>
        </w:rPr>
      </w:pPr>
    </w:p>
    <w:p w:rsidR="00385B00" w:rsidRPr="0055683F" w:rsidRDefault="00385B00" w:rsidP="00385B00">
      <w:pPr>
        <w:widowControl/>
        <w:spacing w:line="360" w:lineRule="auto"/>
        <w:rPr>
          <w:rFonts w:ascii="Times New Roman" w:hAnsi="Times New Roman"/>
          <w:sz w:val="24"/>
          <w:u w:color="000000"/>
        </w:rPr>
      </w:pPr>
      <w:r w:rsidRPr="0055683F">
        <w:rPr>
          <w:rFonts w:ascii="Times New Roman" w:hAnsi="Times New Roman"/>
          <w:sz w:val="24"/>
          <w:u w:color="000000"/>
        </w:rPr>
        <w:tab/>
        <w:t xml:space="preserve">Hodnota obstaraného DLHM zaradeného do používania v  pobočkách na základe preberacích protokolov z  ústredia v  sume  </w:t>
      </w:r>
      <w:r w:rsidRPr="0046266F">
        <w:rPr>
          <w:rFonts w:ascii="Times New Roman" w:hAnsi="Times New Roman"/>
          <w:sz w:val="24"/>
          <w:szCs w:val="24"/>
          <w:u w:color="000000"/>
        </w:rPr>
        <w:t>822 958,72</w:t>
      </w:r>
      <w:r w:rsidRPr="0055683F">
        <w:rPr>
          <w:rFonts w:ascii="Times New Roman" w:hAnsi="Times New Roman"/>
          <w:sz w:val="24"/>
          <w:u w:color="000000"/>
        </w:rPr>
        <w:t xml:space="preserve"> EUR sa člení na:</w:t>
      </w:r>
    </w:p>
    <w:p w:rsidR="00385B00" w:rsidRPr="0055683F" w:rsidRDefault="00385B00" w:rsidP="00385B00">
      <w:pPr>
        <w:pStyle w:val="Odsekzoznamu"/>
        <w:widowControl/>
        <w:numPr>
          <w:ilvl w:val="0"/>
          <w:numId w:val="51"/>
        </w:numPr>
        <w:tabs>
          <w:tab w:val="left" w:pos="567"/>
        </w:tabs>
        <w:spacing w:line="360" w:lineRule="auto"/>
        <w:rPr>
          <w:rFonts w:ascii="Times New Roman" w:hAnsi="Times New Roman"/>
          <w:sz w:val="24"/>
          <w:u w:color="000000"/>
        </w:rPr>
      </w:pPr>
      <w:r w:rsidRPr="0055683F">
        <w:rPr>
          <w:rFonts w:ascii="Times New Roman" w:hAnsi="Times New Roman"/>
          <w:sz w:val="24"/>
          <w:u w:color="000000"/>
        </w:rPr>
        <w:t>stavby</w:t>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t xml:space="preserve"> </w:t>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Pr>
          <w:rFonts w:ascii="Times New Roman" w:hAnsi="Times New Roman"/>
          <w:sz w:val="24"/>
          <w:u w:color="000000"/>
        </w:rPr>
        <w:t xml:space="preserve">         </w:t>
      </w:r>
      <w:r w:rsidRPr="0046266F">
        <w:rPr>
          <w:rFonts w:ascii="Times New Roman" w:hAnsi="Times New Roman"/>
          <w:sz w:val="24"/>
          <w:szCs w:val="24"/>
          <w:u w:color="000000"/>
        </w:rPr>
        <w:t xml:space="preserve">  </w:t>
      </w:r>
      <w:r>
        <w:rPr>
          <w:rFonts w:ascii="Times New Roman" w:hAnsi="Times New Roman"/>
          <w:sz w:val="24"/>
          <w:szCs w:val="24"/>
          <w:u w:color="000000"/>
        </w:rPr>
        <w:t xml:space="preserve">          </w:t>
      </w:r>
      <w:r w:rsidRPr="0046266F">
        <w:rPr>
          <w:rFonts w:ascii="Times New Roman" w:hAnsi="Times New Roman"/>
          <w:sz w:val="24"/>
          <w:szCs w:val="24"/>
          <w:u w:color="000000"/>
        </w:rPr>
        <w:t xml:space="preserve">  37 628,14</w:t>
      </w:r>
      <w:r w:rsidRPr="0055683F">
        <w:rPr>
          <w:rFonts w:ascii="Times New Roman" w:hAnsi="Times New Roman"/>
          <w:sz w:val="24"/>
          <w:u w:color="000000"/>
        </w:rPr>
        <w:t xml:space="preserve"> EUR</w:t>
      </w:r>
    </w:p>
    <w:p w:rsidR="00385B00" w:rsidRPr="0055683F" w:rsidRDefault="00385B00" w:rsidP="00385B00">
      <w:pPr>
        <w:pStyle w:val="Odsekzoznamu"/>
        <w:widowControl/>
        <w:numPr>
          <w:ilvl w:val="0"/>
          <w:numId w:val="51"/>
        </w:numPr>
        <w:tabs>
          <w:tab w:val="left" w:pos="567"/>
        </w:tabs>
        <w:spacing w:line="360" w:lineRule="auto"/>
        <w:rPr>
          <w:rFonts w:ascii="Times New Roman" w:hAnsi="Times New Roman"/>
          <w:sz w:val="24"/>
          <w:u w:color="000000"/>
        </w:rPr>
      </w:pPr>
      <w:r w:rsidRPr="0055683F">
        <w:rPr>
          <w:rFonts w:ascii="Times New Roman" w:hAnsi="Times New Roman"/>
          <w:sz w:val="24"/>
          <w:u w:color="000000"/>
        </w:rPr>
        <w:t>stroje, prístroje a zariadenia</w:t>
      </w:r>
      <w:r w:rsidRPr="0055683F">
        <w:rPr>
          <w:rFonts w:ascii="Times New Roman" w:hAnsi="Times New Roman"/>
          <w:sz w:val="24"/>
          <w:u w:color="000000"/>
        </w:rPr>
        <w:tab/>
      </w:r>
      <w:r w:rsidRPr="0055683F">
        <w:rPr>
          <w:rFonts w:ascii="Times New Roman" w:hAnsi="Times New Roman"/>
          <w:sz w:val="24"/>
          <w:u w:color="000000"/>
        </w:rPr>
        <w:tab/>
      </w:r>
      <w:r>
        <w:rPr>
          <w:rFonts w:ascii="Times New Roman" w:hAnsi="Times New Roman"/>
          <w:sz w:val="24"/>
          <w:u w:color="000000"/>
        </w:rPr>
        <w:tab/>
      </w:r>
      <w:r>
        <w:rPr>
          <w:rFonts w:ascii="Times New Roman" w:hAnsi="Times New Roman"/>
          <w:sz w:val="24"/>
          <w:u w:color="000000"/>
        </w:rPr>
        <w:tab/>
      </w:r>
      <w:r>
        <w:rPr>
          <w:rFonts w:ascii="Times New Roman" w:hAnsi="Times New Roman"/>
          <w:sz w:val="24"/>
          <w:u w:color="000000"/>
        </w:rPr>
        <w:tab/>
        <w:t xml:space="preserve">   </w:t>
      </w:r>
      <w:r w:rsidRPr="0046266F">
        <w:rPr>
          <w:rFonts w:ascii="Times New Roman" w:hAnsi="Times New Roman"/>
          <w:sz w:val="24"/>
          <w:szCs w:val="24"/>
          <w:u w:color="000000"/>
        </w:rPr>
        <w:t xml:space="preserve">  </w:t>
      </w:r>
      <w:r>
        <w:rPr>
          <w:rFonts w:ascii="Times New Roman" w:hAnsi="Times New Roman"/>
          <w:sz w:val="24"/>
          <w:szCs w:val="24"/>
          <w:u w:color="000000"/>
        </w:rPr>
        <w:t xml:space="preserve">  </w:t>
      </w:r>
      <w:r w:rsidRPr="0046266F">
        <w:rPr>
          <w:rFonts w:ascii="Times New Roman" w:hAnsi="Times New Roman"/>
          <w:sz w:val="24"/>
          <w:szCs w:val="24"/>
          <w:u w:color="000000"/>
        </w:rPr>
        <w:t xml:space="preserve">    </w:t>
      </w:r>
      <w:r>
        <w:rPr>
          <w:rFonts w:ascii="Times New Roman" w:hAnsi="Times New Roman"/>
          <w:sz w:val="24"/>
          <w:szCs w:val="24"/>
          <w:u w:color="000000"/>
        </w:rPr>
        <w:t xml:space="preserve">         </w:t>
      </w:r>
      <w:r w:rsidRPr="0046266F">
        <w:rPr>
          <w:rFonts w:ascii="Times New Roman" w:hAnsi="Times New Roman"/>
          <w:sz w:val="24"/>
          <w:szCs w:val="24"/>
          <w:u w:color="000000"/>
        </w:rPr>
        <w:t xml:space="preserve">  784 576,98</w:t>
      </w:r>
      <w:r w:rsidRPr="0055683F">
        <w:rPr>
          <w:rFonts w:ascii="Times New Roman" w:hAnsi="Times New Roman"/>
          <w:sz w:val="24"/>
          <w:u w:color="000000"/>
        </w:rPr>
        <w:t xml:space="preserve"> EUR</w:t>
      </w:r>
    </w:p>
    <w:p w:rsidR="00385B00" w:rsidRPr="0055683F" w:rsidRDefault="00385B00" w:rsidP="00385B00">
      <w:pPr>
        <w:pStyle w:val="Odsekzoznamu"/>
        <w:widowControl/>
        <w:numPr>
          <w:ilvl w:val="0"/>
          <w:numId w:val="51"/>
        </w:numPr>
        <w:tabs>
          <w:tab w:val="left" w:pos="567"/>
        </w:tabs>
        <w:spacing w:line="360" w:lineRule="auto"/>
        <w:rPr>
          <w:rFonts w:ascii="Times New Roman" w:hAnsi="Times New Roman"/>
          <w:sz w:val="24"/>
          <w:u w:color="000000"/>
        </w:rPr>
      </w:pPr>
      <w:r w:rsidRPr="0055683F">
        <w:rPr>
          <w:rFonts w:ascii="Times New Roman" w:hAnsi="Times New Roman"/>
          <w:sz w:val="24"/>
          <w:u w:color="000000"/>
        </w:rPr>
        <w:t xml:space="preserve">projektová dokumentácia </w:t>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sidRPr="0055683F">
        <w:rPr>
          <w:rFonts w:ascii="Times New Roman" w:hAnsi="Times New Roman"/>
          <w:sz w:val="24"/>
          <w:u w:color="000000"/>
        </w:rPr>
        <w:tab/>
      </w:r>
      <w:r>
        <w:rPr>
          <w:rFonts w:ascii="Times New Roman" w:hAnsi="Times New Roman"/>
          <w:sz w:val="24"/>
          <w:u w:color="000000"/>
        </w:rPr>
        <w:t xml:space="preserve">   </w:t>
      </w:r>
      <w:r>
        <w:rPr>
          <w:rFonts w:ascii="Times New Roman" w:hAnsi="Times New Roman"/>
          <w:sz w:val="24"/>
          <w:szCs w:val="24"/>
          <w:u w:color="000000"/>
        </w:rPr>
        <w:t xml:space="preserve">   </w:t>
      </w:r>
      <w:r w:rsidRPr="0046266F">
        <w:rPr>
          <w:rFonts w:ascii="Times New Roman" w:hAnsi="Times New Roman"/>
          <w:sz w:val="24"/>
          <w:szCs w:val="24"/>
          <w:u w:color="000000"/>
        </w:rPr>
        <w:t xml:space="preserve">   </w:t>
      </w:r>
      <w:r>
        <w:rPr>
          <w:rFonts w:ascii="Times New Roman" w:hAnsi="Times New Roman"/>
          <w:sz w:val="24"/>
          <w:szCs w:val="24"/>
          <w:u w:color="000000"/>
        </w:rPr>
        <w:t xml:space="preserve">    </w:t>
      </w:r>
      <w:r w:rsidRPr="0046266F">
        <w:rPr>
          <w:rFonts w:ascii="Times New Roman" w:hAnsi="Times New Roman"/>
          <w:sz w:val="24"/>
          <w:szCs w:val="24"/>
          <w:u w:color="000000"/>
        </w:rPr>
        <w:t xml:space="preserve">   753,60</w:t>
      </w:r>
      <w:r w:rsidRPr="0055683F">
        <w:rPr>
          <w:rFonts w:ascii="Times New Roman" w:hAnsi="Times New Roman"/>
          <w:sz w:val="24"/>
          <w:u w:color="000000"/>
        </w:rPr>
        <w:t xml:space="preserve"> EUR</w:t>
      </w:r>
    </w:p>
    <w:p w:rsidR="00385B00" w:rsidRPr="0046266F" w:rsidRDefault="00385B00" w:rsidP="00385B00">
      <w:pPr>
        <w:widowControl/>
        <w:tabs>
          <w:tab w:val="left" w:pos="567"/>
        </w:tabs>
        <w:spacing w:line="360" w:lineRule="auto"/>
        <w:ind w:left="567"/>
        <w:jc w:val="both"/>
        <w:rPr>
          <w:rFonts w:ascii="Times New Roman" w:hAnsi="Times New Roman"/>
          <w:sz w:val="24"/>
          <w:szCs w:val="24"/>
          <w:u w:color="000000"/>
        </w:rPr>
      </w:pPr>
    </w:p>
    <w:p w:rsidR="00385B00" w:rsidRPr="0055683F" w:rsidRDefault="00385B00" w:rsidP="00385B00">
      <w:pPr>
        <w:widowControl/>
        <w:spacing w:line="360" w:lineRule="auto"/>
        <w:jc w:val="both"/>
        <w:rPr>
          <w:rFonts w:ascii="Times New Roman" w:hAnsi="Times New Roman"/>
          <w:sz w:val="24"/>
          <w:u w:color="000000"/>
        </w:rPr>
      </w:pPr>
      <w:r w:rsidRPr="0046266F">
        <w:rPr>
          <w:rFonts w:ascii="Times New Roman" w:hAnsi="Times New Roman"/>
          <w:sz w:val="24"/>
          <w:szCs w:val="24"/>
          <w:u w:color="000000"/>
        </w:rPr>
        <w:t xml:space="preserve"> </w:t>
      </w:r>
      <w:r w:rsidRPr="0055683F">
        <w:rPr>
          <w:rFonts w:ascii="Times New Roman" w:hAnsi="Times New Roman"/>
          <w:sz w:val="24"/>
          <w:u w:color="000000"/>
        </w:rPr>
        <w:tab/>
        <w:t xml:space="preserve">Zostatok nezaradeného obstaraného DLNM a DLHM v hodnote </w:t>
      </w:r>
      <w:r w:rsidRPr="0046266F">
        <w:rPr>
          <w:rFonts w:ascii="Times New Roman" w:hAnsi="Times New Roman"/>
          <w:sz w:val="24"/>
          <w:szCs w:val="24"/>
          <w:u w:color="000000"/>
        </w:rPr>
        <w:t>4 572 061,43</w:t>
      </w:r>
      <w:r w:rsidRPr="0055683F">
        <w:rPr>
          <w:rFonts w:ascii="Times New Roman" w:hAnsi="Times New Roman"/>
          <w:sz w:val="24"/>
          <w:u w:color="000000"/>
        </w:rPr>
        <w:t xml:space="preserve"> EUR predstavuje vo finančnom vyjadrení objem rozpracovaných akcií pri zabezpečovaní DLNM a DLHM. Dokladová inventúra týchto položiek je súčasťou </w:t>
      </w:r>
      <w:r>
        <w:rPr>
          <w:rFonts w:ascii="Times New Roman" w:hAnsi="Times New Roman"/>
          <w:sz w:val="24"/>
          <w:u w:color="000000"/>
        </w:rPr>
        <w:t>zápisu</w:t>
      </w:r>
      <w:r w:rsidRPr="0055683F">
        <w:rPr>
          <w:rFonts w:ascii="Times New Roman" w:hAnsi="Times New Roman"/>
          <w:sz w:val="24"/>
          <w:u w:color="000000"/>
        </w:rPr>
        <w:t xml:space="preserve"> ústrednej inventarizačnej komisie Sociálnej poisťovne, ústredie.</w:t>
      </w:r>
    </w:p>
    <w:p w:rsidR="00385B00" w:rsidRPr="0055683F" w:rsidRDefault="00385B00" w:rsidP="00385B00">
      <w:pPr>
        <w:widowControl/>
        <w:spacing w:line="360" w:lineRule="auto"/>
        <w:jc w:val="both"/>
        <w:rPr>
          <w:rFonts w:ascii="Times New Roman" w:hAnsi="Times New Roman"/>
          <w:sz w:val="24"/>
          <w:u w:color="000000"/>
        </w:rPr>
      </w:pPr>
    </w:p>
    <w:p w:rsidR="00385B00" w:rsidRPr="0055683F" w:rsidRDefault="00385B00" w:rsidP="00385B00">
      <w:pPr>
        <w:widowControl/>
        <w:spacing w:line="360" w:lineRule="auto"/>
        <w:jc w:val="both"/>
        <w:rPr>
          <w:rFonts w:ascii="Times New Roman" w:hAnsi="Times New Roman"/>
          <w:sz w:val="24"/>
          <w:u w:color="000000"/>
        </w:rPr>
      </w:pPr>
      <w:r w:rsidRPr="0055683F">
        <w:rPr>
          <w:rFonts w:ascii="Times New Roman" w:hAnsi="Times New Roman"/>
          <w:b/>
          <w:sz w:val="24"/>
          <w:u w:color="000000"/>
        </w:rPr>
        <w:t xml:space="preserve">b) </w:t>
      </w:r>
      <w:r w:rsidRPr="0055683F">
        <w:rPr>
          <w:rFonts w:ascii="Times New Roman" w:hAnsi="Times New Roman"/>
          <w:b/>
          <w:sz w:val="24"/>
          <w:u w:color="000000"/>
        </w:rPr>
        <w:tab/>
        <w:t>Prehľad oprávok k dlhodobému nehmotného a dlhodobému hmotnému majetku</w:t>
      </w:r>
      <w:r w:rsidRPr="0055683F">
        <w:rPr>
          <w:rFonts w:ascii="Times New Roman" w:hAnsi="Times New Roman"/>
          <w:sz w:val="24"/>
          <w:u w:color="000000"/>
        </w:rPr>
        <w:t xml:space="preserve"> </w:t>
      </w:r>
    </w:p>
    <w:p w:rsidR="00385B00" w:rsidRPr="0055683F" w:rsidRDefault="00385B00" w:rsidP="00385B00">
      <w:pPr>
        <w:widowControl/>
        <w:ind w:firstLine="8080"/>
        <w:jc w:val="both"/>
        <w:rPr>
          <w:rFonts w:ascii="Times New Roman" w:hAnsi="Times New Roman"/>
          <w:sz w:val="24"/>
          <w:u w:color="000000"/>
        </w:rPr>
      </w:pPr>
      <w:r w:rsidRPr="0055683F">
        <w:rPr>
          <w:rFonts w:ascii="Times New Roman" w:hAnsi="Times New Roman"/>
          <w:sz w:val="24"/>
          <w:u w:color="000000"/>
        </w:rPr>
        <w:t xml:space="preserve"> v EUR</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047"/>
        <w:gridCol w:w="1701"/>
        <w:gridCol w:w="1418"/>
        <w:gridCol w:w="1559"/>
        <w:gridCol w:w="1701"/>
      </w:tblGrid>
      <w:tr w:rsidR="00385B00" w:rsidRPr="00C565E2" w:rsidTr="007379ED">
        <w:trPr>
          <w:trHeight w:val="20"/>
        </w:trPr>
        <w:tc>
          <w:tcPr>
            <w:tcW w:w="3047" w:type="dxa"/>
            <w:tcBorders>
              <w:top w:val="single" w:sz="4" w:space="0" w:color="auto"/>
              <w:bottom w:val="single" w:sz="4" w:space="0" w:color="auto"/>
              <w:right w:val="single" w:sz="4" w:space="0" w:color="auto"/>
            </w:tcBorders>
            <w:vAlign w:val="center"/>
          </w:tcPr>
          <w:p w:rsidR="00385B00" w:rsidRPr="0055683F" w:rsidRDefault="00385B00" w:rsidP="007379ED">
            <w:pPr>
              <w:widowControl/>
              <w:rPr>
                <w:rFonts w:ascii="Times New Roman" w:hAnsi="Times New Roman"/>
                <w:b/>
                <w:sz w:val="24"/>
                <w:u w:color="000000"/>
              </w:rPr>
            </w:pPr>
            <w:r w:rsidRPr="0055683F">
              <w:rPr>
                <w:rFonts w:ascii="Times New Roman" w:hAnsi="Times New Roman"/>
                <w:b/>
                <w:sz w:val="24"/>
                <w:u w:color="000000"/>
              </w:rPr>
              <w:t>Číslo účtu, druh majetku</w:t>
            </w:r>
          </w:p>
        </w:tc>
        <w:tc>
          <w:tcPr>
            <w:tcW w:w="1701"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jc w:val="center"/>
              <w:rPr>
                <w:rFonts w:ascii="Times New Roman" w:hAnsi="Times New Roman"/>
                <w:b/>
                <w:sz w:val="24"/>
                <w:u w:color="000000"/>
              </w:rPr>
            </w:pPr>
            <w:r w:rsidRPr="0055683F">
              <w:rPr>
                <w:rFonts w:ascii="Times New Roman" w:hAnsi="Times New Roman"/>
                <w:b/>
                <w:sz w:val="24"/>
                <w:u w:color="000000"/>
              </w:rPr>
              <w:t>Stav</w:t>
            </w:r>
          </w:p>
          <w:p w:rsidR="00385B00" w:rsidRPr="0055683F" w:rsidRDefault="00385B00" w:rsidP="007379ED">
            <w:pPr>
              <w:widowControl/>
              <w:jc w:val="center"/>
              <w:rPr>
                <w:rFonts w:ascii="Times New Roman" w:hAnsi="Times New Roman"/>
                <w:b/>
                <w:sz w:val="24"/>
                <w:u w:color="000000"/>
              </w:rPr>
            </w:pPr>
            <w:r w:rsidRPr="0055683F">
              <w:rPr>
                <w:rFonts w:ascii="Times New Roman" w:hAnsi="Times New Roman"/>
                <w:b/>
                <w:sz w:val="24"/>
                <w:u w:color="000000"/>
              </w:rPr>
              <w:t>k 1. 1. 2018</w:t>
            </w:r>
          </w:p>
        </w:tc>
        <w:tc>
          <w:tcPr>
            <w:tcW w:w="1418"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jc w:val="center"/>
              <w:rPr>
                <w:rFonts w:ascii="Times New Roman" w:hAnsi="Times New Roman"/>
                <w:b/>
                <w:sz w:val="24"/>
                <w:u w:color="000000"/>
              </w:rPr>
            </w:pPr>
            <w:r w:rsidRPr="0055683F">
              <w:rPr>
                <w:rFonts w:ascii="Times New Roman" w:hAnsi="Times New Roman"/>
                <w:b/>
                <w:sz w:val="24"/>
                <w:u w:color="000000"/>
              </w:rPr>
              <w:t>Prírastky</w:t>
            </w:r>
          </w:p>
        </w:tc>
        <w:tc>
          <w:tcPr>
            <w:tcW w:w="1559"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jc w:val="center"/>
              <w:rPr>
                <w:rFonts w:ascii="Times New Roman" w:hAnsi="Times New Roman"/>
                <w:b/>
                <w:sz w:val="24"/>
                <w:u w:color="000000"/>
              </w:rPr>
            </w:pPr>
            <w:r w:rsidRPr="0055683F">
              <w:rPr>
                <w:rFonts w:ascii="Times New Roman" w:hAnsi="Times New Roman"/>
                <w:b/>
                <w:sz w:val="24"/>
                <w:u w:color="000000"/>
              </w:rPr>
              <w:t>Úbytky</w:t>
            </w:r>
          </w:p>
        </w:tc>
        <w:tc>
          <w:tcPr>
            <w:tcW w:w="1701" w:type="dxa"/>
            <w:tcBorders>
              <w:top w:val="single" w:sz="4" w:space="0" w:color="auto"/>
              <w:left w:val="single" w:sz="4" w:space="0" w:color="auto"/>
              <w:bottom w:val="single" w:sz="4" w:space="0" w:color="auto"/>
            </w:tcBorders>
            <w:vAlign w:val="center"/>
          </w:tcPr>
          <w:p w:rsidR="00385B00" w:rsidRPr="0055683F" w:rsidRDefault="00385B00" w:rsidP="007379ED">
            <w:pPr>
              <w:widowControl/>
              <w:jc w:val="center"/>
              <w:rPr>
                <w:rFonts w:ascii="Times New Roman" w:hAnsi="Times New Roman"/>
                <w:b/>
                <w:sz w:val="24"/>
                <w:u w:color="000000"/>
              </w:rPr>
            </w:pPr>
            <w:r w:rsidRPr="0055683F">
              <w:rPr>
                <w:rFonts w:ascii="Times New Roman" w:hAnsi="Times New Roman"/>
                <w:b/>
                <w:sz w:val="24"/>
                <w:u w:color="000000"/>
              </w:rPr>
              <w:t>Stav</w:t>
            </w:r>
          </w:p>
          <w:p w:rsidR="00385B00" w:rsidRPr="0055683F" w:rsidRDefault="00385B00" w:rsidP="007379ED">
            <w:pPr>
              <w:widowControl/>
              <w:jc w:val="center"/>
              <w:rPr>
                <w:rFonts w:ascii="Times New Roman" w:hAnsi="Times New Roman"/>
                <w:b/>
                <w:sz w:val="24"/>
                <w:u w:color="000000"/>
              </w:rPr>
            </w:pPr>
            <w:r w:rsidRPr="0055683F">
              <w:rPr>
                <w:rFonts w:ascii="Times New Roman" w:hAnsi="Times New Roman"/>
                <w:b/>
                <w:sz w:val="24"/>
                <w:u w:color="000000"/>
              </w:rPr>
              <w:t>k 31. 12. 2018</w:t>
            </w:r>
          </w:p>
        </w:tc>
      </w:tr>
      <w:tr w:rsidR="00385B00" w:rsidRPr="00C565E2" w:rsidTr="007379ED">
        <w:trPr>
          <w:trHeight w:val="20"/>
        </w:trPr>
        <w:tc>
          <w:tcPr>
            <w:tcW w:w="3047" w:type="dxa"/>
            <w:tcBorders>
              <w:top w:val="single" w:sz="4" w:space="0" w:color="auto"/>
              <w:bottom w:val="single" w:sz="4" w:space="0" w:color="auto"/>
              <w:right w:val="single" w:sz="4" w:space="0" w:color="auto"/>
            </w:tcBorders>
            <w:vAlign w:val="center"/>
          </w:tcPr>
          <w:p w:rsidR="00385B00" w:rsidRPr="0055683F" w:rsidRDefault="00385B00" w:rsidP="007379ED">
            <w:pPr>
              <w:widowControl/>
              <w:rPr>
                <w:rFonts w:ascii="Times New Roman" w:hAnsi="Times New Roman"/>
                <w:sz w:val="24"/>
                <w:u w:color="000000"/>
              </w:rPr>
            </w:pPr>
            <w:r w:rsidRPr="0055683F">
              <w:rPr>
                <w:rFonts w:ascii="Times New Roman" w:hAnsi="Times New Roman"/>
                <w:sz w:val="24"/>
                <w:u w:color="000000"/>
              </w:rPr>
              <w:t>073 - Oprávky k softvéru</w:t>
            </w:r>
          </w:p>
        </w:tc>
        <w:tc>
          <w:tcPr>
            <w:tcW w:w="1701"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jc w:val="right"/>
              <w:rPr>
                <w:rFonts w:ascii="Times New Roman" w:hAnsi="Times New Roman"/>
                <w:sz w:val="24"/>
                <w:u w:color="000000"/>
              </w:rPr>
            </w:pPr>
            <w:r w:rsidRPr="0055683F">
              <w:rPr>
                <w:rFonts w:ascii="Times New Roman" w:hAnsi="Times New Roman"/>
                <w:sz w:val="24"/>
                <w:u w:color="000000"/>
              </w:rPr>
              <w:t>45 </w:t>
            </w:r>
            <w:r w:rsidRPr="0046266F">
              <w:rPr>
                <w:rFonts w:ascii="Times New Roman" w:hAnsi="Times New Roman"/>
                <w:sz w:val="24"/>
                <w:szCs w:val="24"/>
                <w:u w:color="000000"/>
              </w:rPr>
              <w:t>521 939,91</w:t>
            </w:r>
          </w:p>
        </w:tc>
        <w:tc>
          <w:tcPr>
            <w:tcW w:w="1418"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jc w:val="right"/>
              <w:rPr>
                <w:rFonts w:ascii="Times New Roman" w:hAnsi="Times New Roman"/>
                <w:sz w:val="24"/>
                <w:u w:color="000000"/>
              </w:rPr>
            </w:pPr>
            <w:r w:rsidRPr="0046266F">
              <w:rPr>
                <w:rFonts w:ascii="Times New Roman" w:hAnsi="Times New Roman"/>
                <w:sz w:val="24"/>
                <w:szCs w:val="24"/>
                <w:u w:color="000000"/>
              </w:rPr>
              <w:t>315 128,80</w:t>
            </w:r>
          </w:p>
        </w:tc>
        <w:tc>
          <w:tcPr>
            <w:tcW w:w="1559"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jc w:val="right"/>
              <w:rPr>
                <w:rFonts w:ascii="Times New Roman" w:hAnsi="Times New Roman"/>
                <w:sz w:val="24"/>
                <w:u w:color="000000"/>
              </w:rPr>
            </w:pPr>
            <w:r w:rsidRPr="0046266F">
              <w:rPr>
                <w:rFonts w:ascii="Times New Roman" w:hAnsi="Times New Roman"/>
                <w:sz w:val="24"/>
                <w:szCs w:val="24"/>
                <w:u w:color="000000"/>
              </w:rPr>
              <w:t>17 501,58</w:t>
            </w:r>
          </w:p>
        </w:tc>
        <w:tc>
          <w:tcPr>
            <w:tcW w:w="1701" w:type="dxa"/>
            <w:tcBorders>
              <w:top w:val="single" w:sz="4" w:space="0" w:color="auto"/>
              <w:left w:val="single" w:sz="4" w:space="0" w:color="auto"/>
              <w:bottom w:val="single" w:sz="4" w:space="0" w:color="auto"/>
            </w:tcBorders>
            <w:vAlign w:val="center"/>
          </w:tcPr>
          <w:p w:rsidR="00385B00" w:rsidRPr="0055683F" w:rsidRDefault="00385B00" w:rsidP="007379ED">
            <w:pPr>
              <w:widowControl/>
              <w:jc w:val="right"/>
              <w:rPr>
                <w:rFonts w:ascii="Times New Roman" w:hAnsi="Times New Roman"/>
                <w:sz w:val="24"/>
                <w:u w:color="000000"/>
              </w:rPr>
            </w:pPr>
            <w:r w:rsidRPr="0055683F">
              <w:rPr>
                <w:rFonts w:ascii="Times New Roman" w:hAnsi="Times New Roman"/>
                <w:sz w:val="24"/>
                <w:u w:color="000000"/>
              </w:rPr>
              <w:t>45 </w:t>
            </w:r>
            <w:r w:rsidRPr="0046266F">
              <w:rPr>
                <w:rFonts w:ascii="Times New Roman" w:hAnsi="Times New Roman"/>
                <w:sz w:val="24"/>
                <w:szCs w:val="24"/>
                <w:u w:color="000000"/>
              </w:rPr>
              <w:t>819 567,13</w:t>
            </w:r>
          </w:p>
        </w:tc>
      </w:tr>
      <w:tr w:rsidR="00385B00" w:rsidRPr="00C565E2" w:rsidTr="007379ED">
        <w:trPr>
          <w:trHeight w:val="20"/>
        </w:trPr>
        <w:tc>
          <w:tcPr>
            <w:tcW w:w="3047" w:type="dxa"/>
            <w:tcBorders>
              <w:top w:val="single" w:sz="4" w:space="0" w:color="auto"/>
              <w:bottom w:val="single" w:sz="4" w:space="0" w:color="auto"/>
              <w:right w:val="single" w:sz="4" w:space="0" w:color="auto"/>
            </w:tcBorders>
            <w:vAlign w:val="center"/>
          </w:tcPr>
          <w:p w:rsidR="00385B00" w:rsidRPr="0055683F" w:rsidRDefault="00385B00" w:rsidP="007379ED">
            <w:pPr>
              <w:widowControl/>
              <w:rPr>
                <w:rFonts w:ascii="Times New Roman" w:hAnsi="Times New Roman"/>
                <w:sz w:val="24"/>
                <w:u w:color="000000"/>
              </w:rPr>
            </w:pPr>
            <w:r w:rsidRPr="0055683F">
              <w:rPr>
                <w:rFonts w:ascii="Times New Roman" w:hAnsi="Times New Roman"/>
                <w:sz w:val="24"/>
                <w:u w:color="000000"/>
              </w:rPr>
              <w:t>081 - Oprávky k stavbám</w:t>
            </w:r>
          </w:p>
        </w:tc>
        <w:tc>
          <w:tcPr>
            <w:tcW w:w="1701"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jc w:val="right"/>
              <w:rPr>
                <w:rFonts w:ascii="Times New Roman" w:hAnsi="Times New Roman"/>
                <w:sz w:val="24"/>
                <w:u w:color="000000"/>
              </w:rPr>
            </w:pPr>
            <w:r w:rsidRPr="0046266F">
              <w:rPr>
                <w:rFonts w:ascii="Times New Roman" w:hAnsi="Times New Roman"/>
                <w:sz w:val="24"/>
                <w:szCs w:val="24"/>
                <w:u w:color="000000"/>
              </w:rPr>
              <w:t>43 337 047,53</w:t>
            </w:r>
          </w:p>
        </w:tc>
        <w:tc>
          <w:tcPr>
            <w:tcW w:w="1418"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jc w:val="right"/>
              <w:rPr>
                <w:rFonts w:ascii="Times New Roman" w:hAnsi="Times New Roman"/>
                <w:sz w:val="24"/>
                <w:u w:color="000000"/>
              </w:rPr>
            </w:pPr>
            <w:r w:rsidRPr="0046266F">
              <w:rPr>
                <w:rFonts w:ascii="Times New Roman" w:hAnsi="Times New Roman"/>
                <w:sz w:val="24"/>
                <w:szCs w:val="24"/>
                <w:u w:color="000000"/>
              </w:rPr>
              <w:t>3 060 867,09</w:t>
            </w:r>
          </w:p>
        </w:tc>
        <w:tc>
          <w:tcPr>
            <w:tcW w:w="1559"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jc w:val="right"/>
              <w:rPr>
                <w:rFonts w:ascii="Times New Roman" w:hAnsi="Times New Roman"/>
                <w:sz w:val="24"/>
                <w:u w:color="000000"/>
              </w:rPr>
            </w:pPr>
            <w:r w:rsidRPr="0046266F">
              <w:rPr>
                <w:rFonts w:ascii="Times New Roman" w:hAnsi="Times New Roman"/>
                <w:sz w:val="24"/>
                <w:szCs w:val="24"/>
                <w:u w:color="000000"/>
              </w:rPr>
              <w:t>67 433,09</w:t>
            </w:r>
          </w:p>
        </w:tc>
        <w:tc>
          <w:tcPr>
            <w:tcW w:w="1701" w:type="dxa"/>
            <w:tcBorders>
              <w:top w:val="single" w:sz="4" w:space="0" w:color="auto"/>
              <w:left w:val="single" w:sz="4" w:space="0" w:color="auto"/>
              <w:bottom w:val="single" w:sz="4" w:space="0" w:color="auto"/>
            </w:tcBorders>
            <w:vAlign w:val="center"/>
          </w:tcPr>
          <w:p w:rsidR="00385B00" w:rsidRPr="0055683F" w:rsidRDefault="00385B00" w:rsidP="007379ED">
            <w:pPr>
              <w:widowControl/>
              <w:jc w:val="right"/>
              <w:rPr>
                <w:rFonts w:ascii="Times New Roman" w:hAnsi="Times New Roman"/>
                <w:sz w:val="24"/>
                <w:u w:color="000000"/>
              </w:rPr>
            </w:pPr>
            <w:r w:rsidRPr="0046266F">
              <w:rPr>
                <w:rFonts w:ascii="Times New Roman" w:hAnsi="Times New Roman"/>
                <w:sz w:val="24"/>
                <w:szCs w:val="24"/>
                <w:u w:color="000000"/>
              </w:rPr>
              <w:t>46 330 481</w:t>
            </w:r>
            <w:r w:rsidRPr="0055683F">
              <w:rPr>
                <w:rFonts w:ascii="Times New Roman" w:hAnsi="Times New Roman"/>
                <w:sz w:val="24"/>
                <w:u w:color="000000"/>
              </w:rPr>
              <w:t>,53</w:t>
            </w:r>
          </w:p>
        </w:tc>
      </w:tr>
      <w:tr w:rsidR="00385B00" w:rsidRPr="00C565E2" w:rsidTr="007379ED">
        <w:trPr>
          <w:trHeight w:val="20"/>
        </w:trPr>
        <w:tc>
          <w:tcPr>
            <w:tcW w:w="3047" w:type="dxa"/>
            <w:tcBorders>
              <w:top w:val="single" w:sz="4" w:space="0" w:color="auto"/>
              <w:bottom w:val="single" w:sz="4" w:space="0" w:color="auto"/>
              <w:right w:val="single" w:sz="4" w:space="0" w:color="auto"/>
            </w:tcBorders>
            <w:vAlign w:val="center"/>
          </w:tcPr>
          <w:p w:rsidR="00385B00" w:rsidRPr="0055683F" w:rsidRDefault="00385B00" w:rsidP="007379ED">
            <w:pPr>
              <w:widowControl/>
              <w:rPr>
                <w:rFonts w:ascii="Times New Roman" w:hAnsi="Times New Roman"/>
                <w:sz w:val="24"/>
                <w:u w:color="000000"/>
              </w:rPr>
            </w:pPr>
            <w:r w:rsidRPr="0055683F">
              <w:rPr>
                <w:rFonts w:ascii="Times New Roman" w:hAnsi="Times New Roman"/>
                <w:sz w:val="24"/>
                <w:u w:color="000000"/>
              </w:rPr>
              <w:t>082 - Oprávky k strojom, prístrojom a zariadeniam</w:t>
            </w:r>
          </w:p>
        </w:tc>
        <w:tc>
          <w:tcPr>
            <w:tcW w:w="1701"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jc w:val="right"/>
              <w:rPr>
                <w:rFonts w:ascii="Times New Roman" w:hAnsi="Times New Roman"/>
                <w:sz w:val="24"/>
                <w:u w:color="000000"/>
              </w:rPr>
            </w:pPr>
            <w:r w:rsidRPr="0055683F">
              <w:rPr>
                <w:rFonts w:ascii="Times New Roman" w:hAnsi="Times New Roman"/>
                <w:sz w:val="24"/>
                <w:u w:color="000000"/>
              </w:rPr>
              <w:t>37 534 692,07</w:t>
            </w:r>
          </w:p>
        </w:tc>
        <w:tc>
          <w:tcPr>
            <w:tcW w:w="1418"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jc w:val="right"/>
              <w:rPr>
                <w:rFonts w:ascii="Times New Roman" w:hAnsi="Times New Roman"/>
                <w:sz w:val="24"/>
                <w:u w:color="000000"/>
              </w:rPr>
            </w:pPr>
            <w:r w:rsidRPr="0055683F">
              <w:rPr>
                <w:rFonts w:ascii="Times New Roman" w:hAnsi="Times New Roman"/>
                <w:sz w:val="24"/>
                <w:u w:color="000000"/>
              </w:rPr>
              <w:t>3 </w:t>
            </w:r>
            <w:r w:rsidRPr="0046266F">
              <w:rPr>
                <w:rFonts w:ascii="Times New Roman" w:hAnsi="Times New Roman"/>
                <w:sz w:val="24"/>
                <w:szCs w:val="24"/>
                <w:u w:color="000000"/>
              </w:rPr>
              <w:t>132 899,78</w:t>
            </w:r>
          </w:p>
        </w:tc>
        <w:tc>
          <w:tcPr>
            <w:tcW w:w="1559"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jc w:val="right"/>
              <w:rPr>
                <w:rFonts w:ascii="Times New Roman" w:hAnsi="Times New Roman"/>
                <w:sz w:val="24"/>
                <w:u w:color="000000"/>
              </w:rPr>
            </w:pPr>
            <w:r w:rsidRPr="0055683F">
              <w:rPr>
                <w:rFonts w:ascii="Times New Roman" w:hAnsi="Times New Roman"/>
                <w:sz w:val="24"/>
                <w:u w:color="000000"/>
              </w:rPr>
              <w:t>1 </w:t>
            </w:r>
            <w:r w:rsidRPr="0046266F">
              <w:rPr>
                <w:rFonts w:ascii="Times New Roman" w:hAnsi="Times New Roman"/>
                <w:sz w:val="24"/>
                <w:szCs w:val="24"/>
                <w:u w:color="000000"/>
              </w:rPr>
              <w:t>942 627,93</w:t>
            </w:r>
          </w:p>
        </w:tc>
        <w:tc>
          <w:tcPr>
            <w:tcW w:w="1701" w:type="dxa"/>
            <w:tcBorders>
              <w:top w:val="single" w:sz="4" w:space="0" w:color="auto"/>
              <w:left w:val="single" w:sz="4" w:space="0" w:color="auto"/>
              <w:bottom w:val="single" w:sz="4" w:space="0" w:color="auto"/>
            </w:tcBorders>
            <w:vAlign w:val="center"/>
          </w:tcPr>
          <w:p w:rsidR="00385B00" w:rsidRPr="0055683F" w:rsidRDefault="00385B00" w:rsidP="007379ED">
            <w:pPr>
              <w:widowControl/>
              <w:jc w:val="right"/>
              <w:rPr>
                <w:rFonts w:ascii="Times New Roman" w:hAnsi="Times New Roman"/>
                <w:sz w:val="24"/>
                <w:u w:color="000000"/>
              </w:rPr>
            </w:pPr>
            <w:r w:rsidRPr="0046266F">
              <w:rPr>
                <w:rFonts w:ascii="Times New Roman" w:hAnsi="Times New Roman"/>
                <w:sz w:val="24"/>
                <w:szCs w:val="24"/>
                <w:u w:color="000000"/>
              </w:rPr>
              <w:t>38 724 963,92</w:t>
            </w:r>
          </w:p>
        </w:tc>
      </w:tr>
      <w:tr w:rsidR="00385B00" w:rsidRPr="00C565E2" w:rsidTr="007379ED">
        <w:trPr>
          <w:trHeight w:val="20"/>
        </w:trPr>
        <w:tc>
          <w:tcPr>
            <w:tcW w:w="3047" w:type="dxa"/>
            <w:tcBorders>
              <w:top w:val="single" w:sz="4" w:space="0" w:color="auto"/>
              <w:bottom w:val="single" w:sz="4" w:space="0" w:color="auto"/>
              <w:right w:val="single" w:sz="4" w:space="0" w:color="auto"/>
            </w:tcBorders>
            <w:vAlign w:val="center"/>
          </w:tcPr>
          <w:p w:rsidR="00385B00" w:rsidRPr="0055683F" w:rsidRDefault="00385B00" w:rsidP="007379ED">
            <w:pPr>
              <w:widowControl/>
              <w:rPr>
                <w:rFonts w:ascii="Times New Roman" w:hAnsi="Times New Roman"/>
                <w:sz w:val="24"/>
                <w:u w:color="000000"/>
              </w:rPr>
            </w:pPr>
            <w:r w:rsidRPr="0055683F">
              <w:rPr>
                <w:rFonts w:ascii="Times New Roman" w:hAnsi="Times New Roman"/>
                <w:sz w:val="24"/>
                <w:u w:color="000000"/>
              </w:rPr>
              <w:t>083 - Oprávky k</w:t>
            </w:r>
          </w:p>
          <w:p w:rsidR="00385B00" w:rsidRPr="0055683F" w:rsidRDefault="00385B00" w:rsidP="007379ED">
            <w:pPr>
              <w:widowControl/>
              <w:rPr>
                <w:rFonts w:ascii="Times New Roman" w:hAnsi="Times New Roman"/>
                <w:sz w:val="24"/>
                <w:u w:color="000000"/>
              </w:rPr>
            </w:pPr>
            <w:r w:rsidRPr="0055683F">
              <w:rPr>
                <w:rFonts w:ascii="Times New Roman" w:hAnsi="Times New Roman"/>
                <w:sz w:val="24"/>
                <w:u w:color="000000"/>
              </w:rPr>
              <w:t>dopravným zariadeniam</w:t>
            </w:r>
          </w:p>
        </w:tc>
        <w:tc>
          <w:tcPr>
            <w:tcW w:w="1701"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jc w:val="right"/>
              <w:rPr>
                <w:rFonts w:ascii="Times New Roman" w:hAnsi="Times New Roman"/>
                <w:sz w:val="24"/>
                <w:u w:color="000000"/>
              </w:rPr>
            </w:pPr>
            <w:r w:rsidRPr="0055683F">
              <w:rPr>
                <w:rFonts w:ascii="Times New Roman" w:hAnsi="Times New Roman"/>
                <w:sz w:val="24"/>
                <w:u w:color="000000"/>
              </w:rPr>
              <w:t>1 </w:t>
            </w:r>
            <w:r w:rsidRPr="0046266F">
              <w:rPr>
                <w:rFonts w:ascii="Times New Roman" w:hAnsi="Times New Roman"/>
                <w:sz w:val="24"/>
                <w:szCs w:val="24"/>
                <w:u w:color="000000"/>
              </w:rPr>
              <w:t>583 505,29</w:t>
            </w:r>
          </w:p>
        </w:tc>
        <w:tc>
          <w:tcPr>
            <w:tcW w:w="1418"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jc w:val="right"/>
              <w:rPr>
                <w:rFonts w:ascii="Times New Roman" w:hAnsi="Times New Roman"/>
                <w:sz w:val="24"/>
                <w:u w:color="000000"/>
              </w:rPr>
            </w:pPr>
            <w:r w:rsidRPr="0046266F">
              <w:rPr>
                <w:rFonts w:ascii="Times New Roman" w:hAnsi="Times New Roman"/>
                <w:sz w:val="24"/>
                <w:szCs w:val="24"/>
                <w:u w:color="000000"/>
              </w:rPr>
              <w:t>252 750,75</w:t>
            </w:r>
          </w:p>
        </w:tc>
        <w:tc>
          <w:tcPr>
            <w:tcW w:w="1559"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jc w:val="right"/>
              <w:rPr>
                <w:rFonts w:ascii="Times New Roman" w:hAnsi="Times New Roman"/>
                <w:sz w:val="24"/>
                <w:u w:color="000000"/>
              </w:rPr>
            </w:pPr>
            <w:r w:rsidRPr="0046266F">
              <w:rPr>
                <w:rFonts w:ascii="Times New Roman" w:hAnsi="Times New Roman"/>
                <w:sz w:val="24"/>
                <w:szCs w:val="24"/>
                <w:u w:color="000000"/>
              </w:rPr>
              <w:t>84 411,48</w:t>
            </w:r>
          </w:p>
        </w:tc>
        <w:tc>
          <w:tcPr>
            <w:tcW w:w="1701" w:type="dxa"/>
            <w:tcBorders>
              <w:top w:val="single" w:sz="4" w:space="0" w:color="auto"/>
              <w:left w:val="single" w:sz="4" w:space="0" w:color="auto"/>
              <w:bottom w:val="single" w:sz="4" w:space="0" w:color="auto"/>
            </w:tcBorders>
            <w:vAlign w:val="center"/>
          </w:tcPr>
          <w:p w:rsidR="00385B00" w:rsidRPr="0055683F" w:rsidRDefault="00385B00" w:rsidP="007379ED">
            <w:pPr>
              <w:widowControl/>
              <w:jc w:val="right"/>
              <w:rPr>
                <w:rFonts w:ascii="Times New Roman" w:hAnsi="Times New Roman"/>
                <w:sz w:val="24"/>
                <w:u w:color="000000"/>
              </w:rPr>
            </w:pPr>
            <w:r w:rsidRPr="0055683F">
              <w:rPr>
                <w:rFonts w:ascii="Times New Roman" w:hAnsi="Times New Roman"/>
                <w:sz w:val="24"/>
                <w:u w:color="000000"/>
              </w:rPr>
              <w:t>1 </w:t>
            </w:r>
            <w:r w:rsidRPr="0046266F">
              <w:rPr>
                <w:rFonts w:ascii="Times New Roman" w:hAnsi="Times New Roman"/>
                <w:sz w:val="24"/>
                <w:szCs w:val="24"/>
                <w:u w:color="000000"/>
              </w:rPr>
              <w:t>751 844,56</w:t>
            </w:r>
          </w:p>
        </w:tc>
      </w:tr>
      <w:tr w:rsidR="00385B00" w:rsidRPr="00C565E2" w:rsidTr="007379ED">
        <w:trPr>
          <w:trHeight w:val="20"/>
        </w:trPr>
        <w:tc>
          <w:tcPr>
            <w:tcW w:w="3047" w:type="dxa"/>
            <w:tcBorders>
              <w:top w:val="single" w:sz="4" w:space="0" w:color="auto"/>
              <w:bottom w:val="single" w:sz="4" w:space="0" w:color="auto"/>
              <w:right w:val="single" w:sz="4" w:space="0" w:color="auto"/>
            </w:tcBorders>
            <w:vAlign w:val="center"/>
          </w:tcPr>
          <w:p w:rsidR="00385B00" w:rsidRPr="0055683F" w:rsidRDefault="00385B00" w:rsidP="007379ED">
            <w:pPr>
              <w:widowControl/>
              <w:rPr>
                <w:rFonts w:ascii="Times New Roman" w:hAnsi="Times New Roman"/>
                <w:b/>
                <w:sz w:val="24"/>
                <w:u w:color="000000"/>
              </w:rPr>
            </w:pPr>
            <w:r w:rsidRPr="0055683F">
              <w:rPr>
                <w:rFonts w:ascii="Times New Roman" w:hAnsi="Times New Roman"/>
                <w:b/>
                <w:sz w:val="24"/>
                <w:u w:color="000000"/>
              </w:rPr>
              <w:t>Oprávky k DLNM a DLHM spolu</w:t>
            </w:r>
          </w:p>
        </w:tc>
        <w:tc>
          <w:tcPr>
            <w:tcW w:w="1701"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jc w:val="right"/>
              <w:rPr>
                <w:rFonts w:ascii="Times New Roman" w:hAnsi="Times New Roman"/>
                <w:b/>
                <w:sz w:val="24"/>
                <w:u w:color="000000"/>
              </w:rPr>
            </w:pPr>
            <w:r w:rsidRPr="0046266F">
              <w:rPr>
                <w:rFonts w:ascii="Times New Roman" w:hAnsi="Times New Roman"/>
                <w:b/>
                <w:bCs/>
                <w:sz w:val="24"/>
                <w:szCs w:val="24"/>
                <w:u w:color="000000"/>
              </w:rPr>
              <w:t>127 977 184,80</w:t>
            </w:r>
          </w:p>
        </w:tc>
        <w:tc>
          <w:tcPr>
            <w:tcW w:w="1418"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jc w:val="right"/>
              <w:rPr>
                <w:rFonts w:ascii="Times New Roman" w:hAnsi="Times New Roman"/>
                <w:b/>
                <w:sz w:val="24"/>
                <w:u w:color="000000"/>
              </w:rPr>
            </w:pPr>
            <w:r w:rsidRPr="0046266F">
              <w:rPr>
                <w:rFonts w:ascii="Times New Roman" w:hAnsi="Times New Roman"/>
                <w:b/>
                <w:bCs/>
                <w:sz w:val="24"/>
                <w:szCs w:val="24"/>
                <w:u w:color="000000"/>
              </w:rPr>
              <w:t>6 761 646,42</w:t>
            </w:r>
          </w:p>
        </w:tc>
        <w:tc>
          <w:tcPr>
            <w:tcW w:w="1559"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jc w:val="right"/>
              <w:rPr>
                <w:rFonts w:ascii="Times New Roman" w:hAnsi="Times New Roman"/>
                <w:b/>
                <w:sz w:val="24"/>
                <w:u w:color="000000"/>
              </w:rPr>
            </w:pPr>
            <w:r w:rsidRPr="0046266F">
              <w:rPr>
                <w:rFonts w:ascii="Times New Roman" w:hAnsi="Times New Roman"/>
                <w:b/>
                <w:bCs/>
                <w:sz w:val="24"/>
                <w:szCs w:val="24"/>
                <w:u w:color="000000"/>
              </w:rPr>
              <w:t>2 111 974,08</w:t>
            </w:r>
          </w:p>
        </w:tc>
        <w:tc>
          <w:tcPr>
            <w:tcW w:w="1701" w:type="dxa"/>
            <w:tcBorders>
              <w:top w:val="single" w:sz="4" w:space="0" w:color="auto"/>
              <w:left w:val="single" w:sz="4" w:space="0" w:color="auto"/>
              <w:bottom w:val="single" w:sz="4" w:space="0" w:color="auto"/>
            </w:tcBorders>
            <w:vAlign w:val="center"/>
          </w:tcPr>
          <w:p w:rsidR="00385B00" w:rsidRPr="0055683F" w:rsidRDefault="00385B00" w:rsidP="007379ED">
            <w:pPr>
              <w:widowControl/>
              <w:jc w:val="right"/>
              <w:rPr>
                <w:rFonts w:ascii="Times New Roman" w:hAnsi="Times New Roman"/>
                <w:b/>
                <w:sz w:val="24"/>
                <w:u w:color="000000"/>
              </w:rPr>
            </w:pPr>
            <w:r w:rsidRPr="0046266F">
              <w:rPr>
                <w:rFonts w:ascii="Times New Roman" w:hAnsi="Times New Roman"/>
                <w:b/>
                <w:bCs/>
                <w:sz w:val="24"/>
                <w:szCs w:val="24"/>
                <w:u w:color="000000"/>
              </w:rPr>
              <w:t>132 626 857,14</w:t>
            </w:r>
          </w:p>
        </w:tc>
      </w:tr>
    </w:tbl>
    <w:p w:rsidR="00385B00" w:rsidRPr="0055683F" w:rsidRDefault="00385B00" w:rsidP="00385B00">
      <w:pPr>
        <w:widowControl/>
        <w:spacing w:line="360" w:lineRule="auto"/>
        <w:jc w:val="both"/>
        <w:rPr>
          <w:rFonts w:ascii="Times New Roman" w:hAnsi="Times New Roman"/>
          <w:sz w:val="24"/>
          <w:u w:color="000000"/>
        </w:rPr>
      </w:pPr>
      <w:r w:rsidRPr="0055683F">
        <w:rPr>
          <w:rFonts w:ascii="Times New Roman" w:hAnsi="Times New Roman"/>
          <w:sz w:val="24"/>
          <w:u w:color="000000"/>
        </w:rPr>
        <w:tab/>
      </w:r>
    </w:p>
    <w:p w:rsidR="00385B00" w:rsidRPr="0055683F" w:rsidRDefault="00385B00" w:rsidP="00385B00">
      <w:pPr>
        <w:widowControl/>
        <w:spacing w:line="360" w:lineRule="auto"/>
        <w:ind w:firstLine="510"/>
        <w:jc w:val="both"/>
        <w:rPr>
          <w:rFonts w:ascii="Times New Roman" w:hAnsi="Times New Roman"/>
          <w:sz w:val="24"/>
          <w:u w:color="000000"/>
        </w:rPr>
      </w:pPr>
      <w:r w:rsidRPr="0055683F">
        <w:rPr>
          <w:rFonts w:ascii="Times New Roman" w:hAnsi="Times New Roman"/>
          <w:sz w:val="24"/>
          <w:u w:color="000000"/>
        </w:rPr>
        <w:t>Položky znižujúce oprávky k DLNM a DLHM tvoria úbytky oprávok vo výške zostatkovej ceny dlhodobého majetku pri jeho vyradení z používania z dôvodu predaja a likvidácie.</w:t>
      </w:r>
    </w:p>
    <w:p w:rsidR="00385B00" w:rsidRPr="0055683F" w:rsidRDefault="00385B00" w:rsidP="00385B00">
      <w:pPr>
        <w:widowControl/>
        <w:spacing w:line="360" w:lineRule="auto"/>
        <w:ind w:firstLine="708"/>
        <w:jc w:val="both"/>
        <w:rPr>
          <w:rFonts w:ascii="Times New Roman" w:hAnsi="Times New Roman"/>
          <w:sz w:val="24"/>
          <w:u w:color="000000"/>
        </w:rPr>
      </w:pPr>
    </w:p>
    <w:p w:rsidR="00385B00" w:rsidRPr="0055683F" w:rsidRDefault="00385B00" w:rsidP="00385B00">
      <w:pPr>
        <w:widowControl/>
        <w:spacing w:line="360" w:lineRule="auto"/>
        <w:jc w:val="both"/>
        <w:rPr>
          <w:rFonts w:ascii="Times New Roman" w:hAnsi="Times New Roman"/>
          <w:b/>
          <w:sz w:val="24"/>
          <w:u w:color="000000"/>
        </w:rPr>
      </w:pPr>
      <w:r w:rsidRPr="0055683F">
        <w:rPr>
          <w:rFonts w:ascii="Times New Roman" w:hAnsi="Times New Roman"/>
          <w:b/>
          <w:sz w:val="24"/>
          <w:u w:color="000000"/>
        </w:rPr>
        <w:t>c)</w:t>
      </w:r>
      <w:r w:rsidRPr="0055683F">
        <w:rPr>
          <w:rFonts w:ascii="Times New Roman" w:hAnsi="Times New Roman"/>
          <w:sz w:val="24"/>
          <w:u w:color="000000"/>
        </w:rPr>
        <w:t xml:space="preserve"> </w:t>
      </w:r>
      <w:r w:rsidRPr="0055683F">
        <w:rPr>
          <w:rFonts w:ascii="Times New Roman" w:hAnsi="Times New Roman"/>
          <w:sz w:val="24"/>
          <w:u w:color="000000"/>
        </w:rPr>
        <w:tab/>
      </w:r>
      <w:r w:rsidRPr="0055683F">
        <w:rPr>
          <w:rFonts w:ascii="Times New Roman" w:hAnsi="Times New Roman"/>
          <w:b/>
          <w:sz w:val="24"/>
          <w:u w:color="000000"/>
        </w:rPr>
        <w:t>Prehľad o zostatkových cenách dlhodobého majetku na začiatku bežného účtovného obdobia a na konci bežného účtovného obdobia</w:t>
      </w:r>
    </w:p>
    <w:p w:rsidR="00385B00" w:rsidRPr="0055683F" w:rsidRDefault="00385B00" w:rsidP="00385B00">
      <w:pPr>
        <w:widowControl/>
        <w:ind w:firstLine="8222"/>
        <w:jc w:val="both"/>
        <w:rPr>
          <w:rFonts w:ascii="Times New Roman" w:hAnsi="Times New Roman"/>
          <w:sz w:val="24"/>
          <w:u w:color="000000"/>
        </w:rPr>
      </w:pPr>
      <w:r w:rsidRPr="0055683F">
        <w:rPr>
          <w:rFonts w:ascii="Times New Roman" w:hAnsi="Times New Roman"/>
          <w:sz w:val="24"/>
          <w:u w:color="000000"/>
        </w:rPr>
        <w:t>v EUR</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3118"/>
        <w:gridCol w:w="2835"/>
      </w:tblGrid>
      <w:tr w:rsidR="00385B00" w:rsidRPr="00C565E2" w:rsidTr="007379ED">
        <w:trPr>
          <w:trHeight w:val="20"/>
        </w:trPr>
        <w:tc>
          <w:tcPr>
            <w:tcW w:w="3119" w:type="dxa"/>
            <w:vMerge w:val="restart"/>
            <w:tcBorders>
              <w:top w:val="single" w:sz="4" w:space="0" w:color="auto"/>
              <w:bottom w:val="single" w:sz="4" w:space="0" w:color="auto"/>
              <w:right w:val="single" w:sz="4" w:space="0" w:color="auto"/>
            </w:tcBorders>
            <w:vAlign w:val="center"/>
          </w:tcPr>
          <w:p w:rsidR="00385B00" w:rsidRPr="0055683F" w:rsidRDefault="00385B00" w:rsidP="007379ED">
            <w:pPr>
              <w:widowControl/>
              <w:jc w:val="both"/>
              <w:rPr>
                <w:rFonts w:ascii="Times New Roman" w:hAnsi="Times New Roman"/>
                <w:b/>
                <w:sz w:val="24"/>
                <w:u w:color="000000"/>
              </w:rPr>
            </w:pPr>
            <w:r w:rsidRPr="0055683F">
              <w:rPr>
                <w:rFonts w:ascii="Times New Roman" w:hAnsi="Times New Roman"/>
                <w:b/>
                <w:sz w:val="24"/>
                <w:u w:color="000000"/>
              </w:rPr>
              <w:t>Druh majetku</w:t>
            </w:r>
          </w:p>
        </w:tc>
        <w:tc>
          <w:tcPr>
            <w:tcW w:w="5953" w:type="dxa"/>
            <w:gridSpan w:val="2"/>
            <w:tcBorders>
              <w:top w:val="single" w:sz="4" w:space="0" w:color="auto"/>
              <w:left w:val="single" w:sz="4" w:space="0" w:color="auto"/>
              <w:bottom w:val="single" w:sz="4" w:space="0" w:color="auto"/>
            </w:tcBorders>
            <w:vAlign w:val="center"/>
          </w:tcPr>
          <w:p w:rsidR="00385B00" w:rsidRPr="0055683F" w:rsidRDefault="00385B00" w:rsidP="007379ED">
            <w:pPr>
              <w:widowControl/>
              <w:jc w:val="center"/>
              <w:rPr>
                <w:rFonts w:ascii="Times New Roman" w:hAnsi="Times New Roman"/>
                <w:b/>
                <w:position w:val="-6"/>
                <w:sz w:val="24"/>
                <w:u w:color="000000"/>
              </w:rPr>
            </w:pPr>
            <w:r w:rsidRPr="0055683F">
              <w:rPr>
                <w:rFonts w:ascii="Times New Roman" w:hAnsi="Times New Roman"/>
                <w:b/>
                <w:position w:val="-6"/>
                <w:sz w:val="24"/>
                <w:u w:color="000000"/>
              </w:rPr>
              <w:t>Zostatkové hodnota k 31. 12. 2018</w:t>
            </w:r>
          </w:p>
        </w:tc>
      </w:tr>
      <w:tr w:rsidR="00385B00" w:rsidRPr="00C565E2" w:rsidTr="007379ED">
        <w:trPr>
          <w:trHeight w:val="20"/>
        </w:trPr>
        <w:tc>
          <w:tcPr>
            <w:tcW w:w="3119" w:type="dxa"/>
            <w:vMerge/>
            <w:tcBorders>
              <w:top w:val="single" w:sz="4" w:space="0" w:color="auto"/>
              <w:bottom w:val="single" w:sz="4" w:space="0" w:color="auto"/>
              <w:right w:val="single" w:sz="4" w:space="0" w:color="auto"/>
            </w:tcBorders>
            <w:vAlign w:val="center"/>
          </w:tcPr>
          <w:p w:rsidR="00385B00" w:rsidRPr="0055683F" w:rsidRDefault="00385B00" w:rsidP="007379ED">
            <w:pPr>
              <w:widowControl/>
              <w:jc w:val="both"/>
              <w:rPr>
                <w:rFonts w:ascii="Times New Roman" w:hAnsi="Times New Roman"/>
                <w:sz w:val="24"/>
                <w:u w:color="000000"/>
              </w:rPr>
            </w:pPr>
          </w:p>
        </w:tc>
        <w:tc>
          <w:tcPr>
            <w:tcW w:w="3118"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jc w:val="center"/>
              <w:rPr>
                <w:rFonts w:ascii="Times New Roman" w:hAnsi="Times New Roman"/>
                <w:b/>
                <w:position w:val="-6"/>
                <w:sz w:val="24"/>
                <w:u w:color="000000"/>
              </w:rPr>
            </w:pPr>
            <w:r w:rsidRPr="0055683F">
              <w:rPr>
                <w:rFonts w:ascii="Times New Roman" w:hAnsi="Times New Roman"/>
                <w:b/>
                <w:position w:val="-6"/>
                <w:sz w:val="24"/>
                <w:u w:color="000000"/>
              </w:rPr>
              <w:t>Stav na začiatku bežného účtovného obdobia</w:t>
            </w:r>
          </w:p>
        </w:tc>
        <w:tc>
          <w:tcPr>
            <w:tcW w:w="2835" w:type="dxa"/>
            <w:tcBorders>
              <w:top w:val="single" w:sz="4" w:space="0" w:color="auto"/>
              <w:left w:val="single" w:sz="4" w:space="0" w:color="auto"/>
              <w:bottom w:val="single" w:sz="4" w:space="0" w:color="auto"/>
            </w:tcBorders>
            <w:vAlign w:val="center"/>
          </w:tcPr>
          <w:p w:rsidR="00385B00" w:rsidRPr="0055683F" w:rsidRDefault="00385B00" w:rsidP="007379ED">
            <w:pPr>
              <w:widowControl/>
              <w:jc w:val="center"/>
              <w:rPr>
                <w:rFonts w:ascii="Times New Roman" w:hAnsi="Times New Roman"/>
                <w:b/>
                <w:position w:val="-6"/>
                <w:sz w:val="24"/>
                <w:u w:color="000000"/>
              </w:rPr>
            </w:pPr>
            <w:r w:rsidRPr="0055683F">
              <w:rPr>
                <w:rFonts w:ascii="Times New Roman" w:hAnsi="Times New Roman"/>
                <w:b/>
                <w:position w:val="-6"/>
                <w:sz w:val="24"/>
                <w:u w:color="000000"/>
              </w:rPr>
              <w:t>Stav na konci bežného účtovného obdobia</w:t>
            </w:r>
          </w:p>
        </w:tc>
      </w:tr>
      <w:tr w:rsidR="00385B00" w:rsidRPr="00C565E2" w:rsidTr="007379ED">
        <w:trPr>
          <w:trHeight w:val="20"/>
        </w:trPr>
        <w:tc>
          <w:tcPr>
            <w:tcW w:w="3119" w:type="dxa"/>
            <w:tcBorders>
              <w:top w:val="single" w:sz="4" w:space="0" w:color="auto"/>
              <w:bottom w:val="single" w:sz="4" w:space="0" w:color="auto"/>
              <w:right w:val="single" w:sz="4" w:space="0" w:color="auto"/>
            </w:tcBorders>
            <w:vAlign w:val="center"/>
          </w:tcPr>
          <w:p w:rsidR="00385B00" w:rsidRPr="0055683F" w:rsidRDefault="00385B00" w:rsidP="007379ED">
            <w:pPr>
              <w:widowControl/>
              <w:jc w:val="both"/>
              <w:rPr>
                <w:rFonts w:ascii="Times New Roman" w:hAnsi="Times New Roman"/>
                <w:sz w:val="24"/>
                <w:u w:color="000000"/>
              </w:rPr>
            </w:pPr>
            <w:r w:rsidRPr="0055683F">
              <w:rPr>
                <w:rFonts w:ascii="Times New Roman" w:hAnsi="Times New Roman"/>
                <w:sz w:val="24"/>
                <w:u w:color="000000"/>
              </w:rPr>
              <w:t>Softvér</w:t>
            </w:r>
          </w:p>
        </w:tc>
        <w:tc>
          <w:tcPr>
            <w:tcW w:w="3118"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ind w:right="214"/>
              <w:jc w:val="right"/>
              <w:rPr>
                <w:rFonts w:ascii="Times New Roman" w:hAnsi="Times New Roman"/>
                <w:sz w:val="24"/>
                <w:u w:color="000000"/>
              </w:rPr>
            </w:pPr>
            <w:r w:rsidRPr="0055683F">
              <w:rPr>
                <w:rFonts w:ascii="Times New Roman" w:hAnsi="Times New Roman"/>
                <w:sz w:val="24"/>
                <w:u w:color="000000"/>
              </w:rPr>
              <w:t>45 </w:t>
            </w:r>
            <w:r w:rsidRPr="0046266F">
              <w:rPr>
                <w:rFonts w:ascii="Times New Roman" w:hAnsi="Times New Roman"/>
                <w:sz w:val="24"/>
                <w:szCs w:val="24"/>
                <w:u w:color="000000"/>
              </w:rPr>
              <w:t>968 596,53</w:t>
            </w:r>
          </w:p>
        </w:tc>
        <w:tc>
          <w:tcPr>
            <w:tcW w:w="2835" w:type="dxa"/>
            <w:tcBorders>
              <w:top w:val="single" w:sz="4" w:space="0" w:color="auto"/>
              <w:left w:val="single" w:sz="4" w:space="0" w:color="auto"/>
              <w:bottom w:val="single" w:sz="4" w:space="0" w:color="auto"/>
            </w:tcBorders>
            <w:vAlign w:val="center"/>
          </w:tcPr>
          <w:p w:rsidR="00385B00" w:rsidRPr="0055683F" w:rsidRDefault="00385B00" w:rsidP="007379ED">
            <w:pPr>
              <w:widowControl/>
              <w:ind w:right="213"/>
              <w:jc w:val="right"/>
              <w:rPr>
                <w:rFonts w:ascii="Times New Roman" w:hAnsi="Times New Roman"/>
                <w:sz w:val="24"/>
                <w:u w:color="000000"/>
              </w:rPr>
            </w:pPr>
            <w:r w:rsidRPr="0046266F">
              <w:rPr>
                <w:rFonts w:ascii="Times New Roman" w:hAnsi="Times New Roman"/>
                <w:sz w:val="24"/>
                <w:szCs w:val="24"/>
                <w:u w:color="000000"/>
              </w:rPr>
              <w:t>46 753 330,61</w:t>
            </w:r>
          </w:p>
        </w:tc>
      </w:tr>
      <w:tr w:rsidR="00385B00" w:rsidRPr="00C565E2" w:rsidTr="007379ED">
        <w:trPr>
          <w:trHeight w:val="20"/>
        </w:trPr>
        <w:tc>
          <w:tcPr>
            <w:tcW w:w="3119" w:type="dxa"/>
            <w:tcBorders>
              <w:top w:val="single" w:sz="4" w:space="0" w:color="auto"/>
              <w:bottom w:val="single" w:sz="4" w:space="0" w:color="auto"/>
              <w:right w:val="single" w:sz="4" w:space="0" w:color="auto"/>
            </w:tcBorders>
            <w:vAlign w:val="center"/>
          </w:tcPr>
          <w:p w:rsidR="00385B00" w:rsidRPr="0055683F" w:rsidRDefault="00385B00" w:rsidP="007379ED">
            <w:pPr>
              <w:widowControl/>
              <w:jc w:val="both"/>
              <w:rPr>
                <w:rFonts w:ascii="Times New Roman" w:hAnsi="Times New Roman"/>
                <w:sz w:val="24"/>
                <w:u w:color="000000"/>
              </w:rPr>
            </w:pPr>
            <w:r w:rsidRPr="0055683F">
              <w:rPr>
                <w:rFonts w:ascii="Times New Roman" w:hAnsi="Times New Roman"/>
                <w:sz w:val="24"/>
                <w:u w:color="000000"/>
              </w:rPr>
              <w:t>Pozemky</w:t>
            </w:r>
          </w:p>
        </w:tc>
        <w:tc>
          <w:tcPr>
            <w:tcW w:w="3118"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ind w:right="214"/>
              <w:jc w:val="right"/>
              <w:rPr>
                <w:rFonts w:ascii="Times New Roman" w:hAnsi="Times New Roman"/>
                <w:sz w:val="24"/>
                <w:u w:color="000000"/>
              </w:rPr>
            </w:pPr>
            <w:r w:rsidRPr="0055683F">
              <w:rPr>
                <w:rFonts w:ascii="Times New Roman" w:hAnsi="Times New Roman"/>
                <w:sz w:val="24"/>
                <w:u w:color="000000"/>
              </w:rPr>
              <w:t>4 </w:t>
            </w:r>
            <w:r w:rsidRPr="0046266F">
              <w:rPr>
                <w:rFonts w:ascii="Times New Roman" w:hAnsi="Times New Roman"/>
                <w:sz w:val="24"/>
                <w:szCs w:val="24"/>
                <w:u w:color="000000"/>
              </w:rPr>
              <w:t>276 809,57</w:t>
            </w:r>
          </w:p>
        </w:tc>
        <w:tc>
          <w:tcPr>
            <w:tcW w:w="2835" w:type="dxa"/>
            <w:tcBorders>
              <w:top w:val="single" w:sz="4" w:space="0" w:color="auto"/>
              <w:left w:val="single" w:sz="4" w:space="0" w:color="auto"/>
              <w:bottom w:val="single" w:sz="4" w:space="0" w:color="auto"/>
            </w:tcBorders>
            <w:vAlign w:val="center"/>
          </w:tcPr>
          <w:p w:rsidR="00385B00" w:rsidRPr="0055683F" w:rsidRDefault="00385B00" w:rsidP="007379ED">
            <w:pPr>
              <w:widowControl/>
              <w:ind w:right="213"/>
              <w:jc w:val="right"/>
              <w:rPr>
                <w:rFonts w:ascii="Times New Roman" w:hAnsi="Times New Roman"/>
                <w:sz w:val="24"/>
                <w:u w:color="000000"/>
              </w:rPr>
            </w:pPr>
            <w:r w:rsidRPr="0055683F">
              <w:rPr>
                <w:rFonts w:ascii="Times New Roman" w:hAnsi="Times New Roman"/>
                <w:sz w:val="24"/>
                <w:u w:color="000000"/>
              </w:rPr>
              <w:t>4 276 809,57</w:t>
            </w:r>
          </w:p>
        </w:tc>
      </w:tr>
      <w:tr w:rsidR="00385B00" w:rsidRPr="00C565E2" w:rsidTr="007379ED">
        <w:trPr>
          <w:trHeight w:val="20"/>
        </w:trPr>
        <w:tc>
          <w:tcPr>
            <w:tcW w:w="3119" w:type="dxa"/>
            <w:tcBorders>
              <w:top w:val="single" w:sz="4" w:space="0" w:color="auto"/>
              <w:bottom w:val="single" w:sz="4" w:space="0" w:color="auto"/>
              <w:right w:val="single" w:sz="4" w:space="0" w:color="auto"/>
            </w:tcBorders>
            <w:vAlign w:val="center"/>
          </w:tcPr>
          <w:p w:rsidR="00385B00" w:rsidRPr="0055683F" w:rsidRDefault="00385B00" w:rsidP="007379ED">
            <w:pPr>
              <w:widowControl/>
              <w:jc w:val="both"/>
              <w:rPr>
                <w:rFonts w:ascii="Times New Roman" w:hAnsi="Times New Roman"/>
                <w:sz w:val="24"/>
                <w:u w:color="000000"/>
              </w:rPr>
            </w:pPr>
            <w:r w:rsidRPr="0055683F">
              <w:rPr>
                <w:rFonts w:ascii="Times New Roman" w:hAnsi="Times New Roman"/>
                <w:sz w:val="24"/>
                <w:u w:color="000000"/>
              </w:rPr>
              <w:t>Umelecké diela a zbierky</w:t>
            </w:r>
          </w:p>
        </w:tc>
        <w:tc>
          <w:tcPr>
            <w:tcW w:w="3118"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ind w:right="214"/>
              <w:jc w:val="right"/>
              <w:rPr>
                <w:rFonts w:ascii="Times New Roman" w:hAnsi="Times New Roman"/>
                <w:sz w:val="24"/>
                <w:u w:color="000000"/>
              </w:rPr>
            </w:pPr>
            <w:r w:rsidRPr="0055683F">
              <w:rPr>
                <w:rFonts w:ascii="Times New Roman" w:hAnsi="Times New Roman"/>
                <w:sz w:val="24"/>
                <w:u w:color="000000"/>
              </w:rPr>
              <w:t>12 589,20</w:t>
            </w:r>
          </w:p>
        </w:tc>
        <w:tc>
          <w:tcPr>
            <w:tcW w:w="2835" w:type="dxa"/>
            <w:tcBorders>
              <w:top w:val="single" w:sz="4" w:space="0" w:color="auto"/>
              <w:left w:val="single" w:sz="4" w:space="0" w:color="auto"/>
              <w:bottom w:val="single" w:sz="4" w:space="0" w:color="auto"/>
            </w:tcBorders>
            <w:vAlign w:val="center"/>
          </w:tcPr>
          <w:p w:rsidR="00385B00" w:rsidRPr="0055683F" w:rsidRDefault="00385B00" w:rsidP="007379ED">
            <w:pPr>
              <w:widowControl/>
              <w:ind w:right="213"/>
              <w:jc w:val="right"/>
              <w:rPr>
                <w:rFonts w:ascii="Times New Roman" w:hAnsi="Times New Roman"/>
                <w:sz w:val="24"/>
                <w:u w:color="000000"/>
              </w:rPr>
            </w:pPr>
            <w:r w:rsidRPr="0055683F">
              <w:rPr>
                <w:rFonts w:ascii="Times New Roman" w:hAnsi="Times New Roman"/>
                <w:sz w:val="24"/>
                <w:u w:color="000000"/>
              </w:rPr>
              <w:t>12 589,20</w:t>
            </w:r>
          </w:p>
        </w:tc>
      </w:tr>
      <w:tr w:rsidR="00385B00" w:rsidRPr="00C565E2" w:rsidTr="007379ED">
        <w:trPr>
          <w:trHeight w:val="20"/>
        </w:trPr>
        <w:tc>
          <w:tcPr>
            <w:tcW w:w="3119" w:type="dxa"/>
            <w:tcBorders>
              <w:top w:val="single" w:sz="4" w:space="0" w:color="auto"/>
              <w:bottom w:val="single" w:sz="4" w:space="0" w:color="auto"/>
              <w:right w:val="single" w:sz="4" w:space="0" w:color="auto"/>
            </w:tcBorders>
            <w:vAlign w:val="center"/>
          </w:tcPr>
          <w:p w:rsidR="00385B00" w:rsidRPr="0055683F" w:rsidRDefault="00385B00" w:rsidP="007379ED">
            <w:pPr>
              <w:widowControl/>
              <w:jc w:val="both"/>
              <w:rPr>
                <w:rFonts w:ascii="Times New Roman" w:hAnsi="Times New Roman"/>
                <w:sz w:val="24"/>
                <w:u w:color="000000"/>
              </w:rPr>
            </w:pPr>
            <w:r w:rsidRPr="0055683F">
              <w:rPr>
                <w:rFonts w:ascii="Times New Roman" w:hAnsi="Times New Roman"/>
                <w:sz w:val="24"/>
                <w:u w:color="000000"/>
              </w:rPr>
              <w:t>Stavby</w:t>
            </w:r>
          </w:p>
        </w:tc>
        <w:tc>
          <w:tcPr>
            <w:tcW w:w="3118"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ind w:right="214"/>
              <w:jc w:val="right"/>
              <w:rPr>
                <w:rFonts w:ascii="Times New Roman" w:hAnsi="Times New Roman"/>
                <w:sz w:val="24"/>
                <w:u w:color="000000"/>
              </w:rPr>
            </w:pPr>
            <w:r w:rsidRPr="0055683F">
              <w:rPr>
                <w:rFonts w:ascii="Times New Roman" w:hAnsi="Times New Roman"/>
                <w:sz w:val="24"/>
                <w:u w:color="000000"/>
              </w:rPr>
              <w:t>107 959 299,34</w:t>
            </w:r>
          </w:p>
        </w:tc>
        <w:tc>
          <w:tcPr>
            <w:tcW w:w="2835" w:type="dxa"/>
            <w:tcBorders>
              <w:top w:val="single" w:sz="4" w:space="0" w:color="auto"/>
              <w:left w:val="single" w:sz="4" w:space="0" w:color="auto"/>
              <w:bottom w:val="single" w:sz="4" w:space="0" w:color="auto"/>
            </w:tcBorders>
            <w:vAlign w:val="center"/>
          </w:tcPr>
          <w:p w:rsidR="00385B00" w:rsidRPr="0055683F" w:rsidRDefault="00385B00" w:rsidP="007379ED">
            <w:pPr>
              <w:widowControl/>
              <w:ind w:right="213"/>
              <w:jc w:val="right"/>
              <w:rPr>
                <w:rFonts w:ascii="Times New Roman" w:hAnsi="Times New Roman"/>
                <w:sz w:val="24"/>
                <w:u w:color="000000"/>
              </w:rPr>
            </w:pPr>
            <w:r w:rsidRPr="0046266F">
              <w:rPr>
                <w:rFonts w:ascii="Times New Roman" w:hAnsi="Times New Roman"/>
                <w:sz w:val="24"/>
                <w:szCs w:val="24"/>
                <w:u w:color="000000"/>
              </w:rPr>
              <w:t>108 255 445,41</w:t>
            </w:r>
          </w:p>
        </w:tc>
      </w:tr>
      <w:tr w:rsidR="00385B00" w:rsidRPr="00C565E2" w:rsidTr="007379ED">
        <w:trPr>
          <w:trHeight w:val="20"/>
        </w:trPr>
        <w:tc>
          <w:tcPr>
            <w:tcW w:w="3119" w:type="dxa"/>
            <w:tcBorders>
              <w:top w:val="single" w:sz="4" w:space="0" w:color="auto"/>
              <w:bottom w:val="single" w:sz="4" w:space="0" w:color="auto"/>
              <w:right w:val="single" w:sz="4" w:space="0" w:color="auto"/>
            </w:tcBorders>
            <w:vAlign w:val="center"/>
          </w:tcPr>
          <w:p w:rsidR="00385B00" w:rsidRPr="0055683F" w:rsidRDefault="00385B00" w:rsidP="007379ED">
            <w:pPr>
              <w:widowControl/>
              <w:jc w:val="both"/>
              <w:rPr>
                <w:rFonts w:ascii="Times New Roman" w:hAnsi="Times New Roman"/>
                <w:sz w:val="24"/>
                <w:u w:color="000000"/>
              </w:rPr>
            </w:pPr>
            <w:r w:rsidRPr="0055683F">
              <w:rPr>
                <w:rFonts w:ascii="Times New Roman" w:hAnsi="Times New Roman"/>
                <w:sz w:val="24"/>
                <w:u w:color="000000"/>
              </w:rPr>
              <w:t>Stroje, prístroje, zariadenia</w:t>
            </w:r>
          </w:p>
        </w:tc>
        <w:tc>
          <w:tcPr>
            <w:tcW w:w="3118"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ind w:right="214"/>
              <w:jc w:val="right"/>
              <w:rPr>
                <w:rFonts w:ascii="Times New Roman" w:hAnsi="Times New Roman"/>
                <w:sz w:val="24"/>
                <w:u w:color="000000"/>
              </w:rPr>
            </w:pPr>
            <w:r w:rsidRPr="0046266F">
              <w:rPr>
                <w:rFonts w:ascii="Times New Roman" w:hAnsi="Times New Roman"/>
                <w:sz w:val="24"/>
                <w:szCs w:val="24"/>
                <w:u w:color="000000"/>
              </w:rPr>
              <w:t>42 534 244,45</w:t>
            </w:r>
          </w:p>
        </w:tc>
        <w:tc>
          <w:tcPr>
            <w:tcW w:w="2835" w:type="dxa"/>
            <w:tcBorders>
              <w:top w:val="single" w:sz="4" w:space="0" w:color="auto"/>
              <w:left w:val="single" w:sz="4" w:space="0" w:color="auto"/>
              <w:bottom w:val="single" w:sz="4" w:space="0" w:color="auto"/>
            </w:tcBorders>
            <w:vAlign w:val="center"/>
          </w:tcPr>
          <w:p w:rsidR="00385B00" w:rsidRPr="0055683F" w:rsidRDefault="00385B00" w:rsidP="007379ED">
            <w:pPr>
              <w:widowControl/>
              <w:ind w:right="213"/>
              <w:jc w:val="right"/>
              <w:rPr>
                <w:rFonts w:ascii="Times New Roman" w:hAnsi="Times New Roman"/>
                <w:sz w:val="24"/>
                <w:u w:color="000000"/>
              </w:rPr>
            </w:pPr>
            <w:r w:rsidRPr="0046266F">
              <w:rPr>
                <w:rFonts w:ascii="Times New Roman" w:hAnsi="Times New Roman"/>
                <w:sz w:val="24"/>
                <w:szCs w:val="24"/>
                <w:u w:color="000000"/>
              </w:rPr>
              <w:t>44 060 644,61</w:t>
            </w:r>
          </w:p>
        </w:tc>
      </w:tr>
      <w:tr w:rsidR="00385B00" w:rsidRPr="00C565E2" w:rsidTr="007379ED">
        <w:trPr>
          <w:trHeight w:val="20"/>
        </w:trPr>
        <w:tc>
          <w:tcPr>
            <w:tcW w:w="3119" w:type="dxa"/>
            <w:tcBorders>
              <w:top w:val="single" w:sz="4" w:space="0" w:color="auto"/>
              <w:bottom w:val="single" w:sz="4" w:space="0" w:color="auto"/>
              <w:right w:val="single" w:sz="4" w:space="0" w:color="auto"/>
            </w:tcBorders>
            <w:vAlign w:val="center"/>
          </w:tcPr>
          <w:p w:rsidR="00385B00" w:rsidRPr="0055683F" w:rsidRDefault="00385B00" w:rsidP="007379ED">
            <w:pPr>
              <w:widowControl/>
              <w:jc w:val="both"/>
              <w:rPr>
                <w:rFonts w:ascii="Times New Roman" w:hAnsi="Times New Roman"/>
                <w:sz w:val="24"/>
                <w:u w:color="000000"/>
              </w:rPr>
            </w:pPr>
            <w:r w:rsidRPr="0055683F">
              <w:rPr>
                <w:rFonts w:ascii="Times New Roman" w:hAnsi="Times New Roman"/>
                <w:sz w:val="24"/>
                <w:u w:color="000000"/>
              </w:rPr>
              <w:t>Dopravné prostriedky</w:t>
            </w:r>
          </w:p>
        </w:tc>
        <w:tc>
          <w:tcPr>
            <w:tcW w:w="3118" w:type="dxa"/>
            <w:tcBorders>
              <w:top w:val="single" w:sz="4" w:space="0" w:color="auto"/>
              <w:left w:val="single" w:sz="4" w:space="0" w:color="auto"/>
              <w:bottom w:val="single" w:sz="4" w:space="0" w:color="auto"/>
              <w:right w:val="single" w:sz="4" w:space="0" w:color="auto"/>
            </w:tcBorders>
            <w:vAlign w:val="center"/>
          </w:tcPr>
          <w:p w:rsidR="00385B00" w:rsidRPr="0055683F" w:rsidRDefault="00385B00" w:rsidP="007379ED">
            <w:pPr>
              <w:widowControl/>
              <w:ind w:right="214"/>
              <w:jc w:val="right"/>
              <w:rPr>
                <w:rFonts w:ascii="Times New Roman" w:hAnsi="Times New Roman"/>
                <w:sz w:val="24"/>
                <w:u w:color="000000"/>
              </w:rPr>
            </w:pPr>
            <w:r w:rsidRPr="0055683F">
              <w:rPr>
                <w:rFonts w:ascii="Times New Roman" w:hAnsi="Times New Roman"/>
                <w:sz w:val="24"/>
                <w:u w:color="000000"/>
              </w:rPr>
              <w:t>2 </w:t>
            </w:r>
            <w:r w:rsidRPr="0046266F">
              <w:rPr>
                <w:rFonts w:ascii="Times New Roman" w:hAnsi="Times New Roman"/>
                <w:sz w:val="24"/>
                <w:szCs w:val="24"/>
                <w:u w:color="000000"/>
              </w:rPr>
              <w:t>136 954,83</w:t>
            </w:r>
          </w:p>
        </w:tc>
        <w:tc>
          <w:tcPr>
            <w:tcW w:w="2835" w:type="dxa"/>
            <w:tcBorders>
              <w:top w:val="single" w:sz="4" w:space="0" w:color="auto"/>
              <w:left w:val="single" w:sz="4" w:space="0" w:color="auto"/>
              <w:bottom w:val="single" w:sz="4" w:space="0" w:color="auto"/>
            </w:tcBorders>
            <w:vAlign w:val="center"/>
          </w:tcPr>
          <w:p w:rsidR="00385B00" w:rsidRPr="0055683F" w:rsidRDefault="00385B00" w:rsidP="007379ED">
            <w:pPr>
              <w:widowControl/>
              <w:ind w:right="213"/>
              <w:jc w:val="right"/>
              <w:rPr>
                <w:rFonts w:ascii="Times New Roman" w:hAnsi="Times New Roman"/>
                <w:sz w:val="24"/>
                <w:u w:color="000000"/>
              </w:rPr>
            </w:pPr>
            <w:r w:rsidRPr="0055683F">
              <w:rPr>
                <w:rFonts w:ascii="Times New Roman" w:hAnsi="Times New Roman"/>
                <w:sz w:val="24"/>
                <w:u w:color="000000"/>
              </w:rPr>
              <w:t>2 </w:t>
            </w:r>
            <w:r w:rsidRPr="0046266F">
              <w:rPr>
                <w:rFonts w:ascii="Times New Roman" w:hAnsi="Times New Roman"/>
                <w:sz w:val="24"/>
                <w:szCs w:val="24"/>
                <w:u w:color="000000"/>
              </w:rPr>
              <w:t>071 345,78</w:t>
            </w:r>
          </w:p>
        </w:tc>
      </w:tr>
    </w:tbl>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C565E2">
        <w:rPr>
          <w:rFonts w:ascii="Times New Roman" w:hAnsi="Times New Roman"/>
          <w:b/>
          <w:bCs/>
          <w:color w:val="000000" w:themeColor="text1"/>
          <w:sz w:val="24"/>
          <w:szCs w:val="24"/>
          <w:u w:color="000000"/>
        </w:rPr>
        <w:t xml:space="preserve">(2) </w:t>
      </w:r>
      <w:r w:rsidRPr="00C565E2">
        <w:rPr>
          <w:rFonts w:ascii="Times New Roman" w:hAnsi="Times New Roman"/>
          <w:b/>
          <w:bCs/>
          <w:color w:val="000000" w:themeColor="text1"/>
          <w:sz w:val="24"/>
          <w:szCs w:val="24"/>
          <w:u w:color="000000"/>
        </w:rPr>
        <w:tab/>
        <w:t>Sociálna poisťovňa neeviduje dlhodobý majetok, na ktorý je zriadené záložné právo ani dlhodobý majetok, pri ktorom má Sociálna poisťovňa obmedzené právo s ním nakladať.</w:t>
      </w: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C565E2">
        <w:rPr>
          <w:rFonts w:ascii="Times New Roman" w:hAnsi="Times New Roman"/>
          <w:b/>
          <w:bCs/>
          <w:color w:val="000000" w:themeColor="text1"/>
          <w:sz w:val="24"/>
          <w:szCs w:val="24"/>
          <w:u w:color="000000"/>
        </w:rPr>
        <w:t>(3)</w:t>
      </w:r>
      <w:r w:rsidRPr="00C565E2">
        <w:rPr>
          <w:rFonts w:ascii="Times New Roman" w:hAnsi="Times New Roman"/>
          <w:b/>
          <w:bCs/>
          <w:color w:val="000000" w:themeColor="text1"/>
          <w:sz w:val="24"/>
          <w:szCs w:val="24"/>
          <w:u w:color="000000"/>
        </w:rPr>
        <w:tab/>
        <w:t>Údaje o spôsobe a výške poistenia dlhodobého nehmotného majetku a dlhodobého hmotného majetku</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 xml:space="preserve">Dlhodobý majetok bol v roku </w:t>
      </w:r>
      <w:r>
        <w:rPr>
          <w:rFonts w:ascii="Times New Roman" w:hAnsi="Times New Roman"/>
          <w:color w:val="000000" w:themeColor="text1"/>
          <w:sz w:val="24"/>
          <w:szCs w:val="24"/>
          <w:u w:color="000000"/>
        </w:rPr>
        <w:t>2018</w:t>
      </w:r>
      <w:r w:rsidRPr="00C565E2">
        <w:rPr>
          <w:rFonts w:ascii="Times New Roman" w:hAnsi="Times New Roman"/>
          <w:color w:val="000000" w:themeColor="text1"/>
          <w:sz w:val="24"/>
          <w:szCs w:val="24"/>
          <w:u w:color="000000"/>
        </w:rPr>
        <w:t xml:space="preserve"> poistený nasledovnými druhmi poistenia:</w:t>
      </w:r>
    </w:p>
    <w:p w:rsidR="00385B00" w:rsidRDefault="00385B00" w:rsidP="00385B00">
      <w:pPr>
        <w:pStyle w:val="Odsekzoznamu"/>
        <w:widowControl/>
        <w:numPr>
          <w:ilvl w:val="0"/>
          <w:numId w:val="41"/>
        </w:numPr>
        <w:spacing w:line="360" w:lineRule="auto"/>
        <w:ind w:left="567" w:hanging="283"/>
        <w:jc w:val="both"/>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p</w:t>
      </w:r>
      <w:r w:rsidRPr="006F7302">
        <w:rPr>
          <w:rFonts w:ascii="Times New Roman" w:hAnsi="Times New Roman"/>
          <w:color w:val="000000" w:themeColor="text1"/>
          <w:sz w:val="24"/>
          <w:szCs w:val="24"/>
          <w:u w:color="000000"/>
        </w:rPr>
        <w:t>oistenie pre prípad poškodenia alebo zničenia veci živelnou udalosťou,</w:t>
      </w:r>
    </w:p>
    <w:p w:rsidR="00385B00" w:rsidRDefault="00385B00" w:rsidP="00385B00">
      <w:pPr>
        <w:pStyle w:val="Odsekzoznamu"/>
        <w:widowControl/>
        <w:numPr>
          <w:ilvl w:val="0"/>
          <w:numId w:val="41"/>
        </w:numPr>
        <w:spacing w:line="360" w:lineRule="auto"/>
        <w:ind w:left="567" w:hanging="283"/>
        <w:jc w:val="both"/>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h</w:t>
      </w:r>
      <w:r w:rsidRPr="006F7302">
        <w:rPr>
          <w:rFonts w:ascii="Times New Roman" w:hAnsi="Times New Roman"/>
          <w:color w:val="000000" w:themeColor="text1"/>
          <w:sz w:val="24"/>
          <w:szCs w:val="24"/>
          <w:u w:color="000000"/>
        </w:rPr>
        <w:t>avarijné poistenie súboru motorových vozidiel,</w:t>
      </w:r>
    </w:p>
    <w:p w:rsidR="00385B00" w:rsidRDefault="00385B00" w:rsidP="00385B00">
      <w:pPr>
        <w:pStyle w:val="Odsekzoznamu"/>
        <w:widowControl/>
        <w:numPr>
          <w:ilvl w:val="0"/>
          <w:numId w:val="41"/>
        </w:numPr>
        <w:spacing w:line="360" w:lineRule="auto"/>
        <w:ind w:left="567" w:hanging="283"/>
        <w:jc w:val="both"/>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z</w:t>
      </w:r>
      <w:r w:rsidRPr="006F7302">
        <w:rPr>
          <w:rFonts w:ascii="Times New Roman" w:hAnsi="Times New Roman"/>
          <w:color w:val="000000" w:themeColor="text1"/>
          <w:sz w:val="24"/>
          <w:szCs w:val="24"/>
          <w:u w:color="000000"/>
        </w:rPr>
        <w:t>ákonné poistenie súboru motorových vozidiel.</w:t>
      </w:r>
    </w:p>
    <w:p w:rsidR="00385B00" w:rsidRPr="006F7302" w:rsidRDefault="00385B00" w:rsidP="00385B00">
      <w:pPr>
        <w:pStyle w:val="Odsekzoznamu"/>
        <w:widowControl/>
        <w:spacing w:line="360" w:lineRule="auto"/>
        <w:ind w:left="567"/>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 xml:space="preserve">Dlhodobý nehmotný majetok nebol v roku </w:t>
      </w:r>
      <w:r>
        <w:rPr>
          <w:rFonts w:ascii="Times New Roman" w:hAnsi="Times New Roman"/>
          <w:color w:val="000000" w:themeColor="text1"/>
          <w:sz w:val="24"/>
          <w:szCs w:val="24"/>
          <w:u w:color="000000"/>
        </w:rPr>
        <w:t>2018</w:t>
      </w:r>
      <w:r w:rsidRPr="00C565E2">
        <w:rPr>
          <w:rFonts w:ascii="Times New Roman" w:hAnsi="Times New Roman"/>
          <w:color w:val="000000" w:themeColor="text1"/>
          <w:sz w:val="24"/>
          <w:szCs w:val="24"/>
          <w:u w:color="000000"/>
        </w:rPr>
        <w:t xml:space="preserve"> predmetom poistenia.</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 xml:space="preserve">Celková výška zaplateného poistného za dlhodobý hmotný majetok za rok </w:t>
      </w:r>
      <w:r>
        <w:rPr>
          <w:rFonts w:ascii="Times New Roman" w:hAnsi="Times New Roman"/>
          <w:color w:val="000000" w:themeColor="text1"/>
          <w:sz w:val="24"/>
          <w:szCs w:val="24"/>
          <w:u w:color="000000"/>
        </w:rPr>
        <w:t>2018</w:t>
      </w:r>
      <w:r w:rsidRPr="00C565E2">
        <w:rPr>
          <w:rFonts w:ascii="Times New Roman" w:hAnsi="Times New Roman"/>
          <w:color w:val="000000" w:themeColor="text1"/>
          <w:sz w:val="24"/>
          <w:szCs w:val="24"/>
          <w:u w:color="000000"/>
        </w:rPr>
        <w:t xml:space="preserve"> činila čiastku vo </w:t>
      </w:r>
      <w:r w:rsidRPr="00453DF9">
        <w:rPr>
          <w:rFonts w:ascii="Times New Roman" w:hAnsi="Times New Roman"/>
          <w:color w:val="000000" w:themeColor="text1"/>
          <w:sz w:val="24"/>
          <w:szCs w:val="24"/>
          <w:u w:color="000000"/>
        </w:rPr>
        <w:t>výške 62 323,18 EUR</w:t>
      </w:r>
      <w:r w:rsidRPr="00C565E2">
        <w:rPr>
          <w:rFonts w:ascii="Times New Roman" w:hAnsi="Times New Roman"/>
          <w:color w:val="000000" w:themeColor="text1"/>
          <w:sz w:val="24"/>
          <w:szCs w:val="24"/>
          <w:u w:color="000000"/>
        </w:rPr>
        <w:t>, z toho:</w:t>
      </w:r>
    </w:p>
    <w:p w:rsidR="00385B00" w:rsidRPr="00453DF9" w:rsidRDefault="00385B00" w:rsidP="00385B00">
      <w:pPr>
        <w:pStyle w:val="Odsekzoznamu"/>
        <w:widowControl/>
        <w:numPr>
          <w:ilvl w:val="0"/>
          <w:numId w:val="42"/>
        </w:numPr>
        <w:spacing w:line="360" w:lineRule="auto"/>
        <w:ind w:left="567" w:hanging="283"/>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p</w:t>
      </w:r>
      <w:r w:rsidRPr="006F7302">
        <w:rPr>
          <w:rFonts w:ascii="Times New Roman" w:hAnsi="Times New Roman"/>
          <w:color w:val="000000" w:themeColor="text1"/>
          <w:sz w:val="24"/>
          <w:szCs w:val="24"/>
          <w:u w:color="000000"/>
        </w:rPr>
        <w:t>oistenie dlhodobého hmotného majetku</w:t>
      </w:r>
      <w:r w:rsidRPr="006F7302">
        <w:rPr>
          <w:rFonts w:ascii="Times New Roman" w:hAnsi="Times New Roman"/>
          <w:color w:val="000000" w:themeColor="text1"/>
          <w:sz w:val="24"/>
          <w:szCs w:val="24"/>
          <w:u w:color="000000"/>
        </w:rPr>
        <w:tab/>
      </w:r>
      <w:r w:rsidRPr="006F7302">
        <w:rPr>
          <w:rFonts w:ascii="Times New Roman" w:hAnsi="Times New Roman"/>
          <w:color w:val="000000" w:themeColor="text1"/>
          <w:sz w:val="24"/>
          <w:szCs w:val="24"/>
          <w:u w:color="000000"/>
        </w:rPr>
        <w:tab/>
      </w:r>
      <w:r w:rsidRPr="006F7302">
        <w:rPr>
          <w:rFonts w:ascii="Times New Roman" w:hAnsi="Times New Roman"/>
          <w:color w:val="000000" w:themeColor="text1"/>
          <w:sz w:val="24"/>
          <w:szCs w:val="24"/>
          <w:u w:color="000000"/>
        </w:rPr>
        <w:tab/>
      </w:r>
      <w:r w:rsidRPr="006F7302">
        <w:rPr>
          <w:rFonts w:ascii="Times New Roman" w:hAnsi="Times New Roman"/>
          <w:color w:val="000000" w:themeColor="text1"/>
          <w:sz w:val="24"/>
          <w:szCs w:val="24"/>
          <w:u w:color="000000"/>
        </w:rPr>
        <w:tab/>
      </w:r>
      <w:r w:rsidRPr="006F7302">
        <w:rPr>
          <w:rFonts w:ascii="Times New Roman" w:hAnsi="Times New Roman"/>
          <w:color w:val="000000" w:themeColor="text1"/>
          <w:sz w:val="24"/>
          <w:szCs w:val="24"/>
          <w:u w:color="000000"/>
        </w:rPr>
        <w:tab/>
      </w:r>
      <w:r w:rsidRPr="006F7302">
        <w:rPr>
          <w:rFonts w:ascii="Times New Roman" w:hAnsi="Times New Roman"/>
          <w:color w:val="000000" w:themeColor="text1"/>
          <w:sz w:val="24"/>
          <w:szCs w:val="24"/>
          <w:u w:color="000000"/>
        </w:rPr>
        <w:tab/>
      </w:r>
      <w:r w:rsidRPr="006F7302">
        <w:rPr>
          <w:rFonts w:ascii="Times New Roman" w:hAnsi="Times New Roman"/>
          <w:color w:val="000000" w:themeColor="text1"/>
          <w:sz w:val="24"/>
          <w:szCs w:val="24"/>
          <w:u w:color="000000"/>
        </w:rPr>
        <w:tab/>
      </w:r>
      <w:r w:rsidRPr="00453DF9">
        <w:rPr>
          <w:rFonts w:ascii="Times New Roman" w:hAnsi="Times New Roman"/>
          <w:color w:val="000000" w:themeColor="text1"/>
          <w:sz w:val="24"/>
          <w:szCs w:val="24"/>
          <w:u w:color="000000"/>
        </w:rPr>
        <w:t xml:space="preserve">  10 103,98 EUR</w:t>
      </w:r>
    </w:p>
    <w:p w:rsidR="00385B00" w:rsidRPr="00453DF9" w:rsidRDefault="00385B00" w:rsidP="00385B00">
      <w:pPr>
        <w:pStyle w:val="Odsekzoznamu"/>
        <w:widowControl/>
        <w:numPr>
          <w:ilvl w:val="0"/>
          <w:numId w:val="42"/>
        </w:numPr>
        <w:spacing w:line="360" w:lineRule="auto"/>
        <w:ind w:left="567" w:hanging="283"/>
        <w:rPr>
          <w:rFonts w:ascii="Times New Roman" w:hAnsi="Times New Roman"/>
          <w:color w:val="000000" w:themeColor="text1"/>
          <w:sz w:val="24"/>
          <w:szCs w:val="24"/>
          <w:u w:color="000000"/>
        </w:rPr>
      </w:pPr>
      <w:r w:rsidRPr="00453DF9">
        <w:rPr>
          <w:rFonts w:ascii="Times New Roman" w:hAnsi="Times New Roman"/>
          <w:color w:val="000000" w:themeColor="text1"/>
          <w:sz w:val="24"/>
          <w:szCs w:val="24"/>
          <w:u w:color="000000"/>
        </w:rPr>
        <w:t>havarijné poistenie súboru motorových vozidiel</w:t>
      </w:r>
      <w:r w:rsidRPr="00453DF9">
        <w:rPr>
          <w:rFonts w:ascii="Times New Roman" w:hAnsi="Times New Roman"/>
          <w:color w:val="000000" w:themeColor="text1"/>
          <w:sz w:val="24"/>
          <w:szCs w:val="24"/>
          <w:u w:color="000000"/>
        </w:rPr>
        <w:tab/>
      </w:r>
      <w:r w:rsidRPr="00453DF9">
        <w:rPr>
          <w:rFonts w:ascii="Times New Roman" w:hAnsi="Times New Roman"/>
          <w:color w:val="000000" w:themeColor="text1"/>
          <w:sz w:val="24"/>
          <w:szCs w:val="24"/>
          <w:u w:color="000000"/>
        </w:rPr>
        <w:tab/>
        <w:t xml:space="preserve"> </w:t>
      </w:r>
      <w:r w:rsidRPr="00453DF9">
        <w:rPr>
          <w:rFonts w:ascii="Times New Roman" w:hAnsi="Times New Roman"/>
          <w:color w:val="000000" w:themeColor="text1"/>
          <w:sz w:val="24"/>
          <w:szCs w:val="24"/>
          <w:u w:color="000000"/>
        </w:rPr>
        <w:tab/>
      </w:r>
      <w:r w:rsidRPr="00453DF9">
        <w:rPr>
          <w:rFonts w:ascii="Times New Roman" w:hAnsi="Times New Roman"/>
          <w:color w:val="000000" w:themeColor="text1"/>
          <w:sz w:val="24"/>
          <w:szCs w:val="24"/>
          <w:u w:color="000000"/>
        </w:rPr>
        <w:tab/>
      </w:r>
      <w:r w:rsidRPr="00453DF9">
        <w:rPr>
          <w:rFonts w:ascii="Times New Roman" w:hAnsi="Times New Roman"/>
          <w:color w:val="000000" w:themeColor="text1"/>
          <w:sz w:val="24"/>
          <w:szCs w:val="24"/>
          <w:u w:color="000000"/>
        </w:rPr>
        <w:tab/>
        <w:t xml:space="preserve">  40 755,39 EUR</w:t>
      </w:r>
    </w:p>
    <w:p w:rsidR="00385B00" w:rsidRDefault="00385B00" w:rsidP="00385B00">
      <w:pPr>
        <w:pStyle w:val="Odsekzoznamu"/>
        <w:widowControl/>
        <w:numPr>
          <w:ilvl w:val="0"/>
          <w:numId w:val="42"/>
        </w:numPr>
        <w:spacing w:line="360" w:lineRule="auto"/>
        <w:ind w:left="567" w:hanging="283"/>
        <w:rPr>
          <w:rFonts w:ascii="Times New Roman" w:hAnsi="Times New Roman"/>
          <w:color w:val="000000" w:themeColor="text1"/>
          <w:sz w:val="24"/>
          <w:szCs w:val="24"/>
          <w:u w:color="000000"/>
        </w:rPr>
      </w:pPr>
      <w:r w:rsidRPr="00453DF9">
        <w:rPr>
          <w:rFonts w:ascii="Times New Roman" w:hAnsi="Times New Roman"/>
          <w:color w:val="000000" w:themeColor="text1"/>
          <w:sz w:val="24"/>
          <w:szCs w:val="24"/>
          <w:u w:color="000000"/>
        </w:rPr>
        <w:t>zákonné poistenie súboru motorových vozidiel</w:t>
      </w:r>
      <w:r w:rsidRPr="00453DF9">
        <w:rPr>
          <w:rFonts w:ascii="Times New Roman" w:hAnsi="Times New Roman"/>
          <w:color w:val="000000" w:themeColor="text1"/>
          <w:sz w:val="24"/>
          <w:szCs w:val="24"/>
          <w:u w:color="000000"/>
        </w:rPr>
        <w:tab/>
      </w:r>
      <w:r w:rsidRPr="00453DF9">
        <w:rPr>
          <w:rFonts w:ascii="Times New Roman" w:hAnsi="Times New Roman"/>
          <w:color w:val="000000" w:themeColor="text1"/>
          <w:sz w:val="24"/>
          <w:szCs w:val="24"/>
          <w:u w:color="000000"/>
        </w:rPr>
        <w:tab/>
        <w:t xml:space="preserve">      </w:t>
      </w:r>
      <w:r w:rsidRPr="00453DF9">
        <w:rPr>
          <w:rFonts w:ascii="Times New Roman" w:hAnsi="Times New Roman"/>
          <w:color w:val="000000" w:themeColor="text1"/>
          <w:sz w:val="24"/>
          <w:szCs w:val="24"/>
          <w:u w:color="000000"/>
        </w:rPr>
        <w:tab/>
      </w:r>
      <w:r w:rsidRPr="00453DF9">
        <w:rPr>
          <w:rFonts w:ascii="Times New Roman" w:hAnsi="Times New Roman"/>
          <w:color w:val="000000" w:themeColor="text1"/>
          <w:sz w:val="24"/>
          <w:szCs w:val="24"/>
          <w:u w:color="000000"/>
        </w:rPr>
        <w:tab/>
      </w:r>
      <w:r w:rsidRPr="00453DF9">
        <w:rPr>
          <w:rFonts w:ascii="Times New Roman" w:hAnsi="Times New Roman"/>
          <w:color w:val="000000" w:themeColor="text1"/>
          <w:sz w:val="24"/>
          <w:szCs w:val="24"/>
          <w:u w:color="000000"/>
        </w:rPr>
        <w:tab/>
        <w:t xml:space="preserve">  11 463,81 EUR</w:t>
      </w:r>
    </w:p>
    <w:p w:rsidR="00385B00" w:rsidRPr="00453DF9" w:rsidRDefault="00385B00" w:rsidP="00385B00">
      <w:pPr>
        <w:pStyle w:val="Odsekzoznamu"/>
        <w:widowControl/>
        <w:spacing w:line="360" w:lineRule="auto"/>
        <w:ind w:left="567"/>
        <w:jc w:val="both"/>
        <w:rPr>
          <w:rFonts w:ascii="Times New Roman" w:hAnsi="Times New Roman"/>
          <w:color w:val="000000" w:themeColor="text1"/>
          <w:sz w:val="24"/>
          <w:szCs w:val="24"/>
          <w:u w:color="000000"/>
        </w:rPr>
      </w:pPr>
    </w:p>
    <w:p w:rsidR="00385B00" w:rsidRDefault="00385B00" w:rsidP="00385B00">
      <w:pPr>
        <w:widowControl/>
        <w:spacing w:line="360" w:lineRule="auto"/>
        <w:jc w:val="both"/>
        <w:rPr>
          <w:rFonts w:ascii="Times New Roman" w:hAnsi="Times New Roman"/>
          <w:b/>
          <w:bCs/>
          <w:color w:val="000000" w:themeColor="text1"/>
          <w:sz w:val="24"/>
          <w:szCs w:val="24"/>
          <w:u w:color="000000"/>
        </w:rPr>
      </w:pPr>
      <w:r w:rsidRPr="00C565E2">
        <w:rPr>
          <w:rFonts w:ascii="Times New Roman" w:hAnsi="Times New Roman"/>
          <w:b/>
          <w:bCs/>
          <w:color w:val="000000" w:themeColor="text1"/>
          <w:sz w:val="24"/>
          <w:szCs w:val="24"/>
          <w:u w:color="000000"/>
        </w:rPr>
        <w:t>(4)</w:t>
      </w:r>
      <w:r w:rsidRPr="00C565E2">
        <w:rPr>
          <w:rFonts w:ascii="Times New Roman" w:hAnsi="Times New Roman"/>
          <w:b/>
          <w:bCs/>
          <w:color w:val="000000" w:themeColor="text1"/>
          <w:sz w:val="24"/>
          <w:szCs w:val="24"/>
          <w:u w:color="000000"/>
        </w:rPr>
        <w:tab/>
        <w:t>Sociálna poisťovňa nevykazuje za hodnotené účtovné obdobie dlhodobý finančný majetok.</w:t>
      </w: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p>
    <w:p w:rsidR="00385B00" w:rsidRPr="00C565E2" w:rsidRDefault="00385B00" w:rsidP="00385B00">
      <w:pPr>
        <w:widowControl/>
        <w:spacing w:line="360" w:lineRule="auto"/>
        <w:ind w:firstLine="540"/>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Obežný majetok vyjadruje súhrnnú hodnotu zásob, pohľadávok, finančného majetku a prechodných účtov aktív v sume 1</w:t>
      </w:r>
      <w:r>
        <w:rPr>
          <w:rFonts w:ascii="Times New Roman" w:hAnsi="Times New Roman"/>
          <w:color w:val="000000" w:themeColor="text1"/>
          <w:sz w:val="24"/>
          <w:szCs w:val="24"/>
          <w:u w:color="000000"/>
        </w:rPr>
        <w:t> 475 776 237,62</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V porovnaní so začiatočným zostatkom 1</w:t>
      </w:r>
      <w:r>
        <w:rPr>
          <w:rFonts w:ascii="Times New Roman" w:hAnsi="Times New Roman"/>
          <w:color w:val="000000" w:themeColor="text1"/>
          <w:sz w:val="24"/>
          <w:szCs w:val="24"/>
          <w:u w:color="000000"/>
        </w:rPr>
        <w:t> 469 372 306,04</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(brutto) sa objem obežného majetku zvýšil o</w:t>
      </w:r>
      <w:r>
        <w:rPr>
          <w:rFonts w:ascii="Times New Roman" w:hAnsi="Times New Roman"/>
          <w:color w:val="000000" w:themeColor="text1"/>
          <w:sz w:val="24"/>
          <w:szCs w:val="24"/>
          <w:u w:color="000000"/>
        </w:rPr>
        <w:t> 6 403 931,58</w:t>
      </w:r>
      <w:r w:rsidRPr="00C565E2">
        <w:rPr>
          <w:rFonts w:ascii="Times New Roman" w:hAnsi="Times New Roman"/>
          <w:color w:val="000000" w:themeColor="text1"/>
          <w:sz w:val="24"/>
          <w:szCs w:val="24"/>
          <w:u w:color="000000"/>
        </w:rPr>
        <w:t>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b/>
          <w:bCs/>
          <w:color w:val="000000" w:themeColor="text1"/>
          <w:sz w:val="24"/>
          <w:szCs w:val="24"/>
          <w:u w:color="000000"/>
        </w:rPr>
        <w:t>(5)</w:t>
      </w:r>
      <w:r w:rsidRPr="00C565E2">
        <w:rPr>
          <w:rFonts w:ascii="Times New Roman" w:hAnsi="Times New Roman"/>
          <w:b/>
          <w:bCs/>
          <w:color w:val="000000" w:themeColor="text1"/>
          <w:sz w:val="24"/>
          <w:szCs w:val="24"/>
          <w:u w:color="000000"/>
        </w:rPr>
        <w:tab/>
        <w:t>Údaje o zásobách</w:t>
      </w:r>
      <w:r w:rsidRPr="00C565E2">
        <w:rPr>
          <w:rFonts w:ascii="Times New Roman" w:hAnsi="Times New Roman"/>
          <w:color w:val="000000" w:themeColor="text1"/>
          <w:sz w:val="24"/>
          <w:szCs w:val="24"/>
          <w:u w:color="000000"/>
        </w:rPr>
        <w:t xml:space="preserve"> </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F267D4">
        <w:rPr>
          <w:rFonts w:ascii="Times New Roman" w:hAnsi="Times New Roman"/>
          <w:b/>
          <w:bCs/>
          <w:color w:val="000000" w:themeColor="text1"/>
          <w:sz w:val="24"/>
          <w:szCs w:val="24"/>
          <w:u w:color="000000"/>
        </w:rPr>
        <w:t>Riadok 027</w:t>
      </w:r>
      <w:r w:rsidRPr="00C565E2">
        <w:rPr>
          <w:rFonts w:ascii="Times New Roman" w:hAnsi="Times New Roman"/>
          <w:b/>
          <w:bCs/>
          <w:color w:val="000000" w:themeColor="text1"/>
          <w:sz w:val="24"/>
          <w:szCs w:val="24"/>
          <w:u w:color="000000"/>
        </w:rPr>
        <w:t xml:space="preserve"> – Materiál</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r>
      <w:r w:rsidRPr="00C565E2">
        <w:rPr>
          <w:rFonts w:ascii="Times New Roman" w:hAnsi="Times New Roman"/>
          <w:b/>
          <w:bCs/>
          <w:color w:val="000000" w:themeColor="text1"/>
          <w:sz w:val="24"/>
          <w:szCs w:val="24"/>
          <w:u w:color="000000"/>
        </w:rPr>
        <w:t xml:space="preserve">Zásoby </w:t>
      </w:r>
      <w:r w:rsidRPr="00C565E2">
        <w:rPr>
          <w:rFonts w:ascii="Times New Roman" w:hAnsi="Times New Roman"/>
          <w:color w:val="000000" w:themeColor="text1"/>
          <w:sz w:val="24"/>
          <w:szCs w:val="24"/>
          <w:u w:color="000000"/>
        </w:rPr>
        <w:t xml:space="preserve">tvoria osobitnú zložku majetku Sociálnej poisťovne. Predstavujú hodnotu </w:t>
      </w:r>
      <w:r w:rsidRPr="00C565E2">
        <w:rPr>
          <w:rFonts w:ascii="Times New Roman" w:hAnsi="Times New Roman"/>
          <w:b/>
          <w:bCs/>
          <w:color w:val="000000" w:themeColor="text1"/>
          <w:sz w:val="24"/>
          <w:szCs w:val="24"/>
          <w:u w:color="000000"/>
        </w:rPr>
        <w:t>materiálu</w:t>
      </w:r>
      <w:r w:rsidRPr="00C565E2">
        <w:rPr>
          <w:rFonts w:ascii="Times New Roman" w:hAnsi="Times New Roman"/>
          <w:color w:val="000000" w:themeColor="text1"/>
          <w:sz w:val="24"/>
          <w:szCs w:val="24"/>
          <w:u w:color="000000"/>
        </w:rPr>
        <w:t xml:space="preserve"> zisteného inventarizáciou v skladoch k 31. 12. </w:t>
      </w:r>
      <w:r>
        <w:rPr>
          <w:rFonts w:ascii="Times New Roman" w:hAnsi="Times New Roman"/>
          <w:color w:val="000000" w:themeColor="text1"/>
          <w:sz w:val="24"/>
          <w:szCs w:val="24"/>
          <w:u w:color="000000"/>
        </w:rPr>
        <w:t>2018</w:t>
      </w:r>
      <w:r w:rsidRPr="00C565E2">
        <w:rPr>
          <w:rFonts w:ascii="Times New Roman" w:hAnsi="Times New Roman"/>
          <w:color w:val="000000" w:themeColor="text1"/>
          <w:sz w:val="24"/>
          <w:szCs w:val="24"/>
          <w:u w:color="000000"/>
        </w:rPr>
        <w:t xml:space="preserve"> v sume </w:t>
      </w:r>
      <w:r>
        <w:rPr>
          <w:rFonts w:ascii="Times New Roman" w:hAnsi="Times New Roman"/>
          <w:color w:val="000000" w:themeColor="text1"/>
          <w:sz w:val="24"/>
          <w:szCs w:val="24"/>
          <w:u w:color="000000"/>
        </w:rPr>
        <w:t>878 717,90</w:t>
      </w:r>
      <w:r w:rsidRPr="00C565E2">
        <w:rPr>
          <w:rFonts w:ascii="Times New Roman" w:hAnsi="Times New Roman"/>
          <w:color w:val="000000" w:themeColor="text1"/>
          <w:sz w:val="24"/>
          <w:szCs w:val="24"/>
          <w:u w:color="000000"/>
        </w:rPr>
        <w:t> </w:t>
      </w:r>
      <w:r>
        <w:rPr>
          <w:rFonts w:ascii="Times New Roman" w:hAnsi="Times New Roman"/>
          <w:color w:val="000000" w:themeColor="text1"/>
          <w:sz w:val="24"/>
          <w:szCs w:val="24"/>
          <w:u w:color="000000"/>
        </w:rPr>
        <w:t>EUR. Porovnaním s rokom 2017 je stav materiálu nižší o 28 446,45</w:t>
      </w:r>
      <w:r w:rsidRPr="00C565E2">
        <w:rPr>
          <w:rFonts w:ascii="Times New Roman" w:hAnsi="Times New Roman"/>
          <w:color w:val="000000" w:themeColor="text1"/>
          <w:sz w:val="24"/>
          <w:szCs w:val="24"/>
          <w:u w:color="000000"/>
        </w:rPr>
        <w:t>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Najvýznamnejšiu položku materiálu tvoria náplne do tlačiarní v sume 684 957,21 EUR.</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V priebehu účtovného obdobia sa zložky obstarávacej ceny zásob účtujú v zmysle postupov účtovania a účtovej osnovy zvoleným spôsobom „B“, podľa ktorého sa obstaranie materiálu účtuje v priebehu účtovného obdobia na ťarchu nákladov. Ku koncu sledovaného obdobia sa stav zásob aktivuje podľa zostatkov zistených fyzickou inventúrou na ťarchu analytických účtov k syntetickému účtu 112 – materiál na sklade. Pri zvolenom spôsobe účtovania zásob sa vedie skladová evidencia materiálu vo finančnom vyjadrení na podsúvahových účtoch.</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D22A3F" w:rsidRDefault="00385B00" w:rsidP="00385B00">
      <w:pPr>
        <w:widowControl/>
        <w:spacing w:line="360" w:lineRule="auto"/>
        <w:jc w:val="both"/>
        <w:rPr>
          <w:rFonts w:ascii="Times New Roman" w:hAnsi="Times New Roman"/>
          <w:b/>
          <w:bCs/>
          <w:color w:val="000000" w:themeColor="text1"/>
          <w:sz w:val="24"/>
          <w:szCs w:val="24"/>
          <w:u w:color="000000"/>
        </w:rPr>
      </w:pPr>
      <w:r w:rsidRPr="00D22A3F">
        <w:rPr>
          <w:rFonts w:ascii="Times New Roman" w:hAnsi="Times New Roman"/>
          <w:b/>
          <w:bCs/>
          <w:color w:val="000000" w:themeColor="text1"/>
          <w:sz w:val="24"/>
          <w:szCs w:val="24"/>
          <w:u w:color="000000"/>
        </w:rPr>
        <w:t>(6)</w:t>
      </w:r>
      <w:r w:rsidRPr="00D22A3F">
        <w:rPr>
          <w:rFonts w:ascii="Times New Roman" w:hAnsi="Times New Roman"/>
          <w:b/>
          <w:bCs/>
          <w:color w:val="000000" w:themeColor="text1"/>
          <w:sz w:val="24"/>
          <w:szCs w:val="24"/>
          <w:u w:color="000000"/>
        </w:rPr>
        <w:tab/>
        <w:t xml:space="preserve">Prehľad pohľadávok na poistnom a príspevkoch na starobné dôchodkové sporenie v členení na pohľadávky na poistnom a príspevkoch na starobné dôchodkové sporenie a pohľadávky na penále, pokutách, poplatkoch a regresoch. Prehľad pohľadávok do lehoty splatnosti a po lehote splatnosti. </w:t>
      </w:r>
    </w:p>
    <w:p w:rsidR="00385B00" w:rsidRPr="00D22A3F" w:rsidRDefault="00385B00" w:rsidP="00385B00">
      <w:pPr>
        <w:widowControl/>
        <w:spacing w:line="360" w:lineRule="auto"/>
        <w:jc w:val="both"/>
        <w:rPr>
          <w:rFonts w:ascii="Times New Roman" w:hAnsi="Times New Roman"/>
          <w:b/>
          <w:bCs/>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D22A3F">
        <w:rPr>
          <w:rFonts w:ascii="Times New Roman" w:hAnsi="Times New Roman"/>
          <w:color w:val="000000" w:themeColor="text1"/>
          <w:sz w:val="24"/>
          <w:szCs w:val="24"/>
          <w:u w:color="000000"/>
        </w:rPr>
        <w:tab/>
        <w:t xml:space="preserve">Pohľadávky Sociálnej poisťovne evidované na účte 316 - Pohľadávky na poistnom a príspevkoch na starobné dôchodkové sporenie, podľa § 148 zákona č. 461/2003 Z. z. o sociálnom poistení v znení neskorších predpisov (ďalej len „zákon o sociálnom poistení“), na dávkach a náhradách škody neuhradených Sociálnej poisťovni tretími osobami, pokutách a penále (pohľadávky) k 31. 12. 2018 dosiahli výšku 778 755 747,98 EUR. V porovnaní so zostatkom k 31. 12. 2017 pohľadávky Sociálnej poisťovne poklesli o 99 823 718,33 EUR. V percentuálnom porovnaní to znamená zníženie o 11,4 %. Z celkového </w:t>
      </w:r>
      <w:r>
        <w:rPr>
          <w:rFonts w:ascii="Times New Roman" w:hAnsi="Times New Roman"/>
          <w:color w:val="000000" w:themeColor="text1"/>
          <w:sz w:val="24"/>
          <w:szCs w:val="24"/>
          <w:u w:color="000000"/>
        </w:rPr>
        <w:t>zostatku</w:t>
      </w:r>
      <w:r w:rsidRPr="00D22A3F">
        <w:rPr>
          <w:rFonts w:ascii="Times New Roman" w:hAnsi="Times New Roman"/>
          <w:color w:val="000000" w:themeColor="text1"/>
          <w:sz w:val="24"/>
          <w:szCs w:val="24"/>
          <w:u w:color="000000"/>
        </w:rPr>
        <w:t xml:space="preserve"> pohľadávok predstavujú pohľadávky na poistnom na základe rozhodnutia 438 155 638,13 EUR (56,3 %) a pohľadávky na penále  174 709 390,26 EUR (22,4 %). V rámci uvedených pohľadávok Sociálna poisťovňa eviduje k  31. 12. 2018 pohľadávky zo zúčtovania na poistnom z roku 1993 (pohľadávky štátu) v celkovom objeme 307 727,11 EUR (0,04 % z celkového objemu pohľadávok) a pohľadávky zo zúčtovania poistného z roku 1994 na zdravotnom fonde v celkovom objeme 71 973,10 EUR (0,01 %). Pohľadávky Sociálnej poisťovne podľa druhov pohľadávok sú uvedené v tabuľkách č. 3, 4 a v grafe č.1.</w:t>
      </w: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C565E2">
        <w:rPr>
          <w:rFonts w:ascii="Times New Roman" w:hAnsi="Times New Roman"/>
          <w:b/>
          <w:bCs/>
          <w:color w:val="000000" w:themeColor="text1"/>
          <w:sz w:val="24"/>
          <w:szCs w:val="24"/>
          <w:u w:color="000000"/>
        </w:rPr>
        <w:t>Prehľad pohľadávok do lehoty splatnosti a po lehote splatnosti</w:t>
      </w:r>
    </w:p>
    <w:p w:rsidR="00385B00" w:rsidRPr="00AE1B46" w:rsidRDefault="00385B00" w:rsidP="00385B00">
      <w:pPr>
        <w:pStyle w:val="Odsekzoznamu"/>
        <w:widowControl/>
        <w:numPr>
          <w:ilvl w:val="0"/>
          <w:numId w:val="45"/>
        </w:numPr>
        <w:spacing w:line="360" w:lineRule="auto"/>
        <w:jc w:val="both"/>
        <w:rPr>
          <w:rFonts w:ascii="Times New Roman" w:hAnsi="Times New Roman"/>
          <w:b/>
          <w:bCs/>
          <w:color w:val="000000" w:themeColor="text1"/>
          <w:sz w:val="24"/>
          <w:szCs w:val="24"/>
          <w:u w:color="000000"/>
        </w:rPr>
      </w:pPr>
      <w:r w:rsidRPr="00AE1B46">
        <w:rPr>
          <w:rFonts w:ascii="Times New Roman" w:hAnsi="Times New Roman"/>
          <w:b/>
          <w:bCs/>
          <w:color w:val="000000" w:themeColor="text1"/>
          <w:sz w:val="24"/>
          <w:szCs w:val="24"/>
          <w:u w:color="000000"/>
        </w:rPr>
        <w:t>základné fondy</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 xml:space="preserve">Prehľad pohľadávok na poistnom a príspevkoch na starobnom dôchodkovom sporení do lehoty splatnosti a po lehote splatnosti je uvedený v tabuľke č. 3. </w:t>
      </w:r>
    </w:p>
    <w:p w:rsidR="00385B00" w:rsidRPr="00021AD4" w:rsidRDefault="00385B00" w:rsidP="00385B00">
      <w:pPr>
        <w:pStyle w:val="Odsekzoznamu"/>
        <w:widowControl/>
        <w:numPr>
          <w:ilvl w:val="0"/>
          <w:numId w:val="45"/>
        </w:numPr>
        <w:spacing w:line="360" w:lineRule="auto"/>
        <w:jc w:val="both"/>
        <w:rPr>
          <w:rFonts w:ascii="Times New Roman" w:hAnsi="Times New Roman"/>
          <w:color w:val="000000" w:themeColor="text1"/>
          <w:sz w:val="24"/>
          <w:szCs w:val="24"/>
          <w:u w:color="000000"/>
        </w:rPr>
      </w:pPr>
      <w:r w:rsidRPr="00021AD4">
        <w:rPr>
          <w:rFonts w:ascii="Times New Roman" w:hAnsi="Times New Roman"/>
          <w:b/>
          <w:bCs/>
          <w:color w:val="000000" w:themeColor="text1"/>
          <w:sz w:val="24"/>
          <w:szCs w:val="24"/>
          <w:u w:color="000000"/>
        </w:rPr>
        <w:t>správny fond</w:t>
      </w:r>
    </w:p>
    <w:p w:rsidR="00385B00" w:rsidRPr="00021AD4" w:rsidRDefault="00385B00" w:rsidP="00385B00">
      <w:pPr>
        <w:widowControl/>
        <w:spacing w:line="360" w:lineRule="auto"/>
        <w:ind w:firstLine="510"/>
        <w:jc w:val="both"/>
        <w:rPr>
          <w:rFonts w:ascii="Times New Roman" w:hAnsi="Times New Roman"/>
          <w:color w:val="000000" w:themeColor="text1"/>
          <w:sz w:val="24"/>
          <w:szCs w:val="24"/>
          <w:u w:color="000000"/>
        </w:rPr>
      </w:pPr>
      <w:r w:rsidRPr="00021AD4">
        <w:rPr>
          <w:rFonts w:ascii="Times New Roman" w:hAnsi="Times New Roman"/>
          <w:color w:val="000000" w:themeColor="text1"/>
          <w:sz w:val="24"/>
          <w:szCs w:val="24"/>
          <w:u w:color="000000"/>
        </w:rPr>
        <w:t xml:space="preserve">Pohľadávky správneho fondu po lehote splatnosti predstavujú sumu </w:t>
      </w:r>
      <w:r>
        <w:rPr>
          <w:rFonts w:ascii="Times New Roman" w:hAnsi="Times New Roman"/>
          <w:color w:val="000000" w:themeColor="text1"/>
          <w:sz w:val="24"/>
          <w:szCs w:val="24"/>
          <w:u w:color="000000"/>
        </w:rPr>
        <w:t>168 387,02</w:t>
      </w:r>
      <w:r w:rsidRPr="00021AD4">
        <w:rPr>
          <w:rFonts w:ascii="Times New Roman" w:hAnsi="Times New Roman"/>
          <w:color w:val="000000" w:themeColor="text1"/>
          <w:sz w:val="24"/>
          <w:szCs w:val="24"/>
          <w:u w:color="000000"/>
        </w:rPr>
        <w:t xml:space="preserve"> EUR.  Sú to napr. pohľadávky uplatňované v súdnom, resp. exekučnom konaní voči firme  Emanuel </w:t>
      </w:r>
      <w:proofErr w:type="spellStart"/>
      <w:r w:rsidRPr="00021AD4">
        <w:rPr>
          <w:rFonts w:ascii="Times New Roman" w:hAnsi="Times New Roman"/>
          <w:color w:val="000000" w:themeColor="text1"/>
          <w:sz w:val="24"/>
          <w:szCs w:val="24"/>
          <w:u w:color="000000"/>
        </w:rPr>
        <w:t>Hindák</w:t>
      </w:r>
      <w:proofErr w:type="spellEnd"/>
      <w:r w:rsidRPr="00021AD4">
        <w:rPr>
          <w:rFonts w:ascii="Times New Roman" w:hAnsi="Times New Roman"/>
          <w:color w:val="000000" w:themeColor="text1"/>
          <w:sz w:val="24"/>
          <w:szCs w:val="24"/>
          <w:u w:color="000000"/>
        </w:rPr>
        <w:t xml:space="preserve"> - EMAN (2 125,47 EUR), firme Ján </w:t>
      </w:r>
      <w:proofErr w:type="spellStart"/>
      <w:r w:rsidRPr="00021AD4">
        <w:rPr>
          <w:rFonts w:ascii="Times New Roman" w:hAnsi="Times New Roman"/>
          <w:color w:val="000000" w:themeColor="text1"/>
          <w:sz w:val="24"/>
          <w:szCs w:val="24"/>
          <w:u w:color="000000"/>
        </w:rPr>
        <w:t>Škor</w:t>
      </w:r>
      <w:proofErr w:type="spellEnd"/>
      <w:r w:rsidRPr="00021AD4">
        <w:rPr>
          <w:rFonts w:ascii="Times New Roman" w:hAnsi="Times New Roman"/>
          <w:color w:val="000000" w:themeColor="text1"/>
          <w:sz w:val="24"/>
          <w:szCs w:val="24"/>
          <w:u w:color="000000"/>
        </w:rPr>
        <w:t xml:space="preserve"> za odber elektrickej energie pri realizácii stavebných prác pri rekonštrukcii budovy pobočky Sociálnej poisťovne (2 701,55 EUR), neuhradené odberateľské faktúry (4 503,89 EUR) a pohľadávky voči bývalým zamestnancom (</w:t>
      </w:r>
      <w:r>
        <w:rPr>
          <w:rFonts w:ascii="Times New Roman" w:hAnsi="Times New Roman"/>
          <w:color w:val="000000" w:themeColor="text1"/>
          <w:sz w:val="24"/>
          <w:szCs w:val="24"/>
          <w:u w:color="000000"/>
        </w:rPr>
        <w:t>159 056,11</w:t>
      </w:r>
      <w:r w:rsidRPr="00021AD4">
        <w:rPr>
          <w:rFonts w:ascii="Times New Roman" w:hAnsi="Times New Roman"/>
          <w:color w:val="000000" w:themeColor="text1"/>
          <w:sz w:val="24"/>
          <w:szCs w:val="24"/>
          <w:u w:color="000000"/>
        </w:rPr>
        <w:t xml:space="preserve"> EUR).</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ind w:firstLine="510"/>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 xml:space="preserve">Ostatné pohľadávky správneho fondu  sú do lehoty splatnosti. Ide najmä o pohľadávky z obchodného styku, voči zamestnancom a iné pohľadávky. </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C565E2">
        <w:rPr>
          <w:rFonts w:ascii="Times New Roman" w:hAnsi="Times New Roman"/>
          <w:b/>
          <w:bCs/>
          <w:color w:val="000000" w:themeColor="text1"/>
          <w:sz w:val="24"/>
          <w:szCs w:val="24"/>
          <w:u w:color="000000"/>
        </w:rPr>
        <w:t>(7)</w:t>
      </w:r>
      <w:r w:rsidRPr="00C565E2">
        <w:rPr>
          <w:rFonts w:ascii="Times New Roman" w:hAnsi="Times New Roman"/>
          <w:b/>
          <w:bCs/>
          <w:color w:val="000000" w:themeColor="text1"/>
          <w:sz w:val="24"/>
          <w:szCs w:val="24"/>
          <w:u w:color="000000"/>
        </w:rPr>
        <w:tab/>
        <w:t>Vývoj dlhodobých pohľadávok a krátkodobých pohľadávok v priebehu bežného účtovného obdobia; ich stav na začiatku bežného účtovného obdobia, prírastok, úbytok a stav na konci bežného účtovného obdobia.</w:t>
      </w: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p>
    <w:p w:rsidR="00385B00" w:rsidRPr="00C565E2" w:rsidRDefault="00385B00" w:rsidP="00385B00">
      <w:pPr>
        <w:widowControl/>
        <w:spacing w:line="360" w:lineRule="auto"/>
        <w:ind w:firstLine="510"/>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V zmysle ustanovenia §</w:t>
      </w:r>
      <w:r>
        <w:rPr>
          <w:rFonts w:ascii="Times New Roman" w:hAnsi="Times New Roman"/>
          <w:color w:val="000000" w:themeColor="text1"/>
          <w:sz w:val="24"/>
          <w:szCs w:val="24"/>
          <w:u w:color="000000"/>
        </w:rPr>
        <w:t> </w:t>
      </w:r>
      <w:r w:rsidRPr="00C565E2">
        <w:rPr>
          <w:rFonts w:ascii="Times New Roman" w:hAnsi="Times New Roman"/>
          <w:color w:val="000000" w:themeColor="text1"/>
          <w:sz w:val="24"/>
          <w:szCs w:val="24"/>
          <w:u w:color="000000"/>
        </w:rPr>
        <w:t xml:space="preserve">12 opatrenia o postupoch účtovania Sociálna poisťovňa v roku </w:t>
      </w:r>
      <w:r>
        <w:rPr>
          <w:rFonts w:ascii="Times New Roman" w:hAnsi="Times New Roman"/>
          <w:color w:val="000000" w:themeColor="text1"/>
          <w:sz w:val="24"/>
          <w:szCs w:val="24"/>
          <w:u w:color="000000"/>
        </w:rPr>
        <w:t>2018</w:t>
      </w:r>
      <w:r w:rsidRPr="00C565E2">
        <w:rPr>
          <w:rFonts w:ascii="Times New Roman" w:hAnsi="Times New Roman"/>
          <w:color w:val="000000" w:themeColor="text1"/>
          <w:sz w:val="24"/>
          <w:szCs w:val="24"/>
          <w:u w:color="000000"/>
        </w:rPr>
        <w:t xml:space="preserve"> v oblasti evidencie, účtovania a vykazovania sledovala pohľadávky z hľadiska zostatkovej doby ich splatnosti na </w:t>
      </w:r>
      <w:r w:rsidRPr="00C565E2">
        <w:rPr>
          <w:rFonts w:ascii="Times New Roman" w:hAnsi="Times New Roman"/>
          <w:b/>
          <w:bCs/>
          <w:color w:val="000000" w:themeColor="text1"/>
          <w:sz w:val="24"/>
          <w:szCs w:val="24"/>
          <w:u w:color="000000"/>
        </w:rPr>
        <w:t>dlhodobé a krátkodobé</w:t>
      </w:r>
      <w:r w:rsidRPr="00C565E2">
        <w:rPr>
          <w:rFonts w:ascii="Times New Roman" w:hAnsi="Times New Roman"/>
          <w:color w:val="000000" w:themeColor="text1"/>
          <w:sz w:val="24"/>
          <w:szCs w:val="24"/>
          <w:u w:color="000000"/>
        </w:rPr>
        <w:t>. Sociálna poisťovňa vykazuje pohľadávky podľa zostatkovej doby splatnosti a zohľadňuje k nim vytvorené opravné položky.</w:t>
      </w: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C565E2">
        <w:rPr>
          <w:rFonts w:ascii="Times New Roman" w:hAnsi="Times New Roman"/>
          <w:b/>
          <w:bCs/>
          <w:color w:val="000000" w:themeColor="text1"/>
          <w:sz w:val="24"/>
          <w:szCs w:val="24"/>
          <w:u w:color="000000"/>
        </w:rPr>
        <w:t xml:space="preserve">Dlhodobé pohľadávky </w:t>
      </w: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F267D4">
        <w:rPr>
          <w:rFonts w:ascii="Times New Roman" w:hAnsi="Times New Roman"/>
          <w:b/>
          <w:bCs/>
          <w:color w:val="000000" w:themeColor="text1"/>
          <w:sz w:val="24"/>
          <w:szCs w:val="24"/>
          <w:u w:color="000000"/>
        </w:rPr>
        <w:t>Riadok 032</w:t>
      </w:r>
      <w:r w:rsidRPr="00C565E2">
        <w:rPr>
          <w:rFonts w:ascii="Times New Roman" w:hAnsi="Times New Roman"/>
          <w:b/>
          <w:bCs/>
          <w:color w:val="000000" w:themeColor="text1"/>
          <w:sz w:val="24"/>
          <w:szCs w:val="24"/>
          <w:u w:color="000000"/>
        </w:rPr>
        <w:t xml:space="preserve"> – Pohľadávky na poistnom a príspevkoch na starobné dôchodkové sporenie</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r>
      <w:r w:rsidRPr="00550597">
        <w:rPr>
          <w:rFonts w:ascii="Times New Roman" w:hAnsi="Times New Roman"/>
          <w:color w:val="000000" w:themeColor="text1"/>
          <w:sz w:val="24"/>
          <w:szCs w:val="24"/>
          <w:u w:color="000000"/>
        </w:rPr>
        <w:t>Vykazovaný zostatok v sume 1 552 929,56 EUR predstavuje</w:t>
      </w:r>
      <w:r w:rsidRPr="00C565E2">
        <w:rPr>
          <w:rFonts w:ascii="Times New Roman" w:hAnsi="Times New Roman"/>
          <w:color w:val="000000" w:themeColor="text1"/>
          <w:sz w:val="24"/>
          <w:szCs w:val="24"/>
          <w:u w:color="000000"/>
        </w:rPr>
        <w:t xml:space="preserve"> menovitú hodnotu dlhodobých pohľadávok na poistnom základných fondov</w:t>
      </w:r>
      <w:r>
        <w:rPr>
          <w:rFonts w:ascii="Times New Roman" w:hAnsi="Times New Roman"/>
          <w:color w:val="000000" w:themeColor="text1"/>
          <w:sz w:val="24"/>
          <w:szCs w:val="24"/>
          <w:u w:color="000000"/>
        </w:rPr>
        <w:t xml:space="preserve"> vo výške 1 663 339,08 EUR zníženú o opravné položky</w:t>
      </w:r>
      <w:r w:rsidRPr="00C565E2">
        <w:rPr>
          <w:rFonts w:ascii="Times New Roman" w:hAnsi="Times New Roman"/>
          <w:color w:val="000000" w:themeColor="text1"/>
          <w:sz w:val="24"/>
          <w:szCs w:val="24"/>
          <w:u w:color="000000"/>
        </w:rPr>
        <w:t>. Tieto pozostávajú z pohľadávok na poistnom, penále</w:t>
      </w:r>
      <w:r>
        <w:rPr>
          <w:rFonts w:ascii="Times New Roman" w:hAnsi="Times New Roman"/>
          <w:color w:val="000000" w:themeColor="text1"/>
          <w:sz w:val="24"/>
          <w:szCs w:val="24"/>
          <w:u w:color="000000"/>
        </w:rPr>
        <w:t>, pokuty, ostatné pohľadávky</w:t>
      </w:r>
      <w:r w:rsidRPr="00C565E2">
        <w:rPr>
          <w:rFonts w:ascii="Times New Roman" w:hAnsi="Times New Roman"/>
          <w:color w:val="000000" w:themeColor="text1"/>
          <w:sz w:val="24"/>
          <w:szCs w:val="24"/>
          <w:u w:color="000000"/>
        </w:rPr>
        <w:t xml:space="preserve"> a</w:t>
      </w:r>
      <w:r>
        <w:rPr>
          <w:rFonts w:ascii="Times New Roman" w:hAnsi="Times New Roman"/>
          <w:color w:val="000000" w:themeColor="text1"/>
          <w:sz w:val="24"/>
          <w:szCs w:val="24"/>
          <w:u w:color="000000"/>
        </w:rPr>
        <w:t xml:space="preserve"> pohľadávky </w:t>
      </w:r>
      <w:r w:rsidRPr="00C565E2">
        <w:rPr>
          <w:rFonts w:ascii="Times New Roman" w:hAnsi="Times New Roman"/>
          <w:color w:val="000000" w:themeColor="text1"/>
          <w:sz w:val="24"/>
          <w:szCs w:val="24"/>
          <w:u w:color="000000"/>
        </w:rPr>
        <w:t>z titulu preplatkov na dávkach sociálneho poistenia zaúčtovaných na úrovni organizačných zložiek Sociálnej poisťovne.</w:t>
      </w: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p>
    <w:p w:rsidR="00385B00" w:rsidRPr="00C565E2" w:rsidRDefault="00385B00" w:rsidP="00385B00">
      <w:pPr>
        <w:widowControl/>
        <w:spacing w:line="360" w:lineRule="auto"/>
        <w:ind w:firstLine="360"/>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Sociálna poisťovňa rozhodnutím povolila k 31. 12. </w:t>
      </w:r>
      <w:r>
        <w:rPr>
          <w:rFonts w:ascii="Times New Roman" w:hAnsi="Times New Roman"/>
          <w:color w:val="000000" w:themeColor="text1"/>
          <w:sz w:val="24"/>
          <w:szCs w:val="24"/>
          <w:u w:color="000000"/>
        </w:rPr>
        <w:t>2018</w:t>
      </w:r>
      <w:r w:rsidRPr="00C565E2">
        <w:rPr>
          <w:rFonts w:ascii="Times New Roman" w:hAnsi="Times New Roman"/>
          <w:color w:val="000000" w:themeColor="text1"/>
          <w:sz w:val="24"/>
          <w:szCs w:val="24"/>
          <w:u w:color="000000"/>
        </w:rPr>
        <w:t xml:space="preserve"> plnenie dlžných súm na základe splátkového kalendára v zmysle zákona o sociálnom poistení spolu v sume </w:t>
      </w:r>
      <w:r w:rsidRPr="004C4D7B">
        <w:rPr>
          <w:rFonts w:ascii="Times New Roman" w:hAnsi="Times New Roman"/>
          <w:color w:val="000000" w:themeColor="text1"/>
          <w:sz w:val="24"/>
          <w:szCs w:val="24"/>
          <w:u w:color="000000"/>
        </w:rPr>
        <w:t>5 683 065,84 EUR. Z tejto sumy je 1 663 339,08 EUR vymáhaných</w:t>
      </w:r>
      <w:r w:rsidRPr="00C565E2">
        <w:rPr>
          <w:rFonts w:ascii="Times New Roman" w:hAnsi="Times New Roman"/>
          <w:color w:val="000000" w:themeColor="text1"/>
          <w:sz w:val="24"/>
          <w:szCs w:val="24"/>
          <w:u w:color="000000"/>
        </w:rPr>
        <w:t xml:space="preserve"> prostredníctvom splátkových kalendárov s dĺžkou splatnosti od 12 do 18 mesiacov. V zmysle opatrenia MF SR o postupoch účtovania a podľa § 4 ods. 2 zákona o účtovníctve tieto eviduje ako dlhodobé pohľadávky. Splátkový kalendár v prípade nedodržania dohodnutých termínov splatnosti sa okamžite ukončuje. </w:t>
      </w: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F267D4">
        <w:rPr>
          <w:rFonts w:ascii="Times New Roman" w:hAnsi="Times New Roman"/>
          <w:b/>
          <w:bCs/>
          <w:color w:val="000000" w:themeColor="text1"/>
          <w:sz w:val="24"/>
          <w:szCs w:val="24"/>
          <w:u w:color="000000"/>
        </w:rPr>
        <w:t>Riadok 033</w:t>
      </w:r>
      <w:r w:rsidRPr="00C565E2">
        <w:rPr>
          <w:rFonts w:ascii="Times New Roman" w:hAnsi="Times New Roman"/>
          <w:b/>
          <w:bCs/>
          <w:color w:val="000000" w:themeColor="text1"/>
          <w:sz w:val="24"/>
          <w:szCs w:val="24"/>
          <w:u w:color="000000"/>
        </w:rPr>
        <w:t xml:space="preserve"> – Pohľadávky voči zamestnancom</w:t>
      </w: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C565E2">
        <w:rPr>
          <w:rFonts w:ascii="Times New Roman" w:hAnsi="Times New Roman"/>
          <w:b/>
          <w:bCs/>
          <w:color w:val="000000" w:themeColor="text1"/>
          <w:sz w:val="24"/>
          <w:szCs w:val="24"/>
          <w:u w:color="000000"/>
        </w:rPr>
        <w:tab/>
      </w:r>
      <w:r w:rsidRPr="00C565E2">
        <w:rPr>
          <w:rFonts w:ascii="Times New Roman" w:hAnsi="Times New Roman"/>
          <w:color w:val="000000" w:themeColor="text1"/>
          <w:sz w:val="24"/>
          <w:szCs w:val="24"/>
          <w:u w:color="000000"/>
        </w:rPr>
        <w:t xml:space="preserve">Vykazovaný zostatok v sume </w:t>
      </w:r>
      <w:r>
        <w:rPr>
          <w:rFonts w:ascii="Times New Roman" w:hAnsi="Times New Roman"/>
          <w:color w:val="000000" w:themeColor="text1"/>
          <w:sz w:val="24"/>
          <w:szCs w:val="24"/>
          <w:u w:color="000000"/>
        </w:rPr>
        <w:t>96 906,00</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predstavuje úhrn nesplatených pôžičiek poskytnutých zamestnancom zo sociálneho fondu. </w:t>
      </w:r>
    </w:p>
    <w:p w:rsidR="00385B00" w:rsidRDefault="00385B00" w:rsidP="00385B00">
      <w:pPr>
        <w:widowControl/>
        <w:spacing w:line="360" w:lineRule="auto"/>
        <w:jc w:val="both"/>
        <w:rPr>
          <w:rFonts w:ascii="Times New Roman" w:hAnsi="Times New Roman"/>
          <w:b/>
          <w:bCs/>
          <w:color w:val="000000" w:themeColor="text1"/>
          <w:sz w:val="24"/>
          <w:szCs w:val="24"/>
          <w:u w:color="000000"/>
        </w:rPr>
      </w:pPr>
    </w:p>
    <w:p w:rsidR="00385B00" w:rsidRDefault="00385B00" w:rsidP="00385B00">
      <w:pPr>
        <w:widowControl/>
        <w:spacing w:line="360" w:lineRule="auto"/>
        <w:jc w:val="both"/>
        <w:rPr>
          <w:rFonts w:ascii="Times New Roman" w:hAnsi="Times New Roman"/>
          <w:b/>
          <w:bCs/>
          <w:color w:val="000000" w:themeColor="text1"/>
          <w:sz w:val="24"/>
          <w:szCs w:val="24"/>
          <w:u w:color="000000"/>
        </w:rPr>
      </w:pPr>
      <w:r w:rsidRPr="00F267D4">
        <w:rPr>
          <w:rFonts w:ascii="Times New Roman" w:hAnsi="Times New Roman"/>
          <w:b/>
          <w:bCs/>
          <w:color w:val="000000" w:themeColor="text1"/>
          <w:sz w:val="24"/>
          <w:szCs w:val="24"/>
          <w:u w:color="000000"/>
        </w:rPr>
        <w:t>Riadok 034</w:t>
      </w:r>
      <w:r w:rsidRPr="00C565E2">
        <w:rPr>
          <w:rFonts w:ascii="Times New Roman" w:hAnsi="Times New Roman"/>
          <w:b/>
          <w:bCs/>
          <w:color w:val="000000" w:themeColor="text1"/>
          <w:sz w:val="24"/>
          <w:szCs w:val="24"/>
          <w:u w:color="000000"/>
        </w:rPr>
        <w:t xml:space="preserve"> – Ostatné dlhodobé pohľadávky</w:t>
      </w:r>
    </w:p>
    <w:p w:rsidR="00385B00"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 xml:space="preserve">Vykazovaný zostatok v sume </w:t>
      </w:r>
      <w:r>
        <w:rPr>
          <w:rFonts w:ascii="Times New Roman" w:hAnsi="Times New Roman"/>
          <w:color w:val="000000" w:themeColor="text1"/>
          <w:sz w:val="24"/>
          <w:szCs w:val="24"/>
          <w:u w:color="000000"/>
        </w:rPr>
        <w:t>13 926,94</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predstavu</w:t>
      </w:r>
      <w:r>
        <w:rPr>
          <w:rFonts w:ascii="Times New Roman" w:hAnsi="Times New Roman"/>
          <w:color w:val="000000" w:themeColor="text1"/>
          <w:sz w:val="24"/>
          <w:szCs w:val="24"/>
          <w:u w:color="000000"/>
        </w:rPr>
        <w:t>je preddavky súdnym exekútorom.</w:t>
      </w:r>
    </w:p>
    <w:p w:rsidR="00385B00" w:rsidRPr="00953A7B" w:rsidRDefault="00385B00" w:rsidP="00385B00">
      <w:pPr>
        <w:widowControl/>
        <w:spacing w:line="360" w:lineRule="auto"/>
        <w:jc w:val="both"/>
        <w:rPr>
          <w:rFonts w:ascii="Times New Roman" w:hAnsi="Times New Roman"/>
          <w:color w:val="000000" w:themeColor="text1"/>
          <w:sz w:val="24"/>
          <w:szCs w:val="24"/>
          <w:u w:color="000000"/>
        </w:rPr>
      </w:pPr>
    </w:p>
    <w:p w:rsidR="00385B00" w:rsidRDefault="00385B00" w:rsidP="00385B00">
      <w:pPr>
        <w:widowControl/>
        <w:spacing w:line="360" w:lineRule="auto"/>
        <w:jc w:val="both"/>
        <w:rPr>
          <w:rFonts w:ascii="Times New Roman" w:hAnsi="Times New Roman"/>
          <w:b/>
          <w:bCs/>
          <w:color w:val="000000" w:themeColor="text1"/>
          <w:sz w:val="24"/>
          <w:szCs w:val="24"/>
          <w:u w:color="000000"/>
        </w:rPr>
      </w:pPr>
      <w:r>
        <w:rPr>
          <w:rFonts w:ascii="Times New Roman" w:hAnsi="Times New Roman"/>
          <w:b/>
          <w:bCs/>
          <w:color w:val="000000" w:themeColor="text1"/>
          <w:sz w:val="24"/>
          <w:szCs w:val="24"/>
          <w:u w:color="000000"/>
        </w:rPr>
        <w:t>Krátkodobé pohľadávky</w:t>
      </w:r>
    </w:p>
    <w:p w:rsidR="00385B00" w:rsidRPr="00550597" w:rsidRDefault="00385B00" w:rsidP="00385B00">
      <w:pPr>
        <w:widowControl/>
        <w:spacing w:line="360" w:lineRule="auto"/>
        <w:jc w:val="both"/>
        <w:rPr>
          <w:rFonts w:ascii="Times New Roman" w:hAnsi="Times New Roman"/>
          <w:b/>
          <w:bCs/>
          <w:color w:val="000000" w:themeColor="text1"/>
          <w:sz w:val="24"/>
          <w:szCs w:val="24"/>
          <w:u w:color="000000"/>
        </w:rPr>
      </w:pPr>
    </w:p>
    <w:p w:rsidR="00385B00" w:rsidRPr="00550597" w:rsidRDefault="00385B00" w:rsidP="00385B00">
      <w:pPr>
        <w:widowControl/>
        <w:spacing w:line="360" w:lineRule="auto"/>
        <w:jc w:val="both"/>
        <w:rPr>
          <w:rFonts w:ascii="Times New Roman" w:hAnsi="Times New Roman"/>
          <w:b/>
          <w:bCs/>
          <w:color w:val="000000" w:themeColor="text1"/>
          <w:sz w:val="24"/>
          <w:szCs w:val="24"/>
          <w:u w:color="000000"/>
        </w:rPr>
      </w:pPr>
      <w:r w:rsidRPr="00550597">
        <w:rPr>
          <w:rFonts w:ascii="Times New Roman" w:hAnsi="Times New Roman"/>
          <w:b/>
          <w:bCs/>
          <w:color w:val="000000" w:themeColor="text1"/>
          <w:sz w:val="24"/>
          <w:szCs w:val="24"/>
          <w:u w:color="000000"/>
        </w:rPr>
        <w:t>Riadok 036 – Pohľadávky z obchodného styku</w:t>
      </w:r>
    </w:p>
    <w:p w:rsidR="00385B00" w:rsidRPr="00550597" w:rsidRDefault="00385B00" w:rsidP="00385B00">
      <w:pPr>
        <w:widowControl/>
        <w:spacing w:line="360" w:lineRule="auto"/>
        <w:rPr>
          <w:rFonts w:ascii="Times New Roman" w:hAnsi="Times New Roman"/>
          <w:color w:val="000000" w:themeColor="text1"/>
          <w:sz w:val="24"/>
          <w:szCs w:val="24"/>
          <w:u w:color="000000"/>
        </w:rPr>
      </w:pPr>
      <w:r w:rsidRPr="00550597">
        <w:rPr>
          <w:rFonts w:ascii="Times New Roman" w:hAnsi="Times New Roman"/>
          <w:b/>
          <w:bCs/>
          <w:color w:val="000000" w:themeColor="text1"/>
          <w:sz w:val="24"/>
          <w:szCs w:val="24"/>
          <w:u w:color="000000"/>
        </w:rPr>
        <w:tab/>
      </w:r>
      <w:r w:rsidRPr="00550597">
        <w:rPr>
          <w:rFonts w:ascii="Times New Roman" w:hAnsi="Times New Roman"/>
          <w:color w:val="000000" w:themeColor="text1"/>
          <w:sz w:val="24"/>
          <w:szCs w:val="24"/>
          <w:u w:color="000000"/>
        </w:rPr>
        <w:t>Vykazovaný zostatok v sume 344 921,19 EUR predstavuje krátkodobé pohľadávky správneho fondu v štruktúre:</w:t>
      </w:r>
    </w:p>
    <w:p w:rsidR="00385B00" w:rsidRPr="00550597" w:rsidRDefault="00385B00" w:rsidP="00385B00">
      <w:pPr>
        <w:pStyle w:val="Odsekzoznamu"/>
        <w:widowControl/>
        <w:numPr>
          <w:ilvl w:val="0"/>
          <w:numId w:val="32"/>
        </w:numPr>
        <w:spacing w:line="360" w:lineRule="auto"/>
        <w:ind w:hanging="720"/>
        <w:rPr>
          <w:rFonts w:ascii="Times New Roman" w:hAnsi="Times New Roman"/>
          <w:color w:val="000000" w:themeColor="text1"/>
          <w:sz w:val="24"/>
          <w:szCs w:val="24"/>
          <w:u w:color="000000"/>
        </w:rPr>
      </w:pPr>
      <w:r w:rsidRPr="00550597">
        <w:rPr>
          <w:rFonts w:ascii="Times New Roman" w:hAnsi="Times New Roman"/>
          <w:color w:val="000000" w:themeColor="text1"/>
          <w:sz w:val="24"/>
          <w:szCs w:val="24"/>
          <w:u w:color="000000"/>
        </w:rPr>
        <w:t>voči odberateľom</w:t>
      </w:r>
      <w:r w:rsidRPr="00550597">
        <w:rPr>
          <w:rFonts w:ascii="Times New Roman" w:hAnsi="Times New Roman"/>
          <w:color w:val="000000" w:themeColor="text1"/>
          <w:sz w:val="24"/>
          <w:szCs w:val="24"/>
          <w:u w:color="000000"/>
        </w:rPr>
        <w:tab/>
      </w:r>
      <w:r w:rsidRPr="00550597">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ab/>
        <w:t xml:space="preserve">       </w:t>
      </w:r>
      <w:r w:rsidRPr="00550597">
        <w:rPr>
          <w:rFonts w:ascii="Times New Roman" w:hAnsi="Times New Roman"/>
          <w:color w:val="000000" w:themeColor="text1"/>
          <w:sz w:val="24"/>
          <w:szCs w:val="24"/>
          <w:u w:color="000000"/>
        </w:rPr>
        <w:tab/>
      </w:r>
      <w:r w:rsidRPr="00550597">
        <w:rPr>
          <w:rFonts w:ascii="Times New Roman" w:hAnsi="Times New Roman"/>
          <w:color w:val="000000" w:themeColor="text1"/>
          <w:sz w:val="24"/>
          <w:szCs w:val="24"/>
          <w:u w:color="000000"/>
        </w:rPr>
        <w:tab/>
      </w:r>
      <w:r w:rsidRPr="00550597">
        <w:rPr>
          <w:rFonts w:ascii="Times New Roman" w:hAnsi="Times New Roman"/>
          <w:color w:val="000000" w:themeColor="text1"/>
          <w:sz w:val="24"/>
          <w:szCs w:val="24"/>
          <w:u w:color="000000"/>
        </w:rPr>
        <w:tab/>
      </w:r>
      <w:r w:rsidRPr="00550597">
        <w:rPr>
          <w:rFonts w:ascii="Times New Roman" w:hAnsi="Times New Roman"/>
          <w:color w:val="000000" w:themeColor="text1"/>
          <w:sz w:val="24"/>
          <w:szCs w:val="24"/>
          <w:u w:color="000000"/>
        </w:rPr>
        <w:tab/>
      </w:r>
      <w:r w:rsidRPr="00550597">
        <w:rPr>
          <w:rFonts w:ascii="Times New Roman" w:hAnsi="Times New Roman"/>
          <w:color w:val="000000" w:themeColor="text1"/>
          <w:sz w:val="24"/>
          <w:szCs w:val="24"/>
          <w:u w:color="000000"/>
        </w:rPr>
        <w:tab/>
      </w:r>
      <w:r w:rsidRPr="00550597">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sidRPr="00550597">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336 902,90</w:t>
      </w:r>
      <w:r w:rsidRPr="00550597">
        <w:rPr>
          <w:rFonts w:ascii="Times New Roman" w:hAnsi="Times New Roman"/>
          <w:color w:val="000000" w:themeColor="text1"/>
          <w:sz w:val="24"/>
          <w:szCs w:val="24"/>
          <w:u w:color="000000"/>
        </w:rPr>
        <w:t> EUR</w:t>
      </w:r>
    </w:p>
    <w:p w:rsidR="00385B00" w:rsidRPr="00550597" w:rsidRDefault="00385B00" w:rsidP="00385B00">
      <w:pPr>
        <w:pStyle w:val="Odsekzoznamu"/>
        <w:widowControl/>
        <w:numPr>
          <w:ilvl w:val="0"/>
          <w:numId w:val="32"/>
        </w:numPr>
        <w:spacing w:line="360" w:lineRule="auto"/>
        <w:ind w:hanging="720"/>
        <w:rPr>
          <w:rFonts w:ascii="Times New Roman" w:hAnsi="Times New Roman"/>
          <w:color w:val="000000" w:themeColor="text1"/>
          <w:sz w:val="24"/>
          <w:szCs w:val="24"/>
          <w:u w:color="000000"/>
        </w:rPr>
      </w:pPr>
      <w:r w:rsidRPr="00550597">
        <w:rPr>
          <w:rFonts w:ascii="Times New Roman" w:hAnsi="Times New Roman"/>
          <w:color w:val="000000" w:themeColor="text1"/>
          <w:sz w:val="24"/>
          <w:szCs w:val="24"/>
          <w:u w:color="000000"/>
        </w:rPr>
        <w:t>poskytnuté prevádzkové preddavky</w:t>
      </w:r>
      <w:r w:rsidRPr="00550597">
        <w:rPr>
          <w:rFonts w:ascii="Times New Roman" w:hAnsi="Times New Roman"/>
          <w:color w:val="000000" w:themeColor="text1"/>
          <w:sz w:val="24"/>
          <w:szCs w:val="24"/>
          <w:u w:color="000000"/>
        </w:rPr>
        <w:tab/>
      </w:r>
      <w:r w:rsidRPr="00550597">
        <w:rPr>
          <w:rFonts w:ascii="Times New Roman" w:hAnsi="Times New Roman"/>
          <w:color w:val="000000" w:themeColor="text1"/>
          <w:sz w:val="24"/>
          <w:szCs w:val="24"/>
          <w:u w:color="000000"/>
        </w:rPr>
        <w:tab/>
      </w:r>
      <w:r w:rsidRPr="00550597">
        <w:rPr>
          <w:rFonts w:ascii="Times New Roman" w:hAnsi="Times New Roman"/>
          <w:color w:val="000000" w:themeColor="text1"/>
          <w:sz w:val="24"/>
          <w:szCs w:val="24"/>
          <w:u w:color="000000"/>
        </w:rPr>
        <w:tab/>
      </w:r>
      <w:r w:rsidRPr="00550597">
        <w:rPr>
          <w:rFonts w:ascii="Times New Roman" w:hAnsi="Times New Roman"/>
          <w:color w:val="000000" w:themeColor="text1"/>
          <w:sz w:val="24"/>
          <w:szCs w:val="24"/>
          <w:u w:color="000000"/>
        </w:rPr>
        <w:tab/>
      </w:r>
      <w:r w:rsidRPr="00550597">
        <w:rPr>
          <w:rFonts w:ascii="Times New Roman" w:hAnsi="Times New Roman"/>
          <w:color w:val="000000" w:themeColor="text1"/>
          <w:sz w:val="24"/>
          <w:szCs w:val="24"/>
          <w:u w:color="000000"/>
        </w:rPr>
        <w:tab/>
      </w:r>
      <w:r w:rsidRPr="00550597">
        <w:rPr>
          <w:rFonts w:ascii="Times New Roman" w:hAnsi="Times New Roman"/>
          <w:color w:val="000000" w:themeColor="text1"/>
          <w:sz w:val="24"/>
          <w:szCs w:val="24"/>
          <w:u w:color="000000"/>
        </w:rPr>
        <w:tab/>
      </w:r>
      <w:r w:rsidRPr="00550597">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 xml:space="preserve">     </w:t>
      </w:r>
      <w:r w:rsidRPr="00550597">
        <w:rPr>
          <w:rFonts w:ascii="Times New Roman" w:hAnsi="Times New Roman"/>
          <w:color w:val="000000" w:themeColor="text1"/>
          <w:sz w:val="24"/>
          <w:szCs w:val="24"/>
          <w:u w:color="000000"/>
        </w:rPr>
        <w:t>150,00 EUR</w:t>
      </w:r>
    </w:p>
    <w:p w:rsidR="00385B00" w:rsidRPr="00550597" w:rsidRDefault="00385B00" w:rsidP="00385B00">
      <w:pPr>
        <w:pStyle w:val="Odsekzoznamu"/>
        <w:widowControl/>
        <w:numPr>
          <w:ilvl w:val="0"/>
          <w:numId w:val="32"/>
        </w:numPr>
        <w:spacing w:line="360" w:lineRule="auto"/>
        <w:ind w:hanging="720"/>
        <w:rPr>
          <w:rFonts w:ascii="Times New Roman" w:hAnsi="Times New Roman"/>
          <w:color w:val="000000" w:themeColor="text1"/>
          <w:sz w:val="24"/>
          <w:szCs w:val="24"/>
          <w:u w:color="000000"/>
        </w:rPr>
      </w:pPr>
      <w:r w:rsidRPr="00550597">
        <w:rPr>
          <w:rFonts w:ascii="Times New Roman" w:hAnsi="Times New Roman"/>
          <w:color w:val="000000" w:themeColor="text1"/>
          <w:sz w:val="24"/>
          <w:szCs w:val="24"/>
          <w:u w:color="000000"/>
        </w:rPr>
        <w:t>ostatné pohľadávky</w:t>
      </w:r>
      <w:r w:rsidRPr="00550597">
        <w:rPr>
          <w:rFonts w:ascii="Times New Roman" w:hAnsi="Times New Roman"/>
          <w:color w:val="000000" w:themeColor="text1"/>
          <w:sz w:val="24"/>
          <w:szCs w:val="24"/>
          <w:u w:color="000000"/>
        </w:rPr>
        <w:tab/>
      </w:r>
      <w:r w:rsidRPr="00550597">
        <w:rPr>
          <w:rFonts w:ascii="Times New Roman" w:hAnsi="Times New Roman"/>
          <w:color w:val="000000" w:themeColor="text1"/>
          <w:sz w:val="24"/>
          <w:szCs w:val="24"/>
          <w:u w:color="000000"/>
        </w:rPr>
        <w:tab/>
      </w:r>
      <w:r w:rsidRPr="00550597">
        <w:rPr>
          <w:rFonts w:ascii="Times New Roman" w:hAnsi="Times New Roman"/>
          <w:color w:val="000000" w:themeColor="text1"/>
          <w:sz w:val="24"/>
          <w:szCs w:val="24"/>
          <w:u w:color="000000"/>
        </w:rPr>
        <w:tab/>
      </w:r>
      <w:r w:rsidRPr="00550597">
        <w:rPr>
          <w:rFonts w:ascii="Times New Roman" w:hAnsi="Times New Roman"/>
          <w:color w:val="000000" w:themeColor="text1"/>
          <w:sz w:val="24"/>
          <w:szCs w:val="24"/>
          <w:u w:color="000000"/>
        </w:rPr>
        <w:tab/>
      </w:r>
      <w:r w:rsidRPr="00550597">
        <w:rPr>
          <w:rFonts w:ascii="Times New Roman" w:hAnsi="Times New Roman"/>
          <w:color w:val="000000" w:themeColor="text1"/>
          <w:sz w:val="24"/>
          <w:szCs w:val="24"/>
          <w:u w:color="000000"/>
        </w:rPr>
        <w:tab/>
      </w:r>
      <w:r w:rsidRPr="00550597">
        <w:rPr>
          <w:rFonts w:ascii="Times New Roman" w:hAnsi="Times New Roman"/>
          <w:color w:val="000000" w:themeColor="text1"/>
          <w:sz w:val="24"/>
          <w:szCs w:val="24"/>
          <w:u w:color="000000"/>
        </w:rPr>
        <w:tab/>
      </w:r>
      <w:r w:rsidRPr="00550597">
        <w:rPr>
          <w:rFonts w:ascii="Times New Roman" w:hAnsi="Times New Roman"/>
          <w:color w:val="000000" w:themeColor="text1"/>
          <w:sz w:val="24"/>
          <w:szCs w:val="24"/>
          <w:u w:color="000000"/>
        </w:rPr>
        <w:tab/>
      </w:r>
      <w:r w:rsidRPr="00550597">
        <w:rPr>
          <w:rFonts w:ascii="Times New Roman" w:hAnsi="Times New Roman"/>
          <w:color w:val="000000" w:themeColor="text1"/>
          <w:sz w:val="24"/>
          <w:szCs w:val="24"/>
          <w:u w:color="000000"/>
        </w:rPr>
        <w:tab/>
      </w:r>
      <w:r w:rsidRPr="00550597">
        <w:rPr>
          <w:rFonts w:ascii="Times New Roman" w:hAnsi="Times New Roman"/>
          <w:color w:val="000000" w:themeColor="text1"/>
          <w:sz w:val="24"/>
          <w:szCs w:val="24"/>
          <w:u w:color="000000"/>
        </w:rPr>
        <w:tab/>
      </w:r>
      <w:r w:rsidRPr="00550597">
        <w:rPr>
          <w:rFonts w:ascii="Times New Roman" w:hAnsi="Times New Roman"/>
          <w:color w:val="000000" w:themeColor="text1"/>
          <w:sz w:val="24"/>
          <w:szCs w:val="24"/>
          <w:u w:color="000000"/>
        </w:rPr>
        <w:tab/>
        <w:t xml:space="preserve">   7 868,29 EUR</w:t>
      </w:r>
    </w:p>
    <w:p w:rsidR="00385B00" w:rsidRPr="00550597" w:rsidRDefault="00385B00" w:rsidP="00385B00">
      <w:pPr>
        <w:widowControl/>
        <w:spacing w:line="360" w:lineRule="auto"/>
        <w:jc w:val="both"/>
        <w:rPr>
          <w:rFonts w:ascii="Times New Roman" w:hAnsi="Times New Roman"/>
          <w:b/>
          <w:bCs/>
          <w:color w:val="000000" w:themeColor="text1"/>
          <w:sz w:val="24"/>
          <w:szCs w:val="24"/>
          <w:u w:color="000000"/>
        </w:rPr>
      </w:pPr>
    </w:p>
    <w:p w:rsidR="00385B00" w:rsidRDefault="00385B00" w:rsidP="00385B00">
      <w:pPr>
        <w:widowControl/>
        <w:spacing w:line="360" w:lineRule="auto"/>
        <w:jc w:val="both"/>
        <w:rPr>
          <w:rFonts w:ascii="Times New Roman" w:hAnsi="Times New Roman"/>
          <w:b/>
          <w:bCs/>
          <w:color w:val="000000" w:themeColor="text1"/>
          <w:sz w:val="24"/>
          <w:szCs w:val="24"/>
          <w:u w:color="000000"/>
        </w:rPr>
      </w:pPr>
      <w:r w:rsidRPr="00550597">
        <w:rPr>
          <w:rFonts w:ascii="Times New Roman" w:hAnsi="Times New Roman"/>
          <w:b/>
          <w:bCs/>
          <w:color w:val="000000" w:themeColor="text1"/>
          <w:sz w:val="24"/>
          <w:szCs w:val="24"/>
          <w:u w:color="000000"/>
        </w:rPr>
        <w:t>Riadok 037 – Pohľadávky na poistnom a príspevkoch na starobné dôchodkové sporenie</w:t>
      </w:r>
    </w:p>
    <w:p w:rsidR="00385B00" w:rsidRPr="00550597" w:rsidRDefault="00385B00" w:rsidP="00385B00">
      <w:pPr>
        <w:widowControl/>
        <w:spacing w:line="360" w:lineRule="auto"/>
        <w:jc w:val="both"/>
        <w:rPr>
          <w:rFonts w:ascii="Times New Roman" w:hAnsi="Times New Roman"/>
          <w:b/>
          <w:bCs/>
          <w:color w:val="000000" w:themeColor="text1"/>
          <w:sz w:val="24"/>
          <w:szCs w:val="24"/>
          <w:u w:color="000000"/>
        </w:rPr>
      </w:pPr>
    </w:p>
    <w:p w:rsidR="00385B00" w:rsidRPr="00550597" w:rsidRDefault="00385B00" w:rsidP="00385B00">
      <w:pPr>
        <w:widowControl/>
        <w:spacing w:line="360" w:lineRule="auto"/>
        <w:jc w:val="both"/>
        <w:rPr>
          <w:rFonts w:ascii="Times New Roman" w:hAnsi="Times New Roman"/>
          <w:color w:val="000000" w:themeColor="text1"/>
          <w:sz w:val="24"/>
          <w:szCs w:val="24"/>
          <w:u w:color="000000"/>
        </w:rPr>
      </w:pPr>
      <w:r w:rsidRPr="00550597">
        <w:rPr>
          <w:rFonts w:ascii="Times New Roman" w:hAnsi="Times New Roman"/>
          <w:color w:val="000000" w:themeColor="text1"/>
          <w:sz w:val="24"/>
          <w:szCs w:val="24"/>
          <w:u w:color="000000"/>
        </w:rPr>
        <w:tab/>
        <w:t xml:space="preserve">Zostatok vykazovaný v stĺpci 1 súvahy v sume 777 092 408,90 EUR predstavuje menovitú hodnotu </w:t>
      </w:r>
      <w:r w:rsidRPr="00550597">
        <w:rPr>
          <w:rFonts w:ascii="Times New Roman" w:hAnsi="Times New Roman"/>
          <w:b/>
          <w:bCs/>
          <w:color w:val="000000" w:themeColor="text1"/>
          <w:sz w:val="24"/>
          <w:szCs w:val="24"/>
          <w:u w:color="000000"/>
        </w:rPr>
        <w:t>krátkodobých</w:t>
      </w:r>
      <w:r w:rsidRPr="00550597">
        <w:rPr>
          <w:rFonts w:ascii="Times New Roman" w:hAnsi="Times New Roman"/>
          <w:color w:val="000000" w:themeColor="text1"/>
          <w:sz w:val="24"/>
          <w:szCs w:val="24"/>
          <w:u w:color="000000"/>
        </w:rPr>
        <w:t xml:space="preserve"> pohľadávok:</w:t>
      </w:r>
    </w:p>
    <w:p w:rsidR="00385B00" w:rsidRPr="00550597" w:rsidRDefault="00385B00" w:rsidP="00385B00">
      <w:pPr>
        <w:widowControl/>
        <w:numPr>
          <w:ilvl w:val="0"/>
          <w:numId w:val="2"/>
        </w:numPr>
        <w:spacing w:line="360" w:lineRule="auto"/>
        <w:ind w:left="360" w:hanging="360"/>
        <w:jc w:val="both"/>
        <w:rPr>
          <w:rFonts w:ascii="Times New Roman" w:hAnsi="Times New Roman"/>
          <w:color w:val="000000" w:themeColor="text1"/>
          <w:sz w:val="24"/>
          <w:szCs w:val="24"/>
          <w:u w:color="000000"/>
        </w:rPr>
      </w:pPr>
      <w:r w:rsidRPr="00550597">
        <w:rPr>
          <w:rFonts w:ascii="Times New Roman" w:hAnsi="Times New Roman"/>
          <w:b/>
          <w:bCs/>
          <w:color w:val="000000" w:themeColor="text1"/>
          <w:sz w:val="24"/>
          <w:szCs w:val="24"/>
          <w:u w:color="000000"/>
        </w:rPr>
        <w:t xml:space="preserve">základných fondov </w:t>
      </w:r>
      <w:r w:rsidRPr="00550597">
        <w:rPr>
          <w:rFonts w:ascii="Times New Roman" w:hAnsi="Times New Roman"/>
          <w:color w:val="000000" w:themeColor="text1"/>
          <w:sz w:val="24"/>
          <w:szCs w:val="24"/>
          <w:u w:color="000000"/>
        </w:rPr>
        <w:t xml:space="preserve">v sume </w:t>
      </w:r>
      <w:r>
        <w:rPr>
          <w:rFonts w:ascii="Times New Roman" w:hAnsi="Times New Roman"/>
          <w:color w:val="000000" w:themeColor="text1"/>
          <w:sz w:val="24"/>
          <w:szCs w:val="24"/>
          <w:u w:color="000000"/>
        </w:rPr>
        <w:t>776 665 534,88</w:t>
      </w:r>
      <w:r w:rsidRPr="00550597">
        <w:rPr>
          <w:rFonts w:ascii="Times New Roman" w:hAnsi="Times New Roman"/>
          <w:color w:val="000000" w:themeColor="text1"/>
          <w:sz w:val="24"/>
          <w:szCs w:val="24"/>
          <w:u w:color="000000"/>
        </w:rPr>
        <w:t xml:space="preserve"> EUR. Tieto pozostávajú z pohľadávok na poistnom, penále, poplatkoch a pokutách týchto fondov, z titulu preplatkov na dávkach sociálneho poistenia a regresných náhrad, zaúčtovaných na úrovni organizačných zložiek Sociálnej poisťovne. Z toho pohľadávky na poistnom a príspevkoch na starobné dôchodkov sporenie (SDS), ktorých presná suma je známa poisťovni až po 31. 12. 2018 vykazujeme v sume 5 814 534,88 EUR,</w:t>
      </w:r>
    </w:p>
    <w:p w:rsidR="00385B00" w:rsidRPr="00550597" w:rsidRDefault="00385B00" w:rsidP="00385B00">
      <w:pPr>
        <w:widowControl/>
        <w:numPr>
          <w:ilvl w:val="0"/>
          <w:numId w:val="2"/>
        </w:numPr>
        <w:spacing w:line="360" w:lineRule="auto"/>
        <w:ind w:left="360" w:hanging="360"/>
        <w:jc w:val="both"/>
        <w:rPr>
          <w:rFonts w:ascii="Times New Roman" w:hAnsi="Times New Roman"/>
          <w:color w:val="000000" w:themeColor="text1"/>
          <w:sz w:val="24"/>
          <w:szCs w:val="24"/>
          <w:u w:color="000000"/>
        </w:rPr>
      </w:pPr>
      <w:r w:rsidRPr="00550597">
        <w:rPr>
          <w:rFonts w:ascii="Times New Roman" w:hAnsi="Times New Roman"/>
          <w:b/>
          <w:bCs/>
          <w:color w:val="000000" w:themeColor="text1"/>
          <w:sz w:val="24"/>
          <w:szCs w:val="24"/>
          <w:u w:color="000000"/>
        </w:rPr>
        <w:t xml:space="preserve">zo zúčtovania za rok 1993 a 1994 </w:t>
      </w:r>
      <w:r w:rsidRPr="00550597">
        <w:rPr>
          <w:rFonts w:ascii="Times New Roman" w:hAnsi="Times New Roman"/>
          <w:color w:val="000000" w:themeColor="text1"/>
          <w:sz w:val="24"/>
          <w:szCs w:val="24"/>
          <w:u w:color="000000"/>
        </w:rPr>
        <w:t>– zostatok v sume 379 700,21 EUR predstavuje pohľadávky z titulu nezaplateného poistného do fondov sociálneho zabezpečenia za rok 1993 (voči štátu)</w:t>
      </w:r>
      <w:r>
        <w:rPr>
          <w:rFonts w:ascii="Times New Roman" w:hAnsi="Times New Roman"/>
          <w:color w:val="000000" w:themeColor="text1"/>
          <w:sz w:val="24"/>
          <w:szCs w:val="24"/>
          <w:u w:color="000000"/>
        </w:rPr>
        <w:t xml:space="preserve"> </w:t>
      </w:r>
      <w:r w:rsidRPr="00550597">
        <w:rPr>
          <w:rFonts w:ascii="Times New Roman" w:hAnsi="Times New Roman"/>
          <w:color w:val="000000" w:themeColor="text1"/>
          <w:sz w:val="24"/>
          <w:szCs w:val="24"/>
          <w:u w:color="000000"/>
        </w:rPr>
        <w:t xml:space="preserve"> a 1994 (voči Všeobecnej zdravotnej poisťovni) na úrovni organizačných zložiek Sociálnej poisťovne,</w:t>
      </w:r>
    </w:p>
    <w:p w:rsidR="00385B00" w:rsidRPr="00550597" w:rsidRDefault="00385B00" w:rsidP="00385B00">
      <w:pPr>
        <w:widowControl/>
        <w:numPr>
          <w:ilvl w:val="0"/>
          <w:numId w:val="2"/>
        </w:numPr>
        <w:spacing w:line="360" w:lineRule="auto"/>
        <w:ind w:left="360" w:hanging="360"/>
        <w:jc w:val="both"/>
        <w:rPr>
          <w:rFonts w:ascii="Times New Roman" w:hAnsi="Times New Roman"/>
          <w:color w:val="000000" w:themeColor="text1"/>
          <w:sz w:val="24"/>
          <w:szCs w:val="24"/>
          <w:u w:color="000000"/>
        </w:rPr>
      </w:pPr>
      <w:r w:rsidRPr="00550597">
        <w:rPr>
          <w:rFonts w:ascii="Times New Roman" w:hAnsi="Times New Roman"/>
          <w:b/>
          <w:bCs/>
          <w:color w:val="000000" w:themeColor="text1"/>
          <w:sz w:val="24"/>
          <w:szCs w:val="24"/>
          <w:u w:color="000000"/>
        </w:rPr>
        <w:t xml:space="preserve">zo zúčtovania štátnych dávok </w:t>
      </w:r>
      <w:r w:rsidRPr="00550597">
        <w:rPr>
          <w:rFonts w:ascii="Times New Roman" w:hAnsi="Times New Roman"/>
          <w:color w:val="000000" w:themeColor="text1"/>
          <w:sz w:val="24"/>
          <w:szCs w:val="24"/>
          <w:u w:color="000000"/>
        </w:rPr>
        <w:t>– zostatok v sume 47 173,81 EUR predstavujú pohľadávky z titulu neprávom vyplatených vianočných príspevkov zaúčtovaných na úrovni organizačnej zložky Sociálnej poisťovne, ústredie.</w:t>
      </w:r>
    </w:p>
    <w:p w:rsidR="00385B00" w:rsidRPr="00550597" w:rsidRDefault="00385B00" w:rsidP="00385B00">
      <w:pPr>
        <w:widowControl/>
        <w:spacing w:line="360" w:lineRule="auto"/>
        <w:jc w:val="both"/>
        <w:rPr>
          <w:rFonts w:ascii="Times New Roman" w:hAnsi="Times New Roman"/>
          <w:color w:val="000000" w:themeColor="text1"/>
          <w:sz w:val="24"/>
          <w:szCs w:val="24"/>
          <w:u w:color="000000"/>
        </w:rPr>
      </w:pPr>
    </w:p>
    <w:p w:rsidR="00385B00" w:rsidRPr="00550597" w:rsidRDefault="00385B00" w:rsidP="00385B00">
      <w:pPr>
        <w:widowControl/>
        <w:spacing w:line="360" w:lineRule="auto"/>
        <w:jc w:val="both"/>
        <w:rPr>
          <w:rFonts w:ascii="Times New Roman" w:hAnsi="Times New Roman"/>
          <w:b/>
          <w:bCs/>
          <w:color w:val="000000" w:themeColor="text1"/>
          <w:sz w:val="24"/>
          <w:szCs w:val="24"/>
          <w:u w:color="000000"/>
        </w:rPr>
      </w:pPr>
      <w:r w:rsidRPr="00550597">
        <w:rPr>
          <w:rFonts w:ascii="Times New Roman" w:hAnsi="Times New Roman"/>
          <w:b/>
          <w:bCs/>
          <w:color w:val="000000" w:themeColor="text1"/>
          <w:sz w:val="24"/>
          <w:szCs w:val="24"/>
          <w:u w:color="000000"/>
        </w:rPr>
        <w:t>Riadok 038 – Pohľadávky voči zamestnancom</w:t>
      </w:r>
    </w:p>
    <w:p w:rsidR="00385B00" w:rsidRPr="00550597" w:rsidRDefault="00385B00" w:rsidP="00385B00">
      <w:pPr>
        <w:widowControl/>
        <w:spacing w:line="360" w:lineRule="auto"/>
        <w:ind w:firstLine="360"/>
        <w:jc w:val="both"/>
        <w:rPr>
          <w:rFonts w:ascii="Times New Roman" w:hAnsi="Times New Roman"/>
          <w:color w:val="000000" w:themeColor="text1"/>
          <w:sz w:val="24"/>
          <w:szCs w:val="24"/>
          <w:u w:color="000000"/>
        </w:rPr>
      </w:pPr>
      <w:r w:rsidRPr="00550597">
        <w:rPr>
          <w:rFonts w:ascii="Times New Roman" w:hAnsi="Times New Roman"/>
          <w:color w:val="000000" w:themeColor="text1"/>
          <w:sz w:val="24"/>
          <w:szCs w:val="24"/>
          <w:u w:color="000000"/>
        </w:rPr>
        <w:t xml:space="preserve">Zostatok </w:t>
      </w:r>
      <w:r w:rsidRPr="00550597">
        <w:rPr>
          <w:rFonts w:ascii="Times New Roman" w:hAnsi="Times New Roman"/>
          <w:b/>
          <w:bCs/>
          <w:color w:val="000000" w:themeColor="text1"/>
          <w:sz w:val="24"/>
          <w:szCs w:val="24"/>
          <w:u w:color="000000"/>
        </w:rPr>
        <w:t>krátkodobých</w:t>
      </w:r>
      <w:r w:rsidRPr="00550597">
        <w:rPr>
          <w:rFonts w:ascii="Times New Roman" w:hAnsi="Times New Roman"/>
          <w:color w:val="000000" w:themeColor="text1"/>
          <w:sz w:val="24"/>
          <w:szCs w:val="24"/>
          <w:u w:color="000000"/>
        </w:rPr>
        <w:t xml:space="preserve"> pohľadávok v sume 105 667,38 EUR je podľa základných okruhov činností takýto:</w:t>
      </w:r>
    </w:p>
    <w:p w:rsidR="00385B00" w:rsidRPr="00FF7CAD" w:rsidRDefault="00385B00" w:rsidP="00385B00">
      <w:pPr>
        <w:pStyle w:val="Odsekzoznamu"/>
        <w:widowControl/>
        <w:numPr>
          <w:ilvl w:val="0"/>
          <w:numId w:val="40"/>
        </w:numPr>
        <w:spacing w:line="360" w:lineRule="auto"/>
        <w:ind w:left="567"/>
        <w:jc w:val="both"/>
        <w:rPr>
          <w:rFonts w:ascii="Times New Roman" w:hAnsi="Times New Roman"/>
          <w:color w:val="000000" w:themeColor="text1"/>
          <w:sz w:val="24"/>
          <w:szCs w:val="24"/>
          <w:u w:color="000000"/>
        </w:rPr>
      </w:pPr>
      <w:r w:rsidRPr="00550597">
        <w:rPr>
          <w:rFonts w:ascii="Times New Roman" w:hAnsi="Times New Roman"/>
          <w:b/>
          <w:color w:val="000000" w:themeColor="text1"/>
          <w:sz w:val="24"/>
          <w:szCs w:val="24"/>
          <w:u w:color="000000"/>
        </w:rPr>
        <w:t>správny fond</w:t>
      </w:r>
      <w:r w:rsidRPr="00550597">
        <w:rPr>
          <w:rFonts w:ascii="Times New Roman" w:hAnsi="Times New Roman"/>
          <w:color w:val="000000" w:themeColor="text1"/>
          <w:sz w:val="24"/>
          <w:szCs w:val="24"/>
          <w:u w:color="000000"/>
        </w:rPr>
        <w:t xml:space="preserve"> – vykazovaný zostatok v sume 93 863,38 EUR pozostáva z pohľadávok za poskytnuté stravovanie a stravovacie poukážky v sume 86 125,80 EUR a ostatných pohľadávok v sume 7 737,58 EU</w:t>
      </w:r>
      <w:r w:rsidRPr="001C6DFA">
        <w:rPr>
          <w:rFonts w:ascii="Times New Roman" w:hAnsi="Times New Roman"/>
          <w:color w:val="000000" w:themeColor="text1"/>
          <w:sz w:val="24"/>
          <w:szCs w:val="24"/>
          <w:u w:color="000000"/>
        </w:rPr>
        <w:t xml:space="preserve">R </w:t>
      </w:r>
      <w:r w:rsidRPr="00FF7CAD">
        <w:rPr>
          <w:rFonts w:ascii="Times New Roman" w:hAnsi="Times New Roman"/>
          <w:color w:val="000000" w:themeColor="text1"/>
          <w:sz w:val="24"/>
          <w:szCs w:val="24"/>
          <w:u w:color="000000"/>
        </w:rPr>
        <w:t>(pohľadávka voči zamestnancom z titulu poskytnutia preddavku na drobný nákup, cestovné, spotreba pohonných látok na súkromné účely a pod.)</w:t>
      </w:r>
      <w:r>
        <w:rPr>
          <w:rFonts w:ascii="Times New Roman" w:hAnsi="Times New Roman"/>
          <w:color w:val="000000" w:themeColor="text1"/>
          <w:sz w:val="24"/>
          <w:szCs w:val="24"/>
          <w:u w:color="000000"/>
        </w:rPr>
        <w:t>,</w:t>
      </w:r>
    </w:p>
    <w:p w:rsidR="00385B00" w:rsidRPr="00550597" w:rsidRDefault="00385B00" w:rsidP="00385B00">
      <w:pPr>
        <w:pStyle w:val="Odsekzoznamu"/>
        <w:widowControl/>
        <w:numPr>
          <w:ilvl w:val="0"/>
          <w:numId w:val="39"/>
        </w:numPr>
        <w:spacing w:line="360" w:lineRule="auto"/>
        <w:ind w:left="567" w:hanging="283"/>
        <w:jc w:val="both"/>
        <w:rPr>
          <w:rFonts w:ascii="Times New Roman" w:hAnsi="Times New Roman"/>
          <w:b/>
          <w:color w:val="000000" w:themeColor="text1"/>
          <w:sz w:val="24"/>
          <w:szCs w:val="24"/>
          <w:u w:color="000000"/>
        </w:rPr>
      </w:pPr>
      <w:r w:rsidRPr="00550597">
        <w:rPr>
          <w:rFonts w:ascii="Times New Roman" w:hAnsi="Times New Roman"/>
          <w:b/>
          <w:color w:val="000000" w:themeColor="text1"/>
          <w:sz w:val="24"/>
          <w:szCs w:val="24"/>
          <w:u w:color="000000"/>
        </w:rPr>
        <w:t xml:space="preserve">sociálny fond – </w:t>
      </w:r>
      <w:r w:rsidRPr="00550597">
        <w:rPr>
          <w:rFonts w:ascii="Times New Roman" w:hAnsi="Times New Roman"/>
          <w:color w:val="000000" w:themeColor="text1"/>
          <w:sz w:val="24"/>
          <w:szCs w:val="24"/>
          <w:u w:color="000000"/>
        </w:rPr>
        <w:t>zostatok pohľadávok v sociálnom fonde v sume 11 804,00 EUR predstavuje úhrn nesplatených pôžičiek poskytnutých z tohto fondu.</w:t>
      </w:r>
    </w:p>
    <w:p w:rsidR="00385B00" w:rsidRPr="00550597" w:rsidRDefault="00385B00" w:rsidP="00385B00">
      <w:pPr>
        <w:widowControl/>
        <w:tabs>
          <w:tab w:val="left" w:pos="426"/>
        </w:tabs>
        <w:spacing w:line="360" w:lineRule="auto"/>
        <w:ind w:left="426"/>
        <w:jc w:val="both"/>
        <w:rPr>
          <w:rFonts w:ascii="Times New Roman" w:hAnsi="Times New Roman"/>
          <w:b/>
          <w:color w:val="000000" w:themeColor="text1"/>
          <w:sz w:val="24"/>
          <w:szCs w:val="24"/>
          <w:u w:color="000000"/>
        </w:rPr>
      </w:pPr>
    </w:p>
    <w:p w:rsidR="00385B00" w:rsidRPr="00550597" w:rsidRDefault="00385B00" w:rsidP="00385B00">
      <w:pPr>
        <w:widowControl/>
        <w:spacing w:line="360" w:lineRule="auto"/>
        <w:ind w:left="60"/>
        <w:jc w:val="both"/>
        <w:rPr>
          <w:rFonts w:ascii="Times New Roman" w:hAnsi="Times New Roman"/>
          <w:b/>
          <w:bCs/>
          <w:color w:val="000000" w:themeColor="text1"/>
          <w:sz w:val="24"/>
          <w:szCs w:val="24"/>
          <w:u w:color="000000"/>
        </w:rPr>
      </w:pPr>
      <w:r w:rsidRPr="00550597">
        <w:rPr>
          <w:rFonts w:ascii="Times New Roman" w:hAnsi="Times New Roman"/>
          <w:b/>
          <w:bCs/>
          <w:color w:val="000000" w:themeColor="text1"/>
          <w:sz w:val="24"/>
          <w:szCs w:val="24"/>
          <w:u w:color="000000"/>
        </w:rPr>
        <w:t>Riadok 043 – iné pohľadávky</w:t>
      </w:r>
    </w:p>
    <w:p w:rsidR="00385B00" w:rsidRPr="008C7927" w:rsidRDefault="00385B00" w:rsidP="00385B00">
      <w:pPr>
        <w:widowControl/>
        <w:spacing w:line="360" w:lineRule="auto"/>
        <w:ind w:left="60"/>
        <w:jc w:val="both"/>
        <w:rPr>
          <w:rFonts w:ascii="Times New Roman" w:hAnsi="Times New Roman"/>
          <w:color w:val="000000" w:themeColor="text1"/>
          <w:sz w:val="24"/>
          <w:szCs w:val="24"/>
          <w:u w:color="000000"/>
        </w:rPr>
      </w:pPr>
      <w:r w:rsidRPr="00550597">
        <w:rPr>
          <w:rFonts w:ascii="Times New Roman" w:hAnsi="Times New Roman"/>
          <w:color w:val="000000" w:themeColor="text1"/>
          <w:sz w:val="24"/>
          <w:szCs w:val="24"/>
          <w:u w:color="000000"/>
        </w:rPr>
        <w:tab/>
        <w:t>Zostatok krátkodobých pohľadávok v celkovej sume 478 800,60 EUR</w:t>
      </w:r>
      <w:r w:rsidRPr="00C565E2">
        <w:rPr>
          <w:rFonts w:ascii="Times New Roman" w:hAnsi="Times New Roman"/>
          <w:color w:val="000000" w:themeColor="text1"/>
          <w:sz w:val="24"/>
          <w:szCs w:val="24"/>
          <w:u w:color="000000"/>
        </w:rPr>
        <w:t xml:space="preserve"> predstavujú najmä </w:t>
      </w:r>
      <w:r w:rsidRPr="008C7927">
        <w:rPr>
          <w:rFonts w:ascii="Times New Roman" w:hAnsi="Times New Roman"/>
          <w:color w:val="000000" w:themeColor="text1"/>
          <w:sz w:val="24"/>
          <w:szCs w:val="24"/>
          <w:u w:color="000000"/>
        </w:rPr>
        <w:t>pohľadávky:</w:t>
      </w:r>
    </w:p>
    <w:p w:rsidR="00385B00" w:rsidRPr="008C7927" w:rsidRDefault="00385B00" w:rsidP="00385B00">
      <w:pPr>
        <w:widowControl/>
        <w:tabs>
          <w:tab w:val="left" w:pos="567"/>
        </w:tabs>
        <w:spacing w:line="360" w:lineRule="auto"/>
        <w:ind w:left="567" w:hanging="567"/>
        <w:rPr>
          <w:rFonts w:ascii="Times New Roman" w:hAnsi="Times New Roman"/>
          <w:color w:val="000000" w:themeColor="text1"/>
          <w:sz w:val="24"/>
          <w:szCs w:val="24"/>
          <w:u w:color="000000"/>
        </w:rPr>
      </w:pPr>
      <w:r w:rsidRPr="008C7927">
        <w:rPr>
          <w:rFonts w:ascii="Times New Roman" w:hAnsi="Times New Roman"/>
          <w:color w:val="000000" w:themeColor="text1"/>
          <w:sz w:val="24"/>
          <w:szCs w:val="24"/>
          <w:u w:color="000000"/>
        </w:rPr>
        <w:t>-</w:t>
      </w:r>
      <w:r w:rsidRPr="008C7927">
        <w:rPr>
          <w:rFonts w:ascii="Times New Roman" w:hAnsi="Times New Roman"/>
          <w:color w:val="000000" w:themeColor="text1"/>
          <w:sz w:val="24"/>
          <w:szCs w:val="24"/>
          <w:u w:color="000000"/>
        </w:rPr>
        <w:tab/>
        <w:t>voči zamestnancom</w:t>
      </w:r>
      <w:r w:rsidRPr="008C7927">
        <w:rPr>
          <w:rFonts w:ascii="Times New Roman" w:hAnsi="Times New Roman"/>
          <w:color w:val="000000" w:themeColor="text1"/>
          <w:sz w:val="24"/>
          <w:szCs w:val="24"/>
          <w:u w:color="000000"/>
        </w:rPr>
        <w:tab/>
      </w:r>
      <w:r w:rsidRPr="008C7927">
        <w:rPr>
          <w:rFonts w:ascii="Times New Roman" w:hAnsi="Times New Roman"/>
          <w:color w:val="000000" w:themeColor="text1"/>
          <w:sz w:val="24"/>
          <w:szCs w:val="24"/>
          <w:u w:color="000000"/>
        </w:rPr>
        <w:tab/>
      </w:r>
      <w:r w:rsidRPr="008C7927">
        <w:rPr>
          <w:rFonts w:ascii="Times New Roman" w:hAnsi="Times New Roman"/>
          <w:color w:val="000000" w:themeColor="text1"/>
          <w:sz w:val="24"/>
          <w:szCs w:val="24"/>
          <w:u w:color="000000"/>
        </w:rPr>
        <w:tab/>
      </w:r>
      <w:r w:rsidRPr="008C7927">
        <w:rPr>
          <w:rFonts w:ascii="Times New Roman" w:hAnsi="Times New Roman"/>
          <w:color w:val="000000" w:themeColor="text1"/>
          <w:sz w:val="24"/>
          <w:szCs w:val="24"/>
          <w:u w:color="000000"/>
        </w:rPr>
        <w:tab/>
      </w:r>
      <w:r w:rsidRPr="008C7927">
        <w:rPr>
          <w:rFonts w:ascii="Times New Roman" w:hAnsi="Times New Roman"/>
          <w:color w:val="000000" w:themeColor="text1"/>
          <w:sz w:val="24"/>
          <w:szCs w:val="24"/>
          <w:u w:color="000000"/>
        </w:rPr>
        <w:tab/>
      </w:r>
      <w:r w:rsidRPr="008C7927">
        <w:rPr>
          <w:rFonts w:ascii="Times New Roman" w:hAnsi="Times New Roman"/>
          <w:color w:val="000000" w:themeColor="text1"/>
          <w:sz w:val="24"/>
          <w:szCs w:val="24"/>
          <w:u w:color="000000"/>
        </w:rPr>
        <w:tab/>
      </w:r>
      <w:r w:rsidRPr="008C7927">
        <w:rPr>
          <w:rFonts w:ascii="Times New Roman" w:hAnsi="Times New Roman"/>
          <w:color w:val="000000" w:themeColor="text1"/>
          <w:sz w:val="24"/>
          <w:szCs w:val="24"/>
          <w:u w:color="000000"/>
        </w:rPr>
        <w:tab/>
      </w:r>
      <w:r w:rsidRPr="008C7927">
        <w:rPr>
          <w:rFonts w:ascii="Times New Roman" w:hAnsi="Times New Roman"/>
          <w:color w:val="000000" w:themeColor="text1"/>
          <w:sz w:val="24"/>
          <w:szCs w:val="24"/>
          <w:u w:color="000000"/>
        </w:rPr>
        <w:tab/>
      </w:r>
      <w:r w:rsidRPr="008C7927">
        <w:rPr>
          <w:rFonts w:ascii="Times New Roman" w:hAnsi="Times New Roman"/>
          <w:color w:val="000000" w:themeColor="text1"/>
          <w:sz w:val="24"/>
          <w:szCs w:val="24"/>
          <w:u w:color="000000"/>
        </w:rPr>
        <w:tab/>
      </w:r>
      <w:r w:rsidRPr="008C7927">
        <w:rPr>
          <w:rFonts w:ascii="Times New Roman" w:hAnsi="Times New Roman"/>
          <w:color w:val="000000" w:themeColor="text1"/>
          <w:sz w:val="24"/>
          <w:szCs w:val="24"/>
          <w:u w:color="000000"/>
        </w:rPr>
        <w:tab/>
      </w:r>
      <w:r w:rsidRPr="008C7927">
        <w:rPr>
          <w:rFonts w:ascii="Times New Roman" w:hAnsi="Times New Roman"/>
          <w:color w:val="000000" w:themeColor="text1"/>
          <w:sz w:val="24"/>
          <w:szCs w:val="24"/>
          <w:u w:color="000000"/>
        </w:rPr>
        <w:tab/>
        <w:t xml:space="preserve"> 179 901,65 EUR</w:t>
      </w:r>
    </w:p>
    <w:p w:rsidR="00385B00" w:rsidRPr="008C7927" w:rsidRDefault="00385B00" w:rsidP="00385B00">
      <w:pPr>
        <w:widowControl/>
        <w:tabs>
          <w:tab w:val="left" w:pos="567"/>
        </w:tabs>
        <w:spacing w:line="360" w:lineRule="auto"/>
        <w:ind w:left="567" w:hanging="567"/>
        <w:rPr>
          <w:rFonts w:ascii="Times New Roman" w:hAnsi="Times New Roman"/>
          <w:color w:val="000000" w:themeColor="text1"/>
          <w:sz w:val="24"/>
          <w:szCs w:val="24"/>
          <w:u w:color="000000"/>
        </w:rPr>
      </w:pPr>
      <w:r w:rsidRPr="008C7927">
        <w:rPr>
          <w:rFonts w:ascii="Times New Roman" w:hAnsi="Times New Roman"/>
          <w:color w:val="000000" w:themeColor="text1"/>
          <w:sz w:val="24"/>
          <w:szCs w:val="24"/>
          <w:u w:color="000000"/>
        </w:rPr>
        <w:t>-</w:t>
      </w:r>
      <w:r w:rsidRPr="008C7927">
        <w:rPr>
          <w:rFonts w:ascii="Times New Roman" w:hAnsi="Times New Roman"/>
          <w:color w:val="000000" w:themeColor="text1"/>
          <w:sz w:val="24"/>
          <w:szCs w:val="24"/>
          <w:u w:color="000000"/>
        </w:rPr>
        <w:tab/>
        <w:t>voči Sociálnej poisťovni a zdravotným poisťovniam</w:t>
      </w:r>
      <w:r w:rsidRPr="008C7927">
        <w:rPr>
          <w:rFonts w:ascii="Times New Roman" w:hAnsi="Times New Roman"/>
          <w:color w:val="000000" w:themeColor="text1"/>
          <w:sz w:val="24"/>
          <w:szCs w:val="24"/>
          <w:u w:color="000000"/>
        </w:rPr>
        <w:tab/>
      </w:r>
      <w:r w:rsidRPr="008C7927">
        <w:rPr>
          <w:rFonts w:ascii="Times New Roman" w:hAnsi="Times New Roman"/>
          <w:color w:val="000000" w:themeColor="text1"/>
          <w:sz w:val="24"/>
          <w:szCs w:val="24"/>
          <w:u w:color="000000"/>
        </w:rPr>
        <w:tab/>
      </w:r>
      <w:r w:rsidRPr="008C7927">
        <w:rPr>
          <w:rFonts w:ascii="Times New Roman" w:hAnsi="Times New Roman"/>
          <w:color w:val="000000" w:themeColor="text1"/>
          <w:sz w:val="24"/>
          <w:szCs w:val="24"/>
          <w:u w:color="000000"/>
        </w:rPr>
        <w:tab/>
      </w:r>
      <w:r w:rsidRPr="008C7927">
        <w:rPr>
          <w:rFonts w:ascii="Times New Roman" w:hAnsi="Times New Roman"/>
          <w:color w:val="000000" w:themeColor="text1"/>
          <w:sz w:val="24"/>
          <w:szCs w:val="24"/>
          <w:u w:color="000000"/>
        </w:rPr>
        <w:tab/>
      </w:r>
      <w:r w:rsidRPr="008C7927">
        <w:rPr>
          <w:rFonts w:ascii="Times New Roman" w:hAnsi="Times New Roman"/>
          <w:color w:val="000000" w:themeColor="text1"/>
          <w:sz w:val="24"/>
          <w:szCs w:val="24"/>
          <w:u w:color="000000"/>
        </w:rPr>
        <w:tab/>
        <w:t xml:space="preserve"> 156 375,22 EUR</w:t>
      </w:r>
    </w:p>
    <w:p w:rsidR="00385B00" w:rsidRPr="008C7927" w:rsidRDefault="00385B00" w:rsidP="00385B00">
      <w:pPr>
        <w:widowControl/>
        <w:tabs>
          <w:tab w:val="left" w:pos="567"/>
        </w:tabs>
        <w:spacing w:line="360" w:lineRule="auto"/>
        <w:ind w:left="567" w:hanging="567"/>
        <w:rPr>
          <w:rFonts w:ascii="Times New Roman" w:hAnsi="Times New Roman"/>
          <w:color w:val="000000" w:themeColor="text1"/>
          <w:sz w:val="24"/>
          <w:szCs w:val="24"/>
          <w:u w:color="000000"/>
        </w:rPr>
      </w:pPr>
      <w:r w:rsidRPr="008C7927">
        <w:rPr>
          <w:rFonts w:ascii="Times New Roman" w:hAnsi="Times New Roman"/>
          <w:color w:val="000000" w:themeColor="text1"/>
          <w:sz w:val="24"/>
          <w:szCs w:val="24"/>
          <w:u w:color="000000"/>
        </w:rPr>
        <w:tab/>
        <w:t>(spätné prepočty, ročné zúčtovanie zdravotného poistenia)</w:t>
      </w:r>
    </w:p>
    <w:p w:rsidR="00385B00" w:rsidRPr="008C7927" w:rsidRDefault="00385B00" w:rsidP="00385B00">
      <w:pPr>
        <w:widowControl/>
        <w:tabs>
          <w:tab w:val="left" w:pos="567"/>
        </w:tabs>
        <w:spacing w:line="360" w:lineRule="auto"/>
        <w:ind w:left="720" w:hanging="720"/>
        <w:rPr>
          <w:rFonts w:ascii="Times New Roman" w:hAnsi="Times New Roman"/>
          <w:color w:val="000000" w:themeColor="text1"/>
          <w:sz w:val="24"/>
          <w:szCs w:val="24"/>
          <w:u w:color="000000"/>
        </w:rPr>
      </w:pPr>
      <w:r w:rsidRPr="008C7927">
        <w:rPr>
          <w:rFonts w:ascii="Times New Roman" w:hAnsi="Times New Roman"/>
          <w:color w:val="000000" w:themeColor="text1"/>
          <w:sz w:val="24"/>
          <w:szCs w:val="24"/>
          <w:u w:color="000000"/>
        </w:rPr>
        <w:t>-</w:t>
      </w:r>
      <w:r w:rsidRPr="008C7927">
        <w:rPr>
          <w:rFonts w:ascii="Times New Roman" w:hAnsi="Times New Roman"/>
          <w:color w:val="000000" w:themeColor="text1"/>
          <w:sz w:val="24"/>
          <w:szCs w:val="24"/>
          <w:u w:color="000000"/>
        </w:rPr>
        <w:tab/>
        <w:t>voči Slovenskej pošte za vyplatené vianočné príspevky rok 2018</w:t>
      </w:r>
      <w:r w:rsidRPr="008C7927">
        <w:rPr>
          <w:rFonts w:ascii="Times New Roman" w:hAnsi="Times New Roman"/>
          <w:color w:val="000000" w:themeColor="text1"/>
          <w:sz w:val="24"/>
          <w:szCs w:val="24"/>
          <w:u w:color="000000"/>
        </w:rPr>
        <w:tab/>
      </w:r>
      <w:r w:rsidRPr="008C7927">
        <w:rPr>
          <w:rFonts w:ascii="Times New Roman" w:hAnsi="Times New Roman"/>
          <w:color w:val="000000" w:themeColor="text1"/>
          <w:sz w:val="24"/>
          <w:szCs w:val="24"/>
          <w:u w:color="000000"/>
        </w:rPr>
        <w:tab/>
        <w:t xml:space="preserve">  53 091,03 EUR</w:t>
      </w:r>
    </w:p>
    <w:p w:rsidR="00385B00" w:rsidRDefault="00385B00" w:rsidP="00385B00">
      <w:pPr>
        <w:widowControl/>
        <w:tabs>
          <w:tab w:val="left" w:pos="567"/>
        </w:tabs>
        <w:spacing w:line="360" w:lineRule="auto"/>
        <w:ind w:left="567" w:hanging="567"/>
        <w:rPr>
          <w:rFonts w:ascii="Times New Roman" w:hAnsi="Times New Roman"/>
          <w:color w:val="000000" w:themeColor="text1"/>
          <w:sz w:val="24"/>
          <w:szCs w:val="24"/>
          <w:u w:color="000000"/>
        </w:rPr>
      </w:pPr>
      <w:r w:rsidRPr="008C7927">
        <w:rPr>
          <w:rFonts w:ascii="Times New Roman" w:hAnsi="Times New Roman"/>
          <w:color w:val="000000" w:themeColor="text1"/>
          <w:sz w:val="24"/>
          <w:szCs w:val="24"/>
          <w:u w:color="000000"/>
        </w:rPr>
        <w:t>-</w:t>
      </w:r>
      <w:r w:rsidRPr="008C7927">
        <w:rPr>
          <w:rFonts w:ascii="Times New Roman" w:hAnsi="Times New Roman"/>
          <w:color w:val="000000" w:themeColor="text1"/>
          <w:sz w:val="24"/>
          <w:szCs w:val="24"/>
          <w:u w:color="000000"/>
        </w:rPr>
        <w:tab/>
        <w:t>voči súdnym exekútorom</w:t>
      </w:r>
      <w:r w:rsidRPr="008C7927">
        <w:rPr>
          <w:rFonts w:ascii="Times New Roman" w:hAnsi="Times New Roman"/>
          <w:color w:val="000000" w:themeColor="text1"/>
          <w:sz w:val="24"/>
          <w:szCs w:val="24"/>
          <w:u w:color="000000"/>
        </w:rPr>
        <w:tab/>
        <w:t xml:space="preserve">(preddavky, zmluvné pokuty, trovy atď.)   </w:t>
      </w:r>
      <w:r w:rsidRPr="008C7927">
        <w:rPr>
          <w:rFonts w:ascii="Times New Roman" w:hAnsi="Times New Roman"/>
          <w:color w:val="000000" w:themeColor="text1"/>
          <w:sz w:val="24"/>
          <w:szCs w:val="24"/>
          <w:u w:color="000000"/>
        </w:rPr>
        <w:tab/>
        <w:t xml:space="preserve">  57 757,54 EUR</w:t>
      </w:r>
    </w:p>
    <w:p w:rsidR="00385B00" w:rsidRDefault="00385B00" w:rsidP="00385B00">
      <w:pPr>
        <w:widowControl/>
        <w:tabs>
          <w:tab w:val="left" w:pos="567"/>
        </w:tabs>
        <w:spacing w:line="360" w:lineRule="auto"/>
        <w:ind w:left="567" w:hanging="567"/>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ab/>
        <w:t xml:space="preserve">za stravné lístky voči zamestnancom pracujúcim na dohodu </w:t>
      </w:r>
    </w:p>
    <w:p w:rsidR="00385B00" w:rsidRDefault="00385B00" w:rsidP="00385B00">
      <w:pPr>
        <w:widowControl/>
        <w:tabs>
          <w:tab w:val="left" w:pos="567"/>
        </w:tabs>
        <w:spacing w:line="360" w:lineRule="auto"/>
        <w:ind w:left="567" w:hanging="567"/>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ab/>
        <w:t>a </w:t>
      </w:r>
      <w:proofErr w:type="spellStart"/>
      <w:r>
        <w:rPr>
          <w:rFonts w:ascii="Times New Roman" w:hAnsi="Times New Roman"/>
          <w:color w:val="000000" w:themeColor="text1"/>
          <w:sz w:val="24"/>
          <w:szCs w:val="24"/>
          <w:u w:color="000000"/>
        </w:rPr>
        <w:t>nadlimity</w:t>
      </w:r>
      <w:proofErr w:type="spellEnd"/>
      <w:r>
        <w:rPr>
          <w:rFonts w:ascii="Times New Roman" w:hAnsi="Times New Roman"/>
          <w:color w:val="000000" w:themeColor="text1"/>
          <w:sz w:val="24"/>
          <w:szCs w:val="24"/>
          <w:u w:color="000000"/>
        </w:rPr>
        <w:t xml:space="preserve"> za stravné lístky</w:t>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t xml:space="preserve">  17 725,14 EUR</w:t>
      </w:r>
    </w:p>
    <w:p w:rsidR="00385B00" w:rsidRPr="008C7927" w:rsidRDefault="00385B00" w:rsidP="00385B00">
      <w:pPr>
        <w:widowControl/>
        <w:tabs>
          <w:tab w:val="left" w:pos="567"/>
        </w:tabs>
        <w:spacing w:line="360" w:lineRule="auto"/>
        <w:ind w:left="567" w:hanging="567"/>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ab/>
        <w:t>voči dodávateľovi stravy S&amp;G, spol. s r. o.</w:t>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t xml:space="preserve">    6 450,02 EUR</w:t>
      </w:r>
    </w:p>
    <w:p w:rsidR="00385B00" w:rsidRPr="008C7927" w:rsidRDefault="00385B00" w:rsidP="00385B00">
      <w:pPr>
        <w:widowControl/>
        <w:spacing w:line="360" w:lineRule="auto"/>
        <w:ind w:left="567" w:hanging="567"/>
        <w:rPr>
          <w:rFonts w:ascii="Times New Roman" w:hAnsi="Times New Roman"/>
          <w:color w:val="000000" w:themeColor="text1"/>
          <w:sz w:val="24"/>
          <w:szCs w:val="24"/>
          <w:u w:color="000000"/>
        </w:rPr>
      </w:pPr>
      <w:r w:rsidRPr="008C7927">
        <w:rPr>
          <w:rFonts w:ascii="Times New Roman" w:hAnsi="Times New Roman"/>
          <w:color w:val="000000" w:themeColor="text1"/>
          <w:sz w:val="24"/>
          <w:szCs w:val="24"/>
          <w:u w:color="000000"/>
        </w:rPr>
        <w:t>-</w:t>
      </w:r>
      <w:r w:rsidRPr="008C7927">
        <w:rPr>
          <w:rFonts w:ascii="Times New Roman" w:hAnsi="Times New Roman"/>
          <w:color w:val="000000" w:themeColor="text1"/>
          <w:sz w:val="24"/>
          <w:szCs w:val="24"/>
          <w:u w:color="000000"/>
        </w:rPr>
        <w:tab/>
        <w:t>z vnútorného zúčtovania medzi organizačnými</w:t>
      </w:r>
    </w:p>
    <w:p w:rsidR="00385B00" w:rsidRPr="008C7927" w:rsidRDefault="00385B00" w:rsidP="00385B00">
      <w:pPr>
        <w:widowControl/>
        <w:spacing w:line="360" w:lineRule="auto"/>
        <w:ind w:left="567"/>
        <w:rPr>
          <w:rFonts w:ascii="Times New Roman" w:hAnsi="Times New Roman"/>
          <w:color w:val="000000" w:themeColor="text1"/>
          <w:sz w:val="24"/>
          <w:szCs w:val="24"/>
          <w:u w:color="000000"/>
        </w:rPr>
      </w:pPr>
      <w:r w:rsidRPr="008C7927">
        <w:rPr>
          <w:rFonts w:ascii="Times New Roman" w:hAnsi="Times New Roman"/>
          <w:color w:val="000000" w:themeColor="text1"/>
          <w:sz w:val="24"/>
          <w:szCs w:val="24"/>
          <w:u w:color="000000"/>
        </w:rPr>
        <w:t>zložkami Sociálnej poisťovne</w:t>
      </w:r>
      <w:r w:rsidRPr="008C7927">
        <w:rPr>
          <w:rFonts w:ascii="Times New Roman" w:hAnsi="Times New Roman"/>
          <w:color w:val="000000" w:themeColor="text1"/>
          <w:sz w:val="24"/>
          <w:szCs w:val="24"/>
          <w:u w:color="000000"/>
        </w:rPr>
        <w:tab/>
      </w:r>
      <w:r w:rsidRPr="008C7927">
        <w:rPr>
          <w:rFonts w:ascii="Times New Roman" w:hAnsi="Times New Roman"/>
          <w:color w:val="000000" w:themeColor="text1"/>
          <w:sz w:val="24"/>
          <w:szCs w:val="24"/>
          <w:u w:color="000000"/>
        </w:rPr>
        <w:tab/>
      </w:r>
      <w:r w:rsidRPr="008C7927">
        <w:rPr>
          <w:rFonts w:ascii="Times New Roman" w:hAnsi="Times New Roman"/>
          <w:color w:val="000000" w:themeColor="text1"/>
          <w:sz w:val="24"/>
          <w:szCs w:val="24"/>
          <w:u w:color="000000"/>
        </w:rPr>
        <w:tab/>
      </w:r>
      <w:r w:rsidRPr="008C7927">
        <w:rPr>
          <w:rFonts w:ascii="Times New Roman" w:hAnsi="Times New Roman"/>
          <w:color w:val="000000" w:themeColor="text1"/>
          <w:sz w:val="24"/>
          <w:szCs w:val="24"/>
          <w:u w:color="000000"/>
        </w:rPr>
        <w:tab/>
      </w:r>
      <w:r w:rsidRPr="008C7927">
        <w:rPr>
          <w:rFonts w:ascii="Times New Roman" w:hAnsi="Times New Roman"/>
          <w:color w:val="000000" w:themeColor="text1"/>
          <w:sz w:val="24"/>
          <w:szCs w:val="24"/>
          <w:u w:color="000000"/>
        </w:rPr>
        <w:tab/>
      </w:r>
      <w:r w:rsidRPr="008C7927">
        <w:rPr>
          <w:rFonts w:ascii="Times New Roman" w:hAnsi="Times New Roman"/>
          <w:color w:val="000000" w:themeColor="text1"/>
          <w:sz w:val="24"/>
          <w:szCs w:val="24"/>
          <w:u w:color="000000"/>
        </w:rPr>
        <w:tab/>
      </w:r>
      <w:r w:rsidRPr="008C7927">
        <w:rPr>
          <w:rFonts w:ascii="Times New Roman" w:hAnsi="Times New Roman"/>
          <w:color w:val="000000" w:themeColor="text1"/>
          <w:sz w:val="24"/>
          <w:szCs w:val="24"/>
          <w:u w:color="000000"/>
        </w:rPr>
        <w:tab/>
      </w:r>
      <w:r w:rsidRPr="008C7927">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t xml:space="preserve">    </w:t>
      </w:r>
      <w:r w:rsidRPr="008C7927">
        <w:rPr>
          <w:rFonts w:ascii="Times New Roman" w:hAnsi="Times New Roman"/>
          <w:color w:val="000000" w:themeColor="text1"/>
          <w:sz w:val="24"/>
          <w:szCs w:val="24"/>
          <w:u w:color="000000"/>
        </w:rPr>
        <w:t>7 500,00 EUR</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tabs>
          <w:tab w:val="left" w:pos="567"/>
        </w:tabs>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Vývoj dlhodobých pohľadávok a krátkodobých pohľadávok k 31. 12. </w:t>
      </w:r>
      <w:r>
        <w:rPr>
          <w:rFonts w:ascii="Times New Roman" w:hAnsi="Times New Roman"/>
          <w:color w:val="000000" w:themeColor="text1"/>
          <w:sz w:val="24"/>
          <w:szCs w:val="24"/>
          <w:u w:color="000000"/>
        </w:rPr>
        <w:t>2018</w:t>
      </w:r>
      <w:r w:rsidRPr="00C565E2">
        <w:rPr>
          <w:rFonts w:ascii="Times New Roman" w:hAnsi="Times New Roman"/>
          <w:color w:val="000000" w:themeColor="text1"/>
          <w:sz w:val="24"/>
          <w:szCs w:val="24"/>
          <w:u w:color="000000"/>
        </w:rPr>
        <w:t xml:space="preserve"> vyjadruje tabuľka č. 5.</w:t>
      </w:r>
    </w:p>
    <w:p w:rsidR="00385B00" w:rsidRPr="00C565E2" w:rsidRDefault="00385B00" w:rsidP="00385B00">
      <w:pPr>
        <w:widowControl/>
        <w:tabs>
          <w:tab w:val="left" w:pos="567"/>
        </w:tabs>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C565E2">
        <w:rPr>
          <w:rFonts w:ascii="Times New Roman" w:hAnsi="Times New Roman"/>
          <w:b/>
          <w:bCs/>
          <w:color w:val="000000" w:themeColor="text1"/>
          <w:sz w:val="24"/>
          <w:szCs w:val="24"/>
          <w:u w:color="000000"/>
        </w:rPr>
        <w:t>(8)</w:t>
      </w:r>
      <w:r w:rsidRPr="00C565E2">
        <w:rPr>
          <w:rFonts w:ascii="Times New Roman" w:hAnsi="Times New Roman"/>
          <w:b/>
          <w:bCs/>
          <w:color w:val="000000" w:themeColor="text1"/>
          <w:sz w:val="24"/>
          <w:szCs w:val="24"/>
          <w:u w:color="000000"/>
        </w:rPr>
        <w:tab/>
        <w:t xml:space="preserve">Prehľad  opravných položiek k pohľadávkam v členení podľa jednotlivých fondov a položiek súvahy s uvedením stavu opravných položiek na začiatku bežného účtovného obdobia, ich prírastky, úbytky a zúčtovanie počas bežného </w:t>
      </w:r>
      <w:r w:rsidRPr="00C565E2">
        <w:rPr>
          <w:rFonts w:ascii="Times New Roman" w:hAnsi="Times New Roman"/>
          <w:b/>
          <w:bCs/>
          <w:color w:val="000000" w:themeColor="text1"/>
          <w:sz w:val="24"/>
          <w:szCs w:val="24"/>
          <w:u w:color="000000"/>
        </w:rPr>
        <w:tab/>
        <w:t>účtovného</w:t>
      </w:r>
      <w:r>
        <w:rPr>
          <w:rFonts w:ascii="Times New Roman" w:hAnsi="Times New Roman"/>
          <w:b/>
          <w:bCs/>
          <w:color w:val="000000" w:themeColor="text1"/>
          <w:sz w:val="24"/>
          <w:szCs w:val="24"/>
          <w:u w:color="000000"/>
        </w:rPr>
        <w:t xml:space="preserve"> obdobia </w:t>
      </w:r>
      <w:r w:rsidRPr="00C565E2">
        <w:rPr>
          <w:rFonts w:ascii="Times New Roman" w:hAnsi="Times New Roman"/>
          <w:b/>
          <w:bCs/>
          <w:color w:val="000000" w:themeColor="text1"/>
          <w:sz w:val="24"/>
          <w:szCs w:val="24"/>
          <w:u w:color="000000"/>
        </w:rPr>
        <w:t>a stav na konci bežného účtovného obdobia.</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ind w:firstLine="510"/>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Sociálna poisťovňa tvorila opravné položky k pohľadávkam na poistnom a príspevkoch na starobné dôchodkové sporenie základného fondu nemocenského poistenia (ZFNP), základného fondu starobného poistenia (ZFSP), základného fondu invalidného poistenia (ZFIP), základného fondu úrazového poistenia (ZFÚP), základného fondu garančného poistenia (ZFGP), základného fondu poistenia v nezamestnanosti (</w:t>
      </w:r>
      <w:proofErr w:type="spellStart"/>
      <w:r w:rsidRPr="00C565E2">
        <w:rPr>
          <w:rFonts w:ascii="Times New Roman" w:hAnsi="Times New Roman"/>
          <w:color w:val="000000" w:themeColor="text1"/>
          <w:sz w:val="24"/>
          <w:szCs w:val="24"/>
          <w:u w:color="000000"/>
        </w:rPr>
        <w:t>ZFPvN</w:t>
      </w:r>
      <w:proofErr w:type="spellEnd"/>
      <w:r w:rsidRPr="00C565E2">
        <w:rPr>
          <w:rFonts w:ascii="Times New Roman" w:hAnsi="Times New Roman"/>
          <w:color w:val="000000" w:themeColor="text1"/>
          <w:sz w:val="24"/>
          <w:szCs w:val="24"/>
          <w:u w:color="000000"/>
        </w:rPr>
        <w:t>) a rezervného fondu solidarity (RFS).</w:t>
      </w:r>
    </w:p>
    <w:p w:rsidR="00385B00" w:rsidRPr="00C565E2" w:rsidRDefault="00385B00" w:rsidP="00385B00">
      <w:pPr>
        <w:widowControl/>
        <w:spacing w:line="360" w:lineRule="auto"/>
        <w:ind w:firstLine="510"/>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Opravné položky k </w:t>
      </w:r>
      <w:r w:rsidRPr="00C565E2">
        <w:rPr>
          <w:rFonts w:ascii="Times New Roman" w:hAnsi="Times New Roman"/>
          <w:b/>
          <w:bCs/>
          <w:color w:val="000000" w:themeColor="text1"/>
          <w:sz w:val="24"/>
          <w:szCs w:val="24"/>
          <w:u w:color="000000"/>
        </w:rPr>
        <w:t>dlhodobým pohľadávkam</w:t>
      </w:r>
      <w:r w:rsidRPr="00C565E2">
        <w:rPr>
          <w:rFonts w:ascii="Times New Roman" w:hAnsi="Times New Roman"/>
          <w:color w:val="000000" w:themeColor="text1"/>
          <w:sz w:val="24"/>
          <w:szCs w:val="24"/>
          <w:u w:color="000000"/>
        </w:rPr>
        <w:t xml:space="preserve"> na poistnom, vykázané na riadku 032 stĺpec 2 „korekcia“ v sume </w:t>
      </w:r>
      <w:r>
        <w:rPr>
          <w:rFonts w:ascii="Times New Roman" w:hAnsi="Times New Roman"/>
          <w:color w:val="000000" w:themeColor="text1"/>
          <w:sz w:val="24"/>
          <w:szCs w:val="24"/>
          <w:u w:color="000000"/>
        </w:rPr>
        <w:t>110 409,52 EUR</w:t>
      </w:r>
      <w:r w:rsidRPr="00C565E2">
        <w:rPr>
          <w:rFonts w:ascii="Times New Roman" w:hAnsi="Times New Roman"/>
          <w:color w:val="000000" w:themeColor="text1"/>
          <w:sz w:val="24"/>
          <w:szCs w:val="24"/>
          <w:u w:color="000000"/>
        </w:rPr>
        <w:t xml:space="preserve"> a opravné položky ku </w:t>
      </w:r>
      <w:r w:rsidRPr="00C565E2">
        <w:rPr>
          <w:rFonts w:ascii="Times New Roman" w:hAnsi="Times New Roman"/>
          <w:b/>
          <w:bCs/>
          <w:color w:val="000000" w:themeColor="text1"/>
          <w:sz w:val="24"/>
          <w:szCs w:val="24"/>
          <w:u w:color="000000"/>
        </w:rPr>
        <w:t>krátkodobým pohľadávkam</w:t>
      </w:r>
      <w:r w:rsidRPr="00C565E2">
        <w:rPr>
          <w:rFonts w:ascii="Times New Roman" w:hAnsi="Times New Roman"/>
          <w:color w:val="000000" w:themeColor="text1"/>
          <w:sz w:val="24"/>
          <w:szCs w:val="24"/>
          <w:u w:color="000000"/>
        </w:rPr>
        <w:t xml:space="preserve"> na poistnom, vykázané na riadku 37 stĺpec 2 „korekcia“ v sume </w:t>
      </w:r>
      <w:r>
        <w:rPr>
          <w:rFonts w:ascii="Times New Roman" w:hAnsi="Times New Roman"/>
          <w:color w:val="000000" w:themeColor="text1"/>
          <w:sz w:val="24"/>
          <w:szCs w:val="24"/>
          <w:u w:color="000000"/>
        </w:rPr>
        <w:t>390 016 405,20</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Prehľad opravných položiek k pohľadávkam k 31. 12. </w:t>
      </w:r>
      <w:r>
        <w:rPr>
          <w:rFonts w:ascii="Times New Roman" w:hAnsi="Times New Roman"/>
          <w:color w:val="000000" w:themeColor="text1"/>
          <w:sz w:val="24"/>
          <w:szCs w:val="24"/>
          <w:u w:color="000000"/>
        </w:rPr>
        <w:t>2018</w:t>
      </w:r>
      <w:r w:rsidRPr="00C565E2">
        <w:rPr>
          <w:rFonts w:ascii="Times New Roman" w:hAnsi="Times New Roman"/>
          <w:color w:val="000000" w:themeColor="text1"/>
          <w:sz w:val="24"/>
          <w:szCs w:val="24"/>
          <w:u w:color="000000"/>
        </w:rPr>
        <w:t xml:space="preserve"> vykazuje tabuľka č. 6 v členení podľa jednotlivých fondov a položiek súvahy.</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C565E2">
        <w:rPr>
          <w:rFonts w:ascii="Times New Roman" w:hAnsi="Times New Roman"/>
          <w:b/>
          <w:bCs/>
          <w:color w:val="000000" w:themeColor="text1"/>
          <w:sz w:val="24"/>
          <w:szCs w:val="24"/>
          <w:u w:color="000000"/>
        </w:rPr>
        <w:t>(9)</w:t>
      </w:r>
      <w:r w:rsidRPr="00C565E2">
        <w:rPr>
          <w:rFonts w:ascii="Times New Roman" w:hAnsi="Times New Roman"/>
          <w:b/>
          <w:bCs/>
          <w:color w:val="000000" w:themeColor="text1"/>
          <w:sz w:val="24"/>
          <w:szCs w:val="24"/>
          <w:u w:color="000000"/>
        </w:rPr>
        <w:tab/>
        <w:t>Tvorba, zníženie alebo zrušenie opravných položiek k pohľadávkam</w:t>
      </w: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p>
    <w:p w:rsidR="00385B00" w:rsidRPr="00C565E2" w:rsidRDefault="00385B00" w:rsidP="00385B00">
      <w:pPr>
        <w:widowControl/>
        <w:spacing w:line="360" w:lineRule="auto"/>
        <w:ind w:firstLine="510"/>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Tvorbou opravných položiek na pohľadávky Sociálna poisťovňa, zohľadňuje riziká a</w:t>
      </w:r>
      <w:r>
        <w:rPr>
          <w:rFonts w:ascii="Times New Roman" w:hAnsi="Times New Roman"/>
          <w:color w:val="000000" w:themeColor="text1"/>
          <w:sz w:val="24"/>
          <w:szCs w:val="24"/>
          <w:u w:color="000000"/>
        </w:rPr>
        <w:t> </w:t>
      </w:r>
      <w:r w:rsidRPr="00C565E2">
        <w:rPr>
          <w:rFonts w:ascii="Times New Roman" w:hAnsi="Times New Roman"/>
          <w:color w:val="000000" w:themeColor="text1"/>
          <w:sz w:val="24"/>
          <w:szCs w:val="24"/>
          <w:u w:color="000000"/>
        </w:rPr>
        <w:t xml:space="preserve">straty, ktoré sú známe ku dňu zostavenia účtovnej závierky. Vývoj pohľadávok Sociálnej poisťovne ovplyvnil tvorbu opravných položiek k pohľadávkam, ktoré k 31. 12. </w:t>
      </w:r>
      <w:r>
        <w:rPr>
          <w:rFonts w:ascii="Times New Roman" w:hAnsi="Times New Roman"/>
          <w:color w:val="000000" w:themeColor="text1"/>
          <w:sz w:val="24"/>
          <w:szCs w:val="24"/>
          <w:u w:color="000000"/>
        </w:rPr>
        <w:t>2018</w:t>
      </w:r>
      <w:r w:rsidRPr="00C565E2">
        <w:rPr>
          <w:rFonts w:ascii="Times New Roman" w:hAnsi="Times New Roman"/>
          <w:color w:val="000000" w:themeColor="text1"/>
          <w:sz w:val="24"/>
          <w:szCs w:val="24"/>
          <w:u w:color="000000"/>
        </w:rPr>
        <w:t xml:space="preserve"> predstavujú sumu </w:t>
      </w:r>
      <w:r>
        <w:rPr>
          <w:rFonts w:ascii="Times New Roman" w:hAnsi="Times New Roman"/>
          <w:color w:val="000000" w:themeColor="text1"/>
          <w:sz w:val="24"/>
          <w:szCs w:val="24"/>
          <w:u w:color="000000"/>
        </w:rPr>
        <w:t>390 126 814,72</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a oproti stavu k 1. 1. </w:t>
      </w:r>
      <w:r>
        <w:rPr>
          <w:rFonts w:ascii="Times New Roman" w:hAnsi="Times New Roman"/>
          <w:color w:val="000000" w:themeColor="text1"/>
          <w:sz w:val="24"/>
          <w:szCs w:val="24"/>
          <w:u w:color="000000"/>
        </w:rPr>
        <w:t>2018</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sa znížili</w:t>
      </w:r>
      <w:r w:rsidRPr="00C565E2">
        <w:rPr>
          <w:rFonts w:ascii="Times New Roman" w:hAnsi="Times New Roman"/>
          <w:color w:val="000000" w:themeColor="text1"/>
          <w:sz w:val="24"/>
          <w:szCs w:val="24"/>
          <w:u w:color="000000"/>
        </w:rPr>
        <w:t xml:space="preserve"> o</w:t>
      </w:r>
      <w:r>
        <w:rPr>
          <w:rFonts w:ascii="Times New Roman" w:hAnsi="Times New Roman"/>
          <w:color w:val="000000" w:themeColor="text1"/>
          <w:sz w:val="24"/>
          <w:szCs w:val="24"/>
          <w:u w:color="000000"/>
        </w:rPr>
        <w:t> 116 365 483,80</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w:t>
      </w:r>
    </w:p>
    <w:p w:rsidR="00385B00" w:rsidRPr="00C565E2" w:rsidRDefault="00385B00" w:rsidP="00385B00">
      <w:pPr>
        <w:widowControl/>
        <w:spacing w:line="360" w:lineRule="auto"/>
        <w:ind w:firstLine="510"/>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C565E2">
        <w:rPr>
          <w:rFonts w:ascii="Times New Roman" w:hAnsi="Times New Roman"/>
          <w:b/>
          <w:bCs/>
          <w:color w:val="000000" w:themeColor="text1"/>
          <w:sz w:val="24"/>
          <w:szCs w:val="24"/>
          <w:u w:color="000000"/>
        </w:rPr>
        <w:t>10)</w:t>
      </w:r>
      <w:r w:rsidRPr="00C565E2">
        <w:rPr>
          <w:rFonts w:ascii="Times New Roman" w:hAnsi="Times New Roman"/>
          <w:b/>
          <w:bCs/>
          <w:color w:val="000000" w:themeColor="text1"/>
          <w:sz w:val="24"/>
          <w:szCs w:val="24"/>
          <w:u w:color="000000"/>
        </w:rPr>
        <w:tab/>
        <w:t>Informácia o výške odpísaných pohľadávok počas bežného účtovného obdobia v členení podľa jednotlivých fondov a položiek súvahy.</w:t>
      </w: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p>
    <w:p w:rsidR="00385B00" w:rsidRDefault="00385B00" w:rsidP="00385B00">
      <w:pPr>
        <w:widowControl/>
        <w:spacing w:line="360" w:lineRule="auto"/>
        <w:ind w:firstLine="510"/>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 xml:space="preserve">V roku </w:t>
      </w:r>
      <w:r>
        <w:rPr>
          <w:rFonts w:ascii="Times New Roman" w:hAnsi="Times New Roman"/>
          <w:color w:val="000000" w:themeColor="text1"/>
          <w:sz w:val="24"/>
          <w:szCs w:val="24"/>
          <w:u w:color="000000"/>
        </w:rPr>
        <w:t>2018</w:t>
      </w:r>
      <w:r w:rsidRPr="00C565E2">
        <w:rPr>
          <w:rFonts w:ascii="Times New Roman" w:hAnsi="Times New Roman"/>
          <w:color w:val="000000" w:themeColor="text1"/>
          <w:sz w:val="24"/>
          <w:szCs w:val="24"/>
          <w:u w:color="000000"/>
        </w:rPr>
        <w:t xml:space="preserve"> Sociálna poisťovňa podľa zákona o sociálnom poistení odpísala z</w:t>
      </w:r>
      <w:r>
        <w:rPr>
          <w:rFonts w:ascii="Times New Roman" w:hAnsi="Times New Roman"/>
          <w:color w:val="000000" w:themeColor="text1"/>
          <w:sz w:val="24"/>
          <w:szCs w:val="24"/>
          <w:u w:color="000000"/>
        </w:rPr>
        <w:t> operatívnej evidencie a z </w:t>
      </w:r>
      <w:r w:rsidRPr="00C565E2">
        <w:rPr>
          <w:rFonts w:ascii="Times New Roman" w:hAnsi="Times New Roman"/>
          <w:color w:val="000000" w:themeColor="text1"/>
          <w:sz w:val="24"/>
          <w:szCs w:val="24"/>
          <w:u w:color="000000"/>
        </w:rPr>
        <w:t>účtovn</w:t>
      </w:r>
      <w:r>
        <w:rPr>
          <w:rFonts w:ascii="Times New Roman" w:hAnsi="Times New Roman"/>
          <w:color w:val="000000" w:themeColor="text1"/>
          <w:sz w:val="24"/>
          <w:szCs w:val="24"/>
          <w:u w:color="000000"/>
        </w:rPr>
        <w:t xml:space="preserve">íctva </w:t>
      </w:r>
      <w:r w:rsidRPr="00C565E2">
        <w:rPr>
          <w:rFonts w:ascii="Times New Roman" w:hAnsi="Times New Roman"/>
          <w:color w:val="000000" w:themeColor="text1"/>
          <w:sz w:val="24"/>
          <w:szCs w:val="24"/>
          <w:u w:color="000000"/>
        </w:rPr>
        <w:t xml:space="preserve">pohľadávky v celkovej výške </w:t>
      </w:r>
      <w:r>
        <w:rPr>
          <w:rFonts w:ascii="Times New Roman" w:hAnsi="Times New Roman"/>
          <w:color w:val="000000" w:themeColor="text1"/>
          <w:sz w:val="24"/>
          <w:szCs w:val="24"/>
          <w:u w:color="000000"/>
        </w:rPr>
        <w:t>39 698 195,69</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Z toho boli na </w:t>
      </w:r>
      <w:proofErr w:type="spellStart"/>
      <w:r w:rsidRPr="00C565E2">
        <w:rPr>
          <w:rFonts w:ascii="Times New Roman" w:hAnsi="Times New Roman"/>
          <w:color w:val="000000" w:themeColor="text1"/>
          <w:sz w:val="24"/>
          <w:szCs w:val="24"/>
          <w:u w:color="000000"/>
        </w:rPr>
        <w:t>podsúvahu</w:t>
      </w:r>
      <w:proofErr w:type="spellEnd"/>
      <w:r w:rsidRPr="00C565E2">
        <w:rPr>
          <w:rFonts w:ascii="Times New Roman" w:hAnsi="Times New Roman"/>
          <w:color w:val="000000" w:themeColor="text1"/>
          <w:sz w:val="24"/>
          <w:szCs w:val="24"/>
          <w:u w:color="000000"/>
        </w:rPr>
        <w:t xml:space="preserve"> preúčtované pohľadávky v celkovom objeme </w:t>
      </w:r>
      <w:r>
        <w:rPr>
          <w:rFonts w:ascii="Times New Roman" w:hAnsi="Times New Roman"/>
          <w:color w:val="000000" w:themeColor="text1"/>
          <w:sz w:val="24"/>
          <w:szCs w:val="24"/>
          <w:u w:color="000000"/>
        </w:rPr>
        <w:t>8 342 917,32</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ktoré boli zaradené na odpis podľa § 150 zákona ako nevymáhateľné pohľadávky</w:t>
      </w:r>
      <w:r>
        <w:rPr>
          <w:rFonts w:ascii="Times New Roman" w:hAnsi="Times New Roman"/>
          <w:color w:val="000000" w:themeColor="text1"/>
          <w:sz w:val="24"/>
          <w:szCs w:val="24"/>
          <w:u w:color="000000"/>
        </w:rPr>
        <w:t>. V roku 2018 boli odpísané trvalo nevymožiteľné pohľadávky štátu v celkovej výške 354 737,20 EUR v súlade so zákonom o sociálnom poistení a zákonom č. 374/2014 Z. z. o pohľadávkach štátu a o zmene a doplnení niektorých zákonov.</w:t>
      </w:r>
    </w:p>
    <w:p w:rsidR="00385B00" w:rsidRDefault="00385B00" w:rsidP="00385B00">
      <w:pPr>
        <w:widowControl/>
        <w:spacing w:line="360" w:lineRule="auto"/>
        <w:rPr>
          <w:rFonts w:ascii="Times New Roman" w:hAnsi="Times New Roman"/>
          <w:color w:val="000000" w:themeColor="text1"/>
          <w:sz w:val="24"/>
          <w:szCs w:val="24"/>
          <w:u w:color="000000"/>
        </w:rPr>
      </w:pPr>
    </w:p>
    <w:p w:rsidR="00385B00" w:rsidRPr="00C565E2" w:rsidRDefault="00385B00" w:rsidP="00385B00">
      <w:pPr>
        <w:widowControl/>
        <w:spacing w:line="360" w:lineRule="auto"/>
        <w:ind w:left="8160"/>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 xml:space="preserve">  </w:t>
      </w:r>
      <w:r w:rsidRPr="00C565E2">
        <w:rPr>
          <w:rFonts w:ascii="Times New Roman" w:hAnsi="Times New Roman"/>
          <w:color w:val="000000" w:themeColor="text1"/>
          <w:sz w:val="24"/>
          <w:szCs w:val="24"/>
          <w:u w:color="000000"/>
        </w:rPr>
        <w:t xml:space="preserve">v </w:t>
      </w:r>
      <w:r>
        <w:rPr>
          <w:rFonts w:ascii="Times New Roman" w:hAnsi="Times New Roman"/>
          <w:color w:val="000000" w:themeColor="text1"/>
          <w:sz w:val="24"/>
          <w:szCs w:val="24"/>
          <w:u w:color="000000"/>
        </w:rPr>
        <w:t>EUR</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410"/>
        <w:gridCol w:w="2268"/>
        <w:gridCol w:w="2409"/>
      </w:tblGrid>
      <w:tr w:rsidR="00385B00" w:rsidRPr="00C565E2" w:rsidTr="007379ED">
        <w:trPr>
          <w:trHeight w:val="315"/>
        </w:trPr>
        <w:tc>
          <w:tcPr>
            <w:tcW w:w="4410" w:type="dxa"/>
            <w:vMerge w:val="restart"/>
            <w:vAlign w:val="center"/>
          </w:tcPr>
          <w:p w:rsidR="00385B00" w:rsidRPr="00C565E2" w:rsidRDefault="00385B00" w:rsidP="007379ED">
            <w:pPr>
              <w:widowControl/>
              <w:jc w:val="both"/>
              <w:rPr>
                <w:rFonts w:ascii="Times New Roman" w:hAnsi="Times New Roman"/>
                <w:color w:val="000000" w:themeColor="text1"/>
                <w:sz w:val="24"/>
                <w:szCs w:val="24"/>
                <w:u w:color="000000"/>
              </w:rPr>
            </w:pPr>
            <w:r w:rsidRPr="00C565E2">
              <w:rPr>
                <w:rFonts w:ascii="Times New Roman" w:hAnsi="Times New Roman"/>
                <w:b/>
                <w:bCs/>
                <w:color w:val="000000" w:themeColor="text1"/>
                <w:sz w:val="24"/>
                <w:szCs w:val="24"/>
                <w:u w:color="000000"/>
              </w:rPr>
              <w:t>Názov položky</w:t>
            </w:r>
          </w:p>
        </w:tc>
        <w:tc>
          <w:tcPr>
            <w:tcW w:w="4677" w:type="dxa"/>
            <w:gridSpan w:val="2"/>
            <w:vAlign w:val="center"/>
          </w:tcPr>
          <w:p w:rsidR="00385B00" w:rsidRPr="00C565E2" w:rsidRDefault="00385B00" w:rsidP="007379ED">
            <w:pPr>
              <w:widowControl/>
              <w:jc w:val="center"/>
              <w:rPr>
                <w:rFonts w:ascii="Times New Roman" w:hAnsi="Times New Roman"/>
                <w:color w:val="000000" w:themeColor="text1"/>
                <w:sz w:val="24"/>
                <w:szCs w:val="24"/>
                <w:u w:color="000000"/>
              </w:rPr>
            </w:pPr>
            <w:r w:rsidRPr="00C565E2">
              <w:rPr>
                <w:rFonts w:ascii="Times New Roman" w:hAnsi="Times New Roman"/>
                <w:b/>
                <w:bCs/>
                <w:color w:val="000000" w:themeColor="text1"/>
                <w:sz w:val="24"/>
                <w:szCs w:val="24"/>
                <w:u w:color="000000"/>
              </w:rPr>
              <w:t>z toho</w:t>
            </w:r>
          </w:p>
        </w:tc>
      </w:tr>
      <w:tr w:rsidR="00385B00" w:rsidRPr="00C565E2" w:rsidTr="007379ED">
        <w:trPr>
          <w:trHeight w:val="630"/>
        </w:trPr>
        <w:tc>
          <w:tcPr>
            <w:tcW w:w="4410" w:type="dxa"/>
            <w:vMerge/>
            <w:vAlign w:val="center"/>
          </w:tcPr>
          <w:p w:rsidR="00385B00" w:rsidRPr="00C565E2" w:rsidRDefault="00385B00" w:rsidP="007379ED">
            <w:pPr>
              <w:widowControl/>
              <w:jc w:val="both"/>
              <w:rPr>
                <w:rFonts w:ascii="Times New Roman" w:hAnsi="Times New Roman"/>
                <w:color w:val="000000" w:themeColor="text1"/>
                <w:sz w:val="24"/>
                <w:szCs w:val="24"/>
                <w:u w:color="000000"/>
              </w:rPr>
            </w:pPr>
          </w:p>
        </w:tc>
        <w:tc>
          <w:tcPr>
            <w:tcW w:w="2268" w:type="dxa"/>
            <w:vAlign w:val="center"/>
          </w:tcPr>
          <w:p w:rsidR="00385B00" w:rsidRDefault="00385B00" w:rsidP="007379ED">
            <w:pPr>
              <w:widowControl/>
              <w:jc w:val="center"/>
              <w:rPr>
                <w:rFonts w:ascii="Times New Roman" w:hAnsi="Times New Roman"/>
                <w:b/>
                <w:bCs/>
                <w:color w:val="000000" w:themeColor="text1"/>
                <w:sz w:val="24"/>
                <w:szCs w:val="24"/>
                <w:u w:color="000000"/>
              </w:rPr>
            </w:pPr>
            <w:r w:rsidRPr="00C565E2">
              <w:rPr>
                <w:rFonts w:ascii="Times New Roman" w:hAnsi="Times New Roman"/>
                <w:b/>
                <w:bCs/>
                <w:color w:val="000000" w:themeColor="text1"/>
                <w:sz w:val="24"/>
                <w:szCs w:val="24"/>
                <w:u w:color="000000"/>
              </w:rPr>
              <w:t xml:space="preserve">dlhodobé </w:t>
            </w:r>
          </w:p>
          <w:p w:rsidR="00385B00" w:rsidRPr="00C565E2" w:rsidRDefault="00385B00" w:rsidP="007379ED">
            <w:pPr>
              <w:widowControl/>
              <w:jc w:val="center"/>
              <w:rPr>
                <w:rFonts w:ascii="Times New Roman" w:hAnsi="Times New Roman"/>
                <w:color w:val="000000" w:themeColor="text1"/>
                <w:sz w:val="24"/>
                <w:szCs w:val="24"/>
                <w:u w:color="000000"/>
              </w:rPr>
            </w:pPr>
            <w:r w:rsidRPr="00C565E2">
              <w:rPr>
                <w:rFonts w:ascii="Times New Roman" w:hAnsi="Times New Roman"/>
                <w:b/>
                <w:bCs/>
                <w:color w:val="000000" w:themeColor="text1"/>
                <w:sz w:val="24"/>
                <w:szCs w:val="24"/>
                <w:u w:color="000000"/>
              </w:rPr>
              <w:t>pohľadávky</w:t>
            </w:r>
          </w:p>
        </w:tc>
        <w:tc>
          <w:tcPr>
            <w:tcW w:w="2409" w:type="dxa"/>
            <w:vAlign w:val="center"/>
          </w:tcPr>
          <w:p w:rsidR="00385B00" w:rsidRPr="00C565E2" w:rsidRDefault="00385B00" w:rsidP="007379ED">
            <w:pPr>
              <w:widowControl/>
              <w:jc w:val="center"/>
              <w:rPr>
                <w:rFonts w:ascii="Times New Roman" w:hAnsi="Times New Roman"/>
                <w:color w:val="000000" w:themeColor="text1"/>
                <w:sz w:val="24"/>
                <w:szCs w:val="24"/>
                <w:u w:color="000000"/>
              </w:rPr>
            </w:pPr>
            <w:r w:rsidRPr="00C565E2">
              <w:rPr>
                <w:rFonts w:ascii="Times New Roman" w:hAnsi="Times New Roman"/>
                <w:b/>
                <w:bCs/>
                <w:color w:val="000000" w:themeColor="text1"/>
                <w:sz w:val="24"/>
                <w:szCs w:val="24"/>
                <w:u w:color="000000"/>
              </w:rPr>
              <w:t>krátkodobé pohľadávky</w:t>
            </w:r>
          </w:p>
        </w:tc>
      </w:tr>
      <w:tr w:rsidR="00385B00" w:rsidRPr="00C565E2" w:rsidTr="007379ED">
        <w:trPr>
          <w:trHeight w:val="300"/>
        </w:trPr>
        <w:tc>
          <w:tcPr>
            <w:tcW w:w="4410" w:type="dxa"/>
            <w:vAlign w:val="center"/>
          </w:tcPr>
          <w:p w:rsidR="00385B00" w:rsidRPr="00C565E2" w:rsidRDefault="00385B00" w:rsidP="007379ED">
            <w:pPr>
              <w:widowControl/>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Z</w:t>
            </w:r>
            <w:r>
              <w:rPr>
                <w:rFonts w:ascii="Times New Roman" w:hAnsi="Times New Roman"/>
                <w:color w:val="000000" w:themeColor="text1"/>
                <w:sz w:val="24"/>
                <w:szCs w:val="24"/>
                <w:u w:color="000000"/>
              </w:rPr>
              <w:t>ákladný fond nemocenského poistenia</w:t>
            </w:r>
          </w:p>
        </w:tc>
        <w:tc>
          <w:tcPr>
            <w:tcW w:w="2268"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0,00</w:t>
            </w:r>
          </w:p>
        </w:tc>
        <w:tc>
          <w:tcPr>
            <w:tcW w:w="2409"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3 760 663,33</w:t>
            </w:r>
          </w:p>
        </w:tc>
      </w:tr>
      <w:tr w:rsidR="00385B00" w:rsidRPr="00C565E2" w:rsidTr="007379ED">
        <w:trPr>
          <w:trHeight w:val="300"/>
        </w:trPr>
        <w:tc>
          <w:tcPr>
            <w:tcW w:w="4410" w:type="dxa"/>
            <w:vAlign w:val="center"/>
          </w:tcPr>
          <w:p w:rsidR="00385B00" w:rsidRPr="00C565E2" w:rsidRDefault="00385B00" w:rsidP="007379ED">
            <w:pPr>
              <w:widowControl/>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Z</w:t>
            </w:r>
            <w:r>
              <w:rPr>
                <w:rFonts w:ascii="Times New Roman" w:hAnsi="Times New Roman"/>
                <w:color w:val="000000" w:themeColor="text1"/>
                <w:sz w:val="24"/>
                <w:szCs w:val="24"/>
                <w:u w:color="000000"/>
              </w:rPr>
              <w:t>ákladný fond starobného poistenia</w:t>
            </w:r>
          </w:p>
        </w:tc>
        <w:tc>
          <w:tcPr>
            <w:tcW w:w="2268"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0,00</w:t>
            </w:r>
          </w:p>
        </w:tc>
        <w:tc>
          <w:tcPr>
            <w:tcW w:w="2409"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20 727 729,77</w:t>
            </w:r>
          </w:p>
        </w:tc>
      </w:tr>
      <w:tr w:rsidR="00385B00" w:rsidRPr="00C565E2" w:rsidTr="007379ED">
        <w:trPr>
          <w:trHeight w:val="300"/>
        </w:trPr>
        <w:tc>
          <w:tcPr>
            <w:tcW w:w="4410" w:type="dxa"/>
            <w:vAlign w:val="center"/>
          </w:tcPr>
          <w:p w:rsidR="00385B00" w:rsidRPr="00C565E2" w:rsidRDefault="00385B00" w:rsidP="007379ED">
            <w:pPr>
              <w:widowControl/>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Z</w:t>
            </w:r>
            <w:r>
              <w:rPr>
                <w:rFonts w:ascii="Times New Roman" w:hAnsi="Times New Roman"/>
                <w:color w:val="000000" w:themeColor="text1"/>
                <w:sz w:val="24"/>
                <w:szCs w:val="24"/>
                <w:u w:color="000000"/>
              </w:rPr>
              <w:t>ákladný fond invalidného poistenia</w:t>
            </w:r>
          </w:p>
        </w:tc>
        <w:tc>
          <w:tcPr>
            <w:tcW w:w="2268"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0,00</w:t>
            </w:r>
          </w:p>
        </w:tc>
        <w:tc>
          <w:tcPr>
            <w:tcW w:w="2409"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6 906 696,43</w:t>
            </w:r>
          </w:p>
        </w:tc>
      </w:tr>
      <w:tr w:rsidR="00385B00" w:rsidRPr="00C565E2" w:rsidTr="007379ED">
        <w:trPr>
          <w:trHeight w:val="300"/>
        </w:trPr>
        <w:tc>
          <w:tcPr>
            <w:tcW w:w="4410" w:type="dxa"/>
            <w:vAlign w:val="center"/>
          </w:tcPr>
          <w:p w:rsidR="00385B00" w:rsidRPr="00C565E2" w:rsidRDefault="00385B00" w:rsidP="007379ED">
            <w:pPr>
              <w:widowControl/>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Z</w:t>
            </w:r>
            <w:r>
              <w:rPr>
                <w:rFonts w:ascii="Times New Roman" w:hAnsi="Times New Roman"/>
                <w:color w:val="000000" w:themeColor="text1"/>
                <w:sz w:val="24"/>
                <w:szCs w:val="24"/>
                <w:u w:color="000000"/>
              </w:rPr>
              <w:t>ákladný fond úrazového poistenia</w:t>
            </w:r>
          </w:p>
        </w:tc>
        <w:tc>
          <w:tcPr>
            <w:tcW w:w="2268"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0,00</w:t>
            </w:r>
          </w:p>
        </w:tc>
        <w:tc>
          <w:tcPr>
            <w:tcW w:w="2409"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645 346,45</w:t>
            </w:r>
          </w:p>
        </w:tc>
      </w:tr>
      <w:tr w:rsidR="00385B00" w:rsidRPr="00C565E2" w:rsidTr="007379ED">
        <w:trPr>
          <w:trHeight w:val="300"/>
        </w:trPr>
        <w:tc>
          <w:tcPr>
            <w:tcW w:w="4410" w:type="dxa"/>
            <w:vAlign w:val="center"/>
          </w:tcPr>
          <w:p w:rsidR="00385B00" w:rsidRPr="00C565E2" w:rsidRDefault="00385B00" w:rsidP="007379ED">
            <w:pPr>
              <w:widowControl/>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Z</w:t>
            </w:r>
            <w:r>
              <w:rPr>
                <w:rFonts w:ascii="Times New Roman" w:hAnsi="Times New Roman"/>
                <w:color w:val="000000" w:themeColor="text1"/>
                <w:sz w:val="24"/>
                <w:szCs w:val="24"/>
                <w:u w:color="000000"/>
              </w:rPr>
              <w:t>ákladný fond garančného poistenia</w:t>
            </w:r>
          </w:p>
        </w:tc>
        <w:tc>
          <w:tcPr>
            <w:tcW w:w="2268"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0,00</w:t>
            </w:r>
          </w:p>
        </w:tc>
        <w:tc>
          <w:tcPr>
            <w:tcW w:w="2409"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494 986,82</w:t>
            </w:r>
          </w:p>
        </w:tc>
      </w:tr>
      <w:tr w:rsidR="00385B00" w:rsidRPr="00C565E2" w:rsidTr="007379ED">
        <w:trPr>
          <w:trHeight w:val="300"/>
        </w:trPr>
        <w:tc>
          <w:tcPr>
            <w:tcW w:w="4410" w:type="dxa"/>
            <w:vAlign w:val="center"/>
          </w:tcPr>
          <w:p w:rsidR="00385B00" w:rsidRPr="00C565E2" w:rsidRDefault="00385B00" w:rsidP="007379ED">
            <w:pPr>
              <w:widowControl/>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Z</w:t>
            </w:r>
            <w:r>
              <w:rPr>
                <w:rFonts w:ascii="Times New Roman" w:hAnsi="Times New Roman"/>
                <w:color w:val="000000" w:themeColor="text1"/>
                <w:sz w:val="24"/>
                <w:szCs w:val="24"/>
                <w:u w:color="000000"/>
              </w:rPr>
              <w:t>ákladný fond poistenia v nezamestnanosti</w:t>
            </w:r>
          </w:p>
        </w:tc>
        <w:tc>
          <w:tcPr>
            <w:tcW w:w="2268"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0,00</w:t>
            </w:r>
          </w:p>
        </w:tc>
        <w:tc>
          <w:tcPr>
            <w:tcW w:w="2409"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1 468 745,57</w:t>
            </w:r>
          </w:p>
        </w:tc>
      </w:tr>
      <w:tr w:rsidR="00385B00" w:rsidRPr="00C565E2" w:rsidTr="007379ED">
        <w:trPr>
          <w:trHeight w:val="300"/>
        </w:trPr>
        <w:tc>
          <w:tcPr>
            <w:tcW w:w="4410" w:type="dxa"/>
            <w:vAlign w:val="center"/>
          </w:tcPr>
          <w:p w:rsidR="00385B00" w:rsidRPr="00C565E2" w:rsidRDefault="00385B00" w:rsidP="007379ED">
            <w:pPr>
              <w:widowControl/>
              <w:jc w:val="both"/>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Rezervný fond solidarity</w:t>
            </w:r>
          </w:p>
        </w:tc>
        <w:tc>
          <w:tcPr>
            <w:tcW w:w="2268"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0,00</w:t>
            </w:r>
          </w:p>
        </w:tc>
        <w:tc>
          <w:tcPr>
            <w:tcW w:w="2409"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5 338 962,34</w:t>
            </w:r>
          </w:p>
        </w:tc>
      </w:tr>
      <w:tr w:rsidR="00385B00" w:rsidRPr="00C565E2" w:rsidTr="007379ED">
        <w:trPr>
          <w:trHeight w:val="300"/>
        </w:trPr>
        <w:tc>
          <w:tcPr>
            <w:tcW w:w="4410" w:type="dxa"/>
            <w:vAlign w:val="center"/>
          </w:tcPr>
          <w:p w:rsidR="00385B00" w:rsidRPr="00C565E2" w:rsidRDefault="00385B00" w:rsidP="007379ED">
            <w:pPr>
              <w:widowControl/>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Zúčtovanie poistného za rok 1993</w:t>
            </w:r>
          </w:p>
        </w:tc>
        <w:tc>
          <w:tcPr>
            <w:tcW w:w="2268"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0,00</w:t>
            </w:r>
          </w:p>
        </w:tc>
        <w:tc>
          <w:tcPr>
            <w:tcW w:w="2409"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354 737,20</w:t>
            </w:r>
          </w:p>
        </w:tc>
      </w:tr>
      <w:tr w:rsidR="00385B00" w:rsidRPr="00C565E2" w:rsidTr="007379ED">
        <w:trPr>
          <w:trHeight w:val="600"/>
        </w:trPr>
        <w:tc>
          <w:tcPr>
            <w:tcW w:w="4410" w:type="dxa"/>
            <w:vAlign w:val="center"/>
          </w:tcPr>
          <w:p w:rsidR="00385B00" w:rsidRPr="00C565E2" w:rsidRDefault="00385B00" w:rsidP="007379ED">
            <w:pPr>
              <w:widowControl/>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Zúčtovanie poistného so Všeobecnou zdravotnou poisťovňou rok 1994</w:t>
            </w:r>
          </w:p>
        </w:tc>
        <w:tc>
          <w:tcPr>
            <w:tcW w:w="2268"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0,00</w:t>
            </w:r>
          </w:p>
        </w:tc>
        <w:tc>
          <w:tcPr>
            <w:tcW w:w="2409"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327,75</w:t>
            </w:r>
          </w:p>
        </w:tc>
      </w:tr>
      <w:tr w:rsidR="00385B00" w:rsidRPr="00C565E2" w:rsidTr="007379ED">
        <w:trPr>
          <w:trHeight w:val="315"/>
        </w:trPr>
        <w:tc>
          <w:tcPr>
            <w:tcW w:w="4410" w:type="dxa"/>
            <w:vAlign w:val="bottom"/>
          </w:tcPr>
          <w:p w:rsidR="00385B00" w:rsidRPr="00C565E2" w:rsidRDefault="00385B00" w:rsidP="007379ED">
            <w:pPr>
              <w:widowControl/>
              <w:jc w:val="both"/>
              <w:rPr>
                <w:rFonts w:ascii="Times New Roman" w:hAnsi="Times New Roman"/>
                <w:color w:val="000000" w:themeColor="text1"/>
                <w:sz w:val="24"/>
                <w:szCs w:val="24"/>
                <w:u w:color="000000"/>
              </w:rPr>
            </w:pPr>
            <w:r w:rsidRPr="00C565E2">
              <w:rPr>
                <w:rFonts w:ascii="Times New Roman" w:hAnsi="Times New Roman"/>
                <w:b/>
                <w:bCs/>
                <w:color w:val="000000" w:themeColor="text1"/>
                <w:sz w:val="24"/>
                <w:szCs w:val="24"/>
                <w:u w:color="000000"/>
              </w:rPr>
              <w:t>SPOLU</w:t>
            </w:r>
          </w:p>
        </w:tc>
        <w:tc>
          <w:tcPr>
            <w:tcW w:w="2268"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0,00</w:t>
            </w:r>
          </w:p>
        </w:tc>
        <w:tc>
          <w:tcPr>
            <w:tcW w:w="2409"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Pr>
                <w:rFonts w:ascii="Times New Roman" w:hAnsi="Times New Roman"/>
                <w:b/>
                <w:bCs/>
                <w:color w:val="000000" w:themeColor="text1"/>
                <w:sz w:val="24"/>
                <w:szCs w:val="24"/>
                <w:u w:color="000000"/>
              </w:rPr>
              <w:t>39 698 195,69</w:t>
            </w:r>
          </w:p>
        </w:tc>
      </w:tr>
    </w:tbl>
    <w:p w:rsidR="00385B00" w:rsidRPr="004C4D7B" w:rsidRDefault="00385B00" w:rsidP="00385B00">
      <w:pPr>
        <w:widowControl/>
        <w:tabs>
          <w:tab w:val="left" w:pos="567"/>
        </w:tabs>
        <w:spacing w:line="360" w:lineRule="auto"/>
        <w:jc w:val="both"/>
        <w:rPr>
          <w:rFonts w:ascii="Times New Roman" w:hAnsi="Times New Roman"/>
          <w:color w:val="000000" w:themeColor="text1"/>
          <w:sz w:val="24"/>
          <w:szCs w:val="24"/>
          <w:u w:color="000000"/>
        </w:rPr>
      </w:pPr>
    </w:p>
    <w:p w:rsidR="00385B00" w:rsidRDefault="00385B00" w:rsidP="00385B00">
      <w:pPr>
        <w:widowControl/>
        <w:tabs>
          <w:tab w:val="left" w:pos="567"/>
        </w:tabs>
        <w:spacing w:line="360" w:lineRule="auto"/>
        <w:jc w:val="both"/>
        <w:rPr>
          <w:rFonts w:ascii="Times New Roman" w:hAnsi="Times New Roman"/>
          <w:color w:val="000000" w:themeColor="text1"/>
          <w:sz w:val="24"/>
          <w:szCs w:val="24"/>
          <w:u w:color="000000"/>
        </w:rPr>
      </w:pPr>
      <w:r w:rsidRPr="004C4D7B">
        <w:rPr>
          <w:rFonts w:ascii="Times New Roman" w:hAnsi="Times New Roman"/>
          <w:color w:val="000000" w:themeColor="text1"/>
          <w:sz w:val="24"/>
          <w:szCs w:val="24"/>
          <w:u w:color="000000"/>
        </w:rPr>
        <w:tab/>
        <w:t xml:space="preserve">V roku 2018 Sociálna poisťovňa postúpila pohľadávky v celkovej výške 354 891 141,27 EUR. V júli 2018 boli na základe zmluvy o postúpení pohľadávok, postúpené pohľadávky Sociálnej poisťovne na poistnom vzniknutom do 31.12.2016 voči nemocniciam vo výške 194 246 031,40 EUR a voči zdravotníckemu zariadeniu Národná transfúzna služba Slovenskej republiky vo výške 4 032 140,91 EUR. V októbri 2018 boli na základe Zmluvy o postúpení pohľadávok, postúpené pohľadávky Sociálnej poisťovne na penále vzniknutom do 31.12.2016 voči nemocniciam vo výške 154 249 010,46 EUR a penále voči Národnej transfúznej službe Slovenskej republiky vo výške 2 363 958,50 EUR. </w:t>
      </w:r>
      <w:r>
        <w:rPr>
          <w:rFonts w:ascii="Times New Roman" w:hAnsi="Times New Roman"/>
          <w:color w:val="000000" w:themeColor="text1"/>
          <w:sz w:val="24"/>
          <w:szCs w:val="24"/>
          <w:u w:color="000000"/>
        </w:rPr>
        <w:tab/>
      </w:r>
    </w:p>
    <w:p w:rsidR="00385B00" w:rsidRDefault="00385B00" w:rsidP="00385B00">
      <w:pPr>
        <w:widowControl/>
        <w:tabs>
          <w:tab w:val="left" w:pos="567"/>
        </w:tabs>
        <w:spacing w:line="360" w:lineRule="auto"/>
        <w:jc w:val="both"/>
        <w:rPr>
          <w:rFonts w:ascii="Times New Roman" w:hAnsi="Times New Roman"/>
          <w:color w:val="000000" w:themeColor="text1"/>
          <w:sz w:val="24"/>
          <w:szCs w:val="24"/>
          <w:u w:color="000000"/>
        </w:rPr>
      </w:pPr>
    </w:p>
    <w:p w:rsidR="00385B00" w:rsidRPr="00FD5100" w:rsidRDefault="00385B00" w:rsidP="00385B00">
      <w:pPr>
        <w:widowControl/>
        <w:tabs>
          <w:tab w:val="left" w:pos="567"/>
        </w:tabs>
        <w:spacing w:line="360" w:lineRule="auto"/>
        <w:jc w:val="both"/>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t xml:space="preserve">  </w:t>
      </w:r>
      <w:r w:rsidRPr="00C565E2">
        <w:rPr>
          <w:rFonts w:ascii="Times New Roman" w:hAnsi="Times New Roman"/>
          <w:color w:val="000000" w:themeColor="text1"/>
          <w:sz w:val="24"/>
          <w:szCs w:val="24"/>
          <w:u w:color="000000"/>
        </w:rPr>
        <w:t xml:space="preserve">v </w:t>
      </w:r>
      <w:r>
        <w:rPr>
          <w:rFonts w:ascii="Times New Roman" w:hAnsi="Times New Roman"/>
          <w:color w:val="000000" w:themeColor="text1"/>
          <w:sz w:val="24"/>
          <w:szCs w:val="24"/>
          <w:u w:color="000000"/>
        </w:rPr>
        <w:t>EUR</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410"/>
        <w:gridCol w:w="2268"/>
        <w:gridCol w:w="2409"/>
      </w:tblGrid>
      <w:tr w:rsidR="00385B00" w:rsidRPr="00C565E2" w:rsidTr="007379ED">
        <w:trPr>
          <w:trHeight w:val="315"/>
        </w:trPr>
        <w:tc>
          <w:tcPr>
            <w:tcW w:w="4410" w:type="dxa"/>
            <w:vMerge w:val="restart"/>
            <w:vAlign w:val="center"/>
          </w:tcPr>
          <w:p w:rsidR="00385B00" w:rsidRPr="00C565E2" w:rsidRDefault="00385B00" w:rsidP="007379ED">
            <w:pPr>
              <w:widowControl/>
              <w:jc w:val="both"/>
              <w:rPr>
                <w:rFonts w:ascii="Times New Roman" w:hAnsi="Times New Roman"/>
                <w:color w:val="000000" w:themeColor="text1"/>
                <w:sz w:val="24"/>
                <w:szCs w:val="24"/>
                <w:u w:color="000000"/>
              </w:rPr>
            </w:pPr>
            <w:r w:rsidRPr="00C565E2">
              <w:rPr>
                <w:rFonts w:ascii="Times New Roman" w:hAnsi="Times New Roman"/>
                <w:b/>
                <w:bCs/>
                <w:color w:val="000000" w:themeColor="text1"/>
                <w:sz w:val="24"/>
                <w:szCs w:val="24"/>
                <w:u w:color="000000"/>
              </w:rPr>
              <w:t>Názov položky</w:t>
            </w:r>
          </w:p>
        </w:tc>
        <w:tc>
          <w:tcPr>
            <w:tcW w:w="4677" w:type="dxa"/>
            <w:gridSpan w:val="2"/>
            <w:vAlign w:val="center"/>
          </w:tcPr>
          <w:p w:rsidR="00385B00" w:rsidRPr="00C565E2" w:rsidRDefault="00385B00" w:rsidP="007379ED">
            <w:pPr>
              <w:widowControl/>
              <w:jc w:val="center"/>
              <w:rPr>
                <w:rFonts w:ascii="Times New Roman" w:hAnsi="Times New Roman"/>
                <w:color w:val="000000" w:themeColor="text1"/>
                <w:sz w:val="24"/>
                <w:szCs w:val="24"/>
                <w:u w:color="000000"/>
              </w:rPr>
            </w:pPr>
            <w:r w:rsidRPr="00C565E2">
              <w:rPr>
                <w:rFonts w:ascii="Times New Roman" w:hAnsi="Times New Roman"/>
                <w:b/>
                <w:bCs/>
                <w:color w:val="000000" w:themeColor="text1"/>
                <w:sz w:val="24"/>
                <w:szCs w:val="24"/>
                <w:u w:color="000000"/>
              </w:rPr>
              <w:t>z toho</w:t>
            </w:r>
          </w:p>
        </w:tc>
      </w:tr>
      <w:tr w:rsidR="00385B00" w:rsidRPr="00C565E2" w:rsidTr="007379ED">
        <w:trPr>
          <w:trHeight w:val="630"/>
        </w:trPr>
        <w:tc>
          <w:tcPr>
            <w:tcW w:w="4410" w:type="dxa"/>
            <w:vMerge/>
            <w:vAlign w:val="center"/>
          </w:tcPr>
          <w:p w:rsidR="00385B00" w:rsidRPr="00C565E2" w:rsidRDefault="00385B00" w:rsidP="007379ED">
            <w:pPr>
              <w:widowControl/>
              <w:jc w:val="both"/>
              <w:rPr>
                <w:rFonts w:ascii="Times New Roman" w:hAnsi="Times New Roman"/>
                <w:color w:val="000000" w:themeColor="text1"/>
                <w:sz w:val="24"/>
                <w:szCs w:val="24"/>
                <w:u w:color="000000"/>
              </w:rPr>
            </w:pPr>
          </w:p>
        </w:tc>
        <w:tc>
          <w:tcPr>
            <w:tcW w:w="2268" w:type="dxa"/>
            <w:vAlign w:val="center"/>
          </w:tcPr>
          <w:p w:rsidR="00385B00" w:rsidRDefault="00385B00" w:rsidP="007379ED">
            <w:pPr>
              <w:widowControl/>
              <w:jc w:val="center"/>
              <w:rPr>
                <w:rFonts w:ascii="Times New Roman" w:hAnsi="Times New Roman"/>
                <w:b/>
                <w:bCs/>
                <w:color w:val="000000" w:themeColor="text1"/>
                <w:sz w:val="24"/>
                <w:szCs w:val="24"/>
                <w:u w:color="000000"/>
              </w:rPr>
            </w:pPr>
            <w:r w:rsidRPr="00C565E2">
              <w:rPr>
                <w:rFonts w:ascii="Times New Roman" w:hAnsi="Times New Roman"/>
                <w:b/>
                <w:bCs/>
                <w:color w:val="000000" w:themeColor="text1"/>
                <w:sz w:val="24"/>
                <w:szCs w:val="24"/>
                <w:u w:color="000000"/>
              </w:rPr>
              <w:t xml:space="preserve">dlhodobé </w:t>
            </w:r>
          </w:p>
          <w:p w:rsidR="00385B00" w:rsidRPr="00C565E2" w:rsidRDefault="00385B00" w:rsidP="007379ED">
            <w:pPr>
              <w:widowControl/>
              <w:jc w:val="center"/>
              <w:rPr>
                <w:rFonts w:ascii="Times New Roman" w:hAnsi="Times New Roman"/>
                <w:color w:val="000000" w:themeColor="text1"/>
                <w:sz w:val="24"/>
                <w:szCs w:val="24"/>
                <w:u w:color="000000"/>
              </w:rPr>
            </w:pPr>
            <w:r w:rsidRPr="00C565E2">
              <w:rPr>
                <w:rFonts w:ascii="Times New Roman" w:hAnsi="Times New Roman"/>
                <w:b/>
                <w:bCs/>
                <w:color w:val="000000" w:themeColor="text1"/>
                <w:sz w:val="24"/>
                <w:szCs w:val="24"/>
                <w:u w:color="000000"/>
              </w:rPr>
              <w:t>pohľadávky</w:t>
            </w:r>
          </w:p>
        </w:tc>
        <w:tc>
          <w:tcPr>
            <w:tcW w:w="2409" w:type="dxa"/>
            <w:vAlign w:val="center"/>
          </w:tcPr>
          <w:p w:rsidR="00385B00" w:rsidRPr="00C565E2" w:rsidRDefault="00385B00" w:rsidP="007379ED">
            <w:pPr>
              <w:widowControl/>
              <w:jc w:val="center"/>
              <w:rPr>
                <w:rFonts w:ascii="Times New Roman" w:hAnsi="Times New Roman"/>
                <w:color w:val="000000" w:themeColor="text1"/>
                <w:sz w:val="24"/>
                <w:szCs w:val="24"/>
                <w:u w:color="000000"/>
              </w:rPr>
            </w:pPr>
            <w:r w:rsidRPr="00C565E2">
              <w:rPr>
                <w:rFonts w:ascii="Times New Roman" w:hAnsi="Times New Roman"/>
                <w:b/>
                <w:bCs/>
                <w:color w:val="000000" w:themeColor="text1"/>
                <w:sz w:val="24"/>
                <w:szCs w:val="24"/>
                <w:u w:color="000000"/>
              </w:rPr>
              <w:t>krátkodobé pohľadávky</w:t>
            </w:r>
          </w:p>
        </w:tc>
      </w:tr>
      <w:tr w:rsidR="00385B00" w:rsidRPr="00C565E2" w:rsidTr="007379ED">
        <w:trPr>
          <w:trHeight w:val="300"/>
        </w:trPr>
        <w:tc>
          <w:tcPr>
            <w:tcW w:w="4410" w:type="dxa"/>
            <w:vAlign w:val="center"/>
          </w:tcPr>
          <w:p w:rsidR="00385B00" w:rsidRPr="00C565E2" w:rsidRDefault="00385B00" w:rsidP="007379ED">
            <w:pPr>
              <w:widowControl/>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Z</w:t>
            </w:r>
            <w:r>
              <w:rPr>
                <w:rFonts w:ascii="Times New Roman" w:hAnsi="Times New Roman"/>
                <w:color w:val="000000" w:themeColor="text1"/>
                <w:sz w:val="24"/>
                <w:szCs w:val="24"/>
                <w:u w:color="000000"/>
              </w:rPr>
              <w:t>ákladný fond nemocenského poistenia</w:t>
            </w:r>
          </w:p>
        </w:tc>
        <w:tc>
          <w:tcPr>
            <w:tcW w:w="2268"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0,00</w:t>
            </w:r>
          </w:p>
        </w:tc>
        <w:tc>
          <w:tcPr>
            <w:tcW w:w="2409"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28 672 227,03</w:t>
            </w:r>
          </w:p>
        </w:tc>
      </w:tr>
      <w:tr w:rsidR="00385B00" w:rsidRPr="00C565E2" w:rsidTr="007379ED">
        <w:trPr>
          <w:trHeight w:val="300"/>
        </w:trPr>
        <w:tc>
          <w:tcPr>
            <w:tcW w:w="4410" w:type="dxa"/>
            <w:vAlign w:val="center"/>
          </w:tcPr>
          <w:p w:rsidR="00385B00" w:rsidRPr="00C565E2" w:rsidRDefault="00385B00" w:rsidP="007379ED">
            <w:pPr>
              <w:widowControl/>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Z</w:t>
            </w:r>
            <w:r>
              <w:rPr>
                <w:rFonts w:ascii="Times New Roman" w:hAnsi="Times New Roman"/>
                <w:color w:val="000000" w:themeColor="text1"/>
                <w:sz w:val="24"/>
                <w:szCs w:val="24"/>
                <w:u w:color="000000"/>
              </w:rPr>
              <w:t>ákladný fond starobného poistenia</w:t>
            </w:r>
          </w:p>
        </w:tc>
        <w:tc>
          <w:tcPr>
            <w:tcW w:w="2268"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0,00</w:t>
            </w:r>
          </w:p>
        </w:tc>
        <w:tc>
          <w:tcPr>
            <w:tcW w:w="2409"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187 486 972,31</w:t>
            </w:r>
          </w:p>
        </w:tc>
      </w:tr>
      <w:tr w:rsidR="00385B00" w:rsidRPr="00C565E2" w:rsidTr="007379ED">
        <w:trPr>
          <w:trHeight w:val="300"/>
        </w:trPr>
        <w:tc>
          <w:tcPr>
            <w:tcW w:w="4410" w:type="dxa"/>
            <w:vAlign w:val="center"/>
          </w:tcPr>
          <w:p w:rsidR="00385B00" w:rsidRPr="00C565E2" w:rsidRDefault="00385B00" w:rsidP="007379ED">
            <w:pPr>
              <w:widowControl/>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Z</w:t>
            </w:r>
            <w:r>
              <w:rPr>
                <w:rFonts w:ascii="Times New Roman" w:hAnsi="Times New Roman"/>
                <w:color w:val="000000" w:themeColor="text1"/>
                <w:sz w:val="24"/>
                <w:szCs w:val="24"/>
                <w:u w:color="000000"/>
              </w:rPr>
              <w:t>ákladný fond invalidného poistenia</w:t>
            </w:r>
          </w:p>
        </w:tc>
        <w:tc>
          <w:tcPr>
            <w:tcW w:w="2268"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0,00</w:t>
            </w:r>
          </w:p>
        </w:tc>
        <w:tc>
          <w:tcPr>
            <w:tcW w:w="2409"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59 786 380,35</w:t>
            </w:r>
          </w:p>
        </w:tc>
      </w:tr>
      <w:tr w:rsidR="00385B00" w:rsidRPr="00C565E2" w:rsidTr="007379ED">
        <w:trPr>
          <w:trHeight w:val="300"/>
        </w:trPr>
        <w:tc>
          <w:tcPr>
            <w:tcW w:w="4410" w:type="dxa"/>
            <w:vAlign w:val="center"/>
          </w:tcPr>
          <w:p w:rsidR="00385B00" w:rsidRPr="00C565E2" w:rsidRDefault="00385B00" w:rsidP="007379ED">
            <w:pPr>
              <w:widowControl/>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Z</w:t>
            </w:r>
            <w:r>
              <w:rPr>
                <w:rFonts w:ascii="Times New Roman" w:hAnsi="Times New Roman"/>
                <w:color w:val="000000" w:themeColor="text1"/>
                <w:sz w:val="24"/>
                <w:szCs w:val="24"/>
                <w:u w:color="000000"/>
              </w:rPr>
              <w:t>ákladný fond úrazového poistenia</w:t>
            </w:r>
          </w:p>
        </w:tc>
        <w:tc>
          <w:tcPr>
            <w:tcW w:w="2268"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0,00</w:t>
            </w:r>
          </w:p>
        </w:tc>
        <w:tc>
          <w:tcPr>
            <w:tcW w:w="2409"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8 362 302,28</w:t>
            </w:r>
          </w:p>
        </w:tc>
      </w:tr>
      <w:tr w:rsidR="00385B00" w:rsidRPr="00C565E2" w:rsidTr="007379ED">
        <w:trPr>
          <w:trHeight w:val="300"/>
        </w:trPr>
        <w:tc>
          <w:tcPr>
            <w:tcW w:w="4410" w:type="dxa"/>
            <w:vAlign w:val="center"/>
          </w:tcPr>
          <w:p w:rsidR="00385B00" w:rsidRPr="00C565E2" w:rsidRDefault="00385B00" w:rsidP="007379ED">
            <w:pPr>
              <w:widowControl/>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Z</w:t>
            </w:r>
            <w:r>
              <w:rPr>
                <w:rFonts w:ascii="Times New Roman" w:hAnsi="Times New Roman"/>
                <w:color w:val="000000" w:themeColor="text1"/>
                <w:sz w:val="24"/>
                <w:szCs w:val="24"/>
                <w:u w:color="000000"/>
              </w:rPr>
              <w:t>ákladný fond garančného poistenia</w:t>
            </w:r>
          </w:p>
        </w:tc>
        <w:tc>
          <w:tcPr>
            <w:tcW w:w="2268"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0,00</w:t>
            </w:r>
          </w:p>
        </w:tc>
        <w:tc>
          <w:tcPr>
            <w:tcW w:w="2409"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1 258 475,04</w:t>
            </w:r>
          </w:p>
        </w:tc>
      </w:tr>
      <w:tr w:rsidR="00385B00" w:rsidRPr="00C565E2" w:rsidTr="007379ED">
        <w:trPr>
          <w:trHeight w:val="300"/>
        </w:trPr>
        <w:tc>
          <w:tcPr>
            <w:tcW w:w="4410" w:type="dxa"/>
            <w:vAlign w:val="center"/>
          </w:tcPr>
          <w:p w:rsidR="00385B00" w:rsidRPr="00C565E2" w:rsidRDefault="00385B00" w:rsidP="007379ED">
            <w:pPr>
              <w:widowControl/>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Z</w:t>
            </w:r>
            <w:r>
              <w:rPr>
                <w:rFonts w:ascii="Times New Roman" w:hAnsi="Times New Roman"/>
                <w:color w:val="000000" w:themeColor="text1"/>
                <w:sz w:val="24"/>
                <w:szCs w:val="24"/>
                <w:u w:color="000000"/>
              </w:rPr>
              <w:t>ákladný fond poistenia v nezamestnanosti</w:t>
            </w:r>
          </w:p>
        </w:tc>
        <w:tc>
          <w:tcPr>
            <w:tcW w:w="2268"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0,00</w:t>
            </w:r>
          </w:p>
        </w:tc>
        <w:tc>
          <w:tcPr>
            <w:tcW w:w="2409"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19 848 147,80</w:t>
            </w:r>
          </w:p>
        </w:tc>
      </w:tr>
      <w:tr w:rsidR="00385B00" w:rsidRPr="00C565E2" w:rsidTr="007379ED">
        <w:trPr>
          <w:trHeight w:val="300"/>
        </w:trPr>
        <w:tc>
          <w:tcPr>
            <w:tcW w:w="4410" w:type="dxa"/>
            <w:vAlign w:val="center"/>
          </w:tcPr>
          <w:p w:rsidR="00385B00" w:rsidRPr="00C565E2" w:rsidRDefault="00385B00" w:rsidP="007379ED">
            <w:pPr>
              <w:widowControl/>
              <w:jc w:val="both"/>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Rezervný fond solidarity</w:t>
            </w:r>
          </w:p>
        </w:tc>
        <w:tc>
          <w:tcPr>
            <w:tcW w:w="2268"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0,00</w:t>
            </w:r>
          </w:p>
        </w:tc>
        <w:tc>
          <w:tcPr>
            <w:tcW w:w="2409"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49 476 636,46</w:t>
            </w:r>
          </w:p>
        </w:tc>
      </w:tr>
      <w:tr w:rsidR="00385B00" w:rsidRPr="00C565E2" w:rsidTr="007379ED">
        <w:trPr>
          <w:trHeight w:val="315"/>
        </w:trPr>
        <w:tc>
          <w:tcPr>
            <w:tcW w:w="4410" w:type="dxa"/>
            <w:vAlign w:val="bottom"/>
          </w:tcPr>
          <w:p w:rsidR="00385B00" w:rsidRPr="00C565E2" w:rsidRDefault="00385B00" w:rsidP="007379ED">
            <w:pPr>
              <w:widowControl/>
              <w:jc w:val="both"/>
              <w:rPr>
                <w:rFonts w:ascii="Times New Roman" w:hAnsi="Times New Roman"/>
                <w:color w:val="000000" w:themeColor="text1"/>
                <w:sz w:val="24"/>
                <w:szCs w:val="24"/>
                <w:u w:color="000000"/>
              </w:rPr>
            </w:pPr>
            <w:r w:rsidRPr="00C565E2">
              <w:rPr>
                <w:rFonts w:ascii="Times New Roman" w:hAnsi="Times New Roman"/>
                <w:b/>
                <w:bCs/>
                <w:color w:val="000000" w:themeColor="text1"/>
                <w:sz w:val="24"/>
                <w:szCs w:val="24"/>
                <w:u w:color="000000"/>
              </w:rPr>
              <w:t>SPOLU</w:t>
            </w:r>
          </w:p>
        </w:tc>
        <w:tc>
          <w:tcPr>
            <w:tcW w:w="2268"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0,00</w:t>
            </w:r>
          </w:p>
        </w:tc>
        <w:tc>
          <w:tcPr>
            <w:tcW w:w="2409"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Pr>
                <w:rFonts w:ascii="Times New Roman" w:hAnsi="Times New Roman"/>
                <w:b/>
                <w:bCs/>
                <w:color w:val="000000" w:themeColor="text1"/>
                <w:sz w:val="24"/>
                <w:szCs w:val="24"/>
                <w:u w:color="000000"/>
              </w:rPr>
              <w:t>354 891 141,27</w:t>
            </w:r>
          </w:p>
        </w:tc>
      </w:tr>
    </w:tbl>
    <w:p w:rsidR="00385B00" w:rsidRPr="00C565E2" w:rsidRDefault="00385B00" w:rsidP="00385B00">
      <w:pPr>
        <w:widowControl/>
        <w:tabs>
          <w:tab w:val="left" w:pos="567"/>
        </w:tabs>
        <w:spacing w:line="360" w:lineRule="auto"/>
        <w:jc w:val="both"/>
        <w:rPr>
          <w:rFonts w:ascii="Times New Roman" w:hAnsi="Times New Roman"/>
          <w:color w:val="000000" w:themeColor="text1"/>
          <w:sz w:val="24"/>
          <w:szCs w:val="24"/>
          <w:u w:color="000000"/>
        </w:rPr>
      </w:pPr>
      <w:r w:rsidRPr="00C565E2">
        <w:rPr>
          <w:rFonts w:ascii="Times New Roman" w:hAnsi="Times New Roman"/>
          <w:b/>
          <w:bCs/>
          <w:color w:val="000000" w:themeColor="text1"/>
          <w:sz w:val="24"/>
          <w:szCs w:val="24"/>
          <w:u w:color="000000"/>
        </w:rPr>
        <w:t xml:space="preserve"> (11)</w:t>
      </w:r>
      <w:r w:rsidRPr="00C565E2">
        <w:rPr>
          <w:rFonts w:ascii="Times New Roman" w:hAnsi="Times New Roman"/>
          <w:b/>
          <w:bCs/>
          <w:color w:val="000000" w:themeColor="text1"/>
          <w:sz w:val="24"/>
          <w:szCs w:val="24"/>
          <w:u w:color="000000"/>
        </w:rPr>
        <w:tab/>
        <w:t>Prehľad o významných zložkách krátkodobého finančného majetku</w:t>
      </w:r>
      <w:r w:rsidRPr="00C565E2">
        <w:rPr>
          <w:rFonts w:ascii="Times New Roman" w:hAnsi="Times New Roman"/>
          <w:color w:val="000000" w:themeColor="text1"/>
          <w:sz w:val="24"/>
          <w:szCs w:val="24"/>
          <w:u w:color="000000"/>
        </w:rPr>
        <w:t xml:space="preserve"> </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F267D4">
        <w:rPr>
          <w:rFonts w:ascii="Times New Roman" w:hAnsi="Times New Roman"/>
          <w:b/>
          <w:bCs/>
          <w:color w:val="000000" w:themeColor="text1"/>
          <w:sz w:val="24"/>
          <w:szCs w:val="24"/>
          <w:u w:color="000000"/>
        </w:rPr>
        <w:t>Riadok 046</w:t>
      </w:r>
      <w:r w:rsidRPr="00C565E2">
        <w:rPr>
          <w:rFonts w:ascii="Times New Roman" w:hAnsi="Times New Roman"/>
          <w:b/>
          <w:bCs/>
          <w:color w:val="000000" w:themeColor="text1"/>
          <w:sz w:val="24"/>
          <w:szCs w:val="24"/>
          <w:u w:color="000000"/>
        </w:rPr>
        <w:t xml:space="preserve"> – Pokladnica</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 xml:space="preserve">Zostatok vykazovaný v tomto riadku v sume </w:t>
      </w:r>
      <w:r>
        <w:rPr>
          <w:rFonts w:ascii="Times New Roman" w:hAnsi="Times New Roman"/>
          <w:color w:val="000000" w:themeColor="text1"/>
          <w:sz w:val="24"/>
          <w:szCs w:val="24"/>
          <w:u w:color="000000"/>
        </w:rPr>
        <w:t>1 947,03</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predstavuje zostatok finančných prostriedkov v pokladniciach doškoľovacích a rekreačných zariadení Sociálnej poisťovne Staré Hory a Pavčina Lehota. </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F267D4">
        <w:rPr>
          <w:rFonts w:ascii="Times New Roman" w:hAnsi="Times New Roman"/>
          <w:b/>
          <w:bCs/>
          <w:color w:val="000000" w:themeColor="text1"/>
          <w:sz w:val="24"/>
          <w:szCs w:val="24"/>
          <w:u w:color="000000"/>
        </w:rPr>
        <w:t>Riadok 047</w:t>
      </w:r>
      <w:r w:rsidRPr="00C565E2">
        <w:rPr>
          <w:rFonts w:ascii="Times New Roman" w:hAnsi="Times New Roman"/>
          <w:b/>
          <w:bCs/>
          <w:color w:val="000000" w:themeColor="text1"/>
          <w:sz w:val="24"/>
          <w:szCs w:val="24"/>
          <w:u w:color="000000"/>
        </w:rPr>
        <w:t xml:space="preserve"> – Ceniny</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 xml:space="preserve">Zostatok vykazovaný v tomto riadku v sume </w:t>
      </w:r>
      <w:r>
        <w:rPr>
          <w:rFonts w:ascii="Times New Roman" w:hAnsi="Times New Roman"/>
          <w:color w:val="000000" w:themeColor="text1"/>
          <w:sz w:val="24"/>
          <w:szCs w:val="24"/>
          <w:u w:color="000000"/>
        </w:rPr>
        <w:t>21 736,80</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predstavuje hodnotu stravných lístkov nakúpených pre zamestnancov. </w:t>
      </w: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F267D4">
        <w:rPr>
          <w:rFonts w:ascii="Times New Roman" w:hAnsi="Times New Roman"/>
          <w:b/>
          <w:bCs/>
          <w:color w:val="000000" w:themeColor="text1"/>
          <w:sz w:val="24"/>
          <w:szCs w:val="24"/>
          <w:u w:color="000000"/>
        </w:rPr>
        <w:t>Riadok 048</w:t>
      </w:r>
      <w:r w:rsidRPr="00C565E2">
        <w:rPr>
          <w:rFonts w:ascii="Times New Roman" w:hAnsi="Times New Roman"/>
          <w:b/>
          <w:bCs/>
          <w:color w:val="000000" w:themeColor="text1"/>
          <w:sz w:val="24"/>
          <w:szCs w:val="24"/>
          <w:u w:color="000000"/>
        </w:rPr>
        <w:t xml:space="preserve"> – Bankové účty</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Finančné prostriedky na bankových účtoch k 31. 12. </w:t>
      </w:r>
      <w:r>
        <w:rPr>
          <w:rFonts w:ascii="Times New Roman" w:hAnsi="Times New Roman"/>
          <w:color w:val="000000" w:themeColor="text1"/>
          <w:sz w:val="24"/>
          <w:szCs w:val="24"/>
          <w:u w:color="000000"/>
        </w:rPr>
        <w:t>2018 sú v celkovej sume 694 396 822,62</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Zostatok vykazovaný na tomto riadku zahrňuje aj zostatok finančných prostriedkov na účte 261 – Peniaze na ceste</w:t>
      </w:r>
      <w:r>
        <w:rPr>
          <w:rFonts w:ascii="Times New Roman" w:hAnsi="Times New Roman"/>
          <w:color w:val="000000" w:themeColor="text1"/>
          <w:sz w:val="24"/>
          <w:szCs w:val="24"/>
          <w:u w:color="000000"/>
        </w:rPr>
        <w:t xml:space="preserve"> vo výške 50 006,97 EUR</w:t>
      </w:r>
      <w:r w:rsidRPr="00C565E2">
        <w:rPr>
          <w:rFonts w:ascii="Times New Roman" w:hAnsi="Times New Roman"/>
          <w:color w:val="000000" w:themeColor="text1"/>
          <w:sz w:val="24"/>
          <w:szCs w:val="24"/>
          <w:u w:color="000000"/>
        </w:rPr>
        <w:t>.</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C565E2">
        <w:rPr>
          <w:rFonts w:ascii="Times New Roman" w:hAnsi="Times New Roman"/>
          <w:b/>
          <w:bCs/>
          <w:color w:val="000000" w:themeColor="text1"/>
          <w:sz w:val="24"/>
          <w:szCs w:val="24"/>
          <w:u w:color="000000"/>
        </w:rPr>
        <w:t>(12)</w:t>
      </w:r>
      <w:r w:rsidRPr="00C565E2">
        <w:rPr>
          <w:rFonts w:ascii="Times New Roman" w:hAnsi="Times New Roman"/>
          <w:b/>
          <w:bCs/>
          <w:color w:val="000000" w:themeColor="text1"/>
          <w:sz w:val="24"/>
          <w:szCs w:val="24"/>
          <w:u w:color="000000"/>
        </w:rPr>
        <w:tab/>
        <w:t>Prehľad o významných položkách časového rozlíšenia nákladov budúcich období a</w:t>
      </w:r>
      <w:r>
        <w:rPr>
          <w:rFonts w:ascii="Times New Roman" w:hAnsi="Times New Roman"/>
          <w:b/>
          <w:bCs/>
          <w:color w:val="000000" w:themeColor="text1"/>
          <w:sz w:val="24"/>
          <w:szCs w:val="24"/>
          <w:u w:color="000000"/>
        </w:rPr>
        <w:t> </w:t>
      </w:r>
      <w:r w:rsidRPr="00C565E2">
        <w:rPr>
          <w:rFonts w:ascii="Times New Roman" w:hAnsi="Times New Roman"/>
          <w:b/>
          <w:bCs/>
          <w:color w:val="000000" w:themeColor="text1"/>
          <w:sz w:val="24"/>
          <w:szCs w:val="24"/>
          <w:u w:color="000000"/>
        </w:rPr>
        <w:t>príjmov budúcich období.</w:t>
      </w:r>
    </w:p>
    <w:p w:rsidR="00385B00" w:rsidRPr="00C565E2" w:rsidRDefault="00385B00" w:rsidP="00385B00">
      <w:pPr>
        <w:widowControl/>
        <w:spacing w:line="360" w:lineRule="auto"/>
        <w:ind w:left="567"/>
        <w:jc w:val="both"/>
        <w:rPr>
          <w:rFonts w:ascii="Times New Roman" w:hAnsi="Times New Roman"/>
          <w:color w:val="000000" w:themeColor="text1"/>
          <w:sz w:val="24"/>
          <w:szCs w:val="24"/>
          <w:u w:color="000000"/>
        </w:rPr>
      </w:pPr>
    </w:p>
    <w:p w:rsidR="00385B00" w:rsidRPr="00021AD4" w:rsidRDefault="00385B00" w:rsidP="00385B00">
      <w:pPr>
        <w:widowControl/>
        <w:spacing w:line="360" w:lineRule="auto"/>
        <w:jc w:val="both"/>
        <w:rPr>
          <w:rFonts w:ascii="Times New Roman" w:hAnsi="Times New Roman"/>
          <w:b/>
          <w:bCs/>
          <w:color w:val="000000" w:themeColor="text1"/>
          <w:sz w:val="24"/>
          <w:szCs w:val="24"/>
          <w:u w:color="000000"/>
        </w:rPr>
      </w:pPr>
      <w:r w:rsidRPr="00F267D4">
        <w:rPr>
          <w:rFonts w:ascii="Times New Roman" w:hAnsi="Times New Roman"/>
          <w:b/>
          <w:bCs/>
          <w:color w:val="000000" w:themeColor="text1"/>
          <w:sz w:val="24"/>
          <w:szCs w:val="24"/>
          <w:u w:color="000000"/>
        </w:rPr>
        <w:t>Riadok 053</w:t>
      </w:r>
      <w:r w:rsidRPr="00C565E2">
        <w:rPr>
          <w:rFonts w:ascii="Times New Roman" w:hAnsi="Times New Roman"/>
          <w:b/>
          <w:bCs/>
          <w:color w:val="000000" w:themeColor="text1"/>
          <w:sz w:val="24"/>
          <w:szCs w:val="24"/>
          <w:u w:color="000000"/>
        </w:rPr>
        <w:t xml:space="preserve"> – Náklady budúcich období</w:t>
      </w:r>
    </w:p>
    <w:p w:rsidR="00385B00" w:rsidRPr="00021AD4" w:rsidRDefault="00385B00" w:rsidP="00385B00">
      <w:pPr>
        <w:widowControl/>
        <w:spacing w:line="360" w:lineRule="auto"/>
        <w:jc w:val="both"/>
        <w:rPr>
          <w:rFonts w:ascii="Times New Roman" w:hAnsi="Times New Roman"/>
          <w:color w:val="000000" w:themeColor="text1"/>
          <w:sz w:val="24"/>
          <w:szCs w:val="24"/>
          <w:u w:color="000000"/>
        </w:rPr>
      </w:pPr>
      <w:r w:rsidRPr="00021AD4">
        <w:rPr>
          <w:rFonts w:ascii="Times New Roman" w:hAnsi="Times New Roman"/>
          <w:color w:val="000000" w:themeColor="text1"/>
          <w:sz w:val="24"/>
          <w:szCs w:val="24"/>
          <w:u w:color="000000"/>
        </w:rPr>
        <w:tab/>
        <w:t xml:space="preserve">Zostatok vykazovaný na tomto riadku v sume 681 043,18 EUR predstavuje náklady budúcich období, ktoré sa z časového a vecného hľadiska týkajú nákladov roku </w:t>
      </w:r>
      <w:r>
        <w:rPr>
          <w:rFonts w:ascii="Times New Roman" w:hAnsi="Times New Roman"/>
          <w:color w:val="000000" w:themeColor="text1"/>
          <w:sz w:val="24"/>
          <w:szCs w:val="24"/>
          <w:u w:color="000000"/>
        </w:rPr>
        <w:t>2019</w:t>
      </w:r>
      <w:r w:rsidRPr="00021AD4">
        <w:rPr>
          <w:rFonts w:ascii="Times New Roman" w:hAnsi="Times New Roman"/>
          <w:color w:val="000000" w:themeColor="text1"/>
          <w:sz w:val="24"/>
          <w:szCs w:val="24"/>
          <w:u w:color="000000"/>
        </w:rPr>
        <w:t xml:space="preserve"> (ide najmä o poistenie majetku, telekomunikačné služby, podpora programového vybavenia a nájomné na rok 2019).</w:t>
      </w:r>
    </w:p>
    <w:p w:rsidR="00385B00" w:rsidRPr="00021AD4" w:rsidRDefault="00385B00" w:rsidP="00385B00">
      <w:pPr>
        <w:widowControl/>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C565E2">
        <w:rPr>
          <w:rFonts w:ascii="Times New Roman" w:hAnsi="Times New Roman"/>
          <w:b/>
          <w:bCs/>
          <w:color w:val="000000" w:themeColor="text1"/>
          <w:sz w:val="24"/>
          <w:szCs w:val="24"/>
          <w:u w:color="000000"/>
        </w:rPr>
        <w:t>(13)</w:t>
      </w:r>
      <w:r w:rsidRPr="00C565E2">
        <w:rPr>
          <w:rFonts w:ascii="Times New Roman" w:hAnsi="Times New Roman"/>
          <w:b/>
          <w:bCs/>
          <w:color w:val="000000" w:themeColor="text1"/>
          <w:sz w:val="24"/>
          <w:szCs w:val="24"/>
          <w:u w:color="000000"/>
        </w:rPr>
        <w:tab/>
        <w:t xml:space="preserve">Údaje o rozdelení zisku alebo </w:t>
      </w:r>
      <w:proofErr w:type="spellStart"/>
      <w:r w:rsidRPr="00C565E2">
        <w:rPr>
          <w:rFonts w:ascii="Times New Roman" w:hAnsi="Times New Roman"/>
          <w:b/>
          <w:bCs/>
          <w:color w:val="000000" w:themeColor="text1"/>
          <w:sz w:val="24"/>
          <w:szCs w:val="24"/>
          <w:u w:color="000000"/>
        </w:rPr>
        <w:t>vysporiadaní</w:t>
      </w:r>
      <w:proofErr w:type="spellEnd"/>
      <w:r w:rsidRPr="00C565E2">
        <w:rPr>
          <w:rFonts w:ascii="Times New Roman" w:hAnsi="Times New Roman"/>
          <w:b/>
          <w:bCs/>
          <w:color w:val="000000" w:themeColor="text1"/>
          <w:sz w:val="24"/>
          <w:szCs w:val="24"/>
          <w:u w:color="000000"/>
        </w:rPr>
        <w:t xml:space="preserve"> straty vykázanej v minulých účtovných obdobiach.</w:t>
      </w:r>
    </w:p>
    <w:p w:rsidR="00385B00" w:rsidRPr="00021AD4" w:rsidRDefault="00385B00" w:rsidP="00385B00">
      <w:pPr>
        <w:widowControl/>
        <w:spacing w:line="360" w:lineRule="auto"/>
        <w:ind w:left="780" w:hanging="780"/>
        <w:jc w:val="both"/>
        <w:rPr>
          <w:rFonts w:ascii="Times New Roman" w:hAnsi="Times New Roman"/>
          <w:b/>
          <w:bCs/>
          <w:color w:val="000000" w:themeColor="text1"/>
          <w:sz w:val="24"/>
          <w:szCs w:val="24"/>
          <w:u w:color="000000"/>
        </w:rPr>
      </w:pPr>
    </w:p>
    <w:p w:rsidR="00385B00" w:rsidRPr="00021AD4" w:rsidRDefault="00385B00" w:rsidP="00385B00">
      <w:pPr>
        <w:widowControl/>
        <w:spacing w:line="360" w:lineRule="auto"/>
        <w:jc w:val="both"/>
        <w:rPr>
          <w:rFonts w:ascii="Times New Roman" w:hAnsi="Times New Roman"/>
          <w:color w:val="000000" w:themeColor="text1"/>
          <w:sz w:val="24"/>
          <w:szCs w:val="24"/>
          <w:u w:color="000000"/>
        </w:rPr>
      </w:pPr>
      <w:r w:rsidRPr="00021AD4">
        <w:rPr>
          <w:rFonts w:ascii="Times New Roman" w:hAnsi="Times New Roman"/>
          <w:color w:val="000000" w:themeColor="text1"/>
          <w:sz w:val="24"/>
          <w:szCs w:val="24"/>
          <w:u w:color="000000"/>
        </w:rPr>
        <w:tab/>
        <w:t xml:space="preserve">Celkový hospodársky výsledok (strata) nezdaňovanej správnej činnosti a zdaňovanej činnosti Sociálnej poisťovne za rok 2017 bol v sume 33 620,40 EUR. Strata bola </w:t>
      </w:r>
      <w:proofErr w:type="spellStart"/>
      <w:r w:rsidRPr="00021AD4">
        <w:rPr>
          <w:rFonts w:ascii="Times New Roman" w:hAnsi="Times New Roman"/>
          <w:color w:val="000000" w:themeColor="text1"/>
          <w:sz w:val="24"/>
          <w:szCs w:val="24"/>
          <w:u w:color="000000"/>
        </w:rPr>
        <w:t>vysporiadaná</w:t>
      </w:r>
      <w:proofErr w:type="spellEnd"/>
      <w:r w:rsidRPr="00021AD4">
        <w:rPr>
          <w:rFonts w:ascii="Times New Roman" w:hAnsi="Times New Roman"/>
          <w:color w:val="000000" w:themeColor="text1"/>
          <w:sz w:val="24"/>
          <w:szCs w:val="24"/>
          <w:u w:color="000000"/>
        </w:rPr>
        <w:t xml:space="preserve"> v roku 2018 s účtom účtovej skupiny  90 – Fond dlhodobého majetku (vo výške odpisov za príslušný majetok) a so správnym fondom.</w:t>
      </w: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C565E2">
        <w:rPr>
          <w:rFonts w:ascii="Times New Roman" w:hAnsi="Times New Roman"/>
          <w:b/>
          <w:bCs/>
          <w:color w:val="000000" w:themeColor="text1"/>
          <w:sz w:val="24"/>
          <w:szCs w:val="24"/>
          <w:u w:color="000000"/>
        </w:rPr>
        <w:t>(14)</w:t>
      </w:r>
      <w:r w:rsidRPr="00C565E2">
        <w:rPr>
          <w:rFonts w:ascii="Times New Roman" w:hAnsi="Times New Roman"/>
          <w:b/>
          <w:bCs/>
          <w:color w:val="000000" w:themeColor="text1"/>
          <w:sz w:val="24"/>
          <w:szCs w:val="24"/>
          <w:u w:color="000000"/>
        </w:rPr>
        <w:tab/>
        <w:t>Opis a výška cudzích zdrojov</w:t>
      </w:r>
    </w:p>
    <w:p w:rsidR="00385B00" w:rsidRPr="007E42D2" w:rsidRDefault="00385B00" w:rsidP="00385B00">
      <w:pPr>
        <w:widowControl/>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b/>
          <w:bCs/>
          <w:color w:val="000000" w:themeColor="text1"/>
          <w:sz w:val="24"/>
          <w:szCs w:val="24"/>
          <w:u w:color="000000"/>
        </w:rPr>
        <w:tab/>
        <w:t>Cudzie zdroje k 31. 12. </w:t>
      </w:r>
      <w:r>
        <w:rPr>
          <w:rFonts w:ascii="Times New Roman" w:hAnsi="Times New Roman"/>
          <w:b/>
          <w:bCs/>
          <w:color w:val="000000" w:themeColor="text1"/>
          <w:sz w:val="24"/>
          <w:szCs w:val="24"/>
          <w:u w:color="000000"/>
        </w:rPr>
        <w:t>2018</w:t>
      </w:r>
      <w:r w:rsidRPr="00C565E2">
        <w:rPr>
          <w:rFonts w:ascii="Times New Roman" w:hAnsi="Times New Roman"/>
          <w:b/>
          <w:bCs/>
          <w:color w:val="000000" w:themeColor="text1"/>
          <w:sz w:val="24"/>
          <w:szCs w:val="24"/>
          <w:u w:color="000000"/>
        </w:rPr>
        <w:t xml:space="preserve"> </w:t>
      </w:r>
      <w:r w:rsidRPr="00C565E2">
        <w:rPr>
          <w:rFonts w:ascii="Times New Roman" w:hAnsi="Times New Roman"/>
          <w:color w:val="000000" w:themeColor="text1"/>
          <w:sz w:val="24"/>
          <w:szCs w:val="24"/>
          <w:u w:color="000000"/>
        </w:rPr>
        <w:t xml:space="preserve">pozostávajú z dlhodobých záväzkov v celkovej sume </w:t>
      </w:r>
      <w:r>
        <w:rPr>
          <w:rFonts w:ascii="Times New Roman" w:hAnsi="Times New Roman"/>
          <w:color w:val="000000" w:themeColor="text1"/>
          <w:sz w:val="24"/>
          <w:szCs w:val="24"/>
          <w:u w:color="000000"/>
        </w:rPr>
        <w:t>913 696,55</w:t>
      </w:r>
      <w:r w:rsidRPr="00C565E2">
        <w:rPr>
          <w:rFonts w:ascii="Times New Roman" w:hAnsi="Times New Roman"/>
          <w:color w:val="000000" w:themeColor="text1"/>
          <w:sz w:val="24"/>
          <w:szCs w:val="24"/>
          <w:u w:color="000000"/>
        </w:rPr>
        <w:t>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krátkodobých záväzkov v celkovej sume </w:t>
      </w:r>
      <w:r>
        <w:rPr>
          <w:rFonts w:ascii="Times New Roman" w:hAnsi="Times New Roman"/>
          <w:color w:val="000000" w:themeColor="text1"/>
          <w:sz w:val="24"/>
          <w:szCs w:val="24"/>
          <w:u w:color="000000"/>
        </w:rPr>
        <w:t>47 995 981,38</w:t>
      </w:r>
      <w:r w:rsidRPr="00C565E2">
        <w:rPr>
          <w:rFonts w:ascii="Times New Roman" w:hAnsi="Times New Roman"/>
          <w:color w:val="000000" w:themeColor="text1"/>
          <w:sz w:val="24"/>
          <w:szCs w:val="24"/>
          <w:u w:color="000000"/>
        </w:rPr>
        <w:t>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a prechodných účtov pasív v sume </w:t>
      </w:r>
      <w:r>
        <w:rPr>
          <w:rFonts w:ascii="Times New Roman" w:hAnsi="Times New Roman"/>
          <w:color w:val="000000" w:themeColor="text1"/>
          <w:sz w:val="24"/>
          <w:szCs w:val="24"/>
          <w:u w:color="000000"/>
        </w:rPr>
        <w:t>4 649 840,75</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C565E2">
        <w:rPr>
          <w:rFonts w:ascii="Times New Roman" w:hAnsi="Times New Roman"/>
          <w:b/>
          <w:bCs/>
          <w:color w:val="000000" w:themeColor="text1"/>
          <w:sz w:val="24"/>
          <w:szCs w:val="24"/>
          <w:u w:color="000000"/>
        </w:rPr>
        <w:t>a)</w:t>
      </w:r>
      <w:r w:rsidRPr="00C565E2">
        <w:rPr>
          <w:rFonts w:ascii="Times New Roman" w:hAnsi="Times New Roman"/>
          <w:b/>
          <w:bCs/>
          <w:color w:val="000000" w:themeColor="text1"/>
          <w:sz w:val="24"/>
          <w:szCs w:val="24"/>
          <w:u w:color="000000"/>
        </w:rPr>
        <w:tab/>
        <w:t>Údaje o jednotlivých druhoch rezerv</w:t>
      </w:r>
    </w:p>
    <w:p w:rsidR="00385B00"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b/>
          <w:bCs/>
          <w:color w:val="000000" w:themeColor="text1"/>
          <w:sz w:val="24"/>
          <w:szCs w:val="24"/>
          <w:u w:color="000000"/>
        </w:rPr>
        <w:tab/>
      </w:r>
      <w:r w:rsidRPr="00C565E2">
        <w:rPr>
          <w:rFonts w:ascii="Times New Roman" w:hAnsi="Times New Roman"/>
          <w:color w:val="000000" w:themeColor="text1"/>
          <w:sz w:val="24"/>
          <w:szCs w:val="24"/>
          <w:u w:color="000000"/>
        </w:rPr>
        <w:t xml:space="preserve">Sociálna poisťovňa rezervy za podnikateľskú činnosť v roku </w:t>
      </w:r>
      <w:r>
        <w:rPr>
          <w:rFonts w:ascii="Times New Roman" w:hAnsi="Times New Roman"/>
          <w:color w:val="000000" w:themeColor="text1"/>
          <w:sz w:val="24"/>
          <w:szCs w:val="24"/>
          <w:u w:color="000000"/>
        </w:rPr>
        <w:t>2018</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netvorila.</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Rezervy k 31. 12. </w:t>
      </w:r>
      <w:r>
        <w:rPr>
          <w:rFonts w:ascii="Times New Roman" w:hAnsi="Times New Roman"/>
          <w:color w:val="000000" w:themeColor="text1"/>
          <w:sz w:val="24"/>
          <w:szCs w:val="24"/>
          <w:u w:color="000000"/>
        </w:rPr>
        <w:t>2018</w:t>
      </w:r>
      <w:r w:rsidRPr="00C565E2">
        <w:rPr>
          <w:rFonts w:ascii="Times New Roman" w:hAnsi="Times New Roman"/>
          <w:color w:val="000000" w:themeColor="text1"/>
          <w:sz w:val="24"/>
          <w:szCs w:val="24"/>
          <w:u w:color="000000"/>
        </w:rPr>
        <w:t xml:space="preserve"> v celkovej sume </w:t>
      </w:r>
      <w:r>
        <w:rPr>
          <w:rFonts w:ascii="Times New Roman" w:hAnsi="Times New Roman"/>
          <w:color w:val="000000" w:themeColor="text1"/>
          <w:sz w:val="24"/>
          <w:szCs w:val="24"/>
          <w:u w:color="000000"/>
        </w:rPr>
        <w:t>2 889 517,38</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(tabuľka č. 7) predstavujú zaúčtovanie rezerv na nevyčerpané dovolenky vrátane sociálneho poistenia a starobného dôchodkového sporenia v celkovej sume </w:t>
      </w:r>
      <w:r>
        <w:rPr>
          <w:rFonts w:ascii="Times New Roman" w:hAnsi="Times New Roman"/>
          <w:color w:val="000000" w:themeColor="text1"/>
          <w:sz w:val="24"/>
          <w:szCs w:val="24"/>
          <w:u w:color="000000"/>
        </w:rPr>
        <w:t>2 884 097,38</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a rezervy na poskytnuté služby v sume </w:t>
      </w:r>
      <w:r>
        <w:rPr>
          <w:rFonts w:ascii="Times New Roman" w:hAnsi="Times New Roman"/>
          <w:color w:val="000000" w:themeColor="text1"/>
          <w:sz w:val="24"/>
          <w:szCs w:val="24"/>
          <w:u w:color="000000"/>
        </w:rPr>
        <w:t>5 420,00</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Vo všetkých prípadoch sa predpokladá rozpustenie rezerv v rok</w:t>
      </w:r>
      <w:r>
        <w:rPr>
          <w:rFonts w:ascii="Times New Roman" w:hAnsi="Times New Roman"/>
          <w:color w:val="000000" w:themeColor="text1"/>
          <w:sz w:val="24"/>
          <w:szCs w:val="24"/>
          <w:u w:color="000000"/>
        </w:rPr>
        <w:t>u 2019</w:t>
      </w:r>
      <w:r w:rsidRPr="00C565E2">
        <w:rPr>
          <w:rFonts w:ascii="Times New Roman" w:hAnsi="Times New Roman"/>
          <w:color w:val="000000" w:themeColor="text1"/>
          <w:sz w:val="24"/>
          <w:szCs w:val="24"/>
          <w:u w:color="000000"/>
        </w:rPr>
        <w:t xml:space="preserve">. </w:t>
      </w: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C565E2">
        <w:rPr>
          <w:rFonts w:ascii="Times New Roman" w:hAnsi="Times New Roman"/>
          <w:b/>
          <w:bCs/>
          <w:color w:val="000000" w:themeColor="text1"/>
          <w:sz w:val="24"/>
          <w:szCs w:val="24"/>
          <w:u w:color="000000"/>
        </w:rPr>
        <w:t>b)</w:t>
      </w:r>
      <w:r w:rsidRPr="00C565E2">
        <w:rPr>
          <w:rFonts w:ascii="Times New Roman" w:hAnsi="Times New Roman"/>
          <w:b/>
          <w:bCs/>
          <w:color w:val="000000" w:themeColor="text1"/>
          <w:sz w:val="24"/>
          <w:szCs w:val="24"/>
          <w:u w:color="000000"/>
        </w:rPr>
        <w:tab/>
        <w:t>Údaje o záväzkoch</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 xml:space="preserve">Stav a pohyb záväzkov v roku </w:t>
      </w:r>
      <w:r>
        <w:rPr>
          <w:rFonts w:ascii="Times New Roman" w:hAnsi="Times New Roman"/>
          <w:color w:val="000000" w:themeColor="text1"/>
          <w:sz w:val="24"/>
          <w:szCs w:val="24"/>
          <w:u w:color="000000"/>
        </w:rPr>
        <w:t>2018</w:t>
      </w:r>
      <w:r w:rsidRPr="00C565E2">
        <w:rPr>
          <w:rFonts w:ascii="Times New Roman" w:hAnsi="Times New Roman"/>
          <w:color w:val="000000" w:themeColor="text1"/>
          <w:sz w:val="24"/>
          <w:szCs w:val="24"/>
          <w:u w:color="000000"/>
        </w:rPr>
        <w:t xml:space="preserve"> podľa základných okruhov činností bližšie určuje tabuľka č. 8 „Vývoj dlhodobých záväzkov a krátkodobých záväzkov k 31. 12. </w:t>
      </w:r>
      <w:r>
        <w:rPr>
          <w:rFonts w:ascii="Times New Roman" w:hAnsi="Times New Roman"/>
          <w:color w:val="000000" w:themeColor="text1"/>
          <w:sz w:val="24"/>
          <w:szCs w:val="24"/>
          <w:u w:color="000000"/>
        </w:rPr>
        <w:t>2018</w:t>
      </w:r>
      <w:r w:rsidRPr="00C565E2">
        <w:rPr>
          <w:rFonts w:ascii="Times New Roman" w:hAnsi="Times New Roman"/>
          <w:color w:val="000000" w:themeColor="text1"/>
          <w:sz w:val="24"/>
          <w:szCs w:val="24"/>
          <w:u w:color="000000"/>
        </w:rPr>
        <w:t>“.</w:t>
      </w: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C565E2">
        <w:rPr>
          <w:rFonts w:ascii="Times New Roman" w:hAnsi="Times New Roman"/>
          <w:b/>
          <w:bCs/>
          <w:color w:val="000000" w:themeColor="text1"/>
          <w:sz w:val="24"/>
          <w:szCs w:val="24"/>
          <w:u w:color="000000"/>
        </w:rPr>
        <w:t>Dlhodobé záväzky</w:t>
      </w: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F267D4">
        <w:rPr>
          <w:rFonts w:ascii="Times New Roman" w:hAnsi="Times New Roman"/>
          <w:b/>
          <w:bCs/>
          <w:color w:val="000000" w:themeColor="text1"/>
          <w:sz w:val="24"/>
          <w:szCs w:val="24"/>
          <w:u w:color="000000"/>
        </w:rPr>
        <w:t>Riadok 084</w:t>
      </w:r>
      <w:r w:rsidRPr="00C565E2">
        <w:rPr>
          <w:rFonts w:ascii="Times New Roman" w:hAnsi="Times New Roman"/>
          <w:b/>
          <w:bCs/>
          <w:color w:val="000000" w:themeColor="text1"/>
          <w:sz w:val="24"/>
          <w:szCs w:val="24"/>
          <w:u w:color="000000"/>
        </w:rPr>
        <w:t xml:space="preserve"> – Ostatné dlhodobé záväzky</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 xml:space="preserve">Vykazovaný zostatok v sume </w:t>
      </w:r>
      <w:r>
        <w:rPr>
          <w:rFonts w:ascii="Times New Roman" w:hAnsi="Times New Roman"/>
          <w:color w:val="000000" w:themeColor="text1"/>
          <w:sz w:val="24"/>
          <w:szCs w:val="24"/>
          <w:u w:color="000000"/>
        </w:rPr>
        <w:t>282 001,16</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predstavuje ostatné dlhodobé záväzky správneho fondu. Ide o zadržané sumy (zádržné) z dodávateľských faktúr. Zádržné garantuje kvalitu predmetu príslušných zmlúv.</w:t>
      </w: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C565E2">
        <w:rPr>
          <w:rFonts w:ascii="Times New Roman" w:hAnsi="Times New Roman"/>
          <w:b/>
          <w:bCs/>
          <w:color w:val="000000" w:themeColor="text1"/>
          <w:sz w:val="24"/>
          <w:szCs w:val="24"/>
          <w:u w:color="000000"/>
        </w:rPr>
        <w:t>Krátkodobé záväzky</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F267D4">
        <w:rPr>
          <w:rFonts w:ascii="Times New Roman" w:hAnsi="Times New Roman"/>
          <w:b/>
          <w:bCs/>
          <w:color w:val="000000" w:themeColor="text1"/>
          <w:sz w:val="24"/>
          <w:szCs w:val="24"/>
          <w:u w:color="000000"/>
        </w:rPr>
        <w:t>Riadok 086</w:t>
      </w:r>
      <w:r w:rsidRPr="00C565E2">
        <w:rPr>
          <w:rFonts w:ascii="Times New Roman" w:hAnsi="Times New Roman"/>
          <w:b/>
          <w:bCs/>
          <w:color w:val="000000" w:themeColor="text1"/>
          <w:sz w:val="24"/>
          <w:szCs w:val="24"/>
          <w:u w:color="000000"/>
        </w:rPr>
        <w:t xml:space="preserve"> – Záväzky z obchodného styku</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b/>
          <w:bCs/>
          <w:color w:val="000000" w:themeColor="text1"/>
          <w:sz w:val="24"/>
          <w:szCs w:val="24"/>
          <w:u w:color="000000"/>
        </w:rPr>
        <w:tab/>
      </w:r>
      <w:r w:rsidRPr="00C565E2">
        <w:rPr>
          <w:rFonts w:ascii="Times New Roman" w:hAnsi="Times New Roman"/>
          <w:color w:val="000000" w:themeColor="text1"/>
          <w:sz w:val="24"/>
          <w:szCs w:val="24"/>
          <w:u w:color="000000"/>
        </w:rPr>
        <w:t xml:space="preserve">Záväzky v sume </w:t>
      </w:r>
      <w:r>
        <w:rPr>
          <w:rFonts w:ascii="Times New Roman" w:hAnsi="Times New Roman"/>
          <w:color w:val="000000" w:themeColor="text1"/>
          <w:sz w:val="24"/>
          <w:szCs w:val="24"/>
          <w:u w:color="000000"/>
        </w:rPr>
        <w:t>7 647 999,82</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predstavujú záväzky voči dodávateľom z titulu neuhradených faktúr k 31. 12. </w:t>
      </w:r>
      <w:r>
        <w:rPr>
          <w:rFonts w:ascii="Times New Roman" w:hAnsi="Times New Roman"/>
          <w:color w:val="000000" w:themeColor="text1"/>
          <w:sz w:val="24"/>
          <w:szCs w:val="24"/>
          <w:u w:color="000000"/>
        </w:rPr>
        <w:t>2018</w:t>
      </w:r>
      <w:r w:rsidRPr="00C565E2">
        <w:rPr>
          <w:rFonts w:ascii="Times New Roman" w:hAnsi="Times New Roman"/>
          <w:color w:val="000000" w:themeColor="text1"/>
          <w:sz w:val="24"/>
          <w:szCs w:val="24"/>
          <w:u w:color="000000"/>
        </w:rPr>
        <w:t xml:space="preserve"> za dodávky realizované v hodnotenom období a uhradené v roku 201</w:t>
      </w:r>
      <w:r>
        <w:rPr>
          <w:rFonts w:ascii="Times New Roman" w:hAnsi="Times New Roman"/>
          <w:color w:val="000000" w:themeColor="text1"/>
          <w:sz w:val="24"/>
          <w:szCs w:val="24"/>
          <w:u w:color="000000"/>
        </w:rPr>
        <w:t>9</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7 589 008,39</w:t>
      </w:r>
      <w:r w:rsidRPr="00C565E2">
        <w:rPr>
          <w:rFonts w:ascii="Times New Roman" w:hAnsi="Times New Roman"/>
          <w:color w:val="000000" w:themeColor="text1"/>
          <w:sz w:val="24"/>
          <w:szCs w:val="24"/>
          <w:u w:color="000000"/>
        </w:rPr>
        <w:t>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a dočasne neidentifikované vrátené platby (</w:t>
      </w:r>
      <w:r>
        <w:rPr>
          <w:rFonts w:ascii="Times New Roman" w:hAnsi="Times New Roman"/>
          <w:color w:val="000000" w:themeColor="text1"/>
          <w:sz w:val="24"/>
          <w:szCs w:val="24"/>
          <w:u w:color="000000"/>
        </w:rPr>
        <w:t>58 991,43</w:t>
      </w:r>
      <w:r w:rsidRPr="00C565E2">
        <w:rPr>
          <w:rFonts w:ascii="Times New Roman" w:hAnsi="Times New Roman"/>
          <w:color w:val="000000" w:themeColor="text1"/>
          <w:sz w:val="24"/>
          <w:szCs w:val="24"/>
          <w:u w:color="000000"/>
        </w:rPr>
        <w:t>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F267D4">
        <w:rPr>
          <w:rFonts w:ascii="Times New Roman" w:hAnsi="Times New Roman"/>
          <w:b/>
          <w:bCs/>
          <w:color w:val="000000" w:themeColor="text1"/>
          <w:sz w:val="24"/>
          <w:szCs w:val="24"/>
          <w:u w:color="000000"/>
        </w:rPr>
        <w:t>Riadok 087</w:t>
      </w:r>
      <w:r w:rsidRPr="00C565E2">
        <w:rPr>
          <w:rFonts w:ascii="Times New Roman" w:hAnsi="Times New Roman"/>
          <w:b/>
          <w:bCs/>
          <w:color w:val="000000" w:themeColor="text1"/>
          <w:sz w:val="24"/>
          <w:szCs w:val="24"/>
          <w:u w:color="000000"/>
        </w:rPr>
        <w:t xml:space="preserve"> – Nevyfakturované dodávky </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b/>
          <w:bCs/>
          <w:color w:val="000000" w:themeColor="text1"/>
          <w:sz w:val="24"/>
          <w:szCs w:val="24"/>
          <w:u w:color="000000"/>
        </w:rPr>
        <w:tab/>
      </w:r>
      <w:r w:rsidRPr="00C565E2">
        <w:rPr>
          <w:rFonts w:ascii="Times New Roman" w:hAnsi="Times New Roman"/>
          <w:color w:val="000000" w:themeColor="text1"/>
          <w:sz w:val="24"/>
          <w:szCs w:val="24"/>
          <w:u w:color="000000"/>
        </w:rPr>
        <w:t xml:space="preserve">Záväzky v sume </w:t>
      </w:r>
      <w:r>
        <w:rPr>
          <w:rFonts w:ascii="Times New Roman" w:hAnsi="Times New Roman"/>
          <w:color w:val="000000" w:themeColor="text1"/>
          <w:sz w:val="24"/>
          <w:szCs w:val="24"/>
          <w:u w:color="000000"/>
        </w:rPr>
        <w:t>1 094 976,50</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predstavujú najmä dodávky prác pre podporu programového vybavenia informačných systémov Sociálnej poisťovne. </w:t>
      </w: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F267D4">
        <w:rPr>
          <w:rFonts w:ascii="Times New Roman" w:hAnsi="Times New Roman"/>
          <w:b/>
          <w:bCs/>
          <w:color w:val="000000" w:themeColor="text1"/>
          <w:sz w:val="24"/>
          <w:szCs w:val="24"/>
          <w:u w:color="000000"/>
        </w:rPr>
        <w:t>Riadok 088</w:t>
      </w:r>
      <w:r w:rsidRPr="00C565E2">
        <w:rPr>
          <w:rFonts w:ascii="Times New Roman" w:hAnsi="Times New Roman"/>
          <w:b/>
          <w:bCs/>
          <w:color w:val="000000" w:themeColor="text1"/>
          <w:sz w:val="24"/>
          <w:szCs w:val="24"/>
          <w:u w:color="000000"/>
        </w:rPr>
        <w:t xml:space="preserve"> – Krátkodobé rezervy </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b/>
          <w:bCs/>
          <w:color w:val="000000" w:themeColor="text1"/>
          <w:sz w:val="24"/>
          <w:szCs w:val="24"/>
          <w:u w:color="000000"/>
        </w:rPr>
        <w:tab/>
      </w:r>
      <w:r w:rsidRPr="00C565E2">
        <w:rPr>
          <w:rFonts w:ascii="Times New Roman" w:hAnsi="Times New Roman"/>
          <w:color w:val="000000" w:themeColor="text1"/>
          <w:sz w:val="24"/>
          <w:szCs w:val="24"/>
          <w:u w:color="000000"/>
        </w:rPr>
        <w:t xml:space="preserve">Zostatok v sume </w:t>
      </w:r>
      <w:r>
        <w:rPr>
          <w:rFonts w:ascii="Times New Roman" w:hAnsi="Times New Roman"/>
          <w:color w:val="000000" w:themeColor="text1"/>
          <w:sz w:val="24"/>
          <w:szCs w:val="24"/>
          <w:u w:color="000000"/>
        </w:rPr>
        <w:t>2 889 517,38</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predstavuje krátkodobé rezervy na náhrady mzdy za nevyčerpané dovolenky vrátane sociálneho poistenia a starobného dôchodkového sporenia súvisiaceho s týmito náhradami za rok </w:t>
      </w:r>
      <w:r>
        <w:rPr>
          <w:rFonts w:ascii="Times New Roman" w:hAnsi="Times New Roman"/>
          <w:color w:val="000000" w:themeColor="text1"/>
          <w:sz w:val="24"/>
          <w:szCs w:val="24"/>
          <w:u w:color="000000"/>
        </w:rPr>
        <w:t>2018</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2 884 097,38 EUR</w:t>
      </w:r>
      <w:r w:rsidRPr="00C565E2">
        <w:rPr>
          <w:rFonts w:ascii="Times New Roman" w:hAnsi="Times New Roman"/>
          <w:color w:val="000000" w:themeColor="text1"/>
          <w:sz w:val="24"/>
          <w:szCs w:val="24"/>
          <w:u w:color="000000"/>
        </w:rPr>
        <w:t xml:space="preserve">) a na poskytnuté služby </w:t>
      </w:r>
      <w:r>
        <w:rPr>
          <w:rFonts w:ascii="Times New Roman" w:hAnsi="Times New Roman"/>
          <w:color w:val="000000" w:themeColor="text1"/>
          <w:sz w:val="24"/>
          <w:szCs w:val="24"/>
          <w:u w:color="000000"/>
        </w:rPr>
        <w:t xml:space="preserve"> </w:t>
      </w:r>
      <w:r w:rsidRPr="00C565E2">
        <w:rPr>
          <w:rFonts w:ascii="Times New Roman" w:hAnsi="Times New Roman"/>
          <w:color w:val="000000" w:themeColor="text1"/>
          <w:sz w:val="24"/>
          <w:szCs w:val="24"/>
          <w:u w:color="000000"/>
        </w:rPr>
        <w:t>(</w:t>
      </w:r>
      <w:r>
        <w:rPr>
          <w:rFonts w:ascii="Times New Roman" w:hAnsi="Times New Roman"/>
          <w:color w:val="000000" w:themeColor="text1"/>
          <w:sz w:val="24"/>
          <w:szCs w:val="24"/>
          <w:u w:color="000000"/>
        </w:rPr>
        <w:t>5 420,00</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F267D4">
        <w:rPr>
          <w:rFonts w:ascii="Times New Roman" w:hAnsi="Times New Roman"/>
          <w:b/>
          <w:bCs/>
          <w:color w:val="000000" w:themeColor="text1"/>
          <w:sz w:val="24"/>
          <w:szCs w:val="24"/>
          <w:u w:color="000000"/>
        </w:rPr>
        <w:t>Riadok 089</w:t>
      </w:r>
      <w:r w:rsidRPr="00C565E2">
        <w:rPr>
          <w:rFonts w:ascii="Times New Roman" w:hAnsi="Times New Roman"/>
          <w:b/>
          <w:bCs/>
          <w:color w:val="000000" w:themeColor="text1"/>
          <w:sz w:val="24"/>
          <w:szCs w:val="24"/>
          <w:u w:color="000000"/>
        </w:rPr>
        <w:t xml:space="preserve"> – Záväzky z poistných vzťahov</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 xml:space="preserve">Zostatok v sume </w:t>
      </w:r>
      <w:r>
        <w:rPr>
          <w:rFonts w:ascii="Times New Roman" w:hAnsi="Times New Roman"/>
          <w:color w:val="000000" w:themeColor="text1"/>
          <w:sz w:val="24"/>
          <w:szCs w:val="24"/>
          <w:u w:color="000000"/>
        </w:rPr>
        <w:t>24 705 511,64</w:t>
      </w:r>
      <w:r w:rsidRPr="00C565E2">
        <w:rPr>
          <w:rFonts w:ascii="Times New Roman" w:hAnsi="Times New Roman"/>
          <w:color w:val="000000" w:themeColor="text1"/>
          <w:sz w:val="24"/>
          <w:szCs w:val="24"/>
          <w:u w:color="000000"/>
        </w:rPr>
        <w:t>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predstavuje zaúčtovaný záväzok voči poistencom z</w:t>
      </w:r>
      <w:r>
        <w:rPr>
          <w:rFonts w:ascii="Times New Roman" w:hAnsi="Times New Roman"/>
          <w:color w:val="000000" w:themeColor="text1"/>
          <w:sz w:val="24"/>
          <w:szCs w:val="24"/>
          <w:u w:color="000000"/>
        </w:rPr>
        <w:t> </w:t>
      </w:r>
      <w:r w:rsidRPr="00C565E2">
        <w:rPr>
          <w:rFonts w:ascii="Times New Roman" w:hAnsi="Times New Roman"/>
          <w:color w:val="000000" w:themeColor="text1"/>
          <w:sz w:val="24"/>
          <w:szCs w:val="24"/>
          <w:u w:color="000000"/>
        </w:rPr>
        <w:t xml:space="preserve">titulu nároku na výplatu dávok nemocenského poistenia v sume </w:t>
      </w:r>
      <w:r>
        <w:rPr>
          <w:rFonts w:ascii="Times New Roman" w:hAnsi="Times New Roman"/>
          <w:color w:val="000000" w:themeColor="text1"/>
          <w:sz w:val="24"/>
          <w:szCs w:val="24"/>
          <w:u w:color="000000"/>
        </w:rPr>
        <w:t>23 866 811,58</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a záväzok Sociálnej poisťovne voči členským štátom EÚ za vyplatené dávky v nezamestnanosti v sume </w:t>
      </w:r>
      <w:r>
        <w:rPr>
          <w:rFonts w:ascii="Times New Roman" w:hAnsi="Times New Roman"/>
          <w:color w:val="000000" w:themeColor="text1"/>
          <w:sz w:val="24"/>
          <w:szCs w:val="24"/>
          <w:u w:color="000000"/>
        </w:rPr>
        <w:t>838 700,06</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w:t>
      </w:r>
    </w:p>
    <w:p w:rsidR="00385B00" w:rsidRPr="00B34339" w:rsidRDefault="00385B00" w:rsidP="00385B00">
      <w:pPr>
        <w:widowControl/>
        <w:spacing w:line="360" w:lineRule="auto"/>
        <w:jc w:val="both"/>
        <w:rPr>
          <w:rFonts w:ascii="Times New Roman" w:hAnsi="Times New Roman"/>
          <w:b/>
          <w:bCs/>
          <w:color w:val="000000" w:themeColor="text1"/>
          <w:sz w:val="24"/>
          <w:szCs w:val="24"/>
          <w:highlight w:val="lightGray"/>
          <w:u w:color="000000"/>
        </w:rPr>
      </w:pP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F267D4">
        <w:rPr>
          <w:rFonts w:ascii="Times New Roman" w:hAnsi="Times New Roman"/>
          <w:b/>
          <w:bCs/>
          <w:color w:val="000000" w:themeColor="text1"/>
          <w:sz w:val="24"/>
          <w:szCs w:val="24"/>
          <w:u w:color="000000"/>
        </w:rPr>
        <w:t>Riadok 091</w:t>
      </w:r>
      <w:r w:rsidRPr="00C565E2">
        <w:rPr>
          <w:rFonts w:ascii="Times New Roman" w:hAnsi="Times New Roman"/>
          <w:b/>
          <w:bCs/>
          <w:color w:val="000000" w:themeColor="text1"/>
          <w:sz w:val="24"/>
          <w:szCs w:val="24"/>
          <w:u w:color="000000"/>
        </w:rPr>
        <w:t xml:space="preserve"> – Záväzky voči zamestnancom</w:t>
      </w:r>
      <w:r w:rsidRPr="00C565E2">
        <w:rPr>
          <w:rFonts w:ascii="Times New Roman" w:hAnsi="Times New Roman"/>
          <w:color w:val="000000" w:themeColor="text1"/>
          <w:sz w:val="24"/>
          <w:szCs w:val="24"/>
          <w:u w:color="000000"/>
        </w:rPr>
        <w:tab/>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 xml:space="preserve">Zostatok v sume </w:t>
      </w:r>
      <w:r>
        <w:rPr>
          <w:rFonts w:ascii="Times New Roman" w:hAnsi="Times New Roman"/>
          <w:color w:val="000000" w:themeColor="text1"/>
          <w:sz w:val="24"/>
          <w:szCs w:val="24"/>
          <w:u w:color="000000"/>
        </w:rPr>
        <w:t>4 050 550,82</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predstavuje záväzky zamestnávateľa voči zamestnancom k 31. 12. </w:t>
      </w:r>
      <w:r>
        <w:rPr>
          <w:rFonts w:ascii="Times New Roman" w:hAnsi="Times New Roman"/>
          <w:color w:val="000000" w:themeColor="text1"/>
          <w:sz w:val="24"/>
          <w:szCs w:val="24"/>
          <w:u w:color="000000"/>
        </w:rPr>
        <w:t>2018</w:t>
      </w:r>
      <w:r w:rsidRPr="00C565E2">
        <w:rPr>
          <w:rFonts w:ascii="Times New Roman" w:hAnsi="Times New Roman"/>
          <w:color w:val="000000" w:themeColor="text1"/>
          <w:sz w:val="24"/>
          <w:szCs w:val="24"/>
          <w:u w:color="000000"/>
        </w:rPr>
        <w:t xml:space="preserve"> z titulu výplaty miezd a odmien na základe dohôd o vykonaní práce v sume </w:t>
      </w:r>
      <w:r>
        <w:rPr>
          <w:rFonts w:ascii="Times New Roman" w:hAnsi="Times New Roman"/>
          <w:color w:val="000000" w:themeColor="text1"/>
          <w:sz w:val="24"/>
          <w:szCs w:val="24"/>
          <w:u w:color="000000"/>
        </w:rPr>
        <w:t>3 875 184,72</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a zrážky z miezd a ostatné záväzky voči zamestnancom v sume </w:t>
      </w:r>
      <w:r>
        <w:rPr>
          <w:rFonts w:ascii="Times New Roman" w:hAnsi="Times New Roman"/>
          <w:color w:val="000000" w:themeColor="text1"/>
          <w:sz w:val="24"/>
          <w:szCs w:val="24"/>
          <w:u w:color="000000"/>
        </w:rPr>
        <w:t>175 366,10</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(zrážky za stravu, cestovné náhrady, náhrada za čistenie osobných ochranných pracovných prostriedkov a pod.). </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F267D4">
        <w:rPr>
          <w:rFonts w:ascii="Times New Roman" w:hAnsi="Times New Roman"/>
          <w:b/>
          <w:bCs/>
          <w:color w:val="000000" w:themeColor="text1"/>
          <w:sz w:val="24"/>
          <w:szCs w:val="24"/>
          <w:u w:color="000000"/>
        </w:rPr>
        <w:t>Riadok 092</w:t>
      </w:r>
      <w:r w:rsidRPr="00C565E2">
        <w:rPr>
          <w:rFonts w:ascii="Times New Roman" w:hAnsi="Times New Roman"/>
          <w:b/>
          <w:bCs/>
          <w:color w:val="000000" w:themeColor="text1"/>
          <w:sz w:val="24"/>
          <w:szCs w:val="24"/>
          <w:u w:color="000000"/>
        </w:rPr>
        <w:t xml:space="preserve"> – Zúčtovanie so Sociálnou poisťovňou a zdravotnými poisťovňami</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Zostatok v sume 2</w:t>
      </w:r>
      <w:r>
        <w:rPr>
          <w:rFonts w:ascii="Times New Roman" w:hAnsi="Times New Roman"/>
          <w:color w:val="000000" w:themeColor="text1"/>
          <w:sz w:val="24"/>
          <w:szCs w:val="24"/>
          <w:u w:color="000000"/>
        </w:rPr>
        <w:t> 705 784,74</w:t>
      </w:r>
      <w:r w:rsidRPr="00C565E2">
        <w:rPr>
          <w:rFonts w:ascii="Times New Roman" w:hAnsi="Times New Roman"/>
          <w:color w:val="000000" w:themeColor="text1"/>
          <w:sz w:val="24"/>
          <w:szCs w:val="24"/>
          <w:u w:color="000000"/>
        </w:rPr>
        <w:t>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vyjadruje zúčtované záväzky voči inštitúciám sociálneho a zdravotného poistenia a doplnkového dôchodkového sporenia. </w:t>
      </w:r>
    </w:p>
    <w:p w:rsidR="00385B00" w:rsidRPr="00B34339" w:rsidRDefault="00385B00" w:rsidP="00385B00">
      <w:pPr>
        <w:widowControl/>
        <w:spacing w:line="360" w:lineRule="auto"/>
        <w:jc w:val="both"/>
        <w:rPr>
          <w:rFonts w:ascii="Times New Roman" w:hAnsi="Times New Roman"/>
          <w:b/>
          <w:bCs/>
          <w:color w:val="000000" w:themeColor="text1"/>
          <w:sz w:val="24"/>
          <w:szCs w:val="24"/>
          <w:highlight w:val="lightGray"/>
          <w:u w:color="000000"/>
        </w:rPr>
      </w:pP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F267D4">
        <w:rPr>
          <w:rFonts w:ascii="Times New Roman" w:hAnsi="Times New Roman"/>
          <w:b/>
          <w:bCs/>
          <w:color w:val="000000" w:themeColor="text1"/>
          <w:sz w:val="24"/>
          <w:szCs w:val="24"/>
          <w:u w:color="000000"/>
        </w:rPr>
        <w:t>Riadok 093</w:t>
      </w:r>
      <w:r w:rsidRPr="00C565E2">
        <w:rPr>
          <w:rFonts w:ascii="Times New Roman" w:hAnsi="Times New Roman"/>
          <w:b/>
          <w:bCs/>
          <w:color w:val="000000" w:themeColor="text1"/>
          <w:sz w:val="24"/>
          <w:szCs w:val="24"/>
          <w:u w:color="000000"/>
        </w:rPr>
        <w:t xml:space="preserve"> – Daňové záväzky</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 xml:space="preserve">Zostatok v sume </w:t>
      </w:r>
      <w:r>
        <w:rPr>
          <w:rFonts w:ascii="Times New Roman" w:hAnsi="Times New Roman"/>
          <w:color w:val="000000" w:themeColor="text1"/>
          <w:sz w:val="24"/>
          <w:szCs w:val="24"/>
          <w:u w:color="000000"/>
        </w:rPr>
        <w:t>602 307,84</w:t>
      </w:r>
      <w:r w:rsidRPr="00C565E2">
        <w:rPr>
          <w:rFonts w:ascii="Times New Roman" w:hAnsi="Times New Roman"/>
          <w:color w:val="000000" w:themeColor="text1"/>
          <w:sz w:val="24"/>
          <w:szCs w:val="24"/>
          <w:u w:color="000000"/>
        </w:rPr>
        <w:t>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prestavuje záväzky na odvod preddavku dane z príjmov zo</w:t>
      </w:r>
      <w:r>
        <w:rPr>
          <w:rFonts w:ascii="Times New Roman" w:hAnsi="Times New Roman"/>
          <w:color w:val="000000" w:themeColor="text1"/>
          <w:sz w:val="24"/>
          <w:szCs w:val="24"/>
          <w:u w:color="000000"/>
        </w:rPr>
        <w:t> </w:t>
      </w:r>
      <w:r w:rsidRPr="00C565E2">
        <w:rPr>
          <w:rFonts w:ascii="Times New Roman" w:hAnsi="Times New Roman"/>
          <w:color w:val="000000" w:themeColor="text1"/>
          <w:sz w:val="24"/>
          <w:szCs w:val="24"/>
          <w:u w:color="000000"/>
        </w:rPr>
        <w:t xml:space="preserve">závislej činnosti zamestnancov Sociálnej poisťovne za mesiac december </w:t>
      </w:r>
      <w:r>
        <w:rPr>
          <w:rFonts w:ascii="Times New Roman" w:hAnsi="Times New Roman"/>
          <w:color w:val="000000" w:themeColor="text1"/>
          <w:sz w:val="24"/>
          <w:szCs w:val="24"/>
          <w:u w:color="000000"/>
        </w:rPr>
        <w:t>2018.</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F267D4">
        <w:rPr>
          <w:rFonts w:ascii="Times New Roman" w:hAnsi="Times New Roman"/>
          <w:b/>
          <w:bCs/>
          <w:color w:val="000000" w:themeColor="text1"/>
          <w:sz w:val="24"/>
          <w:szCs w:val="24"/>
          <w:u w:color="000000"/>
        </w:rPr>
        <w:t>Riadok 094</w:t>
      </w:r>
      <w:r w:rsidRPr="00C565E2">
        <w:rPr>
          <w:rFonts w:ascii="Times New Roman" w:hAnsi="Times New Roman"/>
          <w:b/>
          <w:bCs/>
          <w:color w:val="000000" w:themeColor="text1"/>
          <w:sz w:val="24"/>
          <w:szCs w:val="24"/>
          <w:u w:color="000000"/>
        </w:rPr>
        <w:t xml:space="preserve"> – dotácie a ostatné zúčtovanie so štátnym rozpočtom</w:t>
      </w:r>
    </w:p>
    <w:p w:rsidR="00385B00" w:rsidRPr="00AC1F24" w:rsidRDefault="00385B00" w:rsidP="00385B00">
      <w:pPr>
        <w:widowControl/>
        <w:spacing w:line="360" w:lineRule="auto"/>
        <w:ind w:firstLine="510"/>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 xml:space="preserve">Zostatok vykazovaný na tomto riadku v sume </w:t>
      </w:r>
      <w:r>
        <w:rPr>
          <w:rFonts w:ascii="Times New Roman" w:hAnsi="Times New Roman"/>
          <w:color w:val="000000" w:themeColor="text1"/>
          <w:sz w:val="24"/>
          <w:szCs w:val="24"/>
          <w:u w:color="000000"/>
        </w:rPr>
        <w:t>2 943 465,06</w:t>
      </w:r>
      <w:r w:rsidRPr="00C565E2">
        <w:rPr>
          <w:rFonts w:ascii="Times New Roman" w:hAnsi="Times New Roman"/>
          <w:color w:val="000000" w:themeColor="text1"/>
          <w:sz w:val="24"/>
          <w:szCs w:val="24"/>
          <w:u w:color="000000"/>
        </w:rPr>
        <w:t>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predstavuje </w:t>
      </w:r>
      <w:r>
        <w:rPr>
          <w:rFonts w:ascii="Times New Roman" w:hAnsi="Times New Roman"/>
          <w:color w:val="000000" w:themeColor="text1"/>
          <w:sz w:val="24"/>
          <w:szCs w:val="24"/>
          <w:u w:color="000000"/>
        </w:rPr>
        <w:t xml:space="preserve">najmä </w:t>
      </w:r>
      <w:r w:rsidRPr="00C565E2">
        <w:rPr>
          <w:rFonts w:ascii="Times New Roman" w:hAnsi="Times New Roman"/>
          <w:color w:val="000000" w:themeColor="text1"/>
          <w:sz w:val="24"/>
          <w:szCs w:val="24"/>
          <w:u w:color="000000"/>
        </w:rPr>
        <w:t xml:space="preserve">záväzok voči štátnemu rozpočtu.  Ide o zúčtovanie finančných prostriedkov, ktoré poskytuje štát podľa zákona o sociálnom poistení Sociálnej poisťovni. Nesystémové dávky sociálneho poistenia podľa plnenia § 69b až § 69d, § 82b, § 168a a § 285 zákona o sociálnom poistení v zmysle zmluvy </w:t>
      </w:r>
      <w:r w:rsidRPr="00AC1F24">
        <w:rPr>
          <w:rFonts w:ascii="Times New Roman" w:hAnsi="Times New Roman"/>
          <w:color w:val="000000" w:themeColor="text1"/>
          <w:sz w:val="24"/>
          <w:szCs w:val="24"/>
          <w:u w:color="000000"/>
        </w:rPr>
        <w:t>uzatvorenej medzi Sociálnou poisťovňou a  Ministerstvom obrany Slovenskej republiky (ďalej len „MO SR“), medzi  Sociálnou poisťovňou a Ministerstvom práce, sociálnych vecí a rodiny Slovenskej republiky (ďalej len „</w:t>
      </w:r>
      <w:proofErr w:type="spellStart"/>
      <w:r w:rsidRPr="00AC1F24">
        <w:rPr>
          <w:rFonts w:ascii="Times New Roman" w:hAnsi="Times New Roman"/>
          <w:color w:val="000000" w:themeColor="text1"/>
          <w:sz w:val="24"/>
          <w:szCs w:val="24"/>
          <w:u w:color="000000"/>
        </w:rPr>
        <w:t>MPSVaR</w:t>
      </w:r>
      <w:proofErr w:type="spellEnd"/>
      <w:r w:rsidRPr="00AC1F24">
        <w:rPr>
          <w:rFonts w:ascii="Times New Roman" w:hAnsi="Times New Roman"/>
          <w:color w:val="000000" w:themeColor="text1"/>
          <w:sz w:val="24"/>
          <w:szCs w:val="24"/>
          <w:u w:color="000000"/>
        </w:rPr>
        <w:t xml:space="preserve"> SR“) č. 1512/2011-I/81a dodatku č. 1 a zúčtovanie poistného za rok 1993 a to</w:t>
      </w:r>
    </w:p>
    <w:p w:rsidR="00385B00" w:rsidRPr="00AC1F24" w:rsidRDefault="00385B00" w:rsidP="00385B00">
      <w:pPr>
        <w:pStyle w:val="Odsekzoznamu"/>
        <w:widowControl/>
        <w:numPr>
          <w:ilvl w:val="0"/>
          <w:numId w:val="29"/>
        </w:numPr>
        <w:spacing w:line="360" w:lineRule="auto"/>
        <w:ind w:left="567"/>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preddavky za rok 2018</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 xml:space="preserve">  167 892 015,79 EUR</w:t>
      </w:r>
    </w:p>
    <w:p w:rsidR="00385B00" w:rsidRPr="00AC1F24" w:rsidRDefault="00385B00" w:rsidP="00385B00">
      <w:pPr>
        <w:pStyle w:val="Odsekzoznamu"/>
        <w:widowControl/>
        <w:numPr>
          <w:ilvl w:val="0"/>
          <w:numId w:val="29"/>
        </w:numPr>
        <w:spacing w:line="360" w:lineRule="auto"/>
        <w:ind w:left="567"/>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vyplatené štátne dávky za rok 2018</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t xml:space="preserve"> </w:t>
      </w:r>
      <w:r w:rsidRPr="00AC1F24">
        <w:rPr>
          <w:rFonts w:ascii="Times New Roman" w:hAnsi="Times New Roman"/>
          <w:color w:val="000000" w:themeColor="text1"/>
          <w:sz w:val="24"/>
          <w:szCs w:val="24"/>
          <w:u w:color="000000"/>
        </w:rPr>
        <w:t xml:space="preserve"> 165 159 341,63 EUR</w:t>
      </w:r>
    </w:p>
    <w:p w:rsidR="00385B00" w:rsidRPr="00AC1F24" w:rsidRDefault="00385B00" w:rsidP="00385B00">
      <w:pPr>
        <w:widowControl/>
        <w:spacing w:line="360" w:lineRule="auto"/>
        <w:ind w:left="567"/>
        <w:rPr>
          <w:rFonts w:ascii="Times New Roman" w:hAnsi="Times New Roman"/>
          <w:b/>
          <w:bCs/>
          <w:color w:val="000000" w:themeColor="text1"/>
          <w:sz w:val="24"/>
          <w:szCs w:val="24"/>
          <w:u w:color="000000"/>
        </w:rPr>
      </w:pPr>
      <w:r w:rsidRPr="00AC1F24">
        <w:rPr>
          <w:rFonts w:ascii="Times New Roman" w:hAnsi="Times New Roman"/>
          <w:color w:val="000000" w:themeColor="text1"/>
          <w:sz w:val="24"/>
          <w:szCs w:val="24"/>
          <w:u w:color="000000"/>
        </w:rPr>
        <w:t>Zostatok zúčtovania so štátnym rozpočtom k 31.12.2018</w:t>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t xml:space="preserve">   </w:t>
      </w:r>
      <w:r w:rsidRPr="00AC1F24">
        <w:rPr>
          <w:rFonts w:ascii="Times New Roman" w:hAnsi="Times New Roman"/>
          <w:color w:val="000000" w:themeColor="text1"/>
          <w:sz w:val="24"/>
          <w:szCs w:val="24"/>
          <w:u w:color="000000"/>
        </w:rPr>
        <w:t xml:space="preserve"> </w:t>
      </w:r>
      <w:r w:rsidRPr="00AC1F24">
        <w:rPr>
          <w:rFonts w:ascii="Times New Roman" w:hAnsi="Times New Roman"/>
          <w:b/>
          <w:bCs/>
          <w:color w:val="000000" w:themeColor="text1"/>
          <w:sz w:val="24"/>
          <w:szCs w:val="24"/>
          <w:u w:color="000000"/>
        </w:rPr>
        <w:t>2 732 674,16 EUR</w:t>
      </w:r>
    </w:p>
    <w:p w:rsidR="00385B00" w:rsidRPr="00AC1F24" w:rsidRDefault="00385B00" w:rsidP="00385B00">
      <w:pPr>
        <w:widowControl/>
        <w:spacing w:line="360" w:lineRule="auto"/>
        <w:ind w:left="567"/>
        <w:rPr>
          <w:rFonts w:ascii="Times New Roman" w:hAnsi="Times New Roman"/>
          <w:color w:val="000000" w:themeColor="text1"/>
          <w:sz w:val="24"/>
          <w:szCs w:val="24"/>
          <w:u w:color="000000"/>
        </w:rPr>
      </w:pPr>
    </w:p>
    <w:p w:rsidR="00385B00" w:rsidRPr="00AC1F24" w:rsidRDefault="00385B00" w:rsidP="00385B00">
      <w:pPr>
        <w:pStyle w:val="Odsekzoznamu"/>
        <w:widowControl/>
        <w:numPr>
          <w:ilvl w:val="0"/>
          <w:numId w:val="29"/>
        </w:numPr>
        <w:tabs>
          <w:tab w:val="left" w:pos="567"/>
        </w:tabs>
        <w:spacing w:line="360" w:lineRule="auto"/>
        <w:ind w:hanging="436"/>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 xml:space="preserve">finančné prostriedky poskytnuté </w:t>
      </w:r>
      <w:proofErr w:type="spellStart"/>
      <w:r w:rsidRPr="00AC1F24">
        <w:rPr>
          <w:rFonts w:ascii="Times New Roman" w:hAnsi="Times New Roman"/>
          <w:color w:val="000000" w:themeColor="text1"/>
          <w:sz w:val="24"/>
          <w:szCs w:val="24"/>
          <w:u w:color="000000"/>
        </w:rPr>
        <w:t>MPSVaR</w:t>
      </w:r>
      <w:proofErr w:type="spellEnd"/>
      <w:r w:rsidRPr="00AC1F24">
        <w:rPr>
          <w:rFonts w:ascii="Times New Roman" w:hAnsi="Times New Roman"/>
          <w:color w:val="000000" w:themeColor="text1"/>
          <w:sz w:val="24"/>
          <w:szCs w:val="24"/>
          <w:u w:color="000000"/>
        </w:rPr>
        <w:t xml:space="preserve"> SR na výplatu </w:t>
      </w:r>
    </w:p>
    <w:p w:rsidR="00385B00" w:rsidRPr="00AC1F24" w:rsidRDefault="00385B00" w:rsidP="00385B00">
      <w:pPr>
        <w:widowControl/>
        <w:tabs>
          <w:tab w:val="left" w:pos="567"/>
        </w:tabs>
        <w:spacing w:line="360" w:lineRule="auto"/>
        <w:ind w:left="284"/>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 xml:space="preserve">   vianočného príspevku </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t xml:space="preserve"> </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t xml:space="preserve"> </w:t>
      </w:r>
      <w:r>
        <w:rPr>
          <w:rFonts w:ascii="Times New Roman" w:hAnsi="Times New Roman"/>
          <w:color w:val="000000" w:themeColor="text1"/>
          <w:sz w:val="24"/>
          <w:szCs w:val="24"/>
          <w:u w:color="000000"/>
        </w:rPr>
        <w:t xml:space="preserve"> </w:t>
      </w:r>
      <w:r w:rsidRPr="00AC1F24">
        <w:rPr>
          <w:rFonts w:ascii="Times New Roman" w:hAnsi="Times New Roman"/>
          <w:color w:val="000000" w:themeColor="text1"/>
          <w:sz w:val="24"/>
          <w:szCs w:val="24"/>
          <w:u w:color="000000"/>
        </w:rPr>
        <w:t xml:space="preserve"> 79 925 386,23 EUR</w:t>
      </w:r>
    </w:p>
    <w:p w:rsidR="00385B00" w:rsidRPr="00AC1F24" w:rsidRDefault="00385B00" w:rsidP="00385B00">
      <w:pPr>
        <w:widowControl/>
        <w:tabs>
          <w:tab w:val="left" w:pos="567"/>
        </w:tabs>
        <w:spacing w:line="360" w:lineRule="auto"/>
        <w:ind w:left="284"/>
        <w:rPr>
          <w:rFonts w:ascii="Times New Roman" w:hAnsi="Times New Roman"/>
          <w:color w:val="000000" w:themeColor="text1"/>
          <w:sz w:val="24"/>
          <w:szCs w:val="24"/>
          <w:u w:color="000000"/>
        </w:rPr>
      </w:pPr>
    </w:p>
    <w:p w:rsidR="00385B00" w:rsidRPr="00AC1F24" w:rsidRDefault="00385B00" w:rsidP="00385B00">
      <w:pPr>
        <w:pStyle w:val="Odsekzoznamu"/>
        <w:widowControl/>
        <w:numPr>
          <w:ilvl w:val="0"/>
          <w:numId w:val="35"/>
        </w:numPr>
        <w:tabs>
          <w:tab w:val="left" w:pos="567"/>
        </w:tabs>
        <w:spacing w:line="360" w:lineRule="auto"/>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výplata príspevku bola za rok 2018</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t xml:space="preserve"> </w:t>
      </w:r>
      <w:r>
        <w:rPr>
          <w:rFonts w:ascii="Times New Roman" w:hAnsi="Times New Roman"/>
          <w:color w:val="000000" w:themeColor="text1"/>
          <w:sz w:val="24"/>
          <w:szCs w:val="24"/>
          <w:u w:color="000000"/>
        </w:rPr>
        <w:t xml:space="preserve"> </w:t>
      </w:r>
      <w:r w:rsidRPr="00AC1F24">
        <w:rPr>
          <w:rFonts w:ascii="Times New Roman" w:hAnsi="Times New Roman"/>
          <w:color w:val="000000" w:themeColor="text1"/>
          <w:sz w:val="24"/>
          <w:szCs w:val="24"/>
          <w:u w:color="000000"/>
        </w:rPr>
        <w:t xml:space="preserve"> 74 188 318,09 EUR</w:t>
      </w:r>
    </w:p>
    <w:p w:rsidR="00385B00" w:rsidRPr="00AC1F24" w:rsidRDefault="00385B00" w:rsidP="00385B00">
      <w:pPr>
        <w:pStyle w:val="Odsekzoznamu"/>
        <w:widowControl/>
        <w:numPr>
          <w:ilvl w:val="0"/>
          <w:numId w:val="35"/>
        </w:numPr>
        <w:tabs>
          <w:tab w:val="left" w:pos="567"/>
        </w:tabs>
        <w:spacing w:line="360" w:lineRule="auto"/>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náklady súvisiace s výplatou VP za rok 2018</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t xml:space="preserve">     </w:t>
      </w:r>
      <w:r w:rsidRPr="00AC1F24">
        <w:rPr>
          <w:rFonts w:ascii="Times New Roman" w:hAnsi="Times New Roman"/>
          <w:color w:val="000000" w:themeColor="text1"/>
          <w:sz w:val="24"/>
          <w:szCs w:val="24"/>
          <w:u w:color="000000"/>
        </w:rPr>
        <w:t xml:space="preserve"> 343 091,77 EUR</w:t>
      </w:r>
    </w:p>
    <w:p w:rsidR="00385B00" w:rsidRPr="00AC1F24" w:rsidRDefault="00385B00" w:rsidP="00385B00">
      <w:pPr>
        <w:widowControl/>
        <w:spacing w:line="360" w:lineRule="auto"/>
        <w:rPr>
          <w:rFonts w:ascii="Times New Roman" w:hAnsi="Times New Roman"/>
          <w:color w:val="000000" w:themeColor="text1"/>
          <w:sz w:val="24"/>
          <w:szCs w:val="24"/>
          <w:u w:color="000000"/>
        </w:rPr>
      </w:pPr>
    </w:p>
    <w:p w:rsidR="00385B00" w:rsidRPr="00AC1F24" w:rsidRDefault="00385B00" w:rsidP="00385B00">
      <w:pPr>
        <w:pStyle w:val="Odsekzoznamu"/>
        <w:widowControl/>
        <w:numPr>
          <w:ilvl w:val="0"/>
          <w:numId w:val="35"/>
        </w:numPr>
        <w:tabs>
          <w:tab w:val="left" w:pos="567"/>
        </w:tabs>
        <w:spacing w:line="360" w:lineRule="auto"/>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výplata príspevku bola za rok 2017</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t xml:space="preserve">    </w:t>
      </w:r>
      <w:r w:rsidRPr="00AC1F24">
        <w:rPr>
          <w:rFonts w:ascii="Times New Roman" w:hAnsi="Times New Roman"/>
          <w:color w:val="000000" w:themeColor="text1"/>
          <w:sz w:val="24"/>
          <w:szCs w:val="24"/>
          <w:u w:color="000000"/>
        </w:rPr>
        <w:t>1 734 635,39 EUR</w:t>
      </w:r>
    </w:p>
    <w:p w:rsidR="00385B00" w:rsidRPr="00AC1F24" w:rsidRDefault="00385B00" w:rsidP="00385B00">
      <w:pPr>
        <w:pStyle w:val="Odsekzoznamu"/>
        <w:widowControl/>
        <w:numPr>
          <w:ilvl w:val="0"/>
          <w:numId w:val="35"/>
        </w:numPr>
        <w:tabs>
          <w:tab w:val="left" w:pos="567"/>
        </w:tabs>
        <w:spacing w:line="360" w:lineRule="auto"/>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náklady súvisiace s výplatou VP za rok 2017</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 xml:space="preserve">  </w:t>
      </w:r>
      <w:r w:rsidRPr="00AC1F24">
        <w:rPr>
          <w:rFonts w:ascii="Times New Roman" w:hAnsi="Times New Roman"/>
          <w:color w:val="000000" w:themeColor="text1"/>
          <w:sz w:val="24"/>
          <w:szCs w:val="24"/>
          <w:u w:color="000000"/>
        </w:rPr>
        <w:t xml:space="preserve">       8 690,10 EUR</w:t>
      </w:r>
    </w:p>
    <w:p w:rsidR="00385B00" w:rsidRPr="00AC1F24" w:rsidRDefault="00385B00" w:rsidP="00385B00">
      <w:pPr>
        <w:widowControl/>
        <w:tabs>
          <w:tab w:val="left" w:pos="567"/>
        </w:tabs>
        <w:spacing w:line="360" w:lineRule="auto"/>
        <w:rPr>
          <w:rFonts w:ascii="Times New Roman" w:hAnsi="Times New Roman"/>
          <w:color w:val="000000" w:themeColor="text1"/>
          <w:sz w:val="24"/>
          <w:szCs w:val="24"/>
          <w:u w:color="000000"/>
        </w:rPr>
      </w:pPr>
    </w:p>
    <w:p w:rsidR="00385B00" w:rsidRPr="00AC1F24" w:rsidRDefault="00385B00" w:rsidP="00385B00">
      <w:pPr>
        <w:widowControl/>
        <w:tabs>
          <w:tab w:val="left" w:pos="567"/>
        </w:tabs>
        <w:spacing w:line="360" w:lineRule="auto"/>
        <w:ind w:left="567" w:hanging="283"/>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w:t>
      </w:r>
      <w:r w:rsidRPr="00AC1F24">
        <w:rPr>
          <w:rFonts w:ascii="Times New Roman" w:hAnsi="Times New Roman"/>
          <w:color w:val="000000" w:themeColor="text1"/>
          <w:sz w:val="24"/>
          <w:szCs w:val="24"/>
          <w:u w:color="000000"/>
        </w:rPr>
        <w:tab/>
        <w:t>výplata príspevku bola za rok 2016</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t xml:space="preserve"> 246 014,11 EUR</w:t>
      </w:r>
    </w:p>
    <w:p w:rsidR="00385B00" w:rsidRPr="00AC1F24" w:rsidRDefault="00385B00" w:rsidP="00385B00">
      <w:pPr>
        <w:widowControl/>
        <w:tabs>
          <w:tab w:val="left" w:pos="567"/>
        </w:tabs>
        <w:spacing w:line="360" w:lineRule="auto"/>
        <w:ind w:left="567" w:hanging="283"/>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w:t>
      </w:r>
      <w:r w:rsidRPr="00AC1F24">
        <w:rPr>
          <w:rFonts w:ascii="Times New Roman" w:hAnsi="Times New Roman"/>
          <w:color w:val="000000" w:themeColor="text1"/>
          <w:sz w:val="24"/>
          <w:szCs w:val="24"/>
          <w:u w:color="000000"/>
        </w:rPr>
        <w:tab/>
        <w:t>náklady súvisiace s výplatou VP za rok 2016</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t xml:space="preserve">   </w:t>
      </w:r>
      <w:r w:rsidRPr="00AC1F24">
        <w:rPr>
          <w:rFonts w:ascii="Times New Roman" w:hAnsi="Times New Roman"/>
          <w:color w:val="000000" w:themeColor="text1"/>
          <w:sz w:val="24"/>
          <w:szCs w:val="24"/>
          <w:u w:color="000000"/>
        </w:rPr>
        <w:t xml:space="preserve"> 1 355,44 EUR</w:t>
      </w:r>
    </w:p>
    <w:p w:rsidR="00385B00" w:rsidRPr="00AC1F24" w:rsidRDefault="00385B00" w:rsidP="00385B00">
      <w:pPr>
        <w:widowControl/>
        <w:tabs>
          <w:tab w:val="left" w:pos="567"/>
        </w:tabs>
        <w:spacing w:line="360" w:lineRule="auto"/>
        <w:rPr>
          <w:rFonts w:ascii="Times New Roman" w:hAnsi="Times New Roman"/>
          <w:color w:val="000000" w:themeColor="text1"/>
          <w:sz w:val="24"/>
          <w:szCs w:val="24"/>
          <w:u w:color="000000"/>
        </w:rPr>
      </w:pPr>
    </w:p>
    <w:p w:rsidR="00385B00" w:rsidRPr="00AC1F24" w:rsidRDefault="00385B00" w:rsidP="00385B00">
      <w:pPr>
        <w:widowControl/>
        <w:tabs>
          <w:tab w:val="left" w:pos="567"/>
        </w:tabs>
        <w:spacing w:line="360" w:lineRule="auto"/>
        <w:ind w:left="567" w:hanging="283"/>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w:t>
      </w:r>
      <w:r w:rsidRPr="00AC1F24">
        <w:rPr>
          <w:rFonts w:ascii="Times New Roman" w:hAnsi="Times New Roman"/>
          <w:color w:val="000000" w:themeColor="text1"/>
          <w:sz w:val="24"/>
          <w:szCs w:val="24"/>
          <w:u w:color="000000"/>
        </w:rPr>
        <w:tab/>
        <w:t> výplata príspevku bola za rok 2015</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t xml:space="preserve"> 133 835,88 EUR</w:t>
      </w:r>
    </w:p>
    <w:p w:rsidR="00385B00" w:rsidRPr="00AC1F24" w:rsidRDefault="00385B00" w:rsidP="00385B00">
      <w:pPr>
        <w:widowControl/>
        <w:tabs>
          <w:tab w:val="left" w:pos="567"/>
        </w:tabs>
        <w:spacing w:line="360" w:lineRule="auto"/>
        <w:ind w:left="567" w:hanging="283"/>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w:t>
      </w:r>
      <w:r w:rsidRPr="00AC1F24">
        <w:rPr>
          <w:rFonts w:ascii="Times New Roman" w:hAnsi="Times New Roman"/>
          <w:color w:val="000000" w:themeColor="text1"/>
          <w:sz w:val="24"/>
          <w:szCs w:val="24"/>
          <w:u w:color="000000"/>
        </w:rPr>
        <w:tab/>
        <w:t>náklady súvisiace s výplatou VP za rok 2015</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t xml:space="preserve"> </w:t>
      </w:r>
      <w:r w:rsidRPr="00AC1F24">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t xml:space="preserve">    </w:t>
      </w:r>
      <w:r w:rsidRPr="00AC1F24">
        <w:rPr>
          <w:rFonts w:ascii="Times New Roman" w:hAnsi="Times New Roman"/>
          <w:color w:val="000000" w:themeColor="text1"/>
          <w:sz w:val="24"/>
          <w:szCs w:val="24"/>
          <w:u w:color="000000"/>
        </w:rPr>
        <w:t xml:space="preserve"> 724,89 EUR</w:t>
      </w:r>
    </w:p>
    <w:p w:rsidR="00385B00" w:rsidRPr="00AC1F24" w:rsidRDefault="00385B00" w:rsidP="00385B00">
      <w:pPr>
        <w:widowControl/>
        <w:spacing w:line="360" w:lineRule="auto"/>
        <w:rPr>
          <w:rFonts w:ascii="Times New Roman" w:hAnsi="Times New Roman"/>
          <w:color w:val="000000" w:themeColor="text1"/>
          <w:sz w:val="24"/>
          <w:szCs w:val="24"/>
          <w:u w:color="000000"/>
        </w:rPr>
      </w:pPr>
    </w:p>
    <w:p w:rsidR="00385B00" w:rsidRPr="00AC1F24" w:rsidRDefault="00385B00" w:rsidP="00385B00">
      <w:pPr>
        <w:widowControl/>
        <w:tabs>
          <w:tab w:val="left" w:pos="567"/>
        </w:tabs>
        <w:spacing w:line="360" w:lineRule="auto"/>
        <w:ind w:left="567" w:hanging="283"/>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w:t>
      </w:r>
      <w:r w:rsidRPr="00AC1F24">
        <w:rPr>
          <w:rFonts w:ascii="Times New Roman" w:hAnsi="Times New Roman"/>
          <w:color w:val="000000" w:themeColor="text1"/>
          <w:sz w:val="24"/>
          <w:szCs w:val="24"/>
          <w:u w:color="000000"/>
        </w:rPr>
        <w:tab/>
        <w:t>výplata príspevku bola za rok 2014</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t xml:space="preserve"> </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t xml:space="preserve">  </w:t>
      </w:r>
      <w:r w:rsidRPr="00AC1F24">
        <w:rPr>
          <w:rFonts w:ascii="Times New Roman" w:hAnsi="Times New Roman"/>
          <w:color w:val="000000" w:themeColor="text1"/>
          <w:sz w:val="24"/>
          <w:szCs w:val="24"/>
          <w:u w:color="000000"/>
        </w:rPr>
        <w:t>42 454,38 EUR</w:t>
      </w:r>
    </w:p>
    <w:p w:rsidR="00385B00" w:rsidRPr="00AC1F24" w:rsidRDefault="00385B00" w:rsidP="00385B00">
      <w:pPr>
        <w:widowControl/>
        <w:tabs>
          <w:tab w:val="left" w:pos="567"/>
        </w:tabs>
        <w:spacing w:line="360" w:lineRule="auto"/>
        <w:ind w:left="567" w:hanging="283"/>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w:t>
      </w:r>
      <w:r w:rsidRPr="00AC1F24">
        <w:rPr>
          <w:rFonts w:ascii="Times New Roman" w:hAnsi="Times New Roman"/>
          <w:color w:val="000000" w:themeColor="text1"/>
          <w:sz w:val="24"/>
          <w:szCs w:val="24"/>
          <w:u w:color="000000"/>
        </w:rPr>
        <w:tab/>
        <w:t>náklady súvisiace s výplatou VP za rok 2014</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t xml:space="preserve"> </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 xml:space="preserve"> </w:t>
      </w:r>
      <w:r w:rsidRPr="00AC1F24">
        <w:rPr>
          <w:rFonts w:ascii="Times New Roman" w:hAnsi="Times New Roman"/>
          <w:color w:val="000000" w:themeColor="text1"/>
          <w:sz w:val="24"/>
          <w:szCs w:val="24"/>
          <w:u w:color="000000"/>
        </w:rPr>
        <w:t xml:space="preserve">   219,05 EUR</w:t>
      </w:r>
    </w:p>
    <w:p w:rsidR="00385B00" w:rsidRPr="00AC1F24" w:rsidRDefault="00385B00" w:rsidP="00385B00">
      <w:pPr>
        <w:widowControl/>
        <w:tabs>
          <w:tab w:val="left" w:pos="567"/>
          <w:tab w:val="left" w:pos="9360"/>
        </w:tabs>
        <w:spacing w:line="360" w:lineRule="auto"/>
        <w:ind w:left="567" w:hanging="283"/>
        <w:rPr>
          <w:rFonts w:ascii="Times New Roman" w:hAnsi="Times New Roman"/>
          <w:color w:val="000000" w:themeColor="text1"/>
          <w:sz w:val="24"/>
          <w:szCs w:val="24"/>
          <w:u w:color="000000"/>
        </w:rPr>
      </w:pPr>
    </w:p>
    <w:p w:rsidR="00385B00" w:rsidRPr="00AC1F24" w:rsidRDefault="00385B00" w:rsidP="00385B00">
      <w:pPr>
        <w:widowControl/>
        <w:tabs>
          <w:tab w:val="left" w:pos="567"/>
        </w:tabs>
        <w:spacing w:line="360" w:lineRule="auto"/>
        <w:ind w:left="567" w:hanging="283"/>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w:t>
      </w:r>
      <w:r w:rsidRPr="00AC1F24">
        <w:rPr>
          <w:rFonts w:ascii="Times New Roman" w:hAnsi="Times New Roman"/>
          <w:color w:val="000000" w:themeColor="text1"/>
          <w:sz w:val="24"/>
          <w:szCs w:val="24"/>
          <w:u w:color="000000"/>
        </w:rPr>
        <w:tab/>
        <w:t>výplata príspevku bola za rok 2013</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t xml:space="preserve">  </w:t>
      </w:r>
      <w:r w:rsidRPr="00AC1F24">
        <w:rPr>
          <w:rFonts w:ascii="Times New Roman" w:hAnsi="Times New Roman"/>
          <w:color w:val="000000" w:themeColor="text1"/>
          <w:sz w:val="24"/>
          <w:szCs w:val="24"/>
          <w:u w:color="000000"/>
        </w:rPr>
        <w:t xml:space="preserve">  2 887,81 EUR</w:t>
      </w:r>
    </w:p>
    <w:p w:rsidR="00385B00" w:rsidRPr="00AC1F24" w:rsidRDefault="00385B00" w:rsidP="00385B00">
      <w:pPr>
        <w:widowControl/>
        <w:tabs>
          <w:tab w:val="left" w:pos="567"/>
        </w:tabs>
        <w:spacing w:line="360" w:lineRule="auto"/>
        <w:ind w:left="567" w:hanging="283"/>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w:t>
      </w:r>
      <w:r w:rsidRPr="00AC1F24">
        <w:rPr>
          <w:rFonts w:ascii="Times New Roman" w:hAnsi="Times New Roman"/>
          <w:color w:val="000000" w:themeColor="text1"/>
          <w:sz w:val="24"/>
          <w:szCs w:val="24"/>
          <w:u w:color="000000"/>
        </w:rPr>
        <w:tab/>
        <w:t>náklady súvisiace s výplatou VP za rok 2013</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t xml:space="preserve">   </w:t>
      </w:r>
      <w:r w:rsidRPr="00AC1F24">
        <w:rPr>
          <w:rFonts w:ascii="Times New Roman" w:hAnsi="Times New Roman"/>
          <w:color w:val="000000" w:themeColor="text1"/>
          <w:sz w:val="24"/>
          <w:szCs w:val="24"/>
          <w:u w:color="000000"/>
        </w:rPr>
        <w:t xml:space="preserve">    24,25 EUR</w:t>
      </w:r>
    </w:p>
    <w:p w:rsidR="00385B00" w:rsidRPr="00AC1F24" w:rsidRDefault="00385B00" w:rsidP="00385B00">
      <w:pPr>
        <w:widowControl/>
        <w:tabs>
          <w:tab w:val="left" w:pos="567"/>
          <w:tab w:val="left" w:pos="9360"/>
        </w:tabs>
        <w:spacing w:line="360" w:lineRule="auto"/>
        <w:ind w:left="567" w:hanging="283"/>
        <w:rPr>
          <w:rFonts w:ascii="Times New Roman" w:hAnsi="Times New Roman"/>
          <w:color w:val="000000" w:themeColor="text1"/>
          <w:sz w:val="24"/>
          <w:szCs w:val="24"/>
          <w:u w:color="000000"/>
        </w:rPr>
      </w:pPr>
    </w:p>
    <w:p w:rsidR="00385B00" w:rsidRPr="00AC1F24" w:rsidRDefault="00385B00" w:rsidP="00385B00">
      <w:pPr>
        <w:widowControl/>
        <w:tabs>
          <w:tab w:val="left" w:pos="567"/>
        </w:tabs>
        <w:spacing w:line="360" w:lineRule="auto"/>
        <w:ind w:left="567" w:hanging="283"/>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w:t>
      </w:r>
      <w:r w:rsidRPr="00AC1F24">
        <w:rPr>
          <w:rFonts w:ascii="Times New Roman" w:hAnsi="Times New Roman"/>
          <w:color w:val="000000" w:themeColor="text1"/>
          <w:sz w:val="24"/>
          <w:szCs w:val="24"/>
          <w:u w:color="000000"/>
        </w:rPr>
        <w:tab/>
        <w:t>výplata príspevku bola za rok 2012</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t xml:space="preserve">  </w:t>
      </w:r>
      <w:r>
        <w:rPr>
          <w:rFonts w:ascii="Times New Roman" w:hAnsi="Times New Roman"/>
          <w:color w:val="000000" w:themeColor="text1"/>
          <w:sz w:val="24"/>
          <w:szCs w:val="24"/>
          <w:u w:color="000000"/>
        </w:rPr>
        <w:t xml:space="preserve"> </w:t>
      </w:r>
      <w:r w:rsidRPr="00AC1F24">
        <w:rPr>
          <w:rFonts w:ascii="Times New Roman" w:hAnsi="Times New Roman"/>
          <w:color w:val="000000" w:themeColor="text1"/>
          <w:sz w:val="24"/>
          <w:szCs w:val="24"/>
          <w:u w:color="000000"/>
        </w:rPr>
        <w:t xml:space="preserve"> 1 520,27 EUR</w:t>
      </w:r>
    </w:p>
    <w:p w:rsidR="00385B00" w:rsidRPr="00AC1F24" w:rsidRDefault="00385B00" w:rsidP="00385B00">
      <w:pPr>
        <w:widowControl/>
        <w:tabs>
          <w:tab w:val="left" w:pos="567"/>
        </w:tabs>
        <w:spacing w:line="360" w:lineRule="auto"/>
        <w:ind w:left="567" w:hanging="283"/>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w:t>
      </w:r>
      <w:r w:rsidRPr="00AC1F24">
        <w:rPr>
          <w:rFonts w:ascii="Times New Roman" w:hAnsi="Times New Roman"/>
          <w:color w:val="000000" w:themeColor="text1"/>
          <w:sz w:val="24"/>
          <w:szCs w:val="24"/>
          <w:u w:color="000000"/>
        </w:rPr>
        <w:tab/>
        <w:t>náklady súvisiace s výplatou VP za rok 2012</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t xml:space="preserve"> 13,15 EUR</w:t>
      </w:r>
    </w:p>
    <w:p w:rsidR="00385B00" w:rsidRPr="00AC1F24" w:rsidRDefault="00385B00" w:rsidP="00385B00">
      <w:pPr>
        <w:widowControl/>
        <w:tabs>
          <w:tab w:val="left" w:pos="567"/>
          <w:tab w:val="left" w:pos="9360"/>
        </w:tabs>
        <w:spacing w:line="360" w:lineRule="auto"/>
        <w:ind w:left="567" w:hanging="283"/>
        <w:rPr>
          <w:rFonts w:ascii="Times New Roman" w:hAnsi="Times New Roman"/>
          <w:color w:val="000000" w:themeColor="text1"/>
          <w:sz w:val="24"/>
          <w:szCs w:val="24"/>
          <w:u w:color="000000"/>
        </w:rPr>
      </w:pPr>
    </w:p>
    <w:p w:rsidR="00385B00" w:rsidRPr="00AC1F24" w:rsidRDefault="00385B00" w:rsidP="00385B00">
      <w:pPr>
        <w:widowControl/>
        <w:tabs>
          <w:tab w:val="left" w:pos="567"/>
        </w:tabs>
        <w:spacing w:line="360" w:lineRule="auto"/>
        <w:ind w:left="567" w:hanging="283"/>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w:t>
      </w:r>
      <w:r w:rsidRPr="00AC1F24">
        <w:rPr>
          <w:rFonts w:ascii="Times New Roman" w:hAnsi="Times New Roman"/>
          <w:color w:val="000000" w:themeColor="text1"/>
          <w:sz w:val="24"/>
          <w:szCs w:val="24"/>
          <w:u w:color="000000"/>
        </w:rPr>
        <w:tab/>
        <w:t>výplata príspevku bola za rok 2011</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t xml:space="preserve"> </w:t>
      </w:r>
      <w:r w:rsidRPr="00AC1F24">
        <w:rPr>
          <w:rFonts w:ascii="Times New Roman" w:hAnsi="Times New Roman"/>
          <w:color w:val="000000" w:themeColor="text1"/>
          <w:sz w:val="24"/>
          <w:szCs w:val="24"/>
          <w:u w:color="000000"/>
        </w:rPr>
        <w:tab/>
        <w:t xml:space="preserve"> </w:t>
      </w:r>
      <w:r w:rsidRPr="00AC1F24">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 xml:space="preserve"> </w:t>
      </w:r>
      <w:r w:rsidRPr="00AC1F24">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 xml:space="preserve"> </w:t>
      </w:r>
      <w:r w:rsidRPr="00AC1F24">
        <w:rPr>
          <w:rFonts w:ascii="Times New Roman" w:hAnsi="Times New Roman"/>
          <w:color w:val="000000" w:themeColor="text1"/>
          <w:sz w:val="24"/>
          <w:szCs w:val="24"/>
          <w:u w:color="000000"/>
        </w:rPr>
        <w:t xml:space="preserve">  794,98 EUR</w:t>
      </w:r>
    </w:p>
    <w:p w:rsidR="00385B00" w:rsidRPr="00AC1F24" w:rsidRDefault="00385B00" w:rsidP="00385B00">
      <w:pPr>
        <w:widowControl/>
        <w:tabs>
          <w:tab w:val="left" w:pos="567"/>
        </w:tabs>
        <w:spacing w:line="360" w:lineRule="auto"/>
        <w:ind w:left="567" w:hanging="283"/>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w:t>
      </w:r>
      <w:r w:rsidRPr="00AC1F24">
        <w:rPr>
          <w:rFonts w:ascii="Times New Roman" w:hAnsi="Times New Roman"/>
          <w:color w:val="000000" w:themeColor="text1"/>
          <w:sz w:val="24"/>
          <w:szCs w:val="24"/>
          <w:u w:color="000000"/>
        </w:rPr>
        <w:tab/>
        <w:t>náklady súvisiace s výplatou VP za rok 2011</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 xml:space="preserve">      </w:t>
      </w:r>
      <w:r w:rsidRPr="00AC1F24">
        <w:rPr>
          <w:rFonts w:ascii="Times New Roman" w:hAnsi="Times New Roman"/>
          <w:color w:val="000000" w:themeColor="text1"/>
          <w:sz w:val="24"/>
          <w:szCs w:val="24"/>
          <w:u w:color="000000"/>
        </w:rPr>
        <w:t xml:space="preserve">  6,55 EUR</w:t>
      </w:r>
    </w:p>
    <w:p w:rsidR="00385B00" w:rsidRPr="00AC1F24" w:rsidRDefault="00385B00" w:rsidP="00385B00">
      <w:pPr>
        <w:widowControl/>
        <w:tabs>
          <w:tab w:val="left" w:pos="567"/>
          <w:tab w:val="left" w:pos="9360"/>
        </w:tabs>
        <w:spacing w:line="360" w:lineRule="auto"/>
        <w:ind w:left="567" w:hanging="283"/>
        <w:rPr>
          <w:rFonts w:ascii="Times New Roman" w:hAnsi="Times New Roman"/>
          <w:color w:val="000000" w:themeColor="text1"/>
          <w:sz w:val="24"/>
          <w:szCs w:val="24"/>
          <w:u w:color="000000"/>
        </w:rPr>
      </w:pPr>
    </w:p>
    <w:p w:rsidR="00385B00" w:rsidRPr="00AC1F24" w:rsidRDefault="00385B00" w:rsidP="00385B00">
      <w:pPr>
        <w:widowControl/>
        <w:tabs>
          <w:tab w:val="left" w:pos="567"/>
        </w:tabs>
        <w:spacing w:line="360" w:lineRule="auto"/>
        <w:ind w:left="567" w:hanging="283"/>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w:t>
      </w:r>
      <w:r w:rsidRPr="00AC1F24">
        <w:rPr>
          <w:rFonts w:ascii="Times New Roman" w:hAnsi="Times New Roman"/>
          <w:color w:val="000000" w:themeColor="text1"/>
          <w:sz w:val="24"/>
          <w:szCs w:val="24"/>
          <w:u w:color="000000"/>
        </w:rPr>
        <w:tab/>
        <w:t>výplata príspevku za rok 2010</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t xml:space="preserve"> </w:t>
      </w:r>
      <w:r w:rsidRPr="00AC1F24">
        <w:rPr>
          <w:rFonts w:ascii="Times New Roman" w:hAnsi="Times New Roman"/>
          <w:color w:val="000000" w:themeColor="text1"/>
          <w:sz w:val="24"/>
          <w:szCs w:val="24"/>
          <w:u w:color="000000"/>
        </w:rPr>
        <w:tab/>
        <w:t xml:space="preserve">   </w:t>
      </w:r>
      <w:r>
        <w:rPr>
          <w:rFonts w:ascii="Times New Roman" w:hAnsi="Times New Roman"/>
          <w:color w:val="000000" w:themeColor="text1"/>
          <w:sz w:val="24"/>
          <w:szCs w:val="24"/>
          <w:u w:color="000000"/>
        </w:rPr>
        <w:t xml:space="preserve"> </w:t>
      </w:r>
      <w:r w:rsidRPr="00AC1F24">
        <w:rPr>
          <w:rFonts w:ascii="Times New Roman" w:hAnsi="Times New Roman"/>
          <w:color w:val="000000" w:themeColor="text1"/>
          <w:sz w:val="24"/>
          <w:szCs w:val="24"/>
          <w:u w:color="000000"/>
        </w:rPr>
        <w:t xml:space="preserve"> 472,65 EUR</w:t>
      </w:r>
    </w:p>
    <w:p w:rsidR="00385B00" w:rsidRPr="00AC1F24" w:rsidRDefault="00385B00" w:rsidP="00385B00">
      <w:pPr>
        <w:widowControl/>
        <w:tabs>
          <w:tab w:val="left" w:pos="567"/>
        </w:tabs>
        <w:spacing w:line="360" w:lineRule="auto"/>
        <w:ind w:left="567" w:hanging="283"/>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w:t>
      </w:r>
      <w:r w:rsidRPr="00AC1F24">
        <w:rPr>
          <w:rFonts w:ascii="Times New Roman" w:hAnsi="Times New Roman"/>
          <w:color w:val="000000" w:themeColor="text1"/>
          <w:sz w:val="24"/>
          <w:szCs w:val="24"/>
          <w:u w:color="000000"/>
        </w:rPr>
        <w:tab/>
        <w:t>náklady súvisiace s výplatou VP za rok 2010</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t xml:space="preserve"> </w:t>
      </w:r>
      <w:r w:rsidRPr="00AC1F24">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 xml:space="preserve">      </w:t>
      </w:r>
      <w:r w:rsidRPr="00AC1F24">
        <w:rPr>
          <w:rFonts w:ascii="Times New Roman" w:hAnsi="Times New Roman"/>
          <w:color w:val="000000" w:themeColor="text1"/>
          <w:sz w:val="24"/>
          <w:szCs w:val="24"/>
          <w:u w:color="000000"/>
        </w:rPr>
        <w:t xml:space="preserve">  1,20 EUR</w:t>
      </w:r>
    </w:p>
    <w:p w:rsidR="00385B00" w:rsidRPr="00AC1F24" w:rsidRDefault="00385B00" w:rsidP="00385B00">
      <w:pPr>
        <w:widowControl/>
        <w:tabs>
          <w:tab w:val="left" w:pos="567"/>
        </w:tabs>
        <w:spacing w:line="360" w:lineRule="auto"/>
        <w:ind w:left="567"/>
        <w:rPr>
          <w:rFonts w:ascii="Times New Roman" w:hAnsi="Times New Roman"/>
          <w:color w:val="000000" w:themeColor="text1"/>
          <w:sz w:val="24"/>
          <w:szCs w:val="24"/>
          <w:u w:color="000000"/>
        </w:rPr>
      </w:pPr>
    </w:p>
    <w:p w:rsidR="00385B00" w:rsidRPr="00AC1F24" w:rsidRDefault="00385B00" w:rsidP="00385B00">
      <w:pPr>
        <w:widowControl/>
        <w:tabs>
          <w:tab w:val="left" w:pos="567"/>
        </w:tabs>
        <w:spacing w:line="360" w:lineRule="auto"/>
        <w:ind w:left="567" w:hanging="283"/>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w:t>
      </w:r>
      <w:r w:rsidRPr="00AC1F24">
        <w:rPr>
          <w:rFonts w:ascii="Times New Roman" w:hAnsi="Times New Roman"/>
          <w:color w:val="000000" w:themeColor="text1"/>
          <w:sz w:val="24"/>
          <w:szCs w:val="24"/>
          <w:u w:color="000000"/>
        </w:rPr>
        <w:tab/>
        <w:t>výplata príspevku za rok 2006</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 xml:space="preserve">       </w:t>
      </w:r>
      <w:r w:rsidRPr="00AC1F24">
        <w:rPr>
          <w:rFonts w:ascii="Times New Roman" w:hAnsi="Times New Roman"/>
          <w:color w:val="000000" w:themeColor="text1"/>
          <w:sz w:val="24"/>
          <w:szCs w:val="24"/>
          <w:u w:color="000000"/>
        </w:rPr>
        <w:t>66,39 EUR</w:t>
      </w:r>
    </w:p>
    <w:p w:rsidR="00385B00" w:rsidRPr="00AC1F24" w:rsidRDefault="00385B00" w:rsidP="00385B00">
      <w:pPr>
        <w:widowControl/>
        <w:tabs>
          <w:tab w:val="left" w:pos="567"/>
        </w:tabs>
        <w:spacing w:line="360" w:lineRule="auto"/>
        <w:ind w:left="567" w:hanging="283"/>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w:t>
      </w:r>
      <w:r w:rsidRPr="00AC1F24">
        <w:rPr>
          <w:rFonts w:ascii="Times New Roman" w:hAnsi="Times New Roman"/>
          <w:color w:val="000000" w:themeColor="text1"/>
          <w:sz w:val="24"/>
          <w:szCs w:val="24"/>
          <w:u w:color="000000"/>
        </w:rPr>
        <w:tab/>
        <w:t>náklady súvisiace s výplatou VP za rok 2006</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 xml:space="preserve">       </w:t>
      </w:r>
      <w:r w:rsidRPr="00AC1F24">
        <w:rPr>
          <w:rFonts w:ascii="Times New Roman" w:hAnsi="Times New Roman"/>
          <w:color w:val="000000" w:themeColor="text1"/>
          <w:sz w:val="24"/>
          <w:szCs w:val="24"/>
          <w:u w:color="000000"/>
        </w:rPr>
        <w:t xml:space="preserve"> 0,05 EUR</w:t>
      </w:r>
    </w:p>
    <w:p w:rsidR="00385B00" w:rsidRPr="00AC1F24" w:rsidRDefault="00385B00" w:rsidP="00385B00">
      <w:pPr>
        <w:widowControl/>
        <w:tabs>
          <w:tab w:val="left" w:pos="567"/>
        </w:tabs>
        <w:spacing w:line="360" w:lineRule="auto"/>
        <w:ind w:left="510"/>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 xml:space="preserve">Zostatok zúčtovania so štátnym rozpočtom k 31. 12. 2018 – preplatok na zúčtovaní </w:t>
      </w:r>
      <w:r>
        <w:rPr>
          <w:rFonts w:ascii="Times New Roman" w:hAnsi="Times New Roman"/>
          <w:color w:val="000000" w:themeColor="text1"/>
          <w:sz w:val="24"/>
          <w:szCs w:val="24"/>
          <w:u w:color="000000"/>
        </w:rPr>
        <w:t xml:space="preserve">  </w:t>
      </w:r>
      <w:r w:rsidRPr="00AC1F24">
        <w:rPr>
          <w:rFonts w:ascii="Times New Roman" w:hAnsi="Times New Roman"/>
          <w:color w:val="000000" w:themeColor="text1"/>
          <w:sz w:val="24"/>
          <w:szCs w:val="24"/>
          <w:u w:color="000000"/>
        </w:rPr>
        <w:t xml:space="preserve">vianočného príspevku  </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t xml:space="preserve">  </w:t>
      </w:r>
      <w:r>
        <w:rPr>
          <w:rFonts w:ascii="Times New Roman" w:hAnsi="Times New Roman"/>
          <w:color w:val="000000" w:themeColor="text1"/>
          <w:sz w:val="24"/>
          <w:szCs w:val="24"/>
          <w:u w:color="000000"/>
        </w:rPr>
        <w:t xml:space="preserve"> </w:t>
      </w:r>
      <w:r w:rsidRPr="00AC1F24">
        <w:rPr>
          <w:rFonts w:ascii="Times New Roman" w:hAnsi="Times New Roman"/>
          <w:color w:val="000000" w:themeColor="text1"/>
          <w:sz w:val="24"/>
          <w:szCs w:val="24"/>
          <w:u w:color="000000"/>
        </w:rPr>
        <w:t xml:space="preserve"> </w:t>
      </w:r>
      <w:r w:rsidRPr="00AC1F24">
        <w:rPr>
          <w:rFonts w:ascii="Times New Roman" w:hAnsi="Times New Roman"/>
          <w:b/>
          <w:bCs/>
          <w:color w:val="000000" w:themeColor="text1"/>
          <w:sz w:val="24"/>
          <w:szCs w:val="24"/>
          <w:u w:color="000000"/>
        </w:rPr>
        <w:t>3 220 276,42 EUR</w:t>
      </w:r>
    </w:p>
    <w:p w:rsidR="00385B00" w:rsidRPr="00AC1F24" w:rsidRDefault="00385B00" w:rsidP="00385B00">
      <w:pPr>
        <w:widowControl/>
        <w:tabs>
          <w:tab w:val="left" w:pos="567"/>
        </w:tabs>
        <w:spacing w:line="360" w:lineRule="auto"/>
        <w:ind w:left="567" w:hanging="567"/>
        <w:rPr>
          <w:rFonts w:ascii="Times New Roman" w:hAnsi="Times New Roman"/>
          <w:color w:val="000000" w:themeColor="text1"/>
          <w:sz w:val="24"/>
          <w:szCs w:val="24"/>
          <w:u w:color="000000"/>
        </w:rPr>
      </w:pPr>
    </w:p>
    <w:p w:rsidR="00385B00" w:rsidRPr="00AC1F24" w:rsidRDefault="00385B00" w:rsidP="00385B00">
      <w:pPr>
        <w:pStyle w:val="Odsekzoznamu"/>
        <w:widowControl/>
        <w:numPr>
          <w:ilvl w:val="0"/>
          <w:numId w:val="29"/>
        </w:numPr>
        <w:tabs>
          <w:tab w:val="left" w:pos="567"/>
        </w:tabs>
        <w:spacing w:line="360" w:lineRule="auto"/>
        <w:ind w:hanging="436"/>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 xml:space="preserve">finančné prostriedky poskytnuté MO SR na výplatu príspevku </w:t>
      </w:r>
    </w:p>
    <w:p w:rsidR="00385B00" w:rsidRPr="00AC1F24" w:rsidRDefault="00385B00" w:rsidP="00385B00">
      <w:pPr>
        <w:widowControl/>
        <w:tabs>
          <w:tab w:val="left" w:pos="567"/>
        </w:tabs>
        <w:spacing w:line="360" w:lineRule="auto"/>
        <w:ind w:left="284"/>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 xml:space="preserve">   účastníkom národného odboja za oslobodenie</w:t>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t xml:space="preserve">    </w:t>
      </w:r>
      <w:r w:rsidRPr="00AC1F24">
        <w:rPr>
          <w:rFonts w:ascii="Times New Roman" w:hAnsi="Times New Roman"/>
          <w:color w:val="000000" w:themeColor="text1"/>
          <w:sz w:val="24"/>
          <w:szCs w:val="24"/>
          <w:u w:color="000000"/>
        </w:rPr>
        <w:t>1 447 508,56 EUR</w:t>
      </w:r>
    </w:p>
    <w:p w:rsidR="00385B00" w:rsidRPr="00AC1F24" w:rsidRDefault="00385B00" w:rsidP="00385B00">
      <w:pPr>
        <w:widowControl/>
        <w:spacing w:line="360" w:lineRule="auto"/>
        <w:ind w:left="567" w:hanging="283"/>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w:t>
      </w:r>
      <w:r w:rsidRPr="00AC1F24">
        <w:rPr>
          <w:rFonts w:ascii="Times New Roman" w:hAnsi="Times New Roman"/>
          <w:color w:val="000000" w:themeColor="text1"/>
          <w:sz w:val="24"/>
          <w:szCs w:val="24"/>
          <w:u w:color="000000"/>
        </w:rPr>
        <w:tab/>
        <w:t>výplata dávok účastníkom národného odboja za oslobodenie</w:t>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t xml:space="preserve">    </w:t>
      </w:r>
      <w:r w:rsidRPr="00AC1F24">
        <w:rPr>
          <w:rFonts w:ascii="Times New Roman" w:hAnsi="Times New Roman"/>
          <w:color w:val="000000" w:themeColor="text1"/>
          <w:sz w:val="24"/>
          <w:szCs w:val="24"/>
          <w:u w:color="000000"/>
        </w:rPr>
        <w:t>1 549 575,13 EUR</w:t>
      </w:r>
    </w:p>
    <w:p w:rsidR="00385B00" w:rsidRPr="00AC1F24" w:rsidRDefault="00385B00" w:rsidP="00385B00">
      <w:pPr>
        <w:widowControl/>
        <w:spacing w:line="360" w:lineRule="auto"/>
        <w:ind w:left="567" w:hanging="283"/>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w:t>
      </w:r>
      <w:r w:rsidRPr="00AC1F24">
        <w:rPr>
          <w:rFonts w:ascii="Times New Roman" w:hAnsi="Times New Roman"/>
          <w:color w:val="000000" w:themeColor="text1"/>
          <w:sz w:val="24"/>
          <w:szCs w:val="24"/>
          <w:u w:color="000000"/>
        </w:rPr>
        <w:tab/>
        <w:t>náklady súvisiace s výplatou dávok účastníkom národného odboja</w:t>
      </w:r>
      <w:r w:rsidRPr="00AC1F24">
        <w:rPr>
          <w:rFonts w:ascii="Times New Roman" w:hAnsi="Times New Roman"/>
          <w:color w:val="000000" w:themeColor="text1"/>
          <w:sz w:val="24"/>
          <w:szCs w:val="24"/>
          <w:u w:color="000000"/>
        </w:rPr>
        <w:tab/>
        <w:t xml:space="preserve"> </w:t>
      </w:r>
      <w:r w:rsidRPr="00AC1F24">
        <w:rPr>
          <w:rFonts w:ascii="Times New Roman" w:hAnsi="Times New Roman"/>
          <w:color w:val="000000" w:themeColor="text1"/>
          <w:sz w:val="24"/>
          <w:szCs w:val="24"/>
          <w:u w:color="000000"/>
        </w:rPr>
        <w:tab/>
        <w:t xml:space="preserve">  19 628,30 EUR</w:t>
      </w:r>
    </w:p>
    <w:p w:rsidR="00385B00" w:rsidRPr="00AC1F24" w:rsidRDefault="00385B00" w:rsidP="00385B00">
      <w:pPr>
        <w:widowControl/>
        <w:spacing w:line="360" w:lineRule="auto"/>
        <w:ind w:firstLine="567"/>
        <w:rPr>
          <w:rFonts w:ascii="Times New Roman" w:hAnsi="Times New Roman"/>
          <w:b/>
          <w:bCs/>
          <w:color w:val="000000" w:themeColor="text1"/>
          <w:sz w:val="24"/>
          <w:szCs w:val="24"/>
          <w:u w:color="000000"/>
        </w:rPr>
      </w:pPr>
      <w:r w:rsidRPr="00AC1F24">
        <w:rPr>
          <w:rFonts w:ascii="Times New Roman" w:hAnsi="Times New Roman"/>
          <w:color w:val="000000" w:themeColor="text1"/>
          <w:sz w:val="24"/>
          <w:szCs w:val="24"/>
          <w:u w:color="000000"/>
        </w:rPr>
        <w:t>Zostatok k 31. 12. 2018 predstavuje pohľadávku v sume</w:t>
      </w:r>
      <w:r w:rsidRPr="00AC1F24">
        <w:rPr>
          <w:rFonts w:ascii="Times New Roman" w:hAnsi="Times New Roman"/>
          <w:color w:val="000000" w:themeColor="text1"/>
          <w:sz w:val="24"/>
          <w:szCs w:val="24"/>
          <w:u w:color="000000"/>
        </w:rPr>
        <w:tab/>
        <w:t xml:space="preserve"> </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b/>
          <w:color w:val="000000" w:themeColor="text1"/>
          <w:sz w:val="24"/>
          <w:szCs w:val="24"/>
          <w:u w:color="000000"/>
        </w:rPr>
        <w:t xml:space="preserve">    -</w:t>
      </w:r>
      <w:r w:rsidRPr="00AC1F24">
        <w:rPr>
          <w:rFonts w:ascii="Times New Roman" w:hAnsi="Times New Roman"/>
          <w:color w:val="000000" w:themeColor="text1"/>
          <w:sz w:val="24"/>
          <w:szCs w:val="24"/>
          <w:u w:color="000000"/>
        </w:rPr>
        <w:t xml:space="preserve"> </w:t>
      </w:r>
      <w:r w:rsidRPr="00AC1F24">
        <w:rPr>
          <w:rFonts w:ascii="Times New Roman" w:hAnsi="Times New Roman"/>
          <w:b/>
          <w:bCs/>
          <w:color w:val="000000" w:themeColor="text1"/>
          <w:sz w:val="24"/>
          <w:szCs w:val="24"/>
          <w:u w:color="000000"/>
        </w:rPr>
        <w:t>121 694,87 EUR</w:t>
      </w:r>
    </w:p>
    <w:p w:rsidR="00385B00" w:rsidRPr="00AC1F24" w:rsidRDefault="00385B00" w:rsidP="00385B00">
      <w:pPr>
        <w:widowControl/>
        <w:spacing w:line="360" w:lineRule="auto"/>
        <w:ind w:firstLine="567"/>
        <w:rPr>
          <w:rFonts w:ascii="Times New Roman" w:hAnsi="Times New Roman"/>
          <w:b/>
          <w:bCs/>
          <w:color w:val="000000" w:themeColor="text1"/>
          <w:sz w:val="24"/>
          <w:szCs w:val="24"/>
          <w:u w:color="000000"/>
        </w:rPr>
      </w:pPr>
    </w:p>
    <w:p w:rsidR="00385B00" w:rsidRDefault="00385B00" w:rsidP="00385B00">
      <w:pPr>
        <w:pStyle w:val="Odsekzoznamu"/>
        <w:widowControl/>
        <w:numPr>
          <w:ilvl w:val="0"/>
          <w:numId w:val="29"/>
        </w:numPr>
        <w:tabs>
          <w:tab w:val="left" w:pos="567"/>
        </w:tabs>
        <w:spacing w:line="360" w:lineRule="auto"/>
        <w:ind w:hanging="436"/>
        <w:rPr>
          <w:rFonts w:ascii="Times New Roman" w:hAnsi="Times New Roman"/>
          <w:color w:val="000000" w:themeColor="text1"/>
          <w:sz w:val="24"/>
          <w:szCs w:val="24"/>
          <w:u w:color="000000"/>
        </w:rPr>
      </w:pPr>
      <w:r w:rsidRPr="00F81D54">
        <w:rPr>
          <w:rFonts w:ascii="Times New Roman" w:hAnsi="Times New Roman"/>
          <w:color w:val="000000" w:themeColor="text1"/>
          <w:sz w:val="24"/>
          <w:szCs w:val="24"/>
          <w:u w:color="000000"/>
        </w:rPr>
        <w:t xml:space="preserve">finančné prostriedky poskytnuté MO SR na výplatu </w:t>
      </w:r>
    </w:p>
    <w:p w:rsidR="00385B00" w:rsidRPr="00F81D54" w:rsidRDefault="00385B00" w:rsidP="00385B00">
      <w:pPr>
        <w:widowControl/>
        <w:tabs>
          <w:tab w:val="left" w:pos="567"/>
        </w:tabs>
        <w:spacing w:line="360" w:lineRule="auto"/>
        <w:ind w:left="284"/>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 xml:space="preserve">   </w:t>
      </w:r>
      <w:r w:rsidRPr="00F81D54">
        <w:rPr>
          <w:rFonts w:ascii="Times New Roman" w:hAnsi="Times New Roman"/>
          <w:color w:val="000000" w:themeColor="text1"/>
          <w:sz w:val="24"/>
          <w:szCs w:val="24"/>
          <w:u w:color="000000"/>
        </w:rPr>
        <w:t>úrazových dávok vojakom dobrovoľnej vojenskej prípravy</w:t>
      </w:r>
      <w:r w:rsidRPr="00F81D54">
        <w:rPr>
          <w:rFonts w:ascii="Times New Roman" w:hAnsi="Times New Roman"/>
          <w:color w:val="000000" w:themeColor="text1"/>
          <w:sz w:val="24"/>
          <w:szCs w:val="24"/>
          <w:u w:color="000000"/>
        </w:rPr>
        <w:tab/>
      </w:r>
      <w:r w:rsidRPr="00F81D54">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sidRPr="00F81D54">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 xml:space="preserve">  </w:t>
      </w:r>
      <w:r w:rsidRPr="00F81D54">
        <w:rPr>
          <w:rFonts w:ascii="Times New Roman" w:hAnsi="Times New Roman"/>
          <w:color w:val="000000" w:themeColor="text1"/>
          <w:sz w:val="24"/>
          <w:szCs w:val="24"/>
          <w:u w:color="000000"/>
        </w:rPr>
        <w:t xml:space="preserve">     0,00 EUR</w:t>
      </w:r>
    </w:p>
    <w:p w:rsidR="00385B00" w:rsidRPr="00AC1F24" w:rsidRDefault="00385B00" w:rsidP="00385B00">
      <w:pPr>
        <w:widowControl/>
        <w:spacing w:line="360" w:lineRule="auto"/>
        <w:ind w:left="567" w:hanging="283"/>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w:t>
      </w:r>
      <w:r w:rsidRPr="00AC1F24">
        <w:rPr>
          <w:rFonts w:ascii="Times New Roman" w:hAnsi="Times New Roman"/>
          <w:color w:val="000000" w:themeColor="text1"/>
          <w:sz w:val="24"/>
          <w:szCs w:val="24"/>
          <w:u w:color="000000"/>
        </w:rPr>
        <w:tab/>
        <w:t xml:space="preserve">výplata úrazových dávok vojakom dobrovoľnej vojenskej prípravy  </w:t>
      </w:r>
      <w:r w:rsidRPr="00AC1F24">
        <w:rPr>
          <w:rFonts w:ascii="Times New Roman" w:hAnsi="Times New Roman"/>
          <w:color w:val="000000" w:themeColor="text1"/>
          <w:sz w:val="24"/>
          <w:szCs w:val="24"/>
          <w:u w:color="000000"/>
        </w:rPr>
        <w:tab/>
        <w:t xml:space="preserve"> </w:t>
      </w:r>
      <w:r>
        <w:rPr>
          <w:rFonts w:ascii="Times New Roman" w:hAnsi="Times New Roman"/>
          <w:color w:val="000000" w:themeColor="text1"/>
          <w:sz w:val="24"/>
          <w:szCs w:val="24"/>
          <w:u w:color="000000"/>
        </w:rPr>
        <w:t xml:space="preserve">  </w:t>
      </w:r>
      <w:r w:rsidRPr="00AC1F24">
        <w:rPr>
          <w:rFonts w:ascii="Times New Roman" w:hAnsi="Times New Roman"/>
          <w:color w:val="000000" w:themeColor="text1"/>
          <w:sz w:val="24"/>
          <w:szCs w:val="24"/>
          <w:u w:color="000000"/>
        </w:rPr>
        <w:t xml:space="preserve"> 1 430,00 EUR</w:t>
      </w:r>
    </w:p>
    <w:p w:rsidR="00385B00" w:rsidRPr="00AC1F24" w:rsidRDefault="00385B00" w:rsidP="00385B00">
      <w:pPr>
        <w:widowControl/>
        <w:spacing w:line="360" w:lineRule="auto"/>
        <w:ind w:firstLine="567"/>
        <w:rPr>
          <w:rFonts w:ascii="Times New Roman" w:hAnsi="Times New Roman"/>
          <w:b/>
          <w:bCs/>
          <w:color w:val="000000" w:themeColor="text1"/>
          <w:sz w:val="24"/>
          <w:szCs w:val="24"/>
          <w:u w:color="000000"/>
        </w:rPr>
      </w:pPr>
      <w:r w:rsidRPr="00AC1F24">
        <w:rPr>
          <w:rFonts w:ascii="Times New Roman" w:hAnsi="Times New Roman"/>
          <w:color w:val="000000" w:themeColor="text1"/>
          <w:sz w:val="24"/>
          <w:szCs w:val="24"/>
          <w:u w:color="000000"/>
        </w:rPr>
        <w:t>Zostatok k 31. 12. 2018 predstavuje pohľadávku v sume</w:t>
      </w:r>
      <w:r w:rsidRPr="00AC1F24">
        <w:rPr>
          <w:rFonts w:ascii="Times New Roman" w:hAnsi="Times New Roman"/>
          <w:color w:val="000000" w:themeColor="text1"/>
          <w:sz w:val="24"/>
          <w:szCs w:val="24"/>
          <w:u w:color="000000"/>
        </w:rPr>
        <w:tab/>
        <w:t xml:space="preserve"> </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t xml:space="preserve">   </w:t>
      </w:r>
      <w:r>
        <w:rPr>
          <w:rFonts w:ascii="Times New Roman" w:hAnsi="Times New Roman"/>
          <w:color w:val="000000" w:themeColor="text1"/>
          <w:sz w:val="24"/>
          <w:szCs w:val="24"/>
          <w:u w:color="000000"/>
        </w:rPr>
        <w:t xml:space="preserve">   </w:t>
      </w:r>
      <w:r w:rsidRPr="00AC1F24">
        <w:rPr>
          <w:rFonts w:ascii="Times New Roman" w:hAnsi="Times New Roman"/>
          <w:b/>
          <w:color w:val="000000" w:themeColor="text1"/>
          <w:sz w:val="24"/>
          <w:szCs w:val="24"/>
          <w:u w:color="000000"/>
        </w:rPr>
        <w:t xml:space="preserve"> </w:t>
      </w:r>
      <w:r w:rsidRPr="0027516A">
        <w:rPr>
          <w:rFonts w:ascii="Times New Roman" w:hAnsi="Times New Roman"/>
          <w:b/>
          <w:color w:val="000000" w:themeColor="text1"/>
          <w:sz w:val="24"/>
          <w:szCs w:val="24"/>
          <w:u w:color="000000"/>
        </w:rPr>
        <w:t xml:space="preserve">- </w:t>
      </w:r>
      <w:r w:rsidRPr="00AC1F24">
        <w:rPr>
          <w:rFonts w:ascii="Times New Roman" w:hAnsi="Times New Roman"/>
          <w:b/>
          <w:color w:val="000000" w:themeColor="text1"/>
          <w:sz w:val="24"/>
          <w:szCs w:val="24"/>
          <w:u w:color="000000"/>
        </w:rPr>
        <w:t>1 430,00</w:t>
      </w:r>
      <w:r w:rsidRPr="00AC1F24">
        <w:rPr>
          <w:rFonts w:ascii="Times New Roman" w:hAnsi="Times New Roman"/>
          <w:b/>
          <w:bCs/>
          <w:color w:val="000000" w:themeColor="text1"/>
          <w:sz w:val="24"/>
          <w:szCs w:val="24"/>
          <w:u w:color="000000"/>
        </w:rPr>
        <w:t xml:space="preserve"> EUR</w:t>
      </w:r>
    </w:p>
    <w:p w:rsidR="00385B00" w:rsidRPr="00AC1F24" w:rsidRDefault="00385B00" w:rsidP="00385B00">
      <w:pPr>
        <w:widowControl/>
        <w:tabs>
          <w:tab w:val="left" w:pos="567"/>
        </w:tabs>
        <w:spacing w:line="360" w:lineRule="auto"/>
        <w:ind w:left="567" w:hanging="567"/>
        <w:rPr>
          <w:rFonts w:ascii="Times New Roman" w:hAnsi="Times New Roman"/>
          <w:color w:val="000000" w:themeColor="text1"/>
          <w:sz w:val="24"/>
          <w:szCs w:val="24"/>
          <w:u w:color="000000"/>
        </w:rPr>
      </w:pPr>
    </w:p>
    <w:p w:rsidR="00385B00" w:rsidRPr="00AC1F24" w:rsidRDefault="00385B00" w:rsidP="00385B00">
      <w:pPr>
        <w:pStyle w:val="Odsekzoznamu"/>
        <w:widowControl/>
        <w:numPr>
          <w:ilvl w:val="0"/>
          <w:numId w:val="29"/>
        </w:numPr>
        <w:tabs>
          <w:tab w:val="left" w:pos="567"/>
        </w:tabs>
        <w:spacing w:line="360" w:lineRule="auto"/>
        <w:ind w:hanging="436"/>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 xml:space="preserve">finančné prostriedky poskytnuté </w:t>
      </w:r>
      <w:proofErr w:type="spellStart"/>
      <w:r w:rsidRPr="00AC1F24">
        <w:rPr>
          <w:rFonts w:ascii="Times New Roman" w:hAnsi="Times New Roman"/>
          <w:color w:val="000000" w:themeColor="text1"/>
          <w:sz w:val="24"/>
          <w:szCs w:val="24"/>
          <w:u w:color="000000"/>
        </w:rPr>
        <w:t>MPSVaR</w:t>
      </w:r>
      <w:proofErr w:type="spellEnd"/>
      <w:r w:rsidRPr="00AC1F24">
        <w:rPr>
          <w:rFonts w:ascii="Times New Roman" w:hAnsi="Times New Roman"/>
          <w:color w:val="000000" w:themeColor="text1"/>
          <w:sz w:val="24"/>
          <w:szCs w:val="24"/>
          <w:u w:color="000000"/>
        </w:rPr>
        <w:t xml:space="preserve"> SR na výplatu </w:t>
      </w:r>
    </w:p>
    <w:p w:rsidR="00385B00" w:rsidRPr="00AC1F24" w:rsidRDefault="00385B00" w:rsidP="00385B00">
      <w:pPr>
        <w:widowControl/>
        <w:tabs>
          <w:tab w:val="left" w:pos="567"/>
        </w:tabs>
        <w:spacing w:line="360" w:lineRule="auto"/>
        <w:ind w:left="284"/>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 xml:space="preserve">   minimálneho dôchodku (MINDO)</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t xml:space="preserve">   </w:t>
      </w:r>
      <w:r w:rsidRPr="00AC1F24">
        <w:rPr>
          <w:rFonts w:ascii="Times New Roman" w:hAnsi="Times New Roman"/>
          <w:color w:val="000000" w:themeColor="text1"/>
          <w:sz w:val="24"/>
          <w:szCs w:val="24"/>
          <w:u w:color="000000"/>
        </w:rPr>
        <w:t>16 200 000,00 EUR</w:t>
      </w:r>
    </w:p>
    <w:p w:rsidR="00385B00" w:rsidRDefault="00385B00" w:rsidP="00385B00">
      <w:pPr>
        <w:widowControl/>
        <w:spacing w:line="360" w:lineRule="auto"/>
        <w:ind w:left="567" w:hanging="283"/>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 xml:space="preserve">  </w:t>
      </w:r>
    </w:p>
    <w:p w:rsidR="00385B00" w:rsidRPr="00AC1F24" w:rsidRDefault="00385B00" w:rsidP="00385B00">
      <w:pPr>
        <w:widowControl/>
        <w:spacing w:line="360" w:lineRule="auto"/>
        <w:ind w:left="567" w:hanging="283"/>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ab/>
        <w:t>celková výplata dávok súvisiaca s výplatou MINDO</w:t>
      </w:r>
    </w:p>
    <w:p w:rsidR="00385B00" w:rsidRPr="00AC1F24" w:rsidRDefault="00385B00" w:rsidP="00385B00">
      <w:pPr>
        <w:widowControl/>
        <w:spacing w:line="360" w:lineRule="auto"/>
        <w:ind w:left="567" w:hanging="57"/>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 xml:space="preserve"> - tuzemsko</w:t>
      </w:r>
      <w:r w:rsidRPr="00AC1F24">
        <w:rPr>
          <w:rFonts w:ascii="Times New Roman" w:hAnsi="Times New Roman"/>
          <w:color w:val="000000" w:themeColor="text1"/>
          <w:sz w:val="24"/>
          <w:szCs w:val="24"/>
          <w:u w:color="000000"/>
        </w:rPr>
        <w:tab/>
        <w:t xml:space="preserve">   </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 xml:space="preserve">  </w:t>
      </w:r>
      <w:r w:rsidRPr="00AC1F24">
        <w:rPr>
          <w:rFonts w:ascii="Times New Roman" w:hAnsi="Times New Roman"/>
          <w:color w:val="000000" w:themeColor="text1"/>
          <w:sz w:val="24"/>
          <w:szCs w:val="24"/>
          <w:u w:color="000000"/>
        </w:rPr>
        <w:t xml:space="preserve"> 14 980 575,00 EUR</w:t>
      </w:r>
    </w:p>
    <w:p w:rsidR="00385B00" w:rsidRPr="00AC1F24" w:rsidRDefault="00385B00" w:rsidP="00385B00">
      <w:pPr>
        <w:widowControl/>
        <w:spacing w:line="360" w:lineRule="auto"/>
        <w:ind w:left="644"/>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 zahraničie  </w:t>
      </w:r>
      <w:r w:rsidRPr="00AC1F24">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 xml:space="preserve">     </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t xml:space="preserve">  </w:t>
      </w:r>
      <w:r w:rsidRPr="00AC1F24">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 xml:space="preserve"> </w:t>
      </w:r>
      <w:r w:rsidRPr="00AC1F24">
        <w:rPr>
          <w:rFonts w:ascii="Times New Roman" w:hAnsi="Times New Roman"/>
          <w:color w:val="000000" w:themeColor="text1"/>
          <w:sz w:val="24"/>
          <w:szCs w:val="24"/>
          <w:u w:color="000000"/>
        </w:rPr>
        <w:t>1 000 000,00 EUR</w:t>
      </w:r>
    </w:p>
    <w:p w:rsidR="00385B00" w:rsidRPr="00AC1F24" w:rsidRDefault="00385B00" w:rsidP="00385B00">
      <w:pPr>
        <w:widowControl/>
        <w:spacing w:line="360" w:lineRule="auto"/>
        <w:ind w:firstLine="567"/>
        <w:rPr>
          <w:rFonts w:ascii="Times New Roman" w:hAnsi="Times New Roman"/>
          <w:b/>
          <w:bCs/>
          <w:color w:val="000000" w:themeColor="text1"/>
          <w:sz w:val="24"/>
          <w:szCs w:val="24"/>
          <w:u w:color="000000"/>
        </w:rPr>
      </w:pPr>
      <w:r w:rsidRPr="00AC1F24">
        <w:rPr>
          <w:rFonts w:ascii="Times New Roman" w:hAnsi="Times New Roman"/>
          <w:color w:val="000000" w:themeColor="text1"/>
          <w:sz w:val="24"/>
          <w:szCs w:val="24"/>
          <w:u w:color="000000"/>
        </w:rPr>
        <w:t>Zostatok k 31. 12. 2018 predstavuje záväzok v sume</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t xml:space="preserve"> </w:t>
      </w:r>
      <w:r w:rsidRPr="00AC1F24">
        <w:rPr>
          <w:rFonts w:ascii="Times New Roman" w:hAnsi="Times New Roman"/>
          <w:b/>
          <w:color w:val="000000" w:themeColor="text1"/>
          <w:sz w:val="24"/>
          <w:szCs w:val="24"/>
          <w:u w:color="000000"/>
        </w:rPr>
        <w:t>218 516,76</w:t>
      </w:r>
      <w:r w:rsidRPr="00AC1F24">
        <w:rPr>
          <w:rFonts w:ascii="Times New Roman" w:hAnsi="Times New Roman"/>
          <w:b/>
          <w:bCs/>
          <w:color w:val="000000" w:themeColor="text1"/>
          <w:sz w:val="24"/>
          <w:szCs w:val="24"/>
          <w:u w:color="000000"/>
        </w:rPr>
        <w:t xml:space="preserve"> EUR</w:t>
      </w:r>
    </w:p>
    <w:p w:rsidR="00385B00" w:rsidRPr="00AC1F24" w:rsidRDefault="00385B00" w:rsidP="00385B00">
      <w:pPr>
        <w:widowControl/>
        <w:spacing w:line="360" w:lineRule="auto"/>
        <w:ind w:firstLine="510"/>
        <w:rPr>
          <w:rFonts w:ascii="Times New Roman" w:hAnsi="Times New Roman"/>
          <w:b/>
          <w:bCs/>
          <w:color w:val="000000" w:themeColor="text1"/>
          <w:sz w:val="24"/>
          <w:szCs w:val="24"/>
          <w:u w:color="000000"/>
        </w:rPr>
      </w:pPr>
    </w:p>
    <w:p w:rsidR="00385B00" w:rsidRPr="00AC1F24" w:rsidRDefault="00385B00" w:rsidP="00385B00">
      <w:pPr>
        <w:pStyle w:val="Odsekzoznamu"/>
        <w:widowControl/>
        <w:numPr>
          <w:ilvl w:val="0"/>
          <w:numId w:val="29"/>
        </w:numPr>
        <w:tabs>
          <w:tab w:val="left" w:pos="567"/>
        </w:tabs>
        <w:spacing w:line="360" w:lineRule="auto"/>
        <w:ind w:hanging="436"/>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 xml:space="preserve">finančné prostriedky poskytnuté </w:t>
      </w:r>
      <w:proofErr w:type="spellStart"/>
      <w:r w:rsidRPr="00AC1F24">
        <w:rPr>
          <w:rFonts w:ascii="Times New Roman" w:hAnsi="Times New Roman"/>
          <w:color w:val="000000" w:themeColor="text1"/>
          <w:sz w:val="24"/>
          <w:szCs w:val="24"/>
          <w:u w:color="000000"/>
        </w:rPr>
        <w:t>MPSVaR</w:t>
      </w:r>
      <w:proofErr w:type="spellEnd"/>
      <w:r w:rsidRPr="00AC1F24">
        <w:rPr>
          <w:rFonts w:ascii="Times New Roman" w:hAnsi="Times New Roman"/>
          <w:color w:val="000000" w:themeColor="text1"/>
          <w:sz w:val="24"/>
          <w:szCs w:val="24"/>
          <w:u w:color="000000"/>
        </w:rPr>
        <w:t xml:space="preserve"> SR na výplatu vyrovnávajúceho </w:t>
      </w:r>
    </w:p>
    <w:p w:rsidR="00385B00" w:rsidRPr="00AC1F24" w:rsidRDefault="00385B00" w:rsidP="00385B00">
      <w:pPr>
        <w:widowControl/>
        <w:tabs>
          <w:tab w:val="left" w:pos="567"/>
        </w:tabs>
        <w:spacing w:line="360" w:lineRule="auto"/>
        <w:ind w:left="284"/>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 xml:space="preserve">   príplatku  </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t xml:space="preserve"> 835 000,00 EUR</w:t>
      </w:r>
    </w:p>
    <w:p w:rsidR="00385B00" w:rsidRPr="00AC1F24" w:rsidRDefault="00385B00" w:rsidP="00385B00">
      <w:pPr>
        <w:widowControl/>
        <w:spacing w:line="360" w:lineRule="auto"/>
        <w:ind w:left="567"/>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 xml:space="preserve">celková výplata dávok súvisiaca s výplatou vyrovnávajúceho príplatku </w:t>
      </w:r>
    </w:p>
    <w:p w:rsidR="00385B00" w:rsidRPr="00AC1F24" w:rsidRDefault="00385B00" w:rsidP="00385B00">
      <w:pPr>
        <w:pStyle w:val="Odsekzoznamu"/>
        <w:widowControl/>
        <w:numPr>
          <w:ilvl w:val="0"/>
          <w:numId w:val="22"/>
        </w:numPr>
        <w:spacing w:line="360" w:lineRule="auto"/>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tuzemsko</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t xml:space="preserve"> 786 127,88 EUR</w:t>
      </w:r>
    </w:p>
    <w:p w:rsidR="00385B00" w:rsidRPr="00AC1F24" w:rsidRDefault="00385B00" w:rsidP="00385B00">
      <w:pPr>
        <w:pStyle w:val="Odsekzoznamu"/>
        <w:widowControl/>
        <w:numPr>
          <w:ilvl w:val="0"/>
          <w:numId w:val="22"/>
        </w:numPr>
        <w:spacing w:line="360" w:lineRule="auto"/>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 xml:space="preserve">zahraničie       </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t xml:space="preserve">   </w:t>
      </w:r>
      <w:r w:rsidRPr="00AC1F24">
        <w:rPr>
          <w:rFonts w:ascii="Times New Roman" w:hAnsi="Times New Roman"/>
          <w:color w:val="000000" w:themeColor="text1"/>
          <w:sz w:val="24"/>
          <w:szCs w:val="24"/>
          <w:u w:color="000000"/>
        </w:rPr>
        <w:t xml:space="preserve"> 4 485,30 EUR</w:t>
      </w:r>
    </w:p>
    <w:p w:rsidR="00385B00" w:rsidRPr="00AC1F24" w:rsidRDefault="00385B00" w:rsidP="00385B00">
      <w:pPr>
        <w:widowControl/>
        <w:spacing w:line="360" w:lineRule="auto"/>
        <w:ind w:firstLine="567"/>
        <w:rPr>
          <w:rFonts w:ascii="Times New Roman" w:hAnsi="Times New Roman"/>
          <w:b/>
          <w:bCs/>
          <w:color w:val="000000" w:themeColor="text1"/>
          <w:sz w:val="24"/>
          <w:szCs w:val="24"/>
          <w:u w:color="000000"/>
        </w:rPr>
      </w:pPr>
      <w:r w:rsidRPr="00AC1F24">
        <w:rPr>
          <w:rFonts w:ascii="Times New Roman" w:hAnsi="Times New Roman"/>
          <w:color w:val="000000" w:themeColor="text1"/>
          <w:sz w:val="24"/>
          <w:szCs w:val="24"/>
          <w:u w:color="000000"/>
        </w:rPr>
        <w:t>Zostatok k 31. 12. 2018 predstavuje záväzok v sume</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t xml:space="preserve"> </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t xml:space="preserve">  </w:t>
      </w:r>
      <w:r w:rsidRPr="00AC1F24">
        <w:rPr>
          <w:rFonts w:ascii="Times New Roman" w:hAnsi="Times New Roman"/>
          <w:b/>
          <w:bCs/>
          <w:color w:val="000000" w:themeColor="text1"/>
          <w:sz w:val="24"/>
          <w:szCs w:val="24"/>
          <w:u w:color="000000"/>
        </w:rPr>
        <w:t>44 386,82 EUR</w:t>
      </w:r>
    </w:p>
    <w:p w:rsidR="00385B00" w:rsidRPr="00AC1F24" w:rsidRDefault="00385B00" w:rsidP="00385B00">
      <w:pPr>
        <w:widowControl/>
        <w:spacing w:line="360" w:lineRule="auto"/>
        <w:rPr>
          <w:rFonts w:ascii="Times New Roman" w:hAnsi="Times New Roman"/>
          <w:b/>
          <w:bCs/>
          <w:color w:val="000000" w:themeColor="text1"/>
          <w:sz w:val="24"/>
          <w:szCs w:val="24"/>
          <w:u w:color="000000"/>
        </w:rPr>
      </w:pPr>
    </w:p>
    <w:p w:rsidR="00385B00" w:rsidRPr="00AC1F24" w:rsidRDefault="00385B00" w:rsidP="00385B00">
      <w:pPr>
        <w:pStyle w:val="Odsekzoznamu"/>
        <w:widowControl/>
        <w:numPr>
          <w:ilvl w:val="0"/>
          <w:numId w:val="29"/>
        </w:numPr>
        <w:tabs>
          <w:tab w:val="left" w:pos="567"/>
        </w:tabs>
        <w:spacing w:line="360" w:lineRule="auto"/>
        <w:ind w:hanging="436"/>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 xml:space="preserve">finančné prostriedky poskytnuté </w:t>
      </w:r>
      <w:proofErr w:type="spellStart"/>
      <w:r w:rsidRPr="00AC1F24">
        <w:rPr>
          <w:rFonts w:ascii="Times New Roman" w:hAnsi="Times New Roman"/>
          <w:color w:val="000000" w:themeColor="text1"/>
          <w:sz w:val="24"/>
          <w:szCs w:val="24"/>
          <w:u w:color="000000"/>
        </w:rPr>
        <w:t>MPSVaR</w:t>
      </w:r>
      <w:proofErr w:type="spellEnd"/>
      <w:r w:rsidRPr="00AC1F24">
        <w:rPr>
          <w:rFonts w:ascii="Times New Roman" w:hAnsi="Times New Roman"/>
          <w:color w:val="000000" w:themeColor="text1"/>
          <w:sz w:val="24"/>
          <w:szCs w:val="24"/>
          <w:u w:color="000000"/>
        </w:rPr>
        <w:t xml:space="preserve"> SR na výplatu športovému </w:t>
      </w:r>
    </w:p>
    <w:p w:rsidR="00385B00" w:rsidRPr="00AC1F24" w:rsidRDefault="00385B00" w:rsidP="00385B00">
      <w:pPr>
        <w:widowControl/>
        <w:tabs>
          <w:tab w:val="left" w:pos="567"/>
        </w:tabs>
        <w:spacing w:line="360" w:lineRule="auto"/>
        <w:ind w:left="284"/>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 xml:space="preserve">   reprezentantovi </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t xml:space="preserve">  75 000,00 EUR</w:t>
      </w:r>
    </w:p>
    <w:p w:rsidR="00385B00" w:rsidRPr="00AC1F24" w:rsidRDefault="00385B00" w:rsidP="00385B00">
      <w:pPr>
        <w:widowControl/>
        <w:tabs>
          <w:tab w:val="left" w:pos="567"/>
        </w:tabs>
        <w:spacing w:line="360" w:lineRule="auto"/>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 xml:space="preserve">      celková výplata dávok súvisiaca s výplatou športovému reprezentantovi</w:t>
      </w:r>
    </w:p>
    <w:p w:rsidR="00385B00" w:rsidRPr="00AC1F24" w:rsidRDefault="00385B00" w:rsidP="00385B00">
      <w:pPr>
        <w:widowControl/>
        <w:tabs>
          <w:tab w:val="left" w:pos="567"/>
        </w:tabs>
        <w:spacing w:line="360" w:lineRule="auto"/>
        <w:ind w:left="567"/>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 tuzemsko</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t xml:space="preserve">  70 326,22 EUR</w:t>
      </w:r>
    </w:p>
    <w:p w:rsidR="00385B00" w:rsidRPr="00AC1F24" w:rsidRDefault="00385B00" w:rsidP="00385B00">
      <w:pPr>
        <w:widowControl/>
        <w:tabs>
          <w:tab w:val="left" w:pos="567"/>
        </w:tabs>
        <w:spacing w:line="360" w:lineRule="auto"/>
        <w:ind w:left="567"/>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 zahraničie</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t xml:space="preserve"> </w:t>
      </w:r>
      <w:r>
        <w:rPr>
          <w:rFonts w:ascii="Times New Roman" w:hAnsi="Times New Roman"/>
          <w:color w:val="000000" w:themeColor="text1"/>
          <w:sz w:val="24"/>
          <w:szCs w:val="24"/>
          <w:u w:color="000000"/>
        </w:rPr>
        <w:t xml:space="preserve"> </w:t>
      </w:r>
      <w:r w:rsidRPr="00AC1F24">
        <w:rPr>
          <w:rFonts w:ascii="Times New Roman" w:hAnsi="Times New Roman"/>
          <w:color w:val="000000" w:themeColor="text1"/>
          <w:sz w:val="24"/>
          <w:szCs w:val="24"/>
          <w:u w:color="000000"/>
        </w:rPr>
        <w:t xml:space="preserve">  2 605,60 EUR</w:t>
      </w:r>
    </w:p>
    <w:p w:rsidR="00385B00" w:rsidRPr="00AC1F24" w:rsidRDefault="00385B00" w:rsidP="00385B00">
      <w:pPr>
        <w:pStyle w:val="Odsekzoznamu"/>
        <w:widowControl/>
        <w:numPr>
          <w:ilvl w:val="0"/>
          <w:numId w:val="36"/>
        </w:numPr>
        <w:tabs>
          <w:tab w:val="left" w:pos="567"/>
        </w:tabs>
        <w:spacing w:line="360" w:lineRule="auto"/>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náklady spojené s výplatou prísp</w:t>
      </w:r>
      <w:r>
        <w:rPr>
          <w:rFonts w:ascii="Times New Roman" w:hAnsi="Times New Roman"/>
          <w:color w:val="000000" w:themeColor="text1"/>
          <w:sz w:val="24"/>
          <w:szCs w:val="24"/>
          <w:u w:color="000000"/>
        </w:rPr>
        <w:t>evku športovému reprezentantovi</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 xml:space="preserve">     </w:t>
      </w:r>
      <w:r w:rsidRPr="00AC1F24">
        <w:rPr>
          <w:rFonts w:ascii="Times New Roman" w:hAnsi="Times New Roman"/>
          <w:color w:val="000000" w:themeColor="text1"/>
          <w:sz w:val="24"/>
          <w:szCs w:val="24"/>
          <w:u w:color="000000"/>
        </w:rPr>
        <w:t>109,55 EUR</w:t>
      </w:r>
    </w:p>
    <w:p w:rsidR="00385B00" w:rsidRPr="00AC1F24" w:rsidRDefault="00385B00" w:rsidP="00385B00">
      <w:pPr>
        <w:widowControl/>
        <w:spacing w:line="360" w:lineRule="auto"/>
        <w:ind w:firstLine="567"/>
        <w:rPr>
          <w:rFonts w:ascii="Times New Roman" w:hAnsi="Times New Roman"/>
          <w:b/>
          <w:bCs/>
          <w:color w:val="000000" w:themeColor="text1"/>
          <w:sz w:val="24"/>
          <w:szCs w:val="24"/>
          <w:u w:color="000000"/>
        </w:rPr>
      </w:pPr>
      <w:r w:rsidRPr="00AC1F24">
        <w:rPr>
          <w:rFonts w:ascii="Times New Roman" w:hAnsi="Times New Roman"/>
          <w:color w:val="000000" w:themeColor="text1"/>
          <w:sz w:val="24"/>
          <w:szCs w:val="24"/>
          <w:u w:color="000000"/>
        </w:rPr>
        <w:t>Zostatok k 31. 12. 2018 predstavuje záväzok v sume</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t xml:space="preserve">   </w:t>
      </w:r>
      <w:r w:rsidRPr="00AC1F24">
        <w:rPr>
          <w:rFonts w:ascii="Times New Roman" w:hAnsi="Times New Roman"/>
          <w:b/>
          <w:bCs/>
          <w:color w:val="000000" w:themeColor="text1"/>
          <w:sz w:val="24"/>
          <w:szCs w:val="24"/>
          <w:u w:color="000000"/>
        </w:rPr>
        <w:t>1 958,63 EUR</w:t>
      </w:r>
    </w:p>
    <w:p w:rsidR="00385B00" w:rsidRPr="00AC1F24" w:rsidRDefault="00385B00" w:rsidP="00385B00">
      <w:pPr>
        <w:widowControl/>
        <w:spacing w:line="360" w:lineRule="auto"/>
        <w:rPr>
          <w:rFonts w:ascii="Times New Roman" w:hAnsi="Times New Roman"/>
          <w:b/>
          <w:bCs/>
          <w:color w:val="000000" w:themeColor="text1"/>
          <w:sz w:val="24"/>
          <w:szCs w:val="24"/>
          <w:u w:color="000000"/>
        </w:rPr>
      </w:pPr>
    </w:p>
    <w:p w:rsidR="00385B00" w:rsidRPr="00AC1F24" w:rsidRDefault="00385B00" w:rsidP="00385B00">
      <w:pPr>
        <w:pStyle w:val="Odsekzoznamu"/>
        <w:widowControl/>
        <w:numPr>
          <w:ilvl w:val="0"/>
          <w:numId w:val="29"/>
        </w:numPr>
        <w:tabs>
          <w:tab w:val="left" w:pos="567"/>
        </w:tabs>
        <w:spacing w:line="360" w:lineRule="auto"/>
        <w:ind w:hanging="436"/>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 xml:space="preserve">finančné prostriedky poskytnuté </w:t>
      </w:r>
      <w:proofErr w:type="spellStart"/>
      <w:r w:rsidRPr="00AC1F24">
        <w:rPr>
          <w:rFonts w:ascii="Times New Roman" w:hAnsi="Times New Roman"/>
          <w:color w:val="000000" w:themeColor="text1"/>
          <w:sz w:val="24"/>
          <w:szCs w:val="24"/>
          <w:u w:color="000000"/>
        </w:rPr>
        <w:t>MPSVaR</w:t>
      </w:r>
      <w:proofErr w:type="spellEnd"/>
      <w:r w:rsidRPr="00AC1F24">
        <w:rPr>
          <w:rFonts w:ascii="Times New Roman" w:hAnsi="Times New Roman"/>
          <w:color w:val="000000" w:themeColor="text1"/>
          <w:sz w:val="24"/>
          <w:szCs w:val="24"/>
          <w:u w:color="000000"/>
        </w:rPr>
        <w:t xml:space="preserve"> SR na výplatu ostatných</w:t>
      </w:r>
    </w:p>
    <w:p w:rsidR="00385B00" w:rsidRPr="00AC1F24" w:rsidRDefault="00385B00" w:rsidP="00385B00">
      <w:pPr>
        <w:pStyle w:val="Odsekzoznamu"/>
        <w:widowControl/>
        <w:tabs>
          <w:tab w:val="left" w:pos="567"/>
        </w:tabs>
        <w:spacing w:line="360" w:lineRule="auto"/>
        <w:ind w:left="567"/>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štátnych dávok</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 xml:space="preserve">   </w:t>
      </w:r>
      <w:r w:rsidRPr="00AC1F24">
        <w:rPr>
          <w:rFonts w:ascii="Times New Roman" w:hAnsi="Times New Roman"/>
          <w:color w:val="000000" w:themeColor="text1"/>
          <w:sz w:val="24"/>
          <w:szCs w:val="24"/>
          <w:u w:color="000000"/>
        </w:rPr>
        <w:t>69 409 121,00 EUR</w:t>
      </w:r>
    </w:p>
    <w:p w:rsidR="00385B00" w:rsidRPr="00AC1F24" w:rsidRDefault="00385B00" w:rsidP="00385B00">
      <w:pPr>
        <w:widowControl/>
        <w:spacing w:line="360" w:lineRule="auto"/>
        <w:ind w:firstLine="284"/>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w:t>
      </w:r>
      <w:r w:rsidRPr="00AC1F24">
        <w:rPr>
          <w:rFonts w:ascii="Times New Roman" w:hAnsi="Times New Roman"/>
          <w:color w:val="000000" w:themeColor="text1"/>
          <w:sz w:val="24"/>
          <w:szCs w:val="24"/>
          <w:u w:color="000000"/>
        </w:rPr>
        <w:tab/>
        <w:t>celková výplata ostatných štátnych dávok v roku 2018 bola</w:t>
      </w:r>
      <w:r w:rsidRPr="00AC1F24">
        <w:rPr>
          <w:rFonts w:ascii="Times New Roman" w:hAnsi="Times New Roman"/>
          <w:color w:val="000000" w:themeColor="text1"/>
          <w:sz w:val="24"/>
          <w:szCs w:val="24"/>
          <w:u w:color="000000"/>
        </w:rPr>
        <w:tab/>
      </w:r>
      <w:r w:rsidRPr="00AC1F24">
        <w:rPr>
          <w:rFonts w:ascii="Times New Roman" w:hAnsi="Times New Roman"/>
          <w:color w:val="000000" w:themeColor="text1"/>
          <w:sz w:val="24"/>
          <w:szCs w:val="24"/>
          <w:u w:color="000000"/>
        </w:rPr>
        <w:tab/>
        <w:t xml:space="preserve"> </w:t>
      </w:r>
      <w:r>
        <w:rPr>
          <w:rFonts w:ascii="Times New Roman" w:hAnsi="Times New Roman"/>
          <w:color w:val="000000" w:themeColor="text1"/>
          <w:sz w:val="24"/>
          <w:szCs w:val="24"/>
          <w:u w:color="000000"/>
        </w:rPr>
        <w:t xml:space="preserve">  </w:t>
      </w:r>
      <w:r w:rsidRPr="00AC1F24">
        <w:rPr>
          <w:rFonts w:ascii="Times New Roman" w:hAnsi="Times New Roman"/>
          <w:color w:val="000000" w:themeColor="text1"/>
          <w:sz w:val="24"/>
          <w:szCs w:val="24"/>
          <w:u w:color="000000"/>
        </w:rPr>
        <w:t>70 031 535,10 EUR</w:t>
      </w:r>
    </w:p>
    <w:p w:rsidR="00385B00" w:rsidRPr="00AC1F24" w:rsidRDefault="00385B00" w:rsidP="00385B00">
      <w:pPr>
        <w:widowControl/>
        <w:spacing w:line="360" w:lineRule="auto"/>
        <w:ind w:left="284"/>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w:t>
      </w:r>
      <w:r w:rsidRPr="00AC1F24">
        <w:rPr>
          <w:rFonts w:ascii="Times New Roman" w:hAnsi="Times New Roman"/>
          <w:color w:val="000000" w:themeColor="text1"/>
          <w:sz w:val="24"/>
          <w:szCs w:val="24"/>
          <w:u w:color="000000"/>
        </w:rPr>
        <w:tab/>
        <w:t>náklady súvisiace s výplatou príplatku k dôchodku politickým väzňom</w:t>
      </w:r>
      <w:r w:rsidRPr="00AC1F24">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 xml:space="preserve">  </w:t>
      </w:r>
      <w:r w:rsidRPr="00AC1F24">
        <w:rPr>
          <w:rFonts w:ascii="Times New Roman" w:hAnsi="Times New Roman"/>
          <w:color w:val="000000" w:themeColor="text1"/>
          <w:sz w:val="24"/>
          <w:szCs w:val="24"/>
          <w:u w:color="000000"/>
        </w:rPr>
        <w:t xml:space="preserve">  6 925,50 EUR</w:t>
      </w:r>
    </w:p>
    <w:p w:rsidR="00385B00" w:rsidRPr="00C565E2" w:rsidRDefault="00385B00" w:rsidP="00385B00">
      <w:pPr>
        <w:widowControl/>
        <w:spacing w:line="360" w:lineRule="auto"/>
        <w:ind w:firstLine="510"/>
        <w:rPr>
          <w:rFonts w:ascii="Times New Roman" w:hAnsi="Times New Roman"/>
          <w:color w:val="000000" w:themeColor="text1"/>
          <w:sz w:val="24"/>
          <w:szCs w:val="24"/>
          <w:u w:color="000000"/>
        </w:rPr>
      </w:pPr>
      <w:r w:rsidRPr="00AC1F24">
        <w:rPr>
          <w:rFonts w:ascii="Times New Roman" w:hAnsi="Times New Roman"/>
          <w:color w:val="000000" w:themeColor="text1"/>
          <w:sz w:val="24"/>
          <w:szCs w:val="24"/>
          <w:u w:color="000000"/>
        </w:rPr>
        <w:t xml:space="preserve">Zostatok k 31. 12. 2018 predstavuje pohľadávku v sume </w:t>
      </w:r>
      <w:r w:rsidRPr="00AC1F24">
        <w:rPr>
          <w:rFonts w:ascii="Times New Roman" w:hAnsi="Times New Roman"/>
          <w:b/>
          <w:bCs/>
          <w:color w:val="000000" w:themeColor="text1"/>
          <w:sz w:val="24"/>
          <w:szCs w:val="24"/>
          <w:u w:color="000000"/>
        </w:rPr>
        <w:tab/>
      </w:r>
      <w:r w:rsidRPr="00AC1F24">
        <w:rPr>
          <w:rFonts w:ascii="Times New Roman" w:hAnsi="Times New Roman"/>
          <w:b/>
          <w:bCs/>
          <w:color w:val="000000" w:themeColor="text1"/>
          <w:sz w:val="24"/>
          <w:szCs w:val="24"/>
          <w:u w:color="000000"/>
        </w:rPr>
        <w:tab/>
      </w:r>
      <w:r w:rsidRPr="00AC1F24">
        <w:rPr>
          <w:rFonts w:ascii="Times New Roman" w:hAnsi="Times New Roman"/>
          <w:b/>
          <w:bCs/>
          <w:color w:val="000000" w:themeColor="text1"/>
          <w:sz w:val="24"/>
          <w:szCs w:val="24"/>
          <w:u w:color="000000"/>
        </w:rPr>
        <w:tab/>
        <w:t xml:space="preserve">    - 629 339,60 EUR</w:t>
      </w:r>
    </w:p>
    <w:p w:rsidR="00385B00" w:rsidRPr="00C565E2" w:rsidRDefault="00385B00" w:rsidP="00385B00">
      <w:pPr>
        <w:widowControl/>
        <w:spacing w:line="360" w:lineRule="auto"/>
        <w:rPr>
          <w:rFonts w:ascii="Times New Roman" w:hAnsi="Times New Roman"/>
          <w:color w:val="000000" w:themeColor="text1"/>
          <w:sz w:val="24"/>
          <w:szCs w:val="24"/>
          <w:u w:color="000000"/>
        </w:rPr>
      </w:pPr>
    </w:p>
    <w:p w:rsidR="00385B00" w:rsidRDefault="00385B00" w:rsidP="00385B00">
      <w:pPr>
        <w:pStyle w:val="Odsekzoznamu"/>
        <w:widowControl/>
        <w:numPr>
          <w:ilvl w:val="0"/>
          <w:numId w:val="31"/>
        </w:numPr>
        <w:spacing w:line="360" w:lineRule="auto"/>
        <w:ind w:left="567"/>
        <w:rPr>
          <w:rFonts w:ascii="Times New Roman" w:hAnsi="Times New Roman"/>
          <w:b/>
          <w:bCs/>
          <w:color w:val="000000" w:themeColor="text1"/>
          <w:sz w:val="24"/>
          <w:szCs w:val="24"/>
          <w:u w:color="000000"/>
        </w:rPr>
      </w:pPr>
      <w:r w:rsidRPr="00AB2F85">
        <w:rPr>
          <w:rFonts w:ascii="Times New Roman" w:hAnsi="Times New Roman"/>
          <w:color w:val="000000" w:themeColor="text1"/>
          <w:sz w:val="24"/>
          <w:szCs w:val="24"/>
          <w:u w:color="000000"/>
        </w:rPr>
        <w:t>záväzok voči MF SR z titulu zúčtovania poistného za rok 1993 pobočiek</w:t>
      </w:r>
      <w:r w:rsidRPr="00AB2F85">
        <w:rPr>
          <w:rFonts w:ascii="Times New Roman" w:hAnsi="Times New Roman"/>
          <w:color w:val="000000" w:themeColor="text1"/>
          <w:sz w:val="24"/>
          <w:szCs w:val="24"/>
          <w:u w:color="000000"/>
        </w:rPr>
        <w:tab/>
        <w:t xml:space="preserve">  </w:t>
      </w:r>
      <w:r>
        <w:rPr>
          <w:rFonts w:ascii="Times New Roman" w:hAnsi="Times New Roman"/>
          <w:b/>
          <w:bCs/>
          <w:color w:val="000000" w:themeColor="text1"/>
          <w:sz w:val="24"/>
          <w:szCs w:val="24"/>
          <w:u w:color="000000"/>
        </w:rPr>
        <w:t>14 448,25</w:t>
      </w:r>
      <w:r w:rsidRPr="00AB2F85">
        <w:rPr>
          <w:rFonts w:ascii="Times New Roman" w:hAnsi="Times New Roman"/>
          <w:b/>
          <w:bCs/>
          <w:color w:val="000000" w:themeColor="text1"/>
          <w:sz w:val="24"/>
          <w:szCs w:val="24"/>
          <w:u w:color="000000"/>
        </w:rPr>
        <w:t xml:space="preserve"> EUR</w:t>
      </w:r>
    </w:p>
    <w:p w:rsidR="00385B00" w:rsidRPr="00452FB4" w:rsidRDefault="00385B00" w:rsidP="00385B00">
      <w:pPr>
        <w:widowControl/>
        <w:spacing w:line="360" w:lineRule="auto"/>
        <w:jc w:val="both"/>
        <w:rPr>
          <w:rFonts w:ascii="Times New Roman" w:hAnsi="Times New Roman"/>
          <w:b/>
          <w:bCs/>
          <w:color w:val="000000" w:themeColor="text1"/>
          <w:sz w:val="24"/>
          <w:szCs w:val="24"/>
          <w:u w:color="000000"/>
        </w:rPr>
      </w:pPr>
    </w:p>
    <w:p w:rsidR="00385B00" w:rsidRPr="00452FB4" w:rsidRDefault="00385B00" w:rsidP="00385B00">
      <w:pPr>
        <w:pStyle w:val="Odsekzoznamu"/>
        <w:widowControl/>
        <w:numPr>
          <w:ilvl w:val="0"/>
          <w:numId w:val="31"/>
        </w:numPr>
        <w:spacing w:line="360" w:lineRule="auto"/>
        <w:ind w:left="567"/>
        <w:jc w:val="both"/>
        <w:rPr>
          <w:rFonts w:ascii="Times New Roman" w:hAnsi="Times New Roman"/>
          <w:bCs/>
          <w:color w:val="000000" w:themeColor="text1"/>
          <w:sz w:val="24"/>
          <w:szCs w:val="24"/>
          <w:u w:color="000000"/>
        </w:rPr>
      </w:pPr>
      <w:r>
        <w:rPr>
          <w:rFonts w:ascii="Times New Roman" w:hAnsi="Times New Roman"/>
          <w:bCs/>
          <w:color w:val="000000" w:themeColor="text1"/>
          <w:sz w:val="24"/>
          <w:szCs w:val="24"/>
          <w:u w:color="000000"/>
        </w:rPr>
        <w:t>zostatok zálohovej platby vo výške 81 442,65 EUR a záväzo</w:t>
      </w:r>
      <w:r w:rsidRPr="00452FB4">
        <w:rPr>
          <w:rFonts w:ascii="Times New Roman" w:hAnsi="Times New Roman"/>
          <w:bCs/>
          <w:color w:val="000000" w:themeColor="text1"/>
          <w:sz w:val="24"/>
          <w:szCs w:val="24"/>
          <w:u w:color="000000"/>
        </w:rPr>
        <w:t>k voči Všeobecnej zdravotnej poisťovni</w:t>
      </w:r>
      <w:r>
        <w:rPr>
          <w:rFonts w:ascii="Times New Roman" w:hAnsi="Times New Roman"/>
          <w:bCs/>
          <w:color w:val="000000" w:themeColor="text1"/>
          <w:sz w:val="24"/>
          <w:szCs w:val="24"/>
          <w:u w:color="000000"/>
        </w:rPr>
        <w:t>, a. s.</w:t>
      </w:r>
      <w:r w:rsidRPr="00452FB4">
        <w:rPr>
          <w:rFonts w:ascii="Times New Roman" w:hAnsi="Times New Roman"/>
          <w:bCs/>
          <w:color w:val="000000" w:themeColor="text1"/>
          <w:sz w:val="24"/>
          <w:szCs w:val="24"/>
          <w:u w:color="000000"/>
        </w:rPr>
        <w:t xml:space="preserve"> </w:t>
      </w:r>
      <w:r>
        <w:rPr>
          <w:rFonts w:ascii="Times New Roman" w:hAnsi="Times New Roman"/>
          <w:bCs/>
          <w:color w:val="000000" w:themeColor="text1"/>
          <w:sz w:val="24"/>
          <w:szCs w:val="24"/>
          <w:u w:color="000000"/>
        </w:rPr>
        <w:t xml:space="preserve">vo výške 114 900,00 EUR z poskytnutej </w:t>
      </w:r>
      <w:r w:rsidRPr="00452FB4">
        <w:rPr>
          <w:rFonts w:ascii="Times New Roman" w:hAnsi="Times New Roman"/>
          <w:bCs/>
          <w:color w:val="000000" w:themeColor="text1"/>
          <w:sz w:val="24"/>
          <w:szCs w:val="24"/>
          <w:u w:color="000000"/>
        </w:rPr>
        <w:t xml:space="preserve">dotácie </w:t>
      </w:r>
      <w:r>
        <w:rPr>
          <w:rFonts w:ascii="Times New Roman" w:hAnsi="Times New Roman"/>
          <w:bCs/>
          <w:color w:val="000000" w:themeColor="text1"/>
          <w:sz w:val="24"/>
          <w:szCs w:val="24"/>
          <w:u w:color="000000"/>
        </w:rPr>
        <w:t>Výkonnou agentúrou pre inovácie a siete (INEA) v súlade s dohodou o grante na základe nástroja na prepojenie Európy (CEF) – telekomunikačný sektor; Dohoda č. INEA/CEF/ICT/A2017/1441446; Akcia č.: 2017-SK-IA-0052</w:t>
      </w:r>
      <w:r>
        <w:rPr>
          <w:rFonts w:ascii="Times New Roman" w:hAnsi="Times New Roman"/>
          <w:bCs/>
          <w:color w:val="000000" w:themeColor="text1"/>
          <w:sz w:val="24"/>
          <w:szCs w:val="24"/>
          <w:u w:color="000000"/>
        </w:rPr>
        <w:tab/>
      </w:r>
      <w:r>
        <w:rPr>
          <w:rFonts w:ascii="Times New Roman" w:hAnsi="Times New Roman"/>
          <w:bCs/>
          <w:color w:val="000000" w:themeColor="text1"/>
          <w:sz w:val="24"/>
          <w:szCs w:val="24"/>
          <w:u w:color="000000"/>
        </w:rPr>
        <w:tab/>
      </w:r>
      <w:r>
        <w:rPr>
          <w:rFonts w:ascii="Times New Roman" w:hAnsi="Times New Roman"/>
          <w:bCs/>
          <w:color w:val="000000" w:themeColor="text1"/>
          <w:sz w:val="24"/>
          <w:szCs w:val="24"/>
          <w:u w:color="000000"/>
        </w:rPr>
        <w:tab/>
      </w:r>
      <w:r>
        <w:rPr>
          <w:rFonts w:ascii="Times New Roman" w:hAnsi="Times New Roman"/>
          <w:bCs/>
          <w:color w:val="000000" w:themeColor="text1"/>
          <w:sz w:val="24"/>
          <w:szCs w:val="24"/>
          <w:u w:color="000000"/>
        </w:rPr>
        <w:tab/>
      </w:r>
      <w:r>
        <w:rPr>
          <w:rFonts w:ascii="Times New Roman" w:hAnsi="Times New Roman"/>
          <w:bCs/>
          <w:color w:val="000000" w:themeColor="text1"/>
          <w:sz w:val="24"/>
          <w:szCs w:val="24"/>
          <w:u w:color="000000"/>
        </w:rPr>
        <w:tab/>
      </w:r>
      <w:r>
        <w:rPr>
          <w:rFonts w:ascii="Times New Roman" w:hAnsi="Times New Roman"/>
          <w:bCs/>
          <w:color w:val="000000" w:themeColor="text1"/>
          <w:sz w:val="24"/>
          <w:szCs w:val="24"/>
          <w:u w:color="000000"/>
        </w:rPr>
        <w:tab/>
      </w:r>
      <w:r>
        <w:rPr>
          <w:rFonts w:ascii="Times New Roman" w:hAnsi="Times New Roman"/>
          <w:bCs/>
          <w:color w:val="000000" w:themeColor="text1"/>
          <w:sz w:val="24"/>
          <w:szCs w:val="24"/>
          <w:u w:color="000000"/>
        </w:rPr>
        <w:tab/>
      </w:r>
      <w:r>
        <w:rPr>
          <w:rFonts w:ascii="Times New Roman" w:hAnsi="Times New Roman"/>
          <w:bCs/>
          <w:color w:val="000000" w:themeColor="text1"/>
          <w:sz w:val="24"/>
          <w:szCs w:val="24"/>
          <w:u w:color="000000"/>
        </w:rPr>
        <w:tab/>
      </w:r>
      <w:r>
        <w:rPr>
          <w:rFonts w:ascii="Times New Roman" w:hAnsi="Times New Roman"/>
          <w:bCs/>
          <w:color w:val="000000" w:themeColor="text1"/>
          <w:sz w:val="24"/>
          <w:szCs w:val="24"/>
          <w:u w:color="000000"/>
        </w:rPr>
        <w:tab/>
        <w:t xml:space="preserve"> </w:t>
      </w:r>
      <w:r w:rsidRPr="003549C2">
        <w:rPr>
          <w:rFonts w:ascii="Times New Roman" w:hAnsi="Times New Roman"/>
          <w:b/>
          <w:bCs/>
          <w:color w:val="000000" w:themeColor="text1"/>
          <w:sz w:val="24"/>
          <w:szCs w:val="24"/>
          <w:u w:color="000000"/>
        </w:rPr>
        <w:t>196 342,65 EUR</w:t>
      </w:r>
    </w:p>
    <w:p w:rsidR="00385B00" w:rsidRDefault="00385B00" w:rsidP="00385B00">
      <w:pPr>
        <w:widowControl/>
        <w:spacing w:line="360" w:lineRule="auto"/>
        <w:jc w:val="both"/>
        <w:rPr>
          <w:rFonts w:ascii="Times New Roman" w:hAnsi="Times New Roman"/>
          <w:b/>
          <w:bCs/>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F267D4">
        <w:rPr>
          <w:rFonts w:ascii="Times New Roman" w:hAnsi="Times New Roman"/>
          <w:b/>
          <w:bCs/>
          <w:color w:val="000000" w:themeColor="text1"/>
          <w:sz w:val="24"/>
          <w:szCs w:val="24"/>
          <w:u w:color="000000"/>
        </w:rPr>
        <w:t>Riadok 098</w:t>
      </w:r>
      <w:r w:rsidRPr="00C565E2">
        <w:rPr>
          <w:rFonts w:ascii="Times New Roman" w:hAnsi="Times New Roman"/>
          <w:b/>
          <w:bCs/>
          <w:color w:val="000000" w:themeColor="text1"/>
          <w:sz w:val="24"/>
          <w:szCs w:val="24"/>
          <w:u w:color="000000"/>
        </w:rPr>
        <w:t xml:space="preserve"> – Iné záväzky</w:t>
      </w:r>
    </w:p>
    <w:p w:rsidR="00385B00"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 xml:space="preserve">Iné záväzky vykazujú zostatok v sume </w:t>
      </w:r>
      <w:r>
        <w:rPr>
          <w:rFonts w:ascii="Times New Roman" w:hAnsi="Times New Roman"/>
          <w:color w:val="000000" w:themeColor="text1"/>
          <w:sz w:val="24"/>
          <w:szCs w:val="24"/>
          <w:u w:color="000000"/>
        </w:rPr>
        <w:t>1 355 867,58</w:t>
      </w:r>
      <w:r w:rsidRPr="00C565E2">
        <w:rPr>
          <w:rFonts w:ascii="Times New Roman" w:hAnsi="Times New Roman"/>
          <w:color w:val="000000" w:themeColor="text1"/>
          <w:sz w:val="24"/>
          <w:szCs w:val="24"/>
          <w:u w:color="000000"/>
        </w:rPr>
        <w:t>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Podľa základných okruhov činností a druhov sa členia takto:</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AB2F85" w:rsidRDefault="00385B00" w:rsidP="00385B00">
      <w:pPr>
        <w:pStyle w:val="Odsekzoznamu"/>
        <w:widowControl/>
        <w:numPr>
          <w:ilvl w:val="0"/>
          <w:numId w:val="31"/>
        </w:numPr>
        <w:spacing w:line="360" w:lineRule="auto"/>
        <w:jc w:val="both"/>
        <w:rPr>
          <w:rFonts w:ascii="Times New Roman" w:hAnsi="Times New Roman"/>
          <w:color w:val="000000" w:themeColor="text1"/>
          <w:sz w:val="24"/>
          <w:szCs w:val="24"/>
          <w:u w:color="000000"/>
        </w:rPr>
      </w:pPr>
      <w:r w:rsidRPr="00AB2F85">
        <w:rPr>
          <w:rFonts w:ascii="Times New Roman" w:hAnsi="Times New Roman"/>
          <w:b/>
          <w:bCs/>
          <w:color w:val="000000" w:themeColor="text1"/>
          <w:sz w:val="24"/>
          <w:szCs w:val="24"/>
          <w:u w:color="000000"/>
        </w:rPr>
        <w:t>základné fondy</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 xml:space="preserve">Zostatok v celkovej sume </w:t>
      </w:r>
      <w:r>
        <w:rPr>
          <w:rFonts w:ascii="Times New Roman" w:hAnsi="Times New Roman"/>
          <w:color w:val="000000" w:themeColor="text1"/>
          <w:sz w:val="24"/>
          <w:szCs w:val="24"/>
          <w:u w:color="000000"/>
        </w:rPr>
        <w:t>864 902,18</w:t>
      </w:r>
      <w:r w:rsidRPr="00C565E2">
        <w:rPr>
          <w:rFonts w:ascii="Times New Roman" w:hAnsi="Times New Roman"/>
          <w:color w:val="000000" w:themeColor="text1"/>
          <w:sz w:val="24"/>
          <w:szCs w:val="24"/>
          <w:u w:color="000000"/>
        </w:rPr>
        <w:t>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sa skladá z týchto položiek</w:t>
      </w:r>
    </w:p>
    <w:p w:rsidR="00385B00" w:rsidRPr="00C565E2" w:rsidRDefault="00385B00" w:rsidP="00385B00">
      <w:pPr>
        <w:widowControl/>
        <w:numPr>
          <w:ilvl w:val="0"/>
          <w:numId w:val="5"/>
        </w:numPr>
        <w:spacing w:line="360" w:lineRule="auto"/>
        <w:ind w:left="567" w:hanging="283"/>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 xml:space="preserve">záväzok Sociálnej poisťovne z predpisu poistného a penále za rok 1993 </w:t>
      </w:r>
    </w:p>
    <w:p w:rsidR="00385B00" w:rsidRPr="00C565E2" w:rsidRDefault="00385B00" w:rsidP="00385B00">
      <w:pPr>
        <w:widowControl/>
        <w:spacing w:line="360" w:lineRule="auto"/>
        <w:ind w:left="567"/>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na úrovni pobočiek</w:t>
      </w:r>
      <w:r w:rsidRPr="00C565E2">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 xml:space="preserve">      </w:t>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t xml:space="preserve">  </w:t>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t xml:space="preserve">    </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308 595,89</w:t>
      </w:r>
      <w:r w:rsidRPr="00C565E2">
        <w:rPr>
          <w:rFonts w:ascii="Times New Roman" w:hAnsi="Times New Roman"/>
          <w:color w:val="000000" w:themeColor="text1"/>
          <w:sz w:val="24"/>
          <w:szCs w:val="24"/>
          <w:u w:color="000000"/>
        </w:rPr>
        <w:t> </w:t>
      </w:r>
      <w:r>
        <w:rPr>
          <w:rFonts w:ascii="Times New Roman" w:hAnsi="Times New Roman"/>
          <w:color w:val="000000" w:themeColor="text1"/>
          <w:sz w:val="24"/>
          <w:szCs w:val="24"/>
          <w:u w:color="000000"/>
        </w:rPr>
        <w:t>EUR</w:t>
      </w:r>
    </w:p>
    <w:p w:rsidR="00385B00" w:rsidRPr="0016264D" w:rsidRDefault="00385B00" w:rsidP="00385B00">
      <w:pPr>
        <w:pStyle w:val="Odsekzoznamu"/>
        <w:widowControl/>
        <w:numPr>
          <w:ilvl w:val="0"/>
          <w:numId w:val="36"/>
        </w:numPr>
        <w:spacing w:line="360" w:lineRule="auto"/>
        <w:ind w:left="567" w:hanging="283"/>
        <w:jc w:val="both"/>
        <w:rPr>
          <w:rFonts w:ascii="Times New Roman" w:hAnsi="Times New Roman"/>
          <w:color w:val="000000" w:themeColor="text1"/>
          <w:sz w:val="24"/>
          <w:szCs w:val="24"/>
          <w:u w:color="000000"/>
        </w:rPr>
      </w:pPr>
      <w:r w:rsidRPr="0016264D">
        <w:rPr>
          <w:rFonts w:ascii="Times New Roman" w:hAnsi="Times New Roman"/>
          <w:color w:val="000000" w:themeColor="text1"/>
          <w:sz w:val="24"/>
          <w:szCs w:val="24"/>
          <w:u w:color="000000"/>
        </w:rPr>
        <w:t xml:space="preserve">záväzok Sociálnej poisťovne voči </w:t>
      </w:r>
      <w:proofErr w:type="spellStart"/>
      <w:r w:rsidRPr="0016264D">
        <w:rPr>
          <w:rFonts w:ascii="Times New Roman" w:hAnsi="Times New Roman"/>
          <w:color w:val="000000" w:themeColor="text1"/>
          <w:sz w:val="24"/>
          <w:szCs w:val="24"/>
          <w:u w:color="000000"/>
        </w:rPr>
        <w:t>VšZP</w:t>
      </w:r>
      <w:proofErr w:type="spellEnd"/>
      <w:r w:rsidRPr="0016264D">
        <w:rPr>
          <w:rFonts w:ascii="Times New Roman" w:hAnsi="Times New Roman"/>
          <w:color w:val="000000" w:themeColor="text1"/>
          <w:sz w:val="24"/>
          <w:szCs w:val="24"/>
          <w:u w:color="000000"/>
        </w:rPr>
        <w:t xml:space="preserve">, ktorý vyplýva z nedoplatku </w:t>
      </w:r>
    </w:p>
    <w:p w:rsidR="00385B00" w:rsidRPr="00C565E2" w:rsidRDefault="00385B00" w:rsidP="00385B00">
      <w:pPr>
        <w:widowControl/>
        <w:spacing w:line="360" w:lineRule="auto"/>
        <w:ind w:left="284" w:firstLine="283"/>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na poistnom a penále od platiteľov poistného za rok 1994</w:t>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 xml:space="preserve">     </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71 973,10</w:t>
      </w:r>
      <w:r w:rsidRPr="00C565E2">
        <w:rPr>
          <w:rFonts w:ascii="Times New Roman" w:hAnsi="Times New Roman"/>
          <w:color w:val="000000" w:themeColor="text1"/>
          <w:sz w:val="24"/>
          <w:szCs w:val="24"/>
          <w:u w:color="000000"/>
        </w:rPr>
        <w:t> </w:t>
      </w:r>
      <w:r>
        <w:rPr>
          <w:rFonts w:ascii="Times New Roman" w:hAnsi="Times New Roman"/>
          <w:color w:val="000000" w:themeColor="text1"/>
          <w:sz w:val="24"/>
          <w:szCs w:val="24"/>
          <w:u w:color="000000"/>
        </w:rPr>
        <w:t>EUR</w:t>
      </w:r>
    </w:p>
    <w:p w:rsidR="00385B00" w:rsidRPr="0016264D" w:rsidRDefault="00385B00" w:rsidP="00385B00">
      <w:pPr>
        <w:pStyle w:val="Odsekzoznamu"/>
        <w:widowControl/>
        <w:numPr>
          <w:ilvl w:val="0"/>
          <w:numId w:val="36"/>
        </w:numPr>
        <w:spacing w:line="360" w:lineRule="auto"/>
        <w:ind w:left="567" w:hanging="283"/>
        <w:jc w:val="both"/>
        <w:rPr>
          <w:rFonts w:ascii="Times New Roman" w:hAnsi="Times New Roman"/>
          <w:color w:val="000000" w:themeColor="text1"/>
          <w:sz w:val="24"/>
          <w:szCs w:val="24"/>
          <w:u w:color="000000"/>
        </w:rPr>
      </w:pPr>
      <w:r w:rsidRPr="0016264D">
        <w:rPr>
          <w:rFonts w:ascii="Times New Roman" w:hAnsi="Times New Roman"/>
          <w:color w:val="000000" w:themeColor="text1"/>
          <w:sz w:val="24"/>
          <w:szCs w:val="24"/>
          <w:u w:color="000000"/>
        </w:rPr>
        <w:t xml:space="preserve">mylné platby </w:t>
      </w:r>
      <w:r w:rsidRPr="0016264D">
        <w:rPr>
          <w:rFonts w:ascii="Times New Roman" w:hAnsi="Times New Roman"/>
          <w:color w:val="000000" w:themeColor="text1"/>
          <w:sz w:val="24"/>
          <w:szCs w:val="24"/>
          <w:u w:color="000000"/>
        </w:rPr>
        <w:tab/>
      </w:r>
      <w:r w:rsidRPr="0016264D">
        <w:rPr>
          <w:rFonts w:ascii="Times New Roman" w:hAnsi="Times New Roman"/>
          <w:color w:val="000000" w:themeColor="text1"/>
          <w:sz w:val="24"/>
          <w:szCs w:val="24"/>
          <w:u w:color="000000"/>
        </w:rPr>
        <w:tab/>
      </w:r>
      <w:r w:rsidRPr="0016264D">
        <w:rPr>
          <w:rFonts w:ascii="Times New Roman" w:hAnsi="Times New Roman"/>
          <w:color w:val="000000" w:themeColor="text1"/>
          <w:sz w:val="24"/>
          <w:szCs w:val="24"/>
          <w:u w:color="000000"/>
        </w:rPr>
        <w:tab/>
      </w:r>
      <w:r w:rsidRPr="0016264D">
        <w:rPr>
          <w:rFonts w:ascii="Times New Roman" w:hAnsi="Times New Roman"/>
          <w:color w:val="000000" w:themeColor="text1"/>
          <w:sz w:val="24"/>
          <w:szCs w:val="24"/>
          <w:u w:color="000000"/>
        </w:rPr>
        <w:tab/>
      </w:r>
      <w:r w:rsidRPr="0016264D">
        <w:rPr>
          <w:rFonts w:ascii="Times New Roman" w:hAnsi="Times New Roman"/>
          <w:color w:val="000000" w:themeColor="text1"/>
          <w:sz w:val="24"/>
          <w:szCs w:val="24"/>
          <w:u w:color="000000"/>
        </w:rPr>
        <w:tab/>
      </w:r>
      <w:r w:rsidRPr="0016264D">
        <w:rPr>
          <w:rFonts w:ascii="Times New Roman" w:hAnsi="Times New Roman"/>
          <w:color w:val="000000" w:themeColor="text1"/>
          <w:sz w:val="24"/>
          <w:szCs w:val="24"/>
          <w:u w:color="000000"/>
        </w:rPr>
        <w:tab/>
      </w:r>
      <w:r w:rsidRPr="0016264D">
        <w:rPr>
          <w:rFonts w:ascii="Times New Roman" w:hAnsi="Times New Roman"/>
          <w:color w:val="000000" w:themeColor="text1"/>
          <w:sz w:val="24"/>
          <w:szCs w:val="24"/>
          <w:u w:color="000000"/>
        </w:rPr>
        <w:tab/>
      </w:r>
      <w:r w:rsidRPr="0016264D">
        <w:rPr>
          <w:rFonts w:ascii="Times New Roman" w:hAnsi="Times New Roman"/>
          <w:color w:val="000000" w:themeColor="text1"/>
          <w:sz w:val="24"/>
          <w:szCs w:val="24"/>
          <w:u w:color="000000"/>
        </w:rPr>
        <w:tab/>
      </w:r>
      <w:r w:rsidRPr="0016264D">
        <w:rPr>
          <w:rFonts w:ascii="Times New Roman" w:hAnsi="Times New Roman"/>
          <w:color w:val="000000" w:themeColor="text1"/>
          <w:sz w:val="24"/>
          <w:szCs w:val="24"/>
          <w:u w:color="000000"/>
        </w:rPr>
        <w:tab/>
      </w:r>
      <w:r w:rsidRPr="0016264D">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sidRPr="0016264D">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 xml:space="preserve">     436 749,36</w:t>
      </w:r>
      <w:r w:rsidRPr="0016264D">
        <w:rPr>
          <w:rFonts w:ascii="Times New Roman" w:hAnsi="Times New Roman"/>
          <w:color w:val="000000" w:themeColor="text1"/>
          <w:sz w:val="24"/>
          <w:szCs w:val="24"/>
          <w:u w:color="000000"/>
        </w:rPr>
        <w:t> EUR</w:t>
      </w:r>
    </w:p>
    <w:p w:rsidR="00385B00" w:rsidRPr="00C565E2" w:rsidRDefault="00385B00" w:rsidP="00385B00">
      <w:pPr>
        <w:widowControl/>
        <w:numPr>
          <w:ilvl w:val="0"/>
          <w:numId w:val="5"/>
        </w:numPr>
        <w:spacing w:line="360" w:lineRule="auto"/>
        <w:ind w:left="567" w:hanging="283"/>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 xml:space="preserve">záväzok Sociálnej poisťovne voči štátu z titulu neprávom vyplatených </w:t>
      </w:r>
    </w:p>
    <w:p w:rsidR="00385B00" w:rsidRPr="00C565E2" w:rsidRDefault="00385B00" w:rsidP="00385B00">
      <w:pPr>
        <w:widowControl/>
        <w:spacing w:line="360" w:lineRule="auto"/>
        <w:ind w:left="567"/>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vianočných príspevkov</w:t>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t xml:space="preserve">  </w:t>
      </w:r>
      <w:r>
        <w:rPr>
          <w:rFonts w:ascii="Times New Roman" w:hAnsi="Times New Roman"/>
          <w:color w:val="000000" w:themeColor="text1"/>
          <w:sz w:val="24"/>
          <w:szCs w:val="24"/>
          <w:u w:color="000000"/>
        </w:rPr>
        <w:t>47 173,81</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p>
    <w:p w:rsidR="00385B00" w:rsidRPr="00C565E2" w:rsidRDefault="00385B00" w:rsidP="00385B00">
      <w:pPr>
        <w:pStyle w:val="Odsekzoznamu"/>
        <w:widowControl/>
        <w:numPr>
          <w:ilvl w:val="0"/>
          <w:numId w:val="5"/>
        </w:numPr>
        <w:spacing w:line="360" w:lineRule="auto"/>
        <w:ind w:left="567" w:hanging="283"/>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 xml:space="preserve">záväzok Sociálnej poisťovne voči fyzickým osobám </w:t>
      </w:r>
    </w:p>
    <w:p w:rsidR="00385B00" w:rsidRPr="00C565E2" w:rsidRDefault="00385B00" w:rsidP="00385B00">
      <w:pPr>
        <w:pStyle w:val="Odsekzoznamu"/>
        <w:widowControl/>
        <w:spacing w:line="360" w:lineRule="auto"/>
        <w:ind w:left="567"/>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 xml:space="preserve">z titulu </w:t>
      </w:r>
      <w:proofErr w:type="spellStart"/>
      <w:r w:rsidRPr="00C565E2">
        <w:rPr>
          <w:rFonts w:ascii="Times New Roman" w:hAnsi="Times New Roman"/>
          <w:color w:val="000000" w:themeColor="text1"/>
          <w:sz w:val="24"/>
          <w:szCs w:val="24"/>
          <w:u w:color="000000"/>
        </w:rPr>
        <w:t>naviac</w:t>
      </w:r>
      <w:proofErr w:type="spellEnd"/>
      <w:r w:rsidRPr="00C565E2">
        <w:rPr>
          <w:rFonts w:ascii="Times New Roman" w:hAnsi="Times New Roman"/>
          <w:color w:val="000000" w:themeColor="text1"/>
          <w:sz w:val="24"/>
          <w:szCs w:val="24"/>
          <w:u w:color="000000"/>
        </w:rPr>
        <w:t xml:space="preserve"> uhradených preplatkov</w:t>
      </w:r>
      <w:r w:rsidRPr="00C565E2">
        <w:rPr>
          <w:rFonts w:ascii="Times New Roman" w:hAnsi="Times New Roman"/>
          <w:color w:val="000000" w:themeColor="text1"/>
          <w:sz w:val="24"/>
          <w:szCs w:val="24"/>
          <w:u w:color="000000"/>
        </w:rPr>
        <w:tab/>
        <w:t xml:space="preserve">  </w:t>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t xml:space="preserve"> </w:t>
      </w:r>
      <w:r>
        <w:rPr>
          <w:rFonts w:ascii="Times New Roman" w:hAnsi="Times New Roman"/>
          <w:color w:val="000000" w:themeColor="text1"/>
          <w:sz w:val="24"/>
          <w:szCs w:val="24"/>
          <w:u w:color="000000"/>
        </w:rPr>
        <w:t xml:space="preserve">    4</w:t>
      </w:r>
      <w:r w:rsidRPr="00C565E2">
        <w:rPr>
          <w:rFonts w:ascii="Times New Roman" w:hAnsi="Times New Roman"/>
          <w:color w:val="000000" w:themeColor="text1"/>
          <w:sz w:val="24"/>
          <w:szCs w:val="24"/>
          <w:u w:color="000000"/>
        </w:rPr>
        <w:t>10,</w:t>
      </w:r>
      <w:r>
        <w:rPr>
          <w:rFonts w:ascii="Times New Roman" w:hAnsi="Times New Roman"/>
          <w:color w:val="000000" w:themeColor="text1"/>
          <w:sz w:val="24"/>
          <w:szCs w:val="24"/>
          <w:u w:color="000000"/>
        </w:rPr>
        <w:t>02</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AB2F85" w:rsidRDefault="00385B00" w:rsidP="00385B00">
      <w:pPr>
        <w:pStyle w:val="Odsekzoznamu"/>
        <w:widowControl/>
        <w:numPr>
          <w:ilvl w:val="0"/>
          <w:numId w:val="31"/>
        </w:numPr>
        <w:spacing w:line="360" w:lineRule="auto"/>
        <w:jc w:val="both"/>
        <w:rPr>
          <w:rFonts w:ascii="Times New Roman" w:hAnsi="Times New Roman"/>
          <w:color w:val="000000" w:themeColor="text1"/>
          <w:sz w:val="24"/>
          <w:szCs w:val="24"/>
          <w:u w:color="000000"/>
        </w:rPr>
      </w:pPr>
      <w:r w:rsidRPr="00AB2F85">
        <w:rPr>
          <w:rFonts w:ascii="Times New Roman" w:hAnsi="Times New Roman"/>
          <w:b/>
          <w:bCs/>
          <w:color w:val="000000" w:themeColor="text1"/>
          <w:sz w:val="24"/>
          <w:szCs w:val="24"/>
          <w:u w:color="000000"/>
        </w:rPr>
        <w:t>správny fond</w:t>
      </w:r>
      <w:r w:rsidRPr="00AB2F85">
        <w:rPr>
          <w:rFonts w:ascii="Times New Roman" w:hAnsi="Times New Roman"/>
          <w:color w:val="000000" w:themeColor="text1"/>
          <w:sz w:val="24"/>
          <w:szCs w:val="24"/>
          <w:u w:color="000000"/>
        </w:rPr>
        <w:t xml:space="preserve"> </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 xml:space="preserve">Zostatok v celkovej sume </w:t>
      </w:r>
      <w:r>
        <w:rPr>
          <w:rFonts w:ascii="Times New Roman" w:hAnsi="Times New Roman"/>
          <w:color w:val="000000" w:themeColor="text1"/>
          <w:sz w:val="24"/>
          <w:szCs w:val="24"/>
          <w:u w:color="000000"/>
        </w:rPr>
        <w:t>490 965,40</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sa skladá z týchto </w:t>
      </w:r>
      <w:r>
        <w:rPr>
          <w:rFonts w:ascii="Times New Roman" w:hAnsi="Times New Roman"/>
          <w:color w:val="000000" w:themeColor="text1"/>
          <w:sz w:val="24"/>
          <w:szCs w:val="24"/>
          <w:u w:color="000000"/>
        </w:rPr>
        <w:t>záväzkov</w:t>
      </w:r>
    </w:p>
    <w:p w:rsidR="00385B00" w:rsidRPr="00C565E2" w:rsidRDefault="00385B00" w:rsidP="00385B00">
      <w:pPr>
        <w:widowControl/>
        <w:tabs>
          <w:tab w:val="left" w:pos="567"/>
        </w:tabs>
        <w:spacing w:line="360" w:lineRule="auto"/>
        <w:ind w:left="567" w:hanging="283"/>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w:t>
      </w:r>
      <w:r w:rsidRPr="00C565E2">
        <w:rPr>
          <w:rFonts w:ascii="Times New Roman" w:hAnsi="Times New Roman"/>
          <w:color w:val="000000" w:themeColor="text1"/>
          <w:sz w:val="24"/>
          <w:szCs w:val="24"/>
          <w:u w:color="000000"/>
        </w:rPr>
        <w:tab/>
        <w:t xml:space="preserve">finančné zábezpeky od firiem na vyhlásenie verejnej súťaže </w:t>
      </w:r>
    </w:p>
    <w:p w:rsidR="00385B00" w:rsidRDefault="00385B00" w:rsidP="00385B00">
      <w:pPr>
        <w:widowControl/>
        <w:tabs>
          <w:tab w:val="left" w:pos="567"/>
        </w:tabs>
        <w:spacing w:line="360" w:lineRule="auto"/>
        <w:ind w:left="567"/>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 xml:space="preserve">v Sociálnej poisťovni, ústredie </w:t>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112 872,00</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p>
    <w:p w:rsidR="00385B00" w:rsidRPr="00C565E2" w:rsidRDefault="00385B00" w:rsidP="00385B00">
      <w:pPr>
        <w:widowControl/>
        <w:tabs>
          <w:tab w:val="left" w:pos="567"/>
        </w:tabs>
        <w:spacing w:line="360" w:lineRule="auto"/>
        <w:ind w:left="567" w:hanging="283"/>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w:t>
      </w:r>
      <w:r w:rsidRPr="00C565E2">
        <w:rPr>
          <w:rFonts w:ascii="Times New Roman" w:hAnsi="Times New Roman"/>
          <w:color w:val="000000" w:themeColor="text1"/>
          <w:sz w:val="24"/>
          <w:szCs w:val="24"/>
          <w:u w:color="000000"/>
        </w:rPr>
        <w:tab/>
        <w:t>právoplatné trovy konaní</w:t>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t xml:space="preserve"> </w:t>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C1133">
        <w:rPr>
          <w:rFonts w:ascii="Times New Roman" w:hAnsi="Times New Roman"/>
          <w:color w:val="000000" w:themeColor="text1"/>
          <w:sz w:val="24"/>
          <w:szCs w:val="24"/>
          <w:u w:color="000000"/>
        </w:rPr>
        <w:t xml:space="preserve">  32 452,50 EUR</w:t>
      </w:r>
    </w:p>
    <w:p w:rsidR="00385B00" w:rsidRPr="00C565E2" w:rsidRDefault="00385B00" w:rsidP="00385B00">
      <w:pPr>
        <w:widowControl/>
        <w:tabs>
          <w:tab w:val="left" w:pos="567"/>
        </w:tabs>
        <w:spacing w:line="360" w:lineRule="auto"/>
        <w:ind w:left="567" w:hanging="283"/>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w:t>
      </w:r>
      <w:r w:rsidRPr="00C565E2">
        <w:rPr>
          <w:rFonts w:ascii="Times New Roman" w:hAnsi="Times New Roman"/>
          <w:color w:val="000000" w:themeColor="text1"/>
          <w:sz w:val="24"/>
          <w:szCs w:val="24"/>
          <w:u w:color="000000"/>
        </w:rPr>
        <w:tab/>
        <w:t xml:space="preserve">voči členom Dozornej rady Sociálnej poisťovne </w:t>
      </w:r>
    </w:p>
    <w:p w:rsidR="00385B00" w:rsidRPr="00C565E2" w:rsidRDefault="00385B00" w:rsidP="00385B00">
      <w:pPr>
        <w:widowControl/>
        <w:tabs>
          <w:tab w:val="left" w:pos="567"/>
        </w:tabs>
        <w:spacing w:line="360" w:lineRule="auto"/>
        <w:ind w:left="567"/>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na výplatu odmien</w:t>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t xml:space="preserve">  </w:t>
      </w:r>
      <w:r>
        <w:rPr>
          <w:rFonts w:ascii="Times New Roman" w:hAnsi="Times New Roman"/>
          <w:color w:val="000000" w:themeColor="text1"/>
          <w:sz w:val="24"/>
          <w:szCs w:val="24"/>
          <w:u w:color="000000"/>
        </w:rPr>
        <w:t>21 515,69</w:t>
      </w:r>
      <w:r w:rsidRPr="00C565E2">
        <w:rPr>
          <w:rFonts w:ascii="Times New Roman" w:hAnsi="Times New Roman"/>
          <w:color w:val="000000" w:themeColor="text1"/>
          <w:sz w:val="24"/>
          <w:szCs w:val="24"/>
          <w:u w:color="000000"/>
        </w:rPr>
        <w:t> </w:t>
      </w:r>
      <w:r>
        <w:rPr>
          <w:rFonts w:ascii="Times New Roman" w:hAnsi="Times New Roman"/>
          <w:color w:val="000000" w:themeColor="text1"/>
          <w:sz w:val="24"/>
          <w:szCs w:val="24"/>
          <w:u w:color="000000"/>
        </w:rPr>
        <w:t>EUR</w:t>
      </w:r>
    </w:p>
    <w:p w:rsidR="00385B00" w:rsidRDefault="00385B00" w:rsidP="00385B00">
      <w:pPr>
        <w:widowControl/>
        <w:tabs>
          <w:tab w:val="left" w:pos="567"/>
        </w:tabs>
        <w:spacing w:line="360" w:lineRule="auto"/>
        <w:ind w:left="567" w:hanging="283"/>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  zadržané sumy (zádržné) z dodávateľských faktúr</w:t>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r>
      <w:r w:rsidRPr="00C565E2">
        <w:rPr>
          <w:rFonts w:ascii="Times New Roman" w:hAnsi="Times New Roman"/>
          <w:color w:val="000000" w:themeColor="text1"/>
          <w:sz w:val="24"/>
          <w:szCs w:val="24"/>
          <w:u w:color="000000"/>
        </w:rPr>
        <w:tab/>
        <w:t xml:space="preserve">  </w:t>
      </w:r>
      <w:r>
        <w:rPr>
          <w:rFonts w:ascii="Times New Roman" w:hAnsi="Times New Roman"/>
          <w:color w:val="000000" w:themeColor="text1"/>
          <w:sz w:val="24"/>
          <w:szCs w:val="24"/>
          <w:u w:color="000000"/>
        </w:rPr>
        <w:t>11 309,91</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p>
    <w:p w:rsidR="00385B00" w:rsidRDefault="00385B00" w:rsidP="00385B00">
      <w:pPr>
        <w:widowControl/>
        <w:tabs>
          <w:tab w:val="left" w:pos="567"/>
        </w:tabs>
        <w:spacing w:line="360" w:lineRule="auto"/>
        <w:jc w:val="both"/>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ab/>
        <w:t xml:space="preserve">a záväzkov z vnútorného zúčtovania (najmä náhrada škody </w:t>
      </w:r>
    </w:p>
    <w:p w:rsidR="00385B00" w:rsidRDefault="00385B00" w:rsidP="00385B00">
      <w:pPr>
        <w:widowControl/>
        <w:tabs>
          <w:tab w:val="left" w:pos="567"/>
        </w:tabs>
        <w:spacing w:line="360" w:lineRule="auto"/>
        <w:jc w:val="both"/>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ab/>
        <w:t>uplatňovaná voči bývalým zamestnancom vo výške 159 056,11 EUR)</w:t>
      </w:r>
      <w:r>
        <w:rPr>
          <w:rFonts w:ascii="Times New Roman" w:hAnsi="Times New Roman"/>
          <w:color w:val="000000" w:themeColor="text1"/>
          <w:sz w:val="24"/>
          <w:szCs w:val="24"/>
          <w:u w:color="000000"/>
        </w:rPr>
        <w:tab/>
        <w:t xml:space="preserve"> 312 815,30 EUR</w:t>
      </w:r>
    </w:p>
    <w:p w:rsidR="00385B00" w:rsidRDefault="00385B00" w:rsidP="00385B00">
      <w:pPr>
        <w:widowControl/>
        <w:tabs>
          <w:tab w:val="left" w:pos="567"/>
        </w:tabs>
        <w:spacing w:line="360" w:lineRule="auto"/>
        <w:ind w:left="567"/>
        <w:jc w:val="both"/>
        <w:rPr>
          <w:rFonts w:ascii="Times New Roman" w:hAnsi="Times New Roman"/>
          <w:color w:val="000000" w:themeColor="text1"/>
          <w:sz w:val="24"/>
          <w:szCs w:val="24"/>
          <w:u w:color="000000"/>
        </w:rPr>
      </w:pPr>
    </w:p>
    <w:p w:rsidR="00385B00" w:rsidRPr="00C565E2" w:rsidRDefault="00385B00" w:rsidP="00385B00">
      <w:pPr>
        <w:widowControl/>
        <w:tabs>
          <w:tab w:val="left" w:pos="567"/>
        </w:tabs>
        <w:spacing w:line="360" w:lineRule="auto"/>
        <w:ind w:left="567"/>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ind w:left="567" w:hanging="567"/>
        <w:jc w:val="both"/>
        <w:rPr>
          <w:rFonts w:ascii="Times New Roman" w:hAnsi="Times New Roman"/>
          <w:b/>
          <w:bCs/>
          <w:color w:val="000000" w:themeColor="text1"/>
          <w:sz w:val="24"/>
          <w:szCs w:val="24"/>
          <w:u w:color="000000"/>
        </w:rPr>
      </w:pPr>
      <w:r>
        <w:rPr>
          <w:rFonts w:ascii="Times New Roman" w:hAnsi="Times New Roman"/>
          <w:b/>
          <w:bCs/>
          <w:color w:val="000000" w:themeColor="text1"/>
          <w:sz w:val="24"/>
          <w:szCs w:val="24"/>
          <w:u w:color="000000"/>
        </w:rPr>
        <w:t>c)</w:t>
      </w:r>
      <w:r>
        <w:rPr>
          <w:rFonts w:ascii="Times New Roman" w:hAnsi="Times New Roman"/>
          <w:b/>
          <w:bCs/>
          <w:color w:val="000000" w:themeColor="text1"/>
          <w:sz w:val="24"/>
          <w:szCs w:val="24"/>
          <w:u w:color="000000"/>
        </w:rPr>
        <w:tab/>
        <w:t>P</w:t>
      </w:r>
      <w:r w:rsidRPr="00C565E2">
        <w:rPr>
          <w:rFonts w:ascii="Times New Roman" w:hAnsi="Times New Roman"/>
          <w:b/>
          <w:bCs/>
          <w:color w:val="000000" w:themeColor="text1"/>
          <w:sz w:val="24"/>
          <w:szCs w:val="24"/>
          <w:u w:color="000000"/>
        </w:rPr>
        <w:t>rehľad o výške záväzkov do lehoty splatnosti a po lehote splatnosti</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Stav záväzkov Sociálnej poisťovne vykazovaný v súvahe k 31.12.</w:t>
      </w:r>
      <w:r>
        <w:rPr>
          <w:rFonts w:ascii="Times New Roman" w:hAnsi="Times New Roman"/>
          <w:color w:val="000000" w:themeColor="text1"/>
          <w:sz w:val="24"/>
          <w:szCs w:val="24"/>
          <w:u w:color="000000"/>
        </w:rPr>
        <w:t>2018</w:t>
      </w:r>
      <w:r w:rsidRPr="00C565E2">
        <w:rPr>
          <w:rFonts w:ascii="Times New Roman" w:hAnsi="Times New Roman"/>
          <w:color w:val="000000" w:themeColor="text1"/>
          <w:sz w:val="24"/>
          <w:szCs w:val="24"/>
          <w:u w:color="000000"/>
        </w:rPr>
        <w:t xml:space="preserve"> je </w:t>
      </w:r>
      <w:r>
        <w:rPr>
          <w:rFonts w:ascii="Times New Roman" w:hAnsi="Times New Roman"/>
          <w:color w:val="000000" w:themeColor="text1"/>
          <w:sz w:val="24"/>
          <w:szCs w:val="24"/>
          <w:u w:color="000000"/>
        </w:rPr>
        <w:t xml:space="preserve">     48 909 677,93</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Z celkového objemu záväzkov predstavujú záväzky do lehoty splatnosti </w:t>
      </w:r>
      <w:r>
        <w:rPr>
          <w:rFonts w:ascii="Times New Roman" w:hAnsi="Times New Roman"/>
          <w:color w:val="000000" w:themeColor="text1"/>
          <w:sz w:val="24"/>
          <w:szCs w:val="24"/>
          <w:u w:color="000000"/>
        </w:rPr>
        <w:t>48 909 677,93</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Záväzky po lehote splatnosti Sociálna poisťovňa neeviduje.</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b/>
          <w:color w:val="000000" w:themeColor="text1"/>
          <w:sz w:val="24"/>
          <w:szCs w:val="24"/>
          <w:u w:color="000000"/>
        </w:rPr>
      </w:pPr>
      <w:r w:rsidRPr="00C565E2">
        <w:rPr>
          <w:rFonts w:ascii="Times New Roman" w:hAnsi="Times New Roman"/>
          <w:b/>
          <w:bCs/>
          <w:color w:val="000000" w:themeColor="text1"/>
          <w:sz w:val="24"/>
          <w:szCs w:val="24"/>
          <w:u w:color="000000"/>
        </w:rPr>
        <w:t>d)</w:t>
      </w:r>
      <w:r w:rsidRPr="00C565E2">
        <w:rPr>
          <w:rFonts w:ascii="Times New Roman" w:hAnsi="Times New Roman"/>
          <w:b/>
          <w:color w:val="000000" w:themeColor="text1"/>
          <w:sz w:val="24"/>
          <w:szCs w:val="24"/>
          <w:u w:color="000000"/>
        </w:rPr>
        <w:tab/>
      </w:r>
      <w:r>
        <w:rPr>
          <w:rFonts w:ascii="Times New Roman" w:hAnsi="Times New Roman"/>
          <w:b/>
          <w:color w:val="000000" w:themeColor="text1"/>
          <w:sz w:val="24"/>
          <w:szCs w:val="24"/>
          <w:u w:color="000000"/>
        </w:rPr>
        <w:t>Z</w:t>
      </w:r>
      <w:r w:rsidRPr="00C565E2">
        <w:rPr>
          <w:rFonts w:ascii="Times New Roman" w:hAnsi="Times New Roman"/>
          <w:b/>
          <w:bCs/>
          <w:color w:val="000000" w:themeColor="text1"/>
          <w:sz w:val="24"/>
          <w:szCs w:val="24"/>
          <w:u w:color="000000"/>
        </w:rPr>
        <w:t>áväzky podľa zostatkovej doby splatnosti</w:t>
      </w:r>
    </w:p>
    <w:p w:rsidR="00385B00" w:rsidRPr="00C565E2" w:rsidRDefault="00385B00" w:rsidP="00385B00">
      <w:pPr>
        <w:widowControl/>
        <w:spacing w:line="360" w:lineRule="auto"/>
        <w:ind w:firstLine="510"/>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Záväzky, pri ktorých sa k 31. 12. </w:t>
      </w:r>
      <w:r>
        <w:rPr>
          <w:rFonts w:ascii="Times New Roman" w:hAnsi="Times New Roman"/>
          <w:color w:val="000000" w:themeColor="text1"/>
          <w:sz w:val="24"/>
          <w:szCs w:val="24"/>
          <w:u w:color="000000"/>
        </w:rPr>
        <w:t>2018</w:t>
      </w:r>
      <w:r w:rsidRPr="00C565E2">
        <w:rPr>
          <w:rFonts w:ascii="Times New Roman" w:hAnsi="Times New Roman"/>
          <w:color w:val="000000" w:themeColor="text1"/>
          <w:sz w:val="24"/>
          <w:szCs w:val="24"/>
          <w:u w:color="000000"/>
        </w:rPr>
        <w:t xml:space="preserve"> zisťuje zostatková doba splatnosti predstavujú záväzky vykazované v riadku 084. Záväzky v sume </w:t>
      </w:r>
      <w:r>
        <w:rPr>
          <w:rFonts w:ascii="Times New Roman" w:hAnsi="Times New Roman"/>
          <w:color w:val="000000" w:themeColor="text1"/>
          <w:sz w:val="24"/>
          <w:szCs w:val="24"/>
          <w:u w:color="000000"/>
        </w:rPr>
        <w:t>282 001,16</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patria medzi záväzky podľa zostatkovej doby splatnosti od jedného roka do piatich rokov vrátane. Ide o zádržné z dodávateľských faktúr, ktoré garantuje kvalitu predmetu príslušných zmlúv.</w:t>
      </w:r>
    </w:p>
    <w:p w:rsidR="00385B00" w:rsidRPr="00C565E2" w:rsidRDefault="00385B00" w:rsidP="00385B00">
      <w:pPr>
        <w:widowControl/>
        <w:spacing w:line="360" w:lineRule="auto"/>
        <w:ind w:firstLine="510"/>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C565E2">
        <w:rPr>
          <w:rFonts w:ascii="Times New Roman" w:hAnsi="Times New Roman"/>
          <w:b/>
          <w:bCs/>
          <w:color w:val="000000" w:themeColor="text1"/>
          <w:sz w:val="24"/>
          <w:szCs w:val="24"/>
          <w:u w:color="000000"/>
        </w:rPr>
        <w:t>e)</w:t>
      </w:r>
      <w:r w:rsidRPr="00C565E2">
        <w:rPr>
          <w:rFonts w:ascii="Times New Roman" w:hAnsi="Times New Roman"/>
          <w:b/>
          <w:bCs/>
          <w:color w:val="000000" w:themeColor="text1"/>
          <w:sz w:val="24"/>
          <w:szCs w:val="24"/>
          <w:u w:color="000000"/>
        </w:rPr>
        <w:tab/>
        <w:t>Sociálny fond</w:t>
      </w:r>
    </w:p>
    <w:p w:rsidR="00385B00" w:rsidRDefault="00385B00" w:rsidP="00385B00">
      <w:pPr>
        <w:widowControl/>
        <w:spacing w:line="360" w:lineRule="auto"/>
        <w:ind w:firstLine="510"/>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Údaje o záväzkoch sociálneho fondu prezentuje tabuľka č. 9.</w:t>
      </w:r>
    </w:p>
    <w:p w:rsidR="00385B00" w:rsidRPr="00C565E2" w:rsidRDefault="00385B00" w:rsidP="00385B00">
      <w:pPr>
        <w:widowControl/>
        <w:spacing w:line="360" w:lineRule="auto"/>
        <w:ind w:firstLine="510"/>
        <w:jc w:val="both"/>
        <w:rPr>
          <w:rFonts w:ascii="Times New Roman" w:hAnsi="Times New Roman"/>
          <w:b/>
          <w:bCs/>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F267D4">
        <w:rPr>
          <w:rFonts w:ascii="Times New Roman" w:hAnsi="Times New Roman"/>
          <w:b/>
          <w:bCs/>
          <w:color w:val="000000" w:themeColor="text1"/>
          <w:sz w:val="24"/>
          <w:szCs w:val="24"/>
          <w:u w:color="000000"/>
        </w:rPr>
        <w:t>Riadok 082</w:t>
      </w:r>
      <w:r w:rsidRPr="00C565E2">
        <w:rPr>
          <w:rFonts w:ascii="Times New Roman" w:hAnsi="Times New Roman"/>
          <w:b/>
          <w:bCs/>
          <w:color w:val="000000" w:themeColor="text1"/>
          <w:sz w:val="24"/>
          <w:szCs w:val="24"/>
          <w:u w:color="000000"/>
        </w:rPr>
        <w:t xml:space="preserve"> – Sociálny fond </w:t>
      </w:r>
    </w:p>
    <w:p w:rsidR="00385B00" w:rsidRPr="00F267D4" w:rsidRDefault="00385B00" w:rsidP="00385B00">
      <w:pPr>
        <w:spacing w:line="360" w:lineRule="auto"/>
        <w:ind w:firstLine="510"/>
        <w:rPr>
          <w:rFonts w:ascii="Times New Roman" w:hAnsi="Times New Roman"/>
          <w:b/>
          <w:bCs/>
          <w:color w:val="000000" w:themeColor="text1"/>
          <w:sz w:val="24"/>
          <w:szCs w:val="24"/>
          <w:u w:color="000000"/>
        </w:rPr>
      </w:pPr>
      <w:r w:rsidRPr="00F267D4">
        <w:rPr>
          <w:rFonts w:ascii="Times New Roman" w:hAnsi="Times New Roman"/>
          <w:b/>
          <w:bCs/>
          <w:color w:val="000000" w:themeColor="text1"/>
          <w:sz w:val="24"/>
          <w:szCs w:val="24"/>
          <w:u w:color="000000"/>
        </w:rPr>
        <w:t>Stav a vý</w:t>
      </w:r>
      <w:r>
        <w:rPr>
          <w:rFonts w:ascii="Times New Roman" w:hAnsi="Times New Roman"/>
          <w:b/>
          <w:bCs/>
          <w:color w:val="000000" w:themeColor="text1"/>
          <w:sz w:val="24"/>
          <w:szCs w:val="24"/>
          <w:u w:color="000000"/>
        </w:rPr>
        <w:t>voj sociálneho fondu v roku 2018</w:t>
      </w:r>
      <w:r w:rsidRPr="00F267D4">
        <w:rPr>
          <w:rFonts w:ascii="Times New Roman" w:hAnsi="Times New Roman"/>
          <w:b/>
          <w:bCs/>
          <w:color w:val="000000" w:themeColor="text1"/>
          <w:sz w:val="24"/>
          <w:szCs w:val="24"/>
          <w:u w:color="000000"/>
        </w:rPr>
        <w:t xml:space="preserve"> bol takýto:</w:t>
      </w:r>
    </w:p>
    <w:p w:rsidR="00385B00" w:rsidRPr="00C565E2" w:rsidRDefault="00385B00" w:rsidP="00385B00">
      <w:pPr>
        <w:spacing w:line="360" w:lineRule="auto"/>
        <w:rPr>
          <w:rFonts w:ascii="Times New Roman" w:hAnsi="Times New Roman"/>
          <w:b/>
          <w:color w:val="000000" w:themeColor="text1"/>
          <w:sz w:val="24"/>
          <w:szCs w:val="24"/>
        </w:rPr>
      </w:pPr>
      <w:r w:rsidRPr="00F267D4">
        <w:rPr>
          <w:rFonts w:ascii="Times New Roman" w:hAnsi="Times New Roman"/>
          <w:b/>
          <w:bCs/>
          <w:color w:val="000000" w:themeColor="text1"/>
          <w:sz w:val="24"/>
          <w:szCs w:val="24"/>
          <w:u w:color="000000"/>
        </w:rPr>
        <w:t>stav fondu k 1. 1. </w:t>
      </w:r>
      <w:r>
        <w:rPr>
          <w:rFonts w:ascii="Times New Roman" w:hAnsi="Times New Roman"/>
          <w:b/>
          <w:bCs/>
          <w:color w:val="000000" w:themeColor="text1"/>
          <w:sz w:val="24"/>
          <w:szCs w:val="24"/>
          <w:u w:color="000000"/>
        </w:rPr>
        <w:t>2018</w:t>
      </w:r>
      <w:r w:rsidRPr="00C565E2">
        <w:rPr>
          <w:rFonts w:ascii="Times New Roman" w:hAnsi="Times New Roman"/>
          <w:b/>
          <w:color w:val="000000" w:themeColor="text1"/>
          <w:sz w:val="24"/>
          <w:szCs w:val="24"/>
        </w:rPr>
        <w:t xml:space="preserve"> </w:t>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t xml:space="preserve">  </w:t>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t xml:space="preserve">    </w:t>
      </w:r>
      <w:r>
        <w:rPr>
          <w:rFonts w:ascii="Times New Roman" w:hAnsi="Times New Roman"/>
          <w:b/>
          <w:color w:val="000000" w:themeColor="text1"/>
          <w:sz w:val="24"/>
          <w:szCs w:val="24"/>
        </w:rPr>
        <w:t xml:space="preserve"> </w:t>
      </w:r>
      <w:r w:rsidRPr="00C565E2">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525 711,51</w:t>
      </w:r>
      <w:r w:rsidRPr="00C565E2">
        <w:rPr>
          <w:rFonts w:ascii="Times New Roman" w:hAnsi="Times New Roman"/>
          <w:b/>
          <w:color w:val="000000" w:themeColor="text1"/>
          <w:sz w:val="24"/>
          <w:szCs w:val="24"/>
        </w:rPr>
        <w:t> </w:t>
      </w:r>
      <w:r>
        <w:rPr>
          <w:rFonts w:ascii="Times New Roman" w:hAnsi="Times New Roman"/>
          <w:b/>
          <w:color w:val="000000" w:themeColor="text1"/>
          <w:sz w:val="24"/>
          <w:szCs w:val="24"/>
        </w:rPr>
        <w:t>EUR</w:t>
      </w:r>
    </w:p>
    <w:p w:rsidR="00385B00" w:rsidRPr="00C565E2" w:rsidRDefault="00385B00" w:rsidP="00385B00">
      <w:pPr>
        <w:spacing w:line="360" w:lineRule="auto"/>
        <w:rPr>
          <w:rFonts w:ascii="Times New Roman" w:hAnsi="Times New Roman"/>
          <w:b/>
          <w:color w:val="000000" w:themeColor="text1"/>
          <w:sz w:val="24"/>
          <w:szCs w:val="24"/>
        </w:rPr>
      </w:pPr>
      <w:r w:rsidRPr="00C565E2">
        <w:rPr>
          <w:rFonts w:ascii="Times New Roman" w:hAnsi="Times New Roman"/>
          <w:b/>
          <w:color w:val="000000" w:themeColor="text1"/>
          <w:sz w:val="24"/>
          <w:szCs w:val="24"/>
        </w:rPr>
        <w:t>tvorba fondu</w:t>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t xml:space="preserve">  </w:t>
      </w:r>
      <w:r>
        <w:rPr>
          <w:rFonts w:ascii="Times New Roman" w:hAnsi="Times New Roman"/>
          <w:b/>
          <w:color w:val="000000" w:themeColor="text1"/>
          <w:sz w:val="24"/>
          <w:szCs w:val="24"/>
        </w:rPr>
        <w:t xml:space="preserve"> </w:t>
      </w:r>
      <w:r w:rsidRPr="00C565E2">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 xml:space="preserve"> </w:t>
      </w:r>
      <w:r w:rsidRPr="00C565E2">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927 692,05</w:t>
      </w:r>
      <w:r w:rsidRPr="00C565E2">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EUR</w:t>
      </w:r>
    </w:p>
    <w:p w:rsidR="00385B00" w:rsidRPr="00C565E2" w:rsidRDefault="00385B00" w:rsidP="00385B00">
      <w:pPr>
        <w:spacing w:line="360" w:lineRule="auto"/>
        <w:ind w:firstLine="510"/>
        <w:rPr>
          <w:rFonts w:ascii="Times New Roman" w:hAnsi="Times New Roman"/>
          <w:color w:val="000000" w:themeColor="text1"/>
          <w:sz w:val="24"/>
          <w:szCs w:val="24"/>
        </w:rPr>
      </w:pPr>
      <w:r w:rsidRPr="00C565E2">
        <w:rPr>
          <w:rFonts w:ascii="Times New Roman" w:hAnsi="Times New Roman"/>
          <w:color w:val="000000" w:themeColor="text1"/>
          <w:sz w:val="24"/>
          <w:szCs w:val="24"/>
        </w:rPr>
        <w:t>v tom</w:t>
      </w:r>
    </w:p>
    <w:p w:rsidR="00385B00" w:rsidRPr="00C565E2" w:rsidRDefault="00385B00" w:rsidP="00385B00">
      <w:pPr>
        <w:widowControl/>
        <w:numPr>
          <w:ilvl w:val="0"/>
          <w:numId w:val="8"/>
        </w:numPr>
        <w:tabs>
          <w:tab w:val="clear" w:pos="360"/>
        </w:tabs>
        <w:autoSpaceDE/>
        <w:autoSpaceDN/>
        <w:adjustRightInd/>
        <w:spacing w:line="360" w:lineRule="auto"/>
        <w:ind w:left="510" w:hanging="510"/>
        <w:rPr>
          <w:rFonts w:ascii="Times New Roman" w:hAnsi="Times New Roman"/>
          <w:color w:val="000000" w:themeColor="text1"/>
          <w:sz w:val="24"/>
          <w:szCs w:val="24"/>
        </w:rPr>
      </w:pPr>
      <w:r w:rsidRPr="00C565E2">
        <w:rPr>
          <w:rFonts w:ascii="Times New Roman" w:hAnsi="Times New Roman"/>
          <w:color w:val="000000" w:themeColor="text1"/>
          <w:sz w:val="24"/>
          <w:szCs w:val="24"/>
        </w:rPr>
        <w:t xml:space="preserve">prídel do sociálneho fondu za rok </w:t>
      </w:r>
      <w:r>
        <w:rPr>
          <w:rFonts w:ascii="Times New Roman" w:hAnsi="Times New Roman"/>
          <w:color w:val="000000" w:themeColor="text1"/>
          <w:sz w:val="24"/>
          <w:szCs w:val="24"/>
        </w:rPr>
        <w:t>2018</w:t>
      </w:r>
      <w:r w:rsidRPr="00C565E2">
        <w:rPr>
          <w:rFonts w:ascii="Times New Roman" w:hAnsi="Times New Roman"/>
          <w:color w:val="000000" w:themeColor="text1"/>
          <w:sz w:val="24"/>
          <w:szCs w:val="24"/>
        </w:rPr>
        <w:tab/>
      </w:r>
      <w:r w:rsidRPr="00C565E2">
        <w:rPr>
          <w:rFonts w:ascii="Times New Roman" w:hAnsi="Times New Roman"/>
          <w:color w:val="000000" w:themeColor="text1"/>
          <w:sz w:val="24"/>
          <w:szCs w:val="24"/>
        </w:rPr>
        <w:tab/>
        <w:t xml:space="preserve"> </w:t>
      </w:r>
      <w:r w:rsidRPr="00C565E2">
        <w:rPr>
          <w:rFonts w:ascii="Times New Roman" w:hAnsi="Times New Roman"/>
          <w:color w:val="000000" w:themeColor="text1"/>
          <w:sz w:val="24"/>
          <w:szCs w:val="24"/>
        </w:rPr>
        <w:tab/>
      </w:r>
      <w:r w:rsidRPr="00C565E2">
        <w:rPr>
          <w:rFonts w:ascii="Times New Roman" w:hAnsi="Times New Roman"/>
          <w:color w:val="000000" w:themeColor="text1"/>
          <w:sz w:val="24"/>
          <w:szCs w:val="24"/>
        </w:rPr>
        <w:tab/>
      </w:r>
      <w:r w:rsidRPr="00C565E2">
        <w:rPr>
          <w:rFonts w:ascii="Times New Roman" w:hAnsi="Times New Roman"/>
          <w:color w:val="000000" w:themeColor="text1"/>
          <w:sz w:val="24"/>
          <w:szCs w:val="24"/>
        </w:rPr>
        <w:tab/>
      </w:r>
      <w:r w:rsidRPr="00C565E2">
        <w:rPr>
          <w:rFonts w:ascii="Times New Roman" w:hAnsi="Times New Roman"/>
          <w:color w:val="000000" w:themeColor="text1"/>
          <w:sz w:val="24"/>
          <w:szCs w:val="24"/>
        </w:rPr>
        <w:tab/>
        <w:t xml:space="preserve">   </w:t>
      </w:r>
      <w:r>
        <w:rPr>
          <w:rFonts w:ascii="Times New Roman" w:hAnsi="Times New Roman"/>
          <w:color w:val="000000" w:themeColor="text1"/>
          <w:sz w:val="24"/>
          <w:szCs w:val="24"/>
        </w:rPr>
        <w:t xml:space="preserve"> </w:t>
      </w:r>
      <w:r w:rsidRPr="00C565E2">
        <w:rPr>
          <w:rFonts w:ascii="Times New Roman" w:hAnsi="Times New Roman"/>
          <w:color w:val="000000" w:themeColor="text1"/>
          <w:sz w:val="24"/>
          <w:szCs w:val="24"/>
        </w:rPr>
        <w:t xml:space="preserve">  </w:t>
      </w:r>
      <w:r>
        <w:rPr>
          <w:rFonts w:ascii="Times New Roman" w:hAnsi="Times New Roman"/>
          <w:color w:val="000000" w:themeColor="text1"/>
          <w:sz w:val="24"/>
          <w:szCs w:val="24"/>
        </w:rPr>
        <w:t>927 692,05</w:t>
      </w:r>
      <w:r w:rsidRPr="00C565E2">
        <w:rPr>
          <w:rFonts w:ascii="Times New Roman" w:hAnsi="Times New Roman"/>
          <w:color w:val="000000" w:themeColor="text1"/>
          <w:sz w:val="24"/>
          <w:szCs w:val="24"/>
        </w:rPr>
        <w:t xml:space="preserve"> </w:t>
      </w:r>
      <w:r>
        <w:rPr>
          <w:rFonts w:ascii="Times New Roman" w:hAnsi="Times New Roman"/>
          <w:color w:val="000000" w:themeColor="text1"/>
          <w:sz w:val="24"/>
          <w:szCs w:val="24"/>
        </w:rPr>
        <w:t>EUR</w:t>
      </w:r>
    </w:p>
    <w:p w:rsidR="00385B00" w:rsidRPr="00C565E2" w:rsidRDefault="00385B00" w:rsidP="00385B00">
      <w:pPr>
        <w:spacing w:line="360" w:lineRule="auto"/>
        <w:rPr>
          <w:rFonts w:ascii="Times New Roman" w:hAnsi="Times New Roman"/>
          <w:b/>
          <w:color w:val="000000" w:themeColor="text1"/>
          <w:sz w:val="24"/>
          <w:szCs w:val="24"/>
        </w:rPr>
      </w:pPr>
      <w:r w:rsidRPr="00C565E2">
        <w:rPr>
          <w:rFonts w:ascii="Times New Roman" w:hAnsi="Times New Roman"/>
          <w:b/>
          <w:color w:val="000000" w:themeColor="text1"/>
          <w:sz w:val="24"/>
          <w:szCs w:val="24"/>
        </w:rPr>
        <w:t xml:space="preserve">čerpanie fondu </w:t>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r>
      <w:r>
        <w:rPr>
          <w:rFonts w:ascii="Times New Roman" w:hAnsi="Times New Roman"/>
          <w:b/>
          <w:color w:val="000000" w:themeColor="text1"/>
          <w:sz w:val="24"/>
          <w:szCs w:val="24"/>
        </w:rPr>
        <w:t xml:space="preserve">      821 708,17</w:t>
      </w:r>
      <w:r w:rsidRPr="00C565E2">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EUR</w:t>
      </w:r>
    </w:p>
    <w:p w:rsidR="00385B00" w:rsidRPr="00C565E2" w:rsidRDefault="00385B00" w:rsidP="00385B00">
      <w:pPr>
        <w:spacing w:line="360" w:lineRule="auto"/>
        <w:ind w:firstLine="510"/>
        <w:rPr>
          <w:rFonts w:ascii="Times New Roman" w:hAnsi="Times New Roman"/>
          <w:color w:val="000000" w:themeColor="text1"/>
          <w:sz w:val="24"/>
          <w:szCs w:val="24"/>
        </w:rPr>
      </w:pPr>
      <w:r w:rsidRPr="00C565E2">
        <w:rPr>
          <w:rFonts w:ascii="Times New Roman" w:hAnsi="Times New Roman"/>
          <w:color w:val="000000" w:themeColor="text1"/>
          <w:sz w:val="24"/>
          <w:szCs w:val="24"/>
        </w:rPr>
        <w:t>v tom</w:t>
      </w:r>
    </w:p>
    <w:p w:rsidR="00385B00" w:rsidRPr="00C565E2" w:rsidRDefault="00385B00" w:rsidP="00385B00">
      <w:pPr>
        <w:widowControl/>
        <w:numPr>
          <w:ilvl w:val="0"/>
          <w:numId w:val="8"/>
        </w:numPr>
        <w:tabs>
          <w:tab w:val="clear" w:pos="360"/>
        </w:tabs>
        <w:autoSpaceDE/>
        <w:autoSpaceDN/>
        <w:adjustRightInd/>
        <w:spacing w:line="360" w:lineRule="auto"/>
        <w:ind w:left="0" w:firstLine="0"/>
        <w:jc w:val="both"/>
        <w:rPr>
          <w:rFonts w:ascii="Times New Roman" w:hAnsi="Times New Roman"/>
          <w:color w:val="000000" w:themeColor="text1"/>
          <w:sz w:val="24"/>
          <w:szCs w:val="24"/>
        </w:rPr>
      </w:pPr>
      <w:r w:rsidRPr="00C565E2">
        <w:rPr>
          <w:rFonts w:ascii="Times New Roman" w:hAnsi="Times New Roman"/>
          <w:color w:val="000000" w:themeColor="text1"/>
          <w:sz w:val="24"/>
          <w:szCs w:val="24"/>
        </w:rPr>
        <w:t xml:space="preserve">príspevky zamestnancom na závodné stravovanie </w:t>
      </w:r>
      <w:r w:rsidRPr="00C565E2">
        <w:rPr>
          <w:rFonts w:ascii="Times New Roman" w:hAnsi="Times New Roman"/>
          <w:color w:val="000000" w:themeColor="text1"/>
          <w:sz w:val="24"/>
          <w:szCs w:val="24"/>
        </w:rPr>
        <w:tab/>
      </w:r>
      <w:r w:rsidRPr="00C565E2">
        <w:rPr>
          <w:rFonts w:ascii="Times New Roman" w:hAnsi="Times New Roman"/>
          <w:color w:val="000000" w:themeColor="text1"/>
          <w:sz w:val="24"/>
          <w:szCs w:val="24"/>
        </w:rPr>
        <w:tab/>
      </w:r>
      <w:r w:rsidRPr="00C565E2">
        <w:rPr>
          <w:rFonts w:ascii="Times New Roman" w:hAnsi="Times New Roman"/>
          <w:color w:val="000000" w:themeColor="text1"/>
          <w:sz w:val="24"/>
          <w:szCs w:val="24"/>
        </w:rPr>
        <w:tab/>
      </w:r>
      <w:r w:rsidRPr="00C565E2">
        <w:rPr>
          <w:rFonts w:ascii="Times New Roman" w:hAnsi="Times New Roman"/>
          <w:color w:val="000000" w:themeColor="text1"/>
          <w:sz w:val="24"/>
          <w:szCs w:val="24"/>
        </w:rPr>
        <w:tab/>
        <w:t xml:space="preserve">   </w:t>
      </w:r>
      <w:r>
        <w:rPr>
          <w:rFonts w:ascii="Times New Roman" w:hAnsi="Times New Roman"/>
          <w:color w:val="000000" w:themeColor="text1"/>
          <w:sz w:val="24"/>
          <w:szCs w:val="24"/>
        </w:rPr>
        <w:t xml:space="preserve">  </w:t>
      </w:r>
      <w:r w:rsidRPr="00C565E2">
        <w:rPr>
          <w:rFonts w:ascii="Times New Roman" w:hAnsi="Times New Roman"/>
          <w:color w:val="000000" w:themeColor="text1"/>
          <w:sz w:val="24"/>
          <w:szCs w:val="24"/>
        </w:rPr>
        <w:t xml:space="preserve"> </w:t>
      </w:r>
      <w:r>
        <w:rPr>
          <w:rFonts w:ascii="Times New Roman" w:hAnsi="Times New Roman"/>
          <w:color w:val="000000" w:themeColor="text1"/>
          <w:sz w:val="24"/>
          <w:szCs w:val="24"/>
        </w:rPr>
        <w:t>443 827,58</w:t>
      </w:r>
      <w:r w:rsidRPr="00C565E2">
        <w:rPr>
          <w:rFonts w:ascii="Times New Roman" w:hAnsi="Times New Roman"/>
          <w:color w:val="000000" w:themeColor="text1"/>
          <w:sz w:val="24"/>
          <w:szCs w:val="24"/>
        </w:rPr>
        <w:t> </w:t>
      </w:r>
      <w:r>
        <w:rPr>
          <w:rFonts w:ascii="Times New Roman" w:hAnsi="Times New Roman"/>
          <w:color w:val="000000" w:themeColor="text1"/>
          <w:sz w:val="24"/>
          <w:szCs w:val="24"/>
        </w:rPr>
        <w:t>EUR</w:t>
      </w:r>
    </w:p>
    <w:p w:rsidR="00385B00" w:rsidRPr="00C565E2" w:rsidRDefault="00385B00" w:rsidP="00385B00">
      <w:pPr>
        <w:widowControl/>
        <w:numPr>
          <w:ilvl w:val="0"/>
          <w:numId w:val="8"/>
        </w:numPr>
        <w:tabs>
          <w:tab w:val="clear" w:pos="360"/>
        </w:tabs>
        <w:autoSpaceDE/>
        <w:autoSpaceDN/>
        <w:adjustRightInd/>
        <w:spacing w:line="360" w:lineRule="auto"/>
        <w:ind w:left="0" w:firstLine="0"/>
        <w:jc w:val="both"/>
        <w:rPr>
          <w:rFonts w:ascii="Times New Roman" w:hAnsi="Times New Roman"/>
          <w:color w:val="000000" w:themeColor="text1"/>
          <w:sz w:val="24"/>
          <w:szCs w:val="24"/>
        </w:rPr>
      </w:pPr>
      <w:r w:rsidRPr="00C565E2">
        <w:rPr>
          <w:rFonts w:ascii="Times New Roman" w:hAnsi="Times New Roman"/>
          <w:color w:val="000000" w:themeColor="text1"/>
          <w:sz w:val="24"/>
          <w:szCs w:val="24"/>
        </w:rPr>
        <w:t>príspevok na zdravotnú starostlivosť</w:t>
      </w:r>
      <w:r w:rsidRPr="00C565E2">
        <w:rPr>
          <w:rFonts w:ascii="Times New Roman" w:hAnsi="Times New Roman"/>
          <w:color w:val="000000" w:themeColor="text1"/>
          <w:sz w:val="24"/>
          <w:szCs w:val="24"/>
        </w:rPr>
        <w:tab/>
      </w:r>
      <w:r w:rsidRPr="00C565E2">
        <w:rPr>
          <w:rFonts w:ascii="Times New Roman" w:hAnsi="Times New Roman"/>
          <w:color w:val="000000" w:themeColor="text1"/>
          <w:sz w:val="24"/>
          <w:szCs w:val="24"/>
        </w:rPr>
        <w:tab/>
      </w:r>
      <w:r w:rsidRPr="00C565E2">
        <w:rPr>
          <w:rFonts w:ascii="Times New Roman" w:hAnsi="Times New Roman"/>
          <w:color w:val="000000" w:themeColor="text1"/>
          <w:sz w:val="24"/>
          <w:szCs w:val="24"/>
        </w:rPr>
        <w:tab/>
      </w:r>
      <w:r w:rsidRPr="00C565E2">
        <w:rPr>
          <w:rFonts w:ascii="Times New Roman" w:hAnsi="Times New Roman"/>
          <w:color w:val="000000" w:themeColor="text1"/>
          <w:sz w:val="24"/>
          <w:szCs w:val="24"/>
        </w:rPr>
        <w:tab/>
      </w:r>
      <w:r w:rsidRPr="00C565E2">
        <w:rPr>
          <w:rFonts w:ascii="Times New Roman" w:hAnsi="Times New Roman"/>
          <w:color w:val="000000" w:themeColor="text1"/>
          <w:sz w:val="24"/>
          <w:szCs w:val="24"/>
        </w:rPr>
        <w:tab/>
      </w:r>
      <w:r w:rsidRPr="00C565E2">
        <w:rPr>
          <w:rFonts w:ascii="Times New Roman" w:hAnsi="Times New Roman"/>
          <w:color w:val="000000" w:themeColor="text1"/>
          <w:sz w:val="24"/>
          <w:szCs w:val="24"/>
        </w:rPr>
        <w:tab/>
      </w:r>
      <w:r w:rsidRPr="00C565E2">
        <w:rPr>
          <w:rFonts w:ascii="Times New Roman" w:hAnsi="Times New Roman"/>
          <w:color w:val="000000" w:themeColor="text1"/>
          <w:sz w:val="24"/>
          <w:szCs w:val="24"/>
        </w:rPr>
        <w:tab/>
        <w:t xml:space="preserve">   </w:t>
      </w:r>
      <w:r>
        <w:rPr>
          <w:rFonts w:ascii="Times New Roman" w:hAnsi="Times New Roman"/>
          <w:color w:val="000000" w:themeColor="text1"/>
          <w:sz w:val="24"/>
          <w:szCs w:val="24"/>
        </w:rPr>
        <w:t xml:space="preserve">  </w:t>
      </w:r>
      <w:r w:rsidRPr="00C565E2">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2 180,00</w:t>
      </w:r>
      <w:r w:rsidRPr="00C565E2">
        <w:rPr>
          <w:rFonts w:ascii="Times New Roman" w:hAnsi="Times New Roman"/>
          <w:color w:val="000000" w:themeColor="text1"/>
          <w:sz w:val="24"/>
          <w:szCs w:val="24"/>
        </w:rPr>
        <w:t> </w:t>
      </w:r>
      <w:r>
        <w:rPr>
          <w:rFonts w:ascii="Times New Roman" w:hAnsi="Times New Roman"/>
          <w:color w:val="000000" w:themeColor="text1"/>
          <w:sz w:val="24"/>
          <w:szCs w:val="24"/>
        </w:rPr>
        <w:t>EUR</w:t>
      </w:r>
    </w:p>
    <w:p w:rsidR="00385B00" w:rsidRPr="00C565E2" w:rsidRDefault="00385B00" w:rsidP="00385B00">
      <w:pPr>
        <w:widowControl/>
        <w:numPr>
          <w:ilvl w:val="0"/>
          <w:numId w:val="8"/>
        </w:numPr>
        <w:tabs>
          <w:tab w:val="clear" w:pos="360"/>
        </w:tabs>
        <w:autoSpaceDE/>
        <w:autoSpaceDN/>
        <w:adjustRightInd/>
        <w:spacing w:line="360" w:lineRule="auto"/>
        <w:ind w:left="0" w:firstLine="0"/>
        <w:jc w:val="both"/>
        <w:rPr>
          <w:rFonts w:ascii="Times New Roman" w:hAnsi="Times New Roman"/>
          <w:color w:val="000000" w:themeColor="text1"/>
          <w:sz w:val="24"/>
          <w:szCs w:val="24"/>
        </w:rPr>
      </w:pPr>
      <w:r w:rsidRPr="00C565E2">
        <w:rPr>
          <w:rFonts w:ascii="Times New Roman" w:hAnsi="Times New Roman"/>
          <w:color w:val="000000" w:themeColor="text1"/>
          <w:sz w:val="24"/>
          <w:szCs w:val="24"/>
        </w:rPr>
        <w:t>príspevky na kultúrne a športové podujatia</w:t>
      </w:r>
      <w:r w:rsidRPr="00C565E2">
        <w:rPr>
          <w:rFonts w:ascii="Times New Roman" w:hAnsi="Times New Roman"/>
          <w:color w:val="000000" w:themeColor="text1"/>
          <w:sz w:val="24"/>
          <w:szCs w:val="24"/>
        </w:rPr>
        <w:tab/>
      </w:r>
      <w:r w:rsidRPr="00C565E2">
        <w:rPr>
          <w:rFonts w:ascii="Times New Roman" w:hAnsi="Times New Roman"/>
          <w:color w:val="000000" w:themeColor="text1"/>
          <w:sz w:val="24"/>
          <w:szCs w:val="24"/>
        </w:rPr>
        <w:tab/>
      </w:r>
      <w:r w:rsidRPr="00C565E2">
        <w:rPr>
          <w:rFonts w:ascii="Times New Roman" w:hAnsi="Times New Roman"/>
          <w:color w:val="000000" w:themeColor="text1"/>
          <w:sz w:val="24"/>
          <w:szCs w:val="24"/>
        </w:rPr>
        <w:tab/>
      </w:r>
      <w:r w:rsidRPr="00C565E2">
        <w:rPr>
          <w:rFonts w:ascii="Times New Roman" w:hAnsi="Times New Roman"/>
          <w:color w:val="000000" w:themeColor="text1"/>
          <w:sz w:val="24"/>
          <w:szCs w:val="24"/>
        </w:rPr>
        <w:tab/>
      </w:r>
      <w:r w:rsidRPr="00C565E2">
        <w:rPr>
          <w:rFonts w:ascii="Times New Roman" w:hAnsi="Times New Roman"/>
          <w:color w:val="000000" w:themeColor="text1"/>
          <w:sz w:val="24"/>
          <w:szCs w:val="24"/>
        </w:rPr>
        <w:tab/>
      </w:r>
      <w:r>
        <w:rPr>
          <w:rFonts w:ascii="Times New Roman" w:hAnsi="Times New Roman"/>
          <w:color w:val="000000" w:themeColor="text1"/>
          <w:sz w:val="24"/>
          <w:szCs w:val="24"/>
        </w:rPr>
        <w:t xml:space="preserve">       61 439,69</w:t>
      </w:r>
      <w:r w:rsidRPr="00C565E2">
        <w:rPr>
          <w:rFonts w:ascii="Times New Roman" w:hAnsi="Times New Roman"/>
          <w:color w:val="000000" w:themeColor="text1"/>
          <w:sz w:val="24"/>
          <w:szCs w:val="24"/>
        </w:rPr>
        <w:t> </w:t>
      </w:r>
      <w:r>
        <w:rPr>
          <w:rFonts w:ascii="Times New Roman" w:hAnsi="Times New Roman"/>
          <w:color w:val="000000" w:themeColor="text1"/>
          <w:sz w:val="24"/>
          <w:szCs w:val="24"/>
        </w:rPr>
        <w:t>EUR</w:t>
      </w:r>
    </w:p>
    <w:p w:rsidR="00385B00" w:rsidRPr="00C565E2" w:rsidRDefault="00385B00" w:rsidP="00385B00">
      <w:pPr>
        <w:widowControl/>
        <w:numPr>
          <w:ilvl w:val="0"/>
          <w:numId w:val="8"/>
        </w:numPr>
        <w:tabs>
          <w:tab w:val="clear" w:pos="360"/>
        </w:tabs>
        <w:autoSpaceDE/>
        <w:autoSpaceDN/>
        <w:adjustRightInd/>
        <w:spacing w:line="360" w:lineRule="auto"/>
        <w:ind w:left="0" w:firstLine="0"/>
        <w:jc w:val="both"/>
        <w:rPr>
          <w:rFonts w:ascii="Times New Roman" w:hAnsi="Times New Roman"/>
          <w:color w:val="000000" w:themeColor="text1"/>
          <w:sz w:val="24"/>
          <w:szCs w:val="24"/>
        </w:rPr>
      </w:pPr>
      <w:r w:rsidRPr="00C565E2">
        <w:rPr>
          <w:rFonts w:ascii="Times New Roman" w:hAnsi="Times New Roman"/>
          <w:color w:val="000000" w:themeColor="text1"/>
          <w:sz w:val="24"/>
          <w:szCs w:val="24"/>
        </w:rPr>
        <w:t>sociálne výpomoci (nenávratné príspevky)</w:t>
      </w:r>
      <w:r w:rsidRPr="00C565E2">
        <w:rPr>
          <w:rFonts w:ascii="Times New Roman" w:hAnsi="Times New Roman"/>
          <w:color w:val="000000" w:themeColor="text1"/>
          <w:sz w:val="24"/>
          <w:szCs w:val="24"/>
        </w:rPr>
        <w:tab/>
      </w:r>
      <w:r w:rsidRPr="00C565E2">
        <w:rPr>
          <w:rFonts w:ascii="Times New Roman" w:hAnsi="Times New Roman"/>
          <w:color w:val="000000" w:themeColor="text1"/>
          <w:sz w:val="24"/>
          <w:szCs w:val="24"/>
        </w:rPr>
        <w:tab/>
      </w:r>
      <w:r w:rsidRPr="00C565E2">
        <w:rPr>
          <w:rFonts w:ascii="Times New Roman" w:hAnsi="Times New Roman"/>
          <w:color w:val="000000" w:themeColor="text1"/>
          <w:sz w:val="24"/>
          <w:szCs w:val="24"/>
        </w:rPr>
        <w:tab/>
      </w:r>
      <w:r w:rsidRPr="00C565E2">
        <w:rPr>
          <w:rFonts w:ascii="Times New Roman" w:hAnsi="Times New Roman"/>
          <w:color w:val="000000" w:themeColor="text1"/>
          <w:sz w:val="24"/>
          <w:szCs w:val="24"/>
        </w:rPr>
        <w:tab/>
      </w:r>
      <w:r w:rsidRPr="00C565E2">
        <w:rPr>
          <w:rFonts w:ascii="Times New Roman" w:hAnsi="Times New Roman"/>
          <w:color w:val="000000" w:themeColor="text1"/>
          <w:sz w:val="24"/>
          <w:szCs w:val="24"/>
        </w:rPr>
        <w:tab/>
        <w:t xml:space="preserve">    </w:t>
      </w:r>
      <w:r>
        <w:rPr>
          <w:rFonts w:ascii="Times New Roman" w:hAnsi="Times New Roman"/>
          <w:color w:val="000000" w:themeColor="text1"/>
          <w:sz w:val="24"/>
          <w:szCs w:val="24"/>
        </w:rPr>
        <w:t xml:space="preserve"> </w:t>
      </w:r>
      <w:r w:rsidRPr="00C565E2">
        <w:rPr>
          <w:rFonts w:ascii="Times New Roman" w:hAnsi="Times New Roman"/>
          <w:color w:val="000000" w:themeColor="text1"/>
          <w:sz w:val="24"/>
          <w:szCs w:val="24"/>
        </w:rPr>
        <w:t xml:space="preserve">  </w:t>
      </w:r>
      <w:r>
        <w:rPr>
          <w:rFonts w:ascii="Times New Roman" w:hAnsi="Times New Roman"/>
          <w:color w:val="000000" w:themeColor="text1"/>
          <w:sz w:val="24"/>
          <w:szCs w:val="24"/>
        </w:rPr>
        <w:t>12 005,00</w:t>
      </w:r>
      <w:r w:rsidRPr="00C565E2">
        <w:rPr>
          <w:rFonts w:ascii="Times New Roman" w:hAnsi="Times New Roman"/>
          <w:color w:val="000000" w:themeColor="text1"/>
          <w:sz w:val="24"/>
          <w:szCs w:val="24"/>
        </w:rPr>
        <w:t> </w:t>
      </w:r>
      <w:r>
        <w:rPr>
          <w:rFonts w:ascii="Times New Roman" w:hAnsi="Times New Roman"/>
          <w:color w:val="000000" w:themeColor="text1"/>
          <w:sz w:val="24"/>
          <w:szCs w:val="24"/>
        </w:rPr>
        <w:t>EUR</w:t>
      </w:r>
    </w:p>
    <w:p w:rsidR="00385B00" w:rsidRPr="00C565E2" w:rsidRDefault="00385B00" w:rsidP="00385B00">
      <w:pPr>
        <w:widowControl/>
        <w:numPr>
          <w:ilvl w:val="0"/>
          <w:numId w:val="8"/>
        </w:numPr>
        <w:tabs>
          <w:tab w:val="clear" w:pos="360"/>
        </w:tabs>
        <w:autoSpaceDE/>
        <w:autoSpaceDN/>
        <w:adjustRightInd/>
        <w:spacing w:line="360" w:lineRule="auto"/>
        <w:ind w:left="0" w:firstLine="0"/>
        <w:jc w:val="both"/>
        <w:rPr>
          <w:rFonts w:ascii="Times New Roman" w:hAnsi="Times New Roman"/>
          <w:color w:val="000000" w:themeColor="text1"/>
          <w:sz w:val="24"/>
          <w:szCs w:val="24"/>
        </w:rPr>
      </w:pPr>
      <w:r w:rsidRPr="00C565E2">
        <w:rPr>
          <w:rFonts w:ascii="Times New Roman" w:hAnsi="Times New Roman"/>
          <w:color w:val="000000" w:themeColor="text1"/>
          <w:sz w:val="24"/>
          <w:szCs w:val="24"/>
        </w:rPr>
        <w:t>paušálny peňažný príspevok na regeneráciu pracovnej sily</w:t>
      </w:r>
      <w:r w:rsidRPr="00C565E2">
        <w:rPr>
          <w:rFonts w:ascii="Times New Roman" w:hAnsi="Times New Roman"/>
          <w:color w:val="000000" w:themeColor="text1"/>
          <w:sz w:val="24"/>
          <w:szCs w:val="24"/>
        </w:rPr>
        <w:tab/>
      </w:r>
      <w:r w:rsidRPr="00C565E2">
        <w:rPr>
          <w:rFonts w:ascii="Times New Roman" w:hAnsi="Times New Roman"/>
          <w:color w:val="000000" w:themeColor="text1"/>
          <w:sz w:val="24"/>
          <w:szCs w:val="24"/>
        </w:rPr>
        <w:tab/>
      </w:r>
      <w:r w:rsidRPr="00C565E2">
        <w:rPr>
          <w:rFonts w:ascii="Times New Roman" w:hAnsi="Times New Roman"/>
          <w:color w:val="000000" w:themeColor="text1"/>
          <w:sz w:val="24"/>
          <w:szCs w:val="24"/>
        </w:rPr>
        <w:tab/>
        <w:t xml:space="preserve">   </w:t>
      </w:r>
      <w:r>
        <w:rPr>
          <w:rFonts w:ascii="Times New Roman" w:hAnsi="Times New Roman"/>
          <w:color w:val="000000" w:themeColor="text1"/>
          <w:sz w:val="24"/>
          <w:szCs w:val="24"/>
        </w:rPr>
        <w:t xml:space="preserve">  </w:t>
      </w:r>
      <w:r w:rsidRPr="00C565E2">
        <w:rPr>
          <w:rFonts w:ascii="Times New Roman" w:hAnsi="Times New Roman"/>
          <w:color w:val="000000" w:themeColor="text1"/>
          <w:sz w:val="24"/>
          <w:szCs w:val="24"/>
        </w:rPr>
        <w:t xml:space="preserve"> </w:t>
      </w:r>
      <w:r>
        <w:rPr>
          <w:rFonts w:ascii="Times New Roman" w:hAnsi="Times New Roman"/>
          <w:color w:val="000000" w:themeColor="text1"/>
          <w:sz w:val="24"/>
          <w:szCs w:val="24"/>
        </w:rPr>
        <w:t>293 628,92</w:t>
      </w:r>
      <w:r w:rsidRPr="00C565E2">
        <w:rPr>
          <w:rFonts w:ascii="Times New Roman" w:hAnsi="Times New Roman"/>
          <w:color w:val="000000" w:themeColor="text1"/>
          <w:sz w:val="24"/>
          <w:szCs w:val="24"/>
        </w:rPr>
        <w:t> </w:t>
      </w:r>
      <w:r>
        <w:rPr>
          <w:rFonts w:ascii="Times New Roman" w:hAnsi="Times New Roman"/>
          <w:color w:val="000000" w:themeColor="text1"/>
          <w:sz w:val="24"/>
          <w:szCs w:val="24"/>
        </w:rPr>
        <w:t>EUR</w:t>
      </w:r>
    </w:p>
    <w:p w:rsidR="00385B00" w:rsidRPr="00C565E2" w:rsidRDefault="00385B00" w:rsidP="00385B00">
      <w:pPr>
        <w:widowControl/>
        <w:numPr>
          <w:ilvl w:val="0"/>
          <w:numId w:val="8"/>
        </w:numPr>
        <w:tabs>
          <w:tab w:val="clear" w:pos="360"/>
        </w:tabs>
        <w:autoSpaceDE/>
        <w:autoSpaceDN/>
        <w:adjustRightInd/>
        <w:spacing w:line="360" w:lineRule="auto"/>
        <w:ind w:left="0" w:firstLine="0"/>
        <w:rPr>
          <w:rFonts w:ascii="Times New Roman" w:hAnsi="Times New Roman"/>
          <w:color w:val="000000" w:themeColor="text1"/>
          <w:sz w:val="24"/>
          <w:szCs w:val="24"/>
        </w:rPr>
      </w:pPr>
      <w:r w:rsidRPr="00C565E2">
        <w:rPr>
          <w:rFonts w:ascii="Times New Roman" w:hAnsi="Times New Roman"/>
          <w:color w:val="000000" w:themeColor="text1"/>
          <w:sz w:val="24"/>
          <w:szCs w:val="24"/>
        </w:rPr>
        <w:t>iné</w:t>
      </w:r>
      <w:r w:rsidRPr="00C565E2">
        <w:rPr>
          <w:rFonts w:ascii="Times New Roman" w:hAnsi="Times New Roman"/>
          <w:color w:val="000000" w:themeColor="text1"/>
          <w:sz w:val="24"/>
          <w:szCs w:val="24"/>
        </w:rPr>
        <w:tab/>
      </w:r>
      <w:r w:rsidRPr="00C565E2">
        <w:rPr>
          <w:rFonts w:ascii="Times New Roman" w:hAnsi="Times New Roman"/>
          <w:color w:val="000000" w:themeColor="text1"/>
          <w:sz w:val="24"/>
          <w:szCs w:val="24"/>
        </w:rPr>
        <w:tab/>
      </w:r>
      <w:r w:rsidRPr="00C565E2">
        <w:rPr>
          <w:rFonts w:ascii="Times New Roman" w:hAnsi="Times New Roman"/>
          <w:color w:val="000000" w:themeColor="text1"/>
          <w:sz w:val="24"/>
          <w:szCs w:val="24"/>
        </w:rPr>
        <w:tab/>
      </w:r>
      <w:r w:rsidRPr="00C565E2">
        <w:rPr>
          <w:rFonts w:ascii="Times New Roman" w:hAnsi="Times New Roman"/>
          <w:color w:val="000000" w:themeColor="text1"/>
          <w:sz w:val="24"/>
          <w:szCs w:val="24"/>
        </w:rPr>
        <w:tab/>
      </w:r>
      <w:r w:rsidRPr="00C565E2">
        <w:rPr>
          <w:rFonts w:ascii="Times New Roman" w:hAnsi="Times New Roman"/>
          <w:color w:val="000000" w:themeColor="text1"/>
          <w:sz w:val="24"/>
          <w:szCs w:val="24"/>
        </w:rPr>
        <w:tab/>
      </w:r>
      <w:r w:rsidRPr="00C565E2">
        <w:rPr>
          <w:rFonts w:ascii="Times New Roman" w:hAnsi="Times New Roman"/>
          <w:color w:val="000000" w:themeColor="text1"/>
          <w:sz w:val="24"/>
          <w:szCs w:val="24"/>
        </w:rPr>
        <w:tab/>
      </w:r>
      <w:r w:rsidRPr="00C565E2">
        <w:rPr>
          <w:rFonts w:ascii="Times New Roman" w:hAnsi="Times New Roman"/>
          <w:color w:val="000000" w:themeColor="text1"/>
          <w:sz w:val="24"/>
          <w:szCs w:val="24"/>
        </w:rPr>
        <w:tab/>
      </w:r>
      <w:r w:rsidRPr="00C565E2">
        <w:rPr>
          <w:rFonts w:ascii="Times New Roman" w:hAnsi="Times New Roman"/>
          <w:color w:val="000000" w:themeColor="text1"/>
          <w:sz w:val="24"/>
          <w:szCs w:val="24"/>
        </w:rPr>
        <w:tab/>
      </w:r>
      <w:r w:rsidRPr="00C565E2">
        <w:rPr>
          <w:rFonts w:ascii="Times New Roman" w:hAnsi="Times New Roman"/>
          <w:color w:val="000000" w:themeColor="text1"/>
          <w:sz w:val="24"/>
          <w:szCs w:val="24"/>
        </w:rPr>
        <w:tab/>
      </w:r>
      <w:r w:rsidRPr="00C565E2">
        <w:rPr>
          <w:rFonts w:ascii="Times New Roman" w:hAnsi="Times New Roman"/>
          <w:color w:val="000000" w:themeColor="text1"/>
          <w:sz w:val="24"/>
          <w:szCs w:val="24"/>
        </w:rPr>
        <w:tab/>
      </w:r>
      <w:r w:rsidRPr="00C565E2">
        <w:rPr>
          <w:rFonts w:ascii="Times New Roman" w:hAnsi="Times New Roman"/>
          <w:color w:val="000000" w:themeColor="text1"/>
          <w:sz w:val="24"/>
          <w:szCs w:val="24"/>
        </w:rPr>
        <w:tab/>
      </w:r>
      <w:r w:rsidRPr="00C565E2">
        <w:rPr>
          <w:rFonts w:ascii="Times New Roman" w:hAnsi="Times New Roman"/>
          <w:color w:val="000000" w:themeColor="text1"/>
          <w:sz w:val="24"/>
          <w:szCs w:val="24"/>
        </w:rPr>
        <w:tab/>
      </w:r>
      <w:r w:rsidRPr="00C565E2">
        <w:rPr>
          <w:rFonts w:ascii="Times New Roman" w:hAnsi="Times New Roman"/>
          <w:color w:val="000000" w:themeColor="text1"/>
          <w:sz w:val="24"/>
          <w:szCs w:val="24"/>
        </w:rPr>
        <w:tab/>
        <w:t xml:space="preserve">   </w:t>
      </w:r>
      <w:r>
        <w:rPr>
          <w:rFonts w:ascii="Times New Roman" w:hAnsi="Times New Roman"/>
          <w:color w:val="000000" w:themeColor="text1"/>
          <w:sz w:val="24"/>
          <w:szCs w:val="24"/>
        </w:rPr>
        <w:t xml:space="preserve">  </w:t>
      </w:r>
      <w:r w:rsidRPr="00C565E2">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Pr="00C565E2">
        <w:rPr>
          <w:rFonts w:ascii="Times New Roman" w:hAnsi="Times New Roman"/>
          <w:color w:val="000000" w:themeColor="text1"/>
          <w:sz w:val="24"/>
          <w:szCs w:val="24"/>
        </w:rPr>
        <w:t xml:space="preserve">  </w:t>
      </w:r>
      <w:r>
        <w:rPr>
          <w:rFonts w:ascii="Times New Roman" w:hAnsi="Times New Roman"/>
          <w:color w:val="000000" w:themeColor="text1"/>
          <w:sz w:val="24"/>
          <w:szCs w:val="24"/>
        </w:rPr>
        <w:t>8 626,98</w:t>
      </w:r>
      <w:r w:rsidRPr="00C565E2">
        <w:rPr>
          <w:rFonts w:ascii="Times New Roman" w:hAnsi="Times New Roman"/>
          <w:color w:val="000000" w:themeColor="text1"/>
          <w:sz w:val="24"/>
          <w:szCs w:val="24"/>
        </w:rPr>
        <w:t> </w:t>
      </w:r>
      <w:r>
        <w:rPr>
          <w:rFonts w:ascii="Times New Roman" w:hAnsi="Times New Roman"/>
          <w:color w:val="000000" w:themeColor="text1"/>
          <w:sz w:val="24"/>
          <w:szCs w:val="24"/>
        </w:rPr>
        <w:t>EUR</w:t>
      </w:r>
    </w:p>
    <w:p w:rsidR="00385B00" w:rsidRDefault="00385B00" w:rsidP="00385B00">
      <w:pPr>
        <w:spacing w:line="360" w:lineRule="auto"/>
        <w:rPr>
          <w:rFonts w:ascii="Times New Roman" w:hAnsi="Times New Roman"/>
          <w:b/>
          <w:color w:val="000000" w:themeColor="text1"/>
          <w:sz w:val="24"/>
          <w:szCs w:val="24"/>
        </w:rPr>
      </w:pPr>
      <w:r w:rsidRPr="00C565E2">
        <w:rPr>
          <w:rFonts w:ascii="Times New Roman" w:hAnsi="Times New Roman"/>
          <w:b/>
          <w:color w:val="000000" w:themeColor="text1"/>
          <w:sz w:val="24"/>
          <w:szCs w:val="24"/>
        </w:rPr>
        <w:t>zostatok k 31.12.</w:t>
      </w:r>
      <w:r>
        <w:rPr>
          <w:rFonts w:ascii="Times New Roman" w:hAnsi="Times New Roman"/>
          <w:b/>
          <w:color w:val="000000" w:themeColor="text1"/>
          <w:sz w:val="24"/>
          <w:szCs w:val="24"/>
        </w:rPr>
        <w:t>2018</w:t>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r>
      <w:r w:rsidRPr="00C565E2">
        <w:rPr>
          <w:rFonts w:ascii="Times New Roman" w:hAnsi="Times New Roman"/>
          <w:b/>
          <w:color w:val="000000" w:themeColor="text1"/>
          <w:sz w:val="24"/>
          <w:szCs w:val="24"/>
        </w:rPr>
        <w:tab/>
        <w:t xml:space="preserve">   </w:t>
      </w:r>
      <w:r>
        <w:rPr>
          <w:rFonts w:ascii="Times New Roman" w:hAnsi="Times New Roman"/>
          <w:b/>
          <w:color w:val="000000" w:themeColor="text1"/>
          <w:sz w:val="24"/>
          <w:szCs w:val="24"/>
        </w:rPr>
        <w:t xml:space="preserve">  </w:t>
      </w:r>
      <w:r w:rsidRPr="00C565E2">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631 695,39</w:t>
      </w:r>
      <w:r w:rsidRPr="00C565E2">
        <w:rPr>
          <w:rFonts w:ascii="Times New Roman" w:hAnsi="Times New Roman"/>
          <w:b/>
          <w:color w:val="000000" w:themeColor="text1"/>
          <w:sz w:val="24"/>
          <w:szCs w:val="24"/>
        </w:rPr>
        <w:t> </w:t>
      </w:r>
      <w:r>
        <w:rPr>
          <w:rFonts w:ascii="Times New Roman" w:hAnsi="Times New Roman"/>
          <w:b/>
          <w:color w:val="000000" w:themeColor="text1"/>
          <w:sz w:val="24"/>
          <w:szCs w:val="24"/>
        </w:rPr>
        <w:t>EUR</w:t>
      </w:r>
    </w:p>
    <w:p w:rsidR="00385B00" w:rsidRDefault="00385B00" w:rsidP="00385B00">
      <w:pPr>
        <w:spacing w:line="360" w:lineRule="auto"/>
        <w:rPr>
          <w:rFonts w:ascii="Times New Roman" w:hAnsi="Times New Roman"/>
          <w:b/>
          <w:bCs/>
          <w:color w:val="000000" w:themeColor="text1"/>
          <w:sz w:val="24"/>
          <w:szCs w:val="24"/>
          <w:u w:color="000000"/>
        </w:rPr>
      </w:pPr>
    </w:p>
    <w:p w:rsidR="00385B00" w:rsidRPr="00C565E2" w:rsidRDefault="00385B00" w:rsidP="00385B00">
      <w:pPr>
        <w:spacing w:line="360" w:lineRule="auto"/>
        <w:rPr>
          <w:rFonts w:ascii="Times New Roman" w:hAnsi="Times New Roman"/>
          <w:b/>
          <w:bCs/>
          <w:color w:val="000000" w:themeColor="text1"/>
          <w:sz w:val="24"/>
          <w:szCs w:val="24"/>
          <w:u w:color="000000"/>
        </w:rPr>
      </w:pPr>
    </w:p>
    <w:p w:rsidR="00385B00" w:rsidRDefault="00385B00" w:rsidP="00385B00">
      <w:pPr>
        <w:widowControl/>
        <w:spacing w:line="360" w:lineRule="auto"/>
        <w:jc w:val="both"/>
        <w:rPr>
          <w:rFonts w:ascii="Times New Roman" w:hAnsi="Times New Roman"/>
          <w:b/>
          <w:bCs/>
          <w:color w:val="000000" w:themeColor="text1"/>
          <w:sz w:val="24"/>
          <w:szCs w:val="24"/>
          <w:u w:color="000000"/>
        </w:rPr>
      </w:pPr>
      <w:r w:rsidRPr="00C565E2">
        <w:rPr>
          <w:rFonts w:ascii="Times New Roman" w:hAnsi="Times New Roman"/>
          <w:b/>
          <w:bCs/>
          <w:color w:val="000000" w:themeColor="text1"/>
          <w:sz w:val="24"/>
          <w:szCs w:val="24"/>
          <w:u w:color="000000"/>
        </w:rPr>
        <w:t>f)</w:t>
      </w:r>
      <w:r w:rsidRPr="00C565E2">
        <w:rPr>
          <w:rFonts w:ascii="Times New Roman" w:hAnsi="Times New Roman"/>
          <w:b/>
          <w:bCs/>
          <w:color w:val="000000" w:themeColor="text1"/>
          <w:sz w:val="24"/>
          <w:szCs w:val="24"/>
          <w:u w:color="000000"/>
        </w:rPr>
        <w:tab/>
        <w:t>Bankové úvery, pôžičky a návratné finančné výpomoci v </w:t>
      </w:r>
      <w:r>
        <w:rPr>
          <w:rFonts w:ascii="Times New Roman" w:hAnsi="Times New Roman"/>
          <w:b/>
          <w:bCs/>
          <w:color w:val="000000" w:themeColor="text1"/>
          <w:sz w:val="24"/>
          <w:szCs w:val="24"/>
          <w:u w:color="000000"/>
        </w:rPr>
        <w:t>roku 2018</w:t>
      </w:r>
      <w:r w:rsidRPr="00C565E2">
        <w:rPr>
          <w:rFonts w:ascii="Times New Roman" w:hAnsi="Times New Roman"/>
          <w:b/>
          <w:bCs/>
          <w:color w:val="000000" w:themeColor="text1"/>
          <w:sz w:val="24"/>
          <w:szCs w:val="24"/>
          <w:u w:color="000000"/>
        </w:rPr>
        <w:t xml:space="preserve"> neboli Sociálnej poisťovni poskytnuté.</w:t>
      </w: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C565E2">
        <w:rPr>
          <w:rFonts w:ascii="Times New Roman" w:hAnsi="Times New Roman"/>
          <w:b/>
          <w:bCs/>
          <w:color w:val="000000" w:themeColor="text1"/>
          <w:sz w:val="24"/>
          <w:szCs w:val="24"/>
          <w:u w:color="000000"/>
        </w:rPr>
        <w:t>(15)</w:t>
      </w:r>
      <w:r w:rsidRPr="00C565E2">
        <w:rPr>
          <w:rFonts w:ascii="Times New Roman" w:hAnsi="Times New Roman"/>
          <w:b/>
          <w:bCs/>
          <w:color w:val="000000" w:themeColor="text1"/>
          <w:sz w:val="24"/>
          <w:szCs w:val="24"/>
          <w:u w:color="000000"/>
        </w:rPr>
        <w:tab/>
        <w:t>Prehľad o významných položkách časového rozlíšenia výdavkov budúcich období a výnosov budúcich období.</w:t>
      </w: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F267D4">
        <w:rPr>
          <w:rFonts w:ascii="Times New Roman" w:hAnsi="Times New Roman"/>
          <w:b/>
          <w:bCs/>
          <w:color w:val="000000" w:themeColor="text1"/>
          <w:sz w:val="24"/>
          <w:szCs w:val="24"/>
          <w:u w:color="000000"/>
        </w:rPr>
        <w:t>Riadok 104</w:t>
      </w:r>
      <w:r w:rsidRPr="00C565E2">
        <w:rPr>
          <w:rFonts w:ascii="Times New Roman" w:hAnsi="Times New Roman"/>
          <w:b/>
          <w:bCs/>
          <w:color w:val="000000" w:themeColor="text1"/>
          <w:sz w:val="24"/>
          <w:szCs w:val="24"/>
          <w:u w:color="000000"/>
        </w:rPr>
        <w:t xml:space="preserve"> – Výdavky budúcich období </w:t>
      </w:r>
    </w:p>
    <w:p w:rsidR="00385B00"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 xml:space="preserve">Zostatok v sume </w:t>
      </w:r>
      <w:r>
        <w:rPr>
          <w:rFonts w:ascii="Times New Roman" w:hAnsi="Times New Roman"/>
          <w:color w:val="000000" w:themeColor="text1"/>
          <w:sz w:val="24"/>
          <w:szCs w:val="24"/>
          <w:u w:color="000000"/>
        </w:rPr>
        <w:t>4 649 840,75</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predstavuje najmä budúce výdavky na krytie nákladov na odmeny (</w:t>
      </w:r>
      <w:r>
        <w:rPr>
          <w:rFonts w:ascii="Times New Roman" w:hAnsi="Times New Roman"/>
          <w:color w:val="000000" w:themeColor="text1"/>
          <w:sz w:val="24"/>
          <w:szCs w:val="24"/>
          <w:u w:color="000000"/>
        </w:rPr>
        <w:t>3 292 612,00</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a s nimi súvisiace odvody (1</w:t>
      </w:r>
      <w:r>
        <w:rPr>
          <w:rFonts w:ascii="Times New Roman" w:hAnsi="Times New Roman"/>
          <w:color w:val="000000" w:themeColor="text1"/>
          <w:sz w:val="24"/>
          <w:szCs w:val="24"/>
          <w:u w:color="000000"/>
        </w:rPr>
        <w:t> 257 778,</w:t>
      </w:r>
      <w:r w:rsidRPr="00C565E2">
        <w:rPr>
          <w:rFonts w:ascii="Times New Roman" w:hAnsi="Times New Roman"/>
          <w:color w:val="000000" w:themeColor="text1"/>
          <w:sz w:val="24"/>
          <w:szCs w:val="24"/>
          <w:u w:color="000000"/>
        </w:rPr>
        <w:t xml:space="preserve">00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za rok </w:t>
      </w:r>
      <w:r>
        <w:rPr>
          <w:rFonts w:ascii="Times New Roman" w:hAnsi="Times New Roman"/>
          <w:color w:val="000000" w:themeColor="text1"/>
          <w:sz w:val="24"/>
          <w:szCs w:val="24"/>
          <w:u w:color="000000"/>
        </w:rPr>
        <w:t>2018</w:t>
      </w:r>
      <w:r w:rsidRPr="00C565E2">
        <w:rPr>
          <w:rFonts w:ascii="Times New Roman" w:hAnsi="Times New Roman"/>
          <w:color w:val="000000" w:themeColor="text1"/>
          <w:sz w:val="24"/>
          <w:szCs w:val="24"/>
          <w:u w:color="000000"/>
        </w:rPr>
        <w:t xml:space="preserve"> a výdavky na zdravotné výkony (</w:t>
      </w:r>
      <w:r>
        <w:rPr>
          <w:rFonts w:ascii="Times New Roman" w:hAnsi="Times New Roman"/>
          <w:color w:val="000000" w:themeColor="text1"/>
          <w:sz w:val="24"/>
          <w:szCs w:val="24"/>
          <w:u w:color="000000"/>
        </w:rPr>
        <w:t>99 450,75</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ktorých úhrada sa predpokladá v roku 201</w:t>
      </w:r>
      <w:r>
        <w:rPr>
          <w:rFonts w:ascii="Times New Roman" w:hAnsi="Times New Roman"/>
          <w:color w:val="000000" w:themeColor="text1"/>
          <w:sz w:val="24"/>
          <w:szCs w:val="24"/>
          <w:u w:color="000000"/>
        </w:rPr>
        <w:t>9</w:t>
      </w:r>
      <w:r w:rsidRPr="00C565E2">
        <w:rPr>
          <w:rFonts w:ascii="Times New Roman" w:hAnsi="Times New Roman"/>
          <w:color w:val="000000" w:themeColor="text1"/>
          <w:sz w:val="24"/>
          <w:szCs w:val="24"/>
          <w:u w:color="000000"/>
        </w:rPr>
        <w:t>.</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Default="00385B00" w:rsidP="00385B00">
      <w:pPr>
        <w:widowControl/>
        <w:spacing w:line="360" w:lineRule="auto"/>
        <w:jc w:val="both"/>
        <w:rPr>
          <w:rFonts w:ascii="Times New Roman" w:hAnsi="Times New Roman"/>
          <w:b/>
          <w:bCs/>
          <w:color w:val="000000" w:themeColor="text1"/>
          <w:sz w:val="24"/>
          <w:szCs w:val="24"/>
          <w:u w:color="000000"/>
        </w:rPr>
      </w:pPr>
      <w:r w:rsidRPr="00C565E2">
        <w:rPr>
          <w:rFonts w:ascii="Times New Roman" w:hAnsi="Times New Roman"/>
          <w:b/>
          <w:bCs/>
          <w:color w:val="000000" w:themeColor="text1"/>
          <w:sz w:val="24"/>
          <w:szCs w:val="24"/>
          <w:u w:color="000000"/>
        </w:rPr>
        <w:t>(16)</w:t>
      </w:r>
      <w:r w:rsidRPr="00C565E2">
        <w:rPr>
          <w:rFonts w:ascii="Times New Roman" w:hAnsi="Times New Roman"/>
          <w:b/>
          <w:bCs/>
          <w:color w:val="000000" w:themeColor="text1"/>
          <w:sz w:val="24"/>
          <w:szCs w:val="24"/>
          <w:u w:color="000000"/>
        </w:rPr>
        <w:tab/>
        <w:t>Sociálnej poisťov</w:t>
      </w:r>
      <w:r>
        <w:rPr>
          <w:rFonts w:ascii="Times New Roman" w:hAnsi="Times New Roman"/>
          <w:b/>
          <w:bCs/>
          <w:color w:val="000000" w:themeColor="text1"/>
          <w:sz w:val="24"/>
          <w:szCs w:val="24"/>
          <w:u w:color="000000"/>
        </w:rPr>
        <w:t>n</w:t>
      </w:r>
      <w:r w:rsidRPr="00C565E2">
        <w:rPr>
          <w:rFonts w:ascii="Times New Roman" w:hAnsi="Times New Roman"/>
          <w:b/>
          <w:bCs/>
          <w:color w:val="000000" w:themeColor="text1"/>
          <w:sz w:val="24"/>
          <w:szCs w:val="24"/>
          <w:u w:color="000000"/>
        </w:rPr>
        <w:t xml:space="preserve">i </w:t>
      </w:r>
      <w:r>
        <w:rPr>
          <w:rFonts w:ascii="Times New Roman" w:hAnsi="Times New Roman"/>
          <w:b/>
          <w:bCs/>
          <w:color w:val="000000" w:themeColor="text1"/>
          <w:sz w:val="24"/>
          <w:szCs w:val="24"/>
          <w:u w:color="000000"/>
        </w:rPr>
        <w:t>bola</w:t>
      </w:r>
      <w:r w:rsidRPr="00C565E2">
        <w:rPr>
          <w:rFonts w:ascii="Times New Roman" w:hAnsi="Times New Roman"/>
          <w:b/>
          <w:bCs/>
          <w:color w:val="000000" w:themeColor="text1"/>
          <w:sz w:val="24"/>
          <w:szCs w:val="24"/>
          <w:u w:color="000000"/>
        </w:rPr>
        <w:t xml:space="preserve"> v roku </w:t>
      </w:r>
      <w:r>
        <w:rPr>
          <w:rFonts w:ascii="Times New Roman" w:hAnsi="Times New Roman"/>
          <w:b/>
          <w:bCs/>
          <w:color w:val="000000" w:themeColor="text1"/>
          <w:sz w:val="24"/>
          <w:szCs w:val="24"/>
          <w:u w:color="000000"/>
        </w:rPr>
        <w:t>2018</w:t>
      </w:r>
      <w:r w:rsidRPr="00C565E2">
        <w:rPr>
          <w:rFonts w:ascii="Times New Roman" w:hAnsi="Times New Roman"/>
          <w:b/>
          <w:bCs/>
          <w:color w:val="000000" w:themeColor="text1"/>
          <w:sz w:val="24"/>
          <w:szCs w:val="24"/>
          <w:u w:color="000000"/>
        </w:rPr>
        <w:t xml:space="preserve"> poskytnu</w:t>
      </w:r>
      <w:r>
        <w:rPr>
          <w:rFonts w:ascii="Times New Roman" w:hAnsi="Times New Roman"/>
          <w:b/>
          <w:bCs/>
          <w:color w:val="000000" w:themeColor="text1"/>
          <w:sz w:val="24"/>
          <w:szCs w:val="24"/>
          <w:u w:color="000000"/>
        </w:rPr>
        <w:t>tá zálohová platba vo výške 389 036,00 EUR z grantu Výkonnou agentúrou pre inovácie a siete (INEA) na základe právomocí delegovaných Európskou komisiou v súlade s dohodou o grante (Dohoda č. INEA/CEF/A2017/1441446), na základe nástroja na prepojenie Európy (CEF) – telekomunikačný sektor, v zmysle stanovených podmienok na akciu nazvanú „Implementácia systému EESSI na Slovensku“; Akcia č.: 2017-SK-IA-0052. V súlade s akciou bol v roku 2018 obstaraný dlhodobý majetok vo výške 461 902,80 EUR. V tom:</w:t>
      </w:r>
    </w:p>
    <w:p w:rsidR="00385B00" w:rsidRDefault="00385B00" w:rsidP="00385B00">
      <w:pPr>
        <w:widowControl/>
        <w:spacing w:line="360" w:lineRule="auto"/>
        <w:jc w:val="both"/>
        <w:rPr>
          <w:rFonts w:ascii="Times New Roman" w:hAnsi="Times New Roman"/>
          <w:b/>
          <w:bCs/>
          <w:color w:val="000000" w:themeColor="text1"/>
          <w:sz w:val="24"/>
          <w:szCs w:val="24"/>
          <w:u w:color="000000"/>
        </w:rPr>
      </w:pPr>
    </w:p>
    <w:p w:rsidR="00385B00" w:rsidRDefault="00385B00" w:rsidP="00385B00">
      <w:pPr>
        <w:widowControl/>
        <w:spacing w:line="360" w:lineRule="auto"/>
        <w:jc w:val="both"/>
        <w:rPr>
          <w:rFonts w:ascii="Times New Roman" w:hAnsi="Times New Roman"/>
          <w:b/>
          <w:bCs/>
          <w:color w:val="000000" w:themeColor="text1"/>
          <w:sz w:val="24"/>
          <w:szCs w:val="24"/>
          <w:u w:color="000000"/>
        </w:rPr>
      </w:pPr>
      <w:r>
        <w:rPr>
          <w:rFonts w:ascii="Times New Roman" w:hAnsi="Times New Roman"/>
          <w:b/>
          <w:bCs/>
          <w:color w:val="000000" w:themeColor="text1"/>
          <w:sz w:val="24"/>
          <w:szCs w:val="24"/>
          <w:u w:color="000000"/>
        </w:rPr>
        <w:t>Softvér</w:t>
      </w:r>
      <w:r>
        <w:rPr>
          <w:rFonts w:ascii="Times New Roman" w:hAnsi="Times New Roman"/>
          <w:b/>
          <w:bCs/>
          <w:color w:val="000000" w:themeColor="text1"/>
          <w:sz w:val="24"/>
          <w:szCs w:val="24"/>
          <w:u w:color="000000"/>
        </w:rPr>
        <w:tab/>
      </w:r>
      <w:r>
        <w:rPr>
          <w:rFonts w:ascii="Times New Roman" w:hAnsi="Times New Roman"/>
          <w:b/>
          <w:bCs/>
          <w:color w:val="000000" w:themeColor="text1"/>
          <w:sz w:val="24"/>
          <w:szCs w:val="24"/>
          <w:u w:color="000000"/>
        </w:rPr>
        <w:tab/>
      </w:r>
      <w:r>
        <w:rPr>
          <w:rFonts w:ascii="Times New Roman" w:hAnsi="Times New Roman"/>
          <w:b/>
          <w:bCs/>
          <w:color w:val="000000" w:themeColor="text1"/>
          <w:sz w:val="24"/>
          <w:szCs w:val="24"/>
          <w:u w:color="000000"/>
        </w:rPr>
        <w:tab/>
      </w:r>
      <w:r>
        <w:rPr>
          <w:rFonts w:ascii="Times New Roman" w:hAnsi="Times New Roman"/>
          <w:b/>
          <w:bCs/>
          <w:color w:val="000000" w:themeColor="text1"/>
          <w:sz w:val="24"/>
          <w:szCs w:val="24"/>
          <w:u w:color="000000"/>
        </w:rPr>
        <w:tab/>
      </w:r>
      <w:r>
        <w:rPr>
          <w:rFonts w:ascii="Times New Roman" w:hAnsi="Times New Roman"/>
          <w:b/>
          <w:bCs/>
          <w:color w:val="000000" w:themeColor="text1"/>
          <w:sz w:val="24"/>
          <w:szCs w:val="24"/>
          <w:u w:color="000000"/>
        </w:rPr>
        <w:tab/>
      </w:r>
      <w:r>
        <w:rPr>
          <w:rFonts w:ascii="Times New Roman" w:hAnsi="Times New Roman"/>
          <w:b/>
          <w:bCs/>
          <w:color w:val="000000" w:themeColor="text1"/>
          <w:sz w:val="24"/>
          <w:szCs w:val="24"/>
          <w:u w:color="000000"/>
        </w:rPr>
        <w:tab/>
      </w:r>
      <w:r>
        <w:rPr>
          <w:rFonts w:ascii="Times New Roman" w:hAnsi="Times New Roman"/>
          <w:b/>
          <w:bCs/>
          <w:color w:val="000000" w:themeColor="text1"/>
          <w:sz w:val="24"/>
          <w:szCs w:val="24"/>
          <w:u w:color="000000"/>
        </w:rPr>
        <w:tab/>
      </w:r>
      <w:r>
        <w:rPr>
          <w:rFonts w:ascii="Times New Roman" w:hAnsi="Times New Roman"/>
          <w:b/>
          <w:bCs/>
          <w:color w:val="000000" w:themeColor="text1"/>
          <w:sz w:val="24"/>
          <w:szCs w:val="24"/>
          <w:u w:color="000000"/>
        </w:rPr>
        <w:tab/>
      </w:r>
      <w:r>
        <w:rPr>
          <w:rFonts w:ascii="Times New Roman" w:hAnsi="Times New Roman"/>
          <w:b/>
          <w:bCs/>
          <w:color w:val="000000" w:themeColor="text1"/>
          <w:sz w:val="24"/>
          <w:szCs w:val="24"/>
          <w:u w:color="000000"/>
        </w:rPr>
        <w:tab/>
      </w:r>
      <w:r>
        <w:rPr>
          <w:rFonts w:ascii="Times New Roman" w:hAnsi="Times New Roman"/>
          <w:b/>
          <w:bCs/>
          <w:color w:val="000000" w:themeColor="text1"/>
          <w:sz w:val="24"/>
          <w:szCs w:val="24"/>
          <w:u w:color="000000"/>
        </w:rPr>
        <w:tab/>
      </w:r>
      <w:r>
        <w:rPr>
          <w:rFonts w:ascii="Times New Roman" w:hAnsi="Times New Roman"/>
          <w:b/>
          <w:bCs/>
          <w:color w:val="000000" w:themeColor="text1"/>
          <w:sz w:val="24"/>
          <w:szCs w:val="24"/>
          <w:u w:color="000000"/>
        </w:rPr>
        <w:tab/>
      </w:r>
      <w:r>
        <w:rPr>
          <w:rFonts w:ascii="Times New Roman" w:hAnsi="Times New Roman"/>
          <w:b/>
          <w:bCs/>
          <w:color w:val="000000" w:themeColor="text1"/>
          <w:sz w:val="24"/>
          <w:szCs w:val="24"/>
          <w:u w:color="000000"/>
        </w:rPr>
        <w:tab/>
      </w:r>
      <w:r>
        <w:rPr>
          <w:rFonts w:ascii="Times New Roman" w:hAnsi="Times New Roman"/>
          <w:b/>
          <w:bCs/>
          <w:color w:val="000000" w:themeColor="text1"/>
          <w:sz w:val="24"/>
          <w:szCs w:val="24"/>
          <w:u w:color="000000"/>
        </w:rPr>
        <w:tab/>
      </w:r>
      <w:r>
        <w:rPr>
          <w:rFonts w:ascii="Times New Roman" w:hAnsi="Times New Roman"/>
          <w:b/>
          <w:bCs/>
          <w:color w:val="000000" w:themeColor="text1"/>
          <w:sz w:val="24"/>
          <w:szCs w:val="24"/>
          <w:u w:color="000000"/>
        </w:rPr>
        <w:tab/>
        <w:t xml:space="preserve">  57 766,80 EUR</w:t>
      </w:r>
    </w:p>
    <w:p w:rsidR="00385B00" w:rsidRPr="00CB5425" w:rsidRDefault="00385B00" w:rsidP="00385B00">
      <w:pPr>
        <w:pStyle w:val="Odsekzoznamu"/>
        <w:widowControl/>
        <w:numPr>
          <w:ilvl w:val="0"/>
          <w:numId w:val="48"/>
        </w:numPr>
        <w:autoSpaceDE/>
        <w:autoSpaceDN/>
        <w:adjustRightInd/>
        <w:spacing w:line="360" w:lineRule="auto"/>
        <w:jc w:val="both"/>
        <w:rPr>
          <w:rFonts w:ascii="Times New Roman" w:hAnsi="Times New Roman"/>
          <w:b/>
          <w:bCs/>
          <w:color w:val="000000" w:themeColor="text1"/>
          <w:sz w:val="24"/>
          <w:szCs w:val="24"/>
          <w:u w:color="000000"/>
        </w:rPr>
      </w:pPr>
      <w:r w:rsidRPr="00CB5425">
        <w:rPr>
          <w:rFonts w:ascii="Times New Roman" w:hAnsi="Times New Roman"/>
          <w:sz w:val="24"/>
          <w:szCs w:val="24"/>
        </w:rPr>
        <w:t xml:space="preserve">dodávka, inštalácia a implementácia </w:t>
      </w:r>
      <w:proofErr w:type="spellStart"/>
      <w:r w:rsidRPr="00CB5425">
        <w:rPr>
          <w:rFonts w:ascii="Times New Roman" w:hAnsi="Times New Roman"/>
          <w:sz w:val="24"/>
          <w:szCs w:val="24"/>
        </w:rPr>
        <w:t>Firewall</w:t>
      </w:r>
      <w:proofErr w:type="spellEnd"/>
      <w:r w:rsidRPr="00CB5425">
        <w:rPr>
          <w:rFonts w:ascii="Times New Roman" w:hAnsi="Times New Roman"/>
          <w:sz w:val="24"/>
          <w:szCs w:val="24"/>
        </w:rPr>
        <w:t xml:space="preserve"> FW APP1 FWB-VM04 poskytovanie technickej podpory na 1 rok pre projekt EESSI</w:t>
      </w:r>
      <w:r>
        <w:rPr>
          <w:rFonts w:ascii="Times New Roman" w:hAnsi="Times New Roman"/>
          <w:sz w:val="24"/>
          <w:szCs w:val="24"/>
        </w:rPr>
        <w:t>, SP, ústredie</w:t>
      </w:r>
      <w:r>
        <w:rPr>
          <w:rFonts w:ascii="Times New Roman" w:hAnsi="Times New Roman"/>
          <w:sz w:val="24"/>
          <w:szCs w:val="24"/>
        </w:rPr>
        <w:tab/>
      </w:r>
    </w:p>
    <w:p w:rsidR="00385B00" w:rsidRPr="00CB5425" w:rsidRDefault="00385B00" w:rsidP="00385B00">
      <w:pPr>
        <w:pStyle w:val="Odsekzoznamu"/>
        <w:widowControl/>
        <w:autoSpaceDE/>
        <w:autoSpaceDN/>
        <w:adjustRightInd/>
        <w:spacing w:line="360" w:lineRule="auto"/>
        <w:jc w:val="both"/>
        <w:rPr>
          <w:rFonts w:ascii="Times New Roman" w:hAnsi="Times New Roman"/>
          <w:b/>
          <w:bCs/>
          <w:color w:val="000000" w:themeColor="text1"/>
          <w:sz w:val="24"/>
          <w:szCs w:val="24"/>
          <w:u w:color="000000"/>
        </w:rPr>
      </w:pPr>
    </w:p>
    <w:p w:rsidR="00385B00" w:rsidRDefault="00385B00" w:rsidP="00385B00">
      <w:pPr>
        <w:widowControl/>
        <w:spacing w:line="360" w:lineRule="auto"/>
        <w:jc w:val="both"/>
        <w:rPr>
          <w:rFonts w:ascii="Times New Roman" w:hAnsi="Times New Roman"/>
          <w:b/>
          <w:bCs/>
          <w:color w:val="000000" w:themeColor="text1"/>
          <w:sz w:val="24"/>
          <w:szCs w:val="24"/>
          <w:u w:color="000000"/>
        </w:rPr>
      </w:pPr>
      <w:r>
        <w:rPr>
          <w:rFonts w:ascii="Times New Roman" w:hAnsi="Times New Roman"/>
          <w:b/>
          <w:bCs/>
          <w:color w:val="000000" w:themeColor="text1"/>
          <w:sz w:val="24"/>
          <w:szCs w:val="24"/>
          <w:u w:color="000000"/>
        </w:rPr>
        <w:t>Stroje prístroje a zariadenia</w:t>
      </w:r>
      <w:r>
        <w:rPr>
          <w:rFonts w:ascii="Times New Roman" w:hAnsi="Times New Roman"/>
          <w:b/>
          <w:bCs/>
          <w:color w:val="000000" w:themeColor="text1"/>
          <w:sz w:val="24"/>
          <w:szCs w:val="24"/>
          <w:u w:color="000000"/>
        </w:rPr>
        <w:tab/>
      </w:r>
      <w:r>
        <w:rPr>
          <w:rFonts w:ascii="Times New Roman" w:hAnsi="Times New Roman"/>
          <w:b/>
          <w:bCs/>
          <w:color w:val="000000" w:themeColor="text1"/>
          <w:sz w:val="24"/>
          <w:szCs w:val="24"/>
          <w:u w:color="000000"/>
        </w:rPr>
        <w:tab/>
      </w:r>
      <w:r>
        <w:rPr>
          <w:rFonts w:ascii="Times New Roman" w:hAnsi="Times New Roman"/>
          <w:b/>
          <w:bCs/>
          <w:color w:val="000000" w:themeColor="text1"/>
          <w:sz w:val="24"/>
          <w:szCs w:val="24"/>
          <w:u w:color="000000"/>
        </w:rPr>
        <w:tab/>
      </w:r>
      <w:r>
        <w:rPr>
          <w:rFonts w:ascii="Times New Roman" w:hAnsi="Times New Roman"/>
          <w:b/>
          <w:bCs/>
          <w:color w:val="000000" w:themeColor="text1"/>
          <w:sz w:val="24"/>
          <w:szCs w:val="24"/>
          <w:u w:color="000000"/>
        </w:rPr>
        <w:tab/>
      </w:r>
      <w:r>
        <w:rPr>
          <w:rFonts w:ascii="Times New Roman" w:hAnsi="Times New Roman"/>
          <w:b/>
          <w:bCs/>
          <w:color w:val="000000" w:themeColor="text1"/>
          <w:sz w:val="24"/>
          <w:szCs w:val="24"/>
          <w:u w:color="000000"/>
        </w:rPr>
        <w:tab/>
      </w:r>
      <w:r>
        <w:rPr>
          <w:rFonts w:ascii="Times New Roman" w:hAnsi="Times New Roman"/>
          <w:b/>
          <w:bCs/>
          <w:color w:val="000000" w:themeColor="text1"/>
          <w:sz w:val="24"/>
          <w:szCs w:val="24"/>
          <w:u w:color="000000"/>
        </w:rPr>
        <w:tab/>
        <w:t xml:space="preserve">  </w:t>
      </w:r>
      <w:r>
        <w:rPr>
          <w:rFonts w:ascii="Times New Roman" w:hAnsi="Times New Roman"/>
          <w:b/>
          <w:bCs/>
          <w:color w:val="000000" w:themeColor="text1"/>
          <w:sz w:val="24"/>
          <w:szCs w:val="24"/>
          <w:u w:color="000000"/>
        </w:rPr>
        <w:tab/>
      </w:r>
      <w:r>
        <w:rPr>
          <w:rFonts w:ascii="Times New Roman" w:hAnsi="Times New Roman"/>
          <w:b/>
          <w:bCs/>
          <w:color w:val="000000" w:themeColor="text1"/>
          <w:sz w:val="24"/>
          <w:szCs w:val="24"/>
          <w:u w:color="000000"/>
        </w:rPr>
        <w:tab/>
      </w:r>
      <w:r>
        <w:rPr>
          <w:rFonts w:ascii="Times New Roman" w:hAnsi="Times New Roman"/>
          <w:b/>
          <w:bCs/>
          <w:color w:val="000000" w:themeColor="text1"/>
          <w:sz w:val="24"/>
          <w:szCs w:val="24"/>
          <w:u w:color="000000"/>
        </w:rPr>
        <w:tab/>
      </w:r>
      <w:r>
        <w:rPr>
          <w:rFonts w:ascii="Times New Roman" w:hAnsi="Times New Roman"/>
          <w:b/>
          <w:bCs/>
          <w:color w:val="000000" w:themeColor="text1"/>
          <w:sz w:val="24"/>
          <w:szCs w:val="24"/>
          <w:u w:color="000000"/>
        </w:rPr>
        <w:tab/>
        <w:t xml:space="preserve"> 404 136,00 EUR</w:t>
      </w:r>
    </w:p>
    <w:p w:rsidR="00385B00" w:rsidRPr="004D358C" w:rsidRDefault="00385B00" w:rsidP="00CF261D">
      <w:pPr>
        <w:pStyle w:val="Odsekzoznamu"/>
        <w:widowControl/>
        <w:numPr>
          <w:ilvl w:val="0"/>
          <w:numId w:val="48"/>
        </w:numPr>
        <w:autoSpaceDE/>
        <w:autoSpaceDN/>
        <w:adjustRightInd/>
        <w:spacing w:line="360" w:lineRule="auto"/>
        <w:jc w:val="both"/>
        <w:rPr>
          <w:rFonts w:ascii="Times New Roman" w:hAnsi="Times New Roman"/>
          <w:sz w:val="24"/>
        </w:rPr>
      </w:pPr>
      <w:r w:rsidRPr="00CF261D">
        <w:rPr>
          <w:rFonts w:ascii="Times New Roman" w:hAnsi="Times New Roman"/>
          <w:sz w:val="24"/>
          <w:szCs w:val="24"/>
        </w:rPr>
        <w:t xml:space="preserve">dodávka a inštalácia </w:t>
      </w:r>
      <w:r w:rsidRPr="0046266F">
        <w:rPr>
          <w:rFonts w:ascii="Times New Roman" w:hAnsi="Times New Roman"/>
          <w:sz w:val="24"/>
          <w:szCs w:val="24"/>
        </w:rPr>
        <w:t>Server S-PB-HP</w:t>
      </w:r>
      <w:r w:rsidRPr="00CF261D">
        <w:rPr>
          <w:rFonts w:ascii="Times New Roman" w:hAnsi="Times New Roman"/>
          <w:sz w:val="24"/>
          <w:szCs w:val="24"/>
        </w:rPr>
        <w:t xml:space="preserve"> </w:t>
      </w:r>
      <w:proofErr w:type="spellStart"/>
      <w:r w:rsidRPr="00CF261D">
        <w:rPr>
          <w:rFonts w:ascii="Times New Roman" w:hAnsi="Times New Roman"/>
          <w:sz w:val="24"/>
          <w:szCs w:val="24"/>
        </w:rPr>
        <w:t>ProLiant</w:t>
      </w:r>
      <w:proofErr w:type="spellEnd"/>
      <w:r w:rsidRPr="00CF261D">
        <w:rPr>
          <w:rFonts w:ascii="Times New Roman" w:hAnsi="Times New Roman"/>
          <w:sz w:val="24"/>
          <w:szCs w:val="24"/>
        </w:rPr>
        <w:t xml:space="preserve"> </w:t>
      </w:r>
      <w:r w:rsidRPr="0046266F">
        <w:rPr>
          <w:rFonts w:ascii="Times New Roman" w:hAnsi="Times New Roman"/>
          <w:sz w:val="24"/>
          <w:szCs w:val="24"/>
        </w:rPr>
        <w:t xml:space="preserve">DL580 Gen9 2 ks, </w:t>
      </w:r>
      <w:r w:rsidRPr="006B2028">
        <w:rPr>
          <w:rFonts w:ascii="Times New Roman" w:hAnsi="Times New Roman"/>
          <w:sz w:val="24"/>
          <w:szCs w:val="24"/>
        </w:rPr>
        <w:t xml:space="preserve">Server S-RINA HP </w:t>
      </w:r>
      <w:proofErr w:type="spellStart"/>
      <w:r w:rsidRPr="006B2028">
        <w:rPr>
          <w:rFonts w:ascii="Times New Roman" w:hAnsi="Times New Roman"/>
          <w:sz w:val="24"/>
          <w:szCs w:val="24"/>
        </w:rPr>
        <w:t>ProLiant</w:t>
      </w:r>
      <w:proofErr w:type="spellEnd"/>
      <w:r w:rsidRPr="006B2028">
        <w:rPr>
          <w:rFonts w:ascii="Times New Roman" w:hAnsi="Times New Roman"/>
          <w:sz w:val="24"/>
          <w:szCs w:val="24"/>
        </w:rPr>
        <w:t xml:space="preserve"> DL 580 Gen9 2 ks, zabezpečenie prístupového</w:t>
      </w:r>
      <w:r>
        <w:rPr>
          <w:rFonts w:ascii="Times New Roman" w:hAnsi="Times New Roman"/>
          <w:sz w:val="24"/>
          <w:szCs w:val="24"/>
        </w:rPr>
        <w:t xml:space="preserve"> </w:t>
      </w:r>
      <w:r w:rsidRPr="006B2028">
        <w:rPr>
          <w:rFonts w:ascii="Times New Roman" w:hAnsi="Times New Roman"/>
          <w:sz w:val="24"/>
          <w:szCs w:val="24"/>
        </w:rPr>
        <w:t>bodu pre projekt EESSI, SP, ústredie</w:t>
      </w:r>
      <w:r w:rsidRPr="006B2028">
        <w:rPr>
          <w:rFonts w:ascii="Times New Roman" w:hAnsi="Times New Roman"/>
          <w:sz w:val="24"/>
          <w:szCs w:val="24"/>
        </w:rPr>
        <w:tab/>
      </w:r>
      <w:r w:rsidRPr="006B2028">
        <w:rPr>
          <w:rFonts w:ascii="Times New Roman" w:hAnsi="Times New Roman"/>
          <w:sz w:val="24"/>
          <w:szCs w:val="24"/>
        </w:rPr>
        <w:tab/>
      </w:r>
      <w:r w:rsidRPr="006B2028">
        <w:rPr>
          <w:rFonts w:ascii="Times New Roman" w:hAnsi="Times New Roman"/>
          <w:sz w:val="24"/>
          <w:szCs w:val="24"/>
        </w:rPr>
        <w:tab/>
      </w:r>
      <w:r w:rsidRPr="006B2028">
        <w:rPr>
          <w:rFonts w:ascii="Times New Roman" w:hAnsi="Times New Roman"/>
          <w:sz w:val="24"/>
          <w:szCs w:val="24"/>
        </w:rPr>
        <w:tab/>
      </w:r>
      <w:r w:rsidRPr="006B2028">
        <w:rPr>
          <w:rFonts w:ascii="Times New Roman" w:hAnsi="Times New Roman"/>
          <w:sz w:val="24"/>
          <w:szCs w:val="24"/>
        </w:rPr>
        <w:tab/>
      </w:r>
      <w:r w:rsidRPr="006B2028">
        <w:rPr>
          <w:rFonts w:ascii="Times New Roman" w:hAnsi="Times New Roman"/>
          <w:sz w:val="24"/>
          <w:szCs w:val="24"/>
        </w:rPr>
        <w:tab/>
      </w:r>
      <w:r w:rsidRPr="006B2028">
        <w:rPr>
          <w:rFonts w:ascii="Times New Roman" w:hAnsi="Times New Roman"/>
          <w:sz w:val="24"/>
          <w:szCs w:val="24"/>
        </w:rPr>
        <w:tab/>
        <w:t xml:space="preserve"> </w:t>
      </w:r>
    </w:p>
    <w:p w:rsidR="00385B00" w:rsidRDefault="00385B00" w:rsidP="00385B00">
      <w:pPr>
        <w:widowControl/>
        <w:autoSpaceDE/>
        <w:autoSpaceDN/>
        <w:adjustRightInd/>
        <w:jc w:val="both"/>
        <w:rPr>
          <w:rFonts w:ascii="Times New Roman" w:hAnsi="Times New Roman"/>
          <w:sz w:val="24"/>
        </w:rPr>
      </w:pPr>
    </w:p>
    <w:p w:rsidR="00385B00" w:rsidRDefault="00385B00" w:rsidP="00385B00">
      <w:pPr>
        <w:widowControl/>
        <w:autoSpaceDE/>
        <w:autoSpaceDN/>
        <w:adjustRightInd/>
        <w:jc w:val="both"/>
        <w:rPr>
          <w:rFonts w:ascii="Times New Roman" w:hAnsi="Times New Roman"/>
          <w:sz w:val="24"/>
        </w:rPr>
      </w:pPr>
    </w:p>
    <w:p w:rsidR="00385B00" w:rsidRDefault="00385B00" w:rsidP="00385B00">
      <w:pPr>
        <w:widowControl/>
        <w:autoSpaceDE/>
        <w:autoSpaceDN/>
        <w:adjustRightInd/>
        <w:jc w:val="both"/>
        <w:rPr>
          <w:rFonts w:ascii="Times New Roman" w:hAnsi="Times New Roman"/>
          <w:sz w:val="24"/>
        </w:rPr>
      </w:pPr>
    </w:p>
    <w:p w:rsidR="00385B00" w:rsidRPr="004D358C" w:rsidRDefault="00385B00" w:rsidP="00385B00">
      <w:pPr>
        <w:widowControl/>
        <w:autoSpaceDE/>
        <w:autoSpaceDN/>
        <w:adjustRightInd/>
        <w:jc w:val="both"/>
        <w:rPr>
          <w:rFonts w:ascii="Times New Roman" w:hAnsi="Times New Roman"/>
          <w:sz w:val="24"/>
        </w:rPr>
      </w:pPr>
    </w:p>
    <w:p w:rsidR="00385B00" w:rsidRPr="00C565E2" w:rsidRDefault="00385B00" w:rsidP="00385B00">
      <w:pPr>
        <w:pStyle w:val="Nadpis1"/>
        <w:keepNext/>
        <w:widowControl/>
        <w:spacing w:line="360" w:lineRule="auto"/>
        <w:jc w:val="center"/>
        <w:rPr>
          <w:rFonts w:ascii="Times New Roman" w:hAnsi="Times New Roman"/>
          <w:b/>
          <w:bCs/>
          <w:color w:val="000000" w:themeColor="text1"/>
          <w:sz w:val="24"/>
          <w:szCs w:val="24"/>
          <w:u w:color="000000"/>
        </w:rPr>
      </w:pPr>
      <w:r w:rsidRPr="00C565E2">
        <w:rPr>
          <w:rFonts w:ascii="Times New Roman" w:hAnsi="Times New Roman"/>
          <w:b/>
          <w:bCs/>
          <w:color w:val="000000" w:themeColor="text1"/>
          <w:sz w:val="24"/>
          <w:szCs w:val="24"/>
          <w:u w:color="000000"/>
        </w:rPr>
        <w:t>Čl. IV</w:t>
      </w:r>
    </w:p>
    <w:p w:rsidR="00385B00" w:rsidRPr="00C565E2" w:rsidRDefault="00385B00" w:rsidP="00385B00">
      <w:pPr>
        <w:pStyle w:val="Nadpis2"/>
        <w:keepNext/>
        <w:widowControl/>
        <w:spacing w:line="360" w:lineRule="auto"/>
        <w:jc w:val="center"/>
        <w:rPr>
          <w:rFonts w:ascii="Times New Roman" w:hAnsi="Times New Roman"/>
          <w:b/>
          <w:bCs/>
          <w:color w:val="000000" w:themeColor="text1"/>
          <w:sz w:val="24"/>
          <w:szCs w:val="24"/>
          <w:u w:color="000000"/>
        </w:rPr>
      </w:pPr>
      <w:r w:rsidRPr="00C565E2">
        <w:rPr>
          <w:rFonts w:ascii="Times New Roman" w:hAnsi="Times New Roman"/>
          <w:b/>
          <w:bCs/>
          <w:color w:val="000000" w:themeColor="text1"/>
          <w:sz w:val="24"/>
          <w:szCs w:val="24"/>
          <w:u w:color="000000"/>
        </w:rPr>
        <w:t>Informácie, ktoré dopĺňajú a vysvetľujú údaje vo výkaze ziskov a strát</w:t>
      </w:r>
    </w:p>
    <w:p w:rsidR="00385B00" w:rsidRPr="00C565E2" w:rsidRDefault="00385B00" w:rsidP="00385B00">
      <w:pPr>
        <w:widowControl/>
        <w:spacing w:line="360" w:lineRule="auto"/>
        <w:ind w:left="1440"/>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C565E2">
        <w:rPr>
          <w:rFonts w:ascii="Times New Roman" w:hAnsi="Times New Roman"/>
          <w:color w:val="000000" w:themeColor="text1"/>
          <w:sz w:val="24"/>
          <w:szCs w:val="24"/>
          <w:u w:color="000000"/>
        </w:rPr>
        <w:tab/>
        <w:t xml:space="preserve">Výkaz ziskov a strát poskytuje informácie o vynaložených </w:t>
      </w:r>
      <w:r w:rsidRPr="00C565E2">
        <w:rPr>
          <w:rFonts w:ascii="Times New Roman" w:hAnsi="Times New Roman"/>
          <w:b/>
          <w:bCs/>
          <w:color w:val="000000" w:themeColor="text1"/>
          <w:sz w:val="24"/>
          <w:szCs w:val="24"/>
          <w:u w:color="000000"/>
        </w:rPr>
        <w:t>nákladoch</w:t>
      </w:r>
      <w:r w:rsidRPr="00C565E2">
        <w:rPr>
          <w:rFonts w:ascii="Times New Roman" w:hAnsi="Times New Roman"/>
          <w:color w:val="000000" w:themeColor="text1"/>
          <w:sz w:val="24"/>
          <w:szCs w:val="24"/>
          <w:u w:color="000000"/>
        </w:rPr>
        <w:t>, ktoré súvisia s činnosťou organizačných zložiek Sociálnej poisťovne pri zabezpečovaní výkonu sociálneho poistenia k 31.12.</w:t>
      </w:r>
      <w:r>
        <w:rPr>
          <w:rFonts w:ascii="Times New Roman" w:hAnsi="Times New Roman"/>
          <w:color w:val="000000" w:themeColor="text1"/>
          <w:sz w:val="24"/>
          <w:szCs w:val="24"/>
          <w:u w:color="000000"/>
        </w:rPr>
        <w:t>2018</w:t>
      </w:r>
      <w:r w:rsidRPr="00C565E2">
        <w:rPr>
          <w:rFonts w:ascii="Times New Roman" w:hAnsi="Times New Roman"/>
          <w:color w:val="000000" w:themeColor="text1"/>
          <w:sz w:val="24"/>
          <w:szCs w:val="24"/>
          <w:u w:color="000000"/>
        </w:rPr>
        <w:t xml:space="preserve"> a ich </w:t>
      </w:r>
      <w:r w:rsidRPr="00C565E2">
        <w:rPr>
          <w:rFonts w:ascii="Times New Roman" w:hAnsi="Times New Roman"/>
          <w:b/>
          <w:bCs/>
          <w:color w:val="000000" w:themeColor="text1"/>
          <w:sz w:val="24"/>
          <w:szCs w:val="24"/>
          <w:u w:color="000000"/>
        </w:rPr>
        <w:t>finančnom krytí.</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Výkaz ziskov a strát (výkaz) je zostavený v nadväznosti na opatrenie o účtovnej závierke, ktoré ustanovilo vzor tohto účtovného výkazu. Názvy a náplň riadkov výkazu nadväzujú priamo na</w:t>
      </w:r>
      <w:r>
        <w:rPr>
          <w:rFonts w:ascii="Times New Roman" w:hAnsi="Times New Roman"/>
          <w:color w:val="000000" w:themeColor="text1"/>
          <w:sz w:val="24"/>
          <w:szCs w:val="24"/>
          <w:u w:color="000000"/>
        </w:rPr>
        <w:t> </w:t>
      </w:r>
      <w:r w:rsidRPr="00C565E2">
        <w:rPr>
          <w:rFonts w:ascii="Times New Roman" w:hAnsi="Times New Roman"/>
          <w:color w:val="000000" w:themeColor="text1"/>
          <w:sz w:val="24"/>
          <w:szCs w:val="24"/>
          <w:u w:color="000000"/>
        </w:rPr>
        <w:t xml:space="preserve">príslušné účty, resp. účtové skupiny podľa platnej účtovej osnovy a postupov účtovania. Údaje vo výkaze predstavujú sumy zistené narastajúcim spôsobom od začiatku do konca účtovného obdobia. Na príslušných riadkoch výkazu sa uvádzajú konečné stavy syntetických účtov nákladov, účtu finančného krytia a výnosov v členení na: </w:t>
      </w:r>
    </w:p>
    <w:p w:rsidR="00385B00" w:rsidRPr="00AB2F85" w:rsidRDefault="00385B00" w:rsidP="00385B00">
      <w:pPr>
        <w:pStyle w:val="Odsekzoznamu"/>
        <w:widowControl/>
        <w:numPr>
          <w:ilvl w:val="0"/>
          <w:numId w:val="31"/>
        </w:numPr>
        <w:spacing w:line="360" w:lineRule="auto"/>
        <w:jc w:val="both"/>
        <w:rPr>
          <w:rFonts w:ascii="Times New Roman" w:hAnsi="Times New Roman"/>
          <w:color w:val="000000" w:themeColor="text1"/>
          <w:sz w:val="24"/>
          <w:szCs w:val="24"/>
          <w:u w:color="000000"/>
        </w:rPr>
      </w:pPr>
      <w:r w:rsidRPr="00AB2F85">
        <w:rPr>
          <w:rFonts w:ascii="Times New Roman" w:hAnsi="Times New Roman"/>
          <w:color w:val="000000" w:themeColor="text1"/>
          <w:sz w:val="24"/>
          <w:szCs w:val="24"/>
          <w:u w:color="000000"/>
        </w:rPr>
        <w:t>nezdaňovanú činnosť (stĺpec 7 výkazu)</w:t>
      </w:r>
    </w:p>
    <w:p w:rsidR="00385B00" w:rsidRPr="00AB2F85" w:rsidRDefault="00385B00" w:rsidP="00385B00">
      <w:pPr>
        <w:pStyle w:val="Odsekzoznamu"/>
        <w:widowControl/>
        <w:numPr>
          <w:ilvl w:val="0"/>
          <w:numId w:val="31"/>
        </w:numPr>
        <w:spacing w:line="360" w:lineRule="auto"/>
        <w:jc w:val="both"/>
        <w:rPr>
          <w:rFonts w:ascii="Times New Roman" w:hAnsi="Times New Roman"/>
          <w:color w:val="000000" w:themeColor="text1"/>
          <w:sz w:val="24"/>
          <w:szCs w:val="24"/>
          <w:u w:color="000000"/>
        </w:rPr>
      </w:pPr>
      <w:r w:rsidRPr="00AB2F85">
        <w:rPr>
          <w:rFonts w:ascii="Times New Roman" w:hAnsi="Times New Roman"/>
          <w:color w:val="000000" w:themeColor="text1"/>
          <w:sz w:val="24"/>
          <w:szCs w:val="24"/>
          <w:u w:color="000000"/>
        </w:rPr>
        <w:t>zdaňovanú činnosť (stĺpec 8 výkazu)</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b/>
          <w:bCs/>
          <w:color w:val="000000" w:themeColor="text1"/>
          <w:sz w:val="24"/>
          <w:szCs w:val="24"/>
          <w:u w:color="000000"/>
        </w:rPr>
        <w:t xml:space="preserve">(1) </w:t>
      </w:r>
      <w:r w:rsidRPr="00C565E2">
        <w:rPr>
          <w:rFonts w:ascii="Times New Roman" w:hAnsi="Times New Roman"/>
          <w:b/>
          <w:bCs/>
          <w:color w:val="000000" w:themeColor="text1"/>
          <w:sz w:val="24"/>
          <w:szCs w:val="24"/>
          <w:u w:color="000000"/>
        </w:rPr>
        <w:tab/>
        <w:t>Tržby Sociálnej poisťovne</w:t>
      </w:r>
      <w:r w:rsidRPr="00C565E2">
        <w:rPr>
          <w:rFonts w:ascii="Times New Roman" w:hAnsi="Times New Roman"/>
          <w:color w:val="000000" w:themeColor="text1"/>
          <w:sz w:val="24"/>
          <w:szCs w:val="24"/>
          <w:u w:color="000000"/>
        </w:rPr>
        <w:t xml:space="preserve"> </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Default="00385B00" w:rsidP="00385B00">
      <w:pPr>
        <w:widowControl/>
        <w:spacing w:line="360" w:lineRule="auto"/>
        <w:ind w:firstLine="510"/>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 xml:space="preserve">Vo výnosovej oblasti v rámci zdaňovanej činnosti Sociálna poisťovňa vykazuje tržby z predaja služieb v sume </w:t>
      </w:r>
      <w:r>
        <w:rPr>
          <w:rFonts w:ascii="Times New Roman" w:hAnsi="Times New Roman"/>
          <w:color w:val="000000" w:themeColor="text1"/>
          <w:sz w:val="24"/>
          <w:szCs w:val="24"/>
          <w:u w:color="000000"/>
        </w:rPr>
        <w:t>82 374,31</w:t>
      </w:r>
      <w:r w:rsidRPr="00C565E2">
        <w:rPr>
          <w:rFonts w:ascii="Times New Roman" w:hAnsi="Times New Roman"/>
          <w:color w:val="000000" w:themeColor="text1"/>
          <w:sz w:val="24"/>
          <w:szCs w:val="24"/>
          <w:u w:color="000000"/>
        </w:rPr>
        <w:t>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(za poskytnuté ubytovanie, stravovanie a služby v doškoľovacích a rekreačných zariadeniach Staré Hory a Pavčina Lehota) a výnosy z prenájmu majetku v sume </w:t>
      </w:r>
      <w:r>
        <w:rPr>
          <w:rFonts w:ascii="Times New Roman" w:hAnsi="Times New Roman"/>
          <w:color w:val="000000" w:themeColor="text1"/>
          <w:sz w:val="24"/>
          <w:szCs w:val="24"/>
          <w:u w:color="000000"/>
        </w:rPr>
        <w:t>299 509,63</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(za prenájom dočasne voľných priestorov v organizačných zložkách Sociálnej poisťovne).</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C565E2">
        <w:rPr>
          <w:rFonts w:ascii="Times New Roman" w:hAnsi="Times New Roman"/>
          <w:b/>
          <w:bCs/>
          <w:color w:val="000000" w:themeColor="text1"/>
          <w:sz w:val="24"/>
          <w:szCs w:val="24"/>
          <w:u w:color="000000"/>
        </w:rPr>
        <w:t xml:space="preserve">(2) </w:t>
      </w:r>
      <w:r w:rsidRPr="00C565E2">
        <w:rPr>
          <w:rFonts w:ascii="Times New Roman" w:hAnsi="Times New Roman"/>
          <w:b/>
          <w:bCs/>
          <w:color w:val="000000" w:themeColor="text1"/>
          <w:sz w:val="24"/>
          <w:szCs w:val="24"/>
          <w:u w:color="000000"/>
        </w:rPr>
        <w:tab/>
        <w:t>Iné ostatné výnosy (účet 649 – Iné ostatné výnosy)</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 xml:space="preserve">Vo </w:t>
      </w:r>
      <w:r w:rsidRPr="00C565E2">
        <w:rPr>
          <w:rFonts w:ascii="Times New Roman" w:hAnsi="Times New Roman"/>
          <w:b/>
          <w:bCs/>
          <w:color w:val="000000" w:themeColor="text1"/>
          <w:sz w:val="24"/>
          <w:szCs w:val="24"/>
          <w:u w:color="000000"/>
        </w:rPr>
        <w:t>výnosovej</w:t>
      </w:r>
      <w:r w:rsidRPr="00C565E2">
        <w:rPr>
          <w:rFonts w:ascii="Times New Roman" w:hAnsi="Times New Roman"/>
          <w:color w:val="000000" w:themeColor="text1"/>
          <w:sz w:val="24"/>
          <w:szCs w:val="24"/>
          <w:u w:color="000000"/>
        </w:rPr>
        <w:t xml:space="preserve"> oblasti v rámci </w:t>
      </w:r>
      <w:r w:rsidRPr="00C565E2">
        <w:rPr>
          <w:rFonts w:ascii="Times New Roman" w:hAnsi="Times New Roman"/>
          <w:b/>
          <w:bCs/>
          <w:color w:val="000000" w:themeColor="text1"/>
          <w:sz w:val="24"/>
          <w:szCs w:val="24"/>
          <w:u w:color="000000"/>
        </w:rPr>
        <w:t>nezdaňovanej</w:t>
      </w:r>
      <w:r w:rsidRPr="00C565E2">
        <w:rPr>
          <w:rFonts w:ascii="Times New Roman" w:hAnsi="Times New Roman"/>
          <w:color w:val="000000" w:themeColor="text1"/>
          <w:sz w:val="24"/>
          <w:szCs w:val="24"/>
          <w:u w:color="000000"/>
        </w:rPr>
        <w:t xml:space="preserve"> činnosti je vykazované použitie zdrojov správneho fondu, na ťarchu ktorého boli hradené náklady na nezdaňovanú činnosť Sociálnej poisťovne v sume 152</w:t>
      </w:r>
      <w:r>
        <w:rPr>
          <w:rFonts w:ascii="Times New Roman" w:hAnsi="Times New Roman"/>
          <w:color w:val="000000" w:themeColor="text1"/>
          <w:sz w:val="24"/>
          <w:szCs w:val="24"/>
          <w:u w:color="000000"/>
        </w:rPr>
        <w:t> 687 584,59</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b/>
          <w:color w:val="000000" w:themeColor="text1"/>
          <w:sz w:val="24"/>
          <w:szCs w:val="24"/>
          <w:u w:color="000000"/>
        </w:rPr>
      </w:pPr>
      <w:r w:rsidRPr="00C565E2">
        <w:rPr>
          <w:rFonts w:ascii="Times New Roman" w:hAnsi="Times New Roman"/>
          <w:b/>
          <w:color w:val="000000" w:themeColor="text1"/>
          <w:sz w:val="24"/>
          <w:szCs w:val="24"/>
          <w:u w:color="000000"/>
        </w:rPr>
        <w:t xml:space="preserve">(3) </w:t>
      </w:r>
      <w:r w:rsidRPr="00C565E2">
        <w:rPr>
          <w:rFonts w:ascii="Times New Roman" w:hAnsi="Times New Roman"/>
          <w:b/>
          <w:color w:val="000000" w:themeColor="text1"/>
          <w:sz w:val="24"/>
          <w:szCs w:val="24"/>
          <w:u w:color="000000"/>
        </w:rPr>
        <w:tab/>
        <w:t>Sociálna poisťovňa nevykazuje za sledované obdobie významné položky finančných výnosov</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b/>
          <w:color w:val="000000" w:themeColor="text1"/>
          <w:sz w:val="24"/>
          <w:szCs w:val="24"/>
          <w:u w:color="000000"/>
        </w:rPr>
      </w:pPr>
      <w:r w:rsidRPr="00C565E2">
        <w:rPr>
          <w:rFonts w:ascii="Times New Roman" w:hAnsi="Times New Roman"/>
          <w:b/>
          <w:color w:val="000000" w:themeColor="text1"/>
          <w:sz w:val="24"/>
          <w:szCs w:val="24"/>
          <w:u w:color="000000"/>
        </w:rPr>
        <w:t xml:space="preserve">(4) </w:t>
      </w:r>
      <w:r w:rsidRPr="00C565E2">
        <w:rPr>
          <w:rFonts w:ascii="Times New Roman" w:hAnsi="Times New Roman"/>
          <w:b/>
          <w:color w:val="000000" w:themeColor="text1"/>
          <w:sz w:val="24"/>
          <w:szCs w:val="24"/>
          <w:u w:color="000000"/>
        </w:rPr>
        <w:tab/>
        <w:t>Významné položky nákladov za prijaté služby (účet 518 – Ostatné služby)</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Default="00385B00" w:rsidP="00385B00">
      <w:pPr>
        <w:widowControl/>
        <w:spacing w:line="360" w:lineRule="auto"/>
        <w:jc w:val="both"/>
        <w:rPr>
          <w:rFonts w:ascii="Times New Roman" w:hAnsi="Times New Roman"/>
          <w:color w:val="000000" w:themeColor="text1"/>
          <w:sz w:val="24"/>
          <w:szCs w:val="24"/>
        </w:rPr>
      </w:pPr>
      <w:r w:rsidRPr="00C565E2">
        <w:rPr>
          <w:rFonts w:ascii="Times New Roman" w:hAnsi="Times New Roman"/>
          <w:color w:val="000000" w:themeColor="text1"/>
          <w:sz w:val="24"/>
          <w:szCs w:val="24"/>
          <w:u w:color="000000"/>
        </w:rPr>
        <w:tab/>
      </w:r>
      <w:r>
        <w:rPr>
          <w:rFonts w:ascii="Times New Roman" w:hAnsi="Times New Roman"/>
          <w:color w:val="000000" w:themeColor="text1"/>
          <w:sz w:val="24"/>
          <w:szCs w:val="24"/>
        </w:rPr>
        <w:tab/>
        <w:t>Údaj na riadku 011 výkazu v sume 21 929 294,51 EUR predstavuje náklady za ostatné služby. Ide najmä o tieto ostatné služby: vykonanie zmien v programovom vybavení  (15 781 929,63 EUR), poplatky za udržiavanie siete (1 805 418,70 EUR), bezpečnostné služby (1 696 896,08 EUR - stráženie objektov a preprava peňazí), upratovanie budov a verejných priestranstiev (1 203 404,88 EUR), trovy exekúcií (563 426,05 EUR), ostatné služby (</w:t>
      </w:r>
      <w:r w:rsidRPr="00B13796">
        <w:rPr>
          <w:rFonts w:ascii="Times New Roman" w:hAnsi="Times New Roman"/>
          <w:color w:val="000000" w:themeColor="text1"/>
          <w:sz w:val="24"/>
          <w:szCs w:val="24"/>
        </w:rPr>
        <w:t>228 341,85</w:t>
      </w:r>
      <w:r>
        <w:rPr>
          <w:rFonts w:ascii="Times New Roman" w:hAnsi="Times New Roman"/>
          <w:color w:val="000000" w:themeColor="text1"/>
          <w:sz w:val="24"/>
          <w:szCs w:val="24"/>
        </w:rPr>
        <w:t xml:space="preserve"> EUR - monitoring, rešerše, overovanie spôsobilosti výkonu povolania, vyhotovenie pečiatok, kľúčov, preukazov, samolepiek, služby podateľne a pod.),</w:t>
      </w:r>
      <w:r w:rsidRPr="00B13796">
        <w:rPr>
          <w:rFonts w:ascii="Times New Roman" w:hAnsi="Times New Roman"/>
          <w:color w:val="000000" w:themeColor="text1"/>
          <w:sz w:val="24"/>
          <w:szCs w:val="24"/>
        </w:rPr>
        <w:t xml:space="preserve"> </w:t>
      </w:r>
      <w:r>
        <w:rPr>
          <w:rFonts w:ascii="Times New Roman" w:hAnsi="Times New Roman"/>
          <w:color w:val="000000" w:themeColor="text1"/>
          <w:sz w:val="24"/>
          <w:szCs w:val="24"/>
        </w:rPr>
        <w:t>revízie a kontroly rôznych zariadení (151 848,26 EUR),</w:t>
      </w:r>
      <w:r w:rsidRPr="00B13796">
        <w:rPr>
          <w:rFonts w:ascii="Times New Roman" w:hAnsi="Times New Roman"/>
          <w:color w:val="000000" w:themeColor="text1"/>
          <w:sz w:val="24"/>
          <w:szCs w:val="24"/>
        </w:rPr>
        <w:t xml:space="preserve"> </w:t>
      </w:r>
      <w:r>
        <w:rPr>
          <w:rFonts w:ascii="Times New Roman" w:hAnsi="Times New Roman"/>
          <w:color w:val="000000" w:themeColor="text1"/>
          <w:sz w:val="24"/>
          <w:szCs w:val="24"/>
        </w:rPr>
        <w:t>tlmočenie a preklady textov (123 883,76 EUR),</w:t>
      </w:r>
      <w:r w:rsidRPr="00B13796">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štúdie, expertízy (91 390,80 EUR), stočné a zrážková voda (86 233,33 EUR), znalecké posudky, prepravné, špeciálne služby, školenia, náhrady zamestnancom na základe súdnych rozhodnutí, drobný nehmotný majetok, inzercia, autorské honoráre a pod (196 491,17 EUR). </w:t>
      </w:r>
    </w:p>
    <w:p w:rsidR="00385B00" w:rsidRDefault="00385B00" w:rsidP="00385B00">
      <w:pPr>
        <w:widowControl/>
        <w:spacing w:line="360" w:lineRule="auto"/>
        <w:jc w:val="both"/>
        <w:rPr>
          <w:rFonts w:ascii="Times New Roman" w:hAnsi="Times New Roman"/>
          <w:color w:val="000000" w:themeColor="text1"/>
          <w:sz w:val="24"/>
          <w:szCs w:val="24"/>
        </w:rPr>
      </w:pPr>
    </w:p>
    <w:p w:rsidR="00385B00" w:rsidRPr="00C565E2" w:rsidRDefault="00385B00" w:rsidP="00385B00">
      <w:pPr>
        <w:widowControl/>
        <w:spacing w:line="360" w:lineRule="auto"/>
        <w:jc w:val="both"/>
        <w:rPr>
          <w:rFonts w:ascii="Times New Roman" w:hAnsi="Times New Roman"/>
          <w:b/>
          <w:bCs/>
          <w:color w:val="000000" w:themeColor="text1"/>
          <w:sz w:val="24"/>
          <w:szCs w:val="24"/>
          <w:u w:color="000000"/>
        </w:rPr>
      </w:pPr>
      <w:r w:rsidRPr="00C565E2">
        <w:rPr>
          <w:rFonts w:ascii="Times New Roman" w:hAnsi="Times New Roman"/>
          <w:b/>
          <w:bCs/>
          <w:color w:val="000000" w:themeColor="text1"/>
          <w:sz w:val="24"/>
          <w:szCs w:val="24"/>
          <w:u w:color="000000"/>
        </w:rPr>
        <w:t xml:space="preserve"> (5) </w:t>
      </w:r>
      <w:r w:rsidRPr="00C565E2">
        <w:rPr>
          <w:rFonts w:ascii="Times New Roman" w:hAnsi="Times New Roman"/>
          <w:b/>
          <w:bCs/>
          <w:color w:val="000000" w:themeColor="text1"/>
          <w:sz w:val="24"/>
          <w:szCs w:val="24"/>
          <w:u w:color="000000"/>
        </w:rPr>
        <w:tab/>
        <w:t>Významné položky finančných nákladov a ostatných nákladov</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 xml:space="preserve">Finančné náklady v roku </w:t>
      </w:r>
      <w:r>
        <w:rPr>
          <w:rFonts w:ascii="Times New Roman" w:hAnsi="Times New Roman"/>
          <w:color w:val="000000" w:themeColor="text1"/>
          <w:sz w:val="24"/>
          <w:szCs w:val="24"/>
          <w:u w:color="000000"/>
        </w:rPr>
        <w:t>2018</w:t>
      </w:r>
      <w:r w:rsidRPr="00C565E2">
        <w:rPr>
          <w:rFonts w:ascii="Times New Roman" w:hAnsi="Times New Roman"/>
          <w:color w:val="000000" w:themeColor="text1"/>
          <w:sz w:val="24"/>
          <w:szCs w:val="24"/>
          <w:u w:color="000000"/>
        </w:rPr>
        <w:t xml:space="preserve"> predstavovali najmä bankové poplatky (</w:t>
      </w:r>
      <w:r>
        <w:rPr>
          <w:rFonts w:ascii="Times New Roman" w:hAnsi="Times New Roman"/>
          <w:color w:val="000000" w:themeColor="text1"/>
          <w:sz w:val="24"/>
          <w:szCs w:val="24"/>
          <w:u w:color="000000"/>
        </w:rPr>
        <w:t>1 308 290,96</w:t>
      </w:r>
      <w:r w:rsidRPr="00C565E2">
        <w:rPr>
          <w:rFonts w:ascii="Times New Roman" w:hAnsi="Times New Roman"/>
          <w:color w:val="000000" w:themeColor="text1"/>
          <w:sz w:val="24"/>
          <w:szCs w:val="24"/>
          <w:u w:color="000000"/>
        </w:rPr>
        <w:t>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kurzové straty (</w:t>
      </w:r>
      <w:r>
        <w:rPr>
          <w:rFonts w:ascii="Times New Roman" w:hAnsi="Times New Roman"/>
          <w:color w:val="000000" w:themeColor="text1"/>
          <w:sz w:val="24"/>
          <w:szCs w:val="24"/>
          <w:u w:color="000000"/>
        </w:rPr>
        <w:t>10 648,16</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a to najmä z titulu úhrad dávok sociálneho poistenia do zahraničia, ostatné pokuty a úroky z omeškania (</w:t>
      </w:r>
      <w:r>
        <w:rPr>
          <w:rFonts w:ascii="Times New Roman" w:hAnsi="Times New Roman"/>
          <w:color w:val="000000" w:themeColor="text1"/>
          <w:sz w:val="24"/>
          <w:szCs w:val="24"/>
          <w:u w:color="000000"/>
        </w:rPr>
        <w:t>26 207,90</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 xml:space="preserve">Ostatné náklady v roku </w:t>
      </w:r>
      <w:r>
        <w:rPr>
          <w:rFonts w:ascii="Times New Roman" w:hAnsi="Times New Roman"/>
          <w:color w:val="000000" w:themeColor="text1"/>
          <w:sz w:val="24"/>
          <w:szCs w:val="24"/>
          <w:u w:color="000000"/>
        </w:rPr>
        <w:t>2018</w:t>
      </w:r>
      <w:r w:rsidRPr="00C565E2">
        <w:rPr>
          <w:rFonts w:ascii="Times New Roman" w:hAnsi="Times New Roman"/>
          <w:color w:val="000000" w:themeColor="text1"/>
          <w:sz w:val="24"/>
          <w:szCs w:val="24"/>
          <w:u w:color="000000"/>
        </w:rPr>
        <w:t xml:space="preserve"> predstavovali najmä náklady na zdravotné výkony            (</w:t>
      </w:r>
      <w:r>
        <w:rPr>
          <w:rFonts w:ascii="Times New Roman" w:hAnsi="Times New Roman"/>
          <w:color w:val="000000" w:themeColor="text1"/>
          <w:sz w:val="24"/>
          <w:szCs w:val="24"/>
          <w:u w:color="000000"/>
        </w:rPr>
        <w:t>1 209 609,32</w:t>
      </w:r>
      <w:r w:rsidRPr="00C565E2">
        <w:rPr>
          <w:rFonts w:ascii="Times New Roman" w:hAnsi="Times New Roman"/>
          <w:color w:val="000000" w:themeColor="text1"/>
          <w:sz w:val="24"/>
          <w:szCs w:val="24"/>
          <w:u w:color="000000"/>
        </w:rPr>
        <w:t>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odmeny z dohôd mimo pracovného pomeru (</w:t>
      </w:r>
      <w:r>
        <w:rPr>
          <w:rFonts w:ascii="Times New Roman" w:hAnsi="Times New Roman"/>
          <w:color w:val="000000" w:themeColor="text1"/>
          <w:sz w:val="24"/>
          <w:szCs w:val="24"/>
          <w:u w:color="000000"/>
        </w:rPr>
        <w:t>149 978,39</w:t>
      </w:r>
      <w:r w:rsidRPr="00C565E2">
        <w:rPr>
          <w:rFonts w:ascii="Times New Roman" w:hAnsi="Times New Roman"/>
          <w:color w:val="000000" w:themeColor="text1"/>
          <w:sz w:val="24"/>
          <w:szCs w:val="24"/>
          <w:u w:color="000000"/>
        </w:rPr>
        <w:t>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w:t>
      </w:r>
      <w:r w:rsidRPr="00605699">
        <w:rPr>
          <w:rFonts w:ascii="Times New Roman" w:hAnsi="Times New Roman"/>
          <w:color w:val="000000" w:themeColor="text1"/>
          <w:sz w:val="24"/>
          <w:szCs w:val="24"/>
          <w:u w:color="000000"/>
        </w:rPr>
        <w:t xml:space="preserve"> </w:t>
      </w:r>
      <w:r w:rsidRPr="00C565E2">
        <w:rPr>
          <w:rFonts w:ascii="Times New Roman" w:hAnsi="Times New Roman"/>
          <w:color w:val="000000" w:themeColor="text1"/>
          <w:sz w:val="24"/>
          <w:szCs w:val="24"/>
          <w:u w:color="000000"/>
        </w:rPr>
        <w:t>administratívne preplatky (</w:t>
      </w:r>
      <w:r>
        <w:rPr>
          <w:rFonts w:ascii="Times New Roman" w:hAnsi="Times New Roman"/>
          <w:color w:val="000000" w:themeColor="text1"/>
          <w:sz w:val="24"/>
          <w:szCs w:val="24"/>
          <w:u w:color="000000"/>
        </w:rPr>
        <w:t xml:space="preserve">111 693,02 EUR), manká a škody </w:t>
      </w:r>
      <w:r w:rsidRPr="00C565E2">
        <w:rPr>
          <w:rFonts w:ascii="Times New Roman" w:hAnsi="Times New Roman"/>
          <w:color w:val="000000" w:themeColor="text1"/>
          <w:sz w:val="24"/>
          <w:szCs w:val="24"/>
          <w:u w:color="000000"/>
        </w:rPr>
        <w:t>(</w:t>
      </w:r>
      <w:r>
        <w:rPr>
          <w:rFonts w:ascii="Times New Roman" w:hAnsi="Times New Roman"/>
          <w:color w:val="000000" w:themeColor="text1"/>
          <w:sz w:val="24"/>
          <w:szCs w:val="24"/>
          <w:u w:color="000000"/>
        </w:rPr>
        <w:t>29 980,45 EUR</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 </w:t>
      </w:r>
      <w:r w:rsidRPr="00C565E2">
        <w:rPr>
          <w:rFonts w:ascii="Times New Roman" w:hAnsi="Times New Roman"/>
          <w:color w:val="000000" w:themeColor="text1"/>
          <w:sz w:val="24"/>
          <w:szCs w:val="24"/>
          <w:u w:color="000000"/>
        </w:rPr>
        <w:t>čistenie osobných ochranných pracovných prostriedkov zamestnancov (16</w:t>
      </w:r>
      <w:r>
        <w:rPr>
          <w:rFonts w:ascii="Times New Roman" w:hAnsi="Times New Roman"/>
          <w:color w:val="000000" w:themeColor="text1"/>
          <w:sz w:val="24"/>
          <w:szCs w:val="24"/>
          <w:u w:color="000000"/>
        </w:rPr>
        <w:t> 290,40</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w:t>
      </w:r>
      <w:r>
        <w:rPr>
          <w:rFonts w:ascii="Times New Roman" w:hAnsi="Times New Roman"/>
          <w:color w:val="000000" w:themeColor="text1"/>
          <w:sz w:val="24"/>
          <w:szCs w:val="24"/>
          <w:u w:color="000000"/>
        </w:rPr>
        <w:t xml:space="preserve">, </w:t>
      </w:r>
      <w:r w:rsidRPr="00C565E2">
        <w:rPr>
          <w:rFonts w:ascii="Times New Roman" w:hAnsi="Times New Roman"/>
          <w:color w:val="000000" w:themeColor="text1"/>
          <w:sz w:val="24"/>
          <w:szCs w:val="24"/>
          <w:u w:color="000000"/>
        </w:rPr>
        <w:t>členské príspevky (</w:t>
      </w:r>
      <w:r>
        <w:rPr>
          <w:rFonts w:ascii="Times New Roman" w:hAnsi="Times New Roman"/>
          <w:color w:val="000000" w:themeColor="text1"/>
          <w:sz w:val="24"/>
          <w:szCs w:val="24"/>
          <w:u w:color="000000"/>
        </w:rPr>
        <w:t>9 052,00</w:t>
      </w:r>
      <w:r w:rsidRPr="00C565E2">
        <w:rPr>
          <w:rFonts w:ascii="Times New Roman" w:hAnsi="Times New Roman"/>
          <w:color w:val="000000" w:themeColor="text1"/>
          <w:sz w:val="24"/>
          <w:szCs w:val="24"/>
          <w:u w:color="000000"/>
        </w:rPr>
        <w:t> </w:t>
      </w:r>
      <w:r>
        <w:rPr>
          <w:rFonts w:ascii="Times New Roman" w:hAnsi="Times New Roman"/>
          <w:color w:val="000000" w:themeColor="text1"/>
          <w:sz w:val="24"/>
          <w:szCs w:val="24"/>
          <w:u w:color="000000"/>
        </w:rPr>
        <w:t>EUR) a</w:t>
      </w:r>
      <w:r w:rsidRPr="00C565E2">
        <w:rPr>
          <w:rFonts w:ascii="Times New Roman" w:hAnsi="Times New Roman"/>
          <w:color w:val="000000" w:themeColor="text1"/>
          <w:sz w:val="24"/>
          <w:szCs w:val="24"/>
          <w:u w:color="000000"/>
        </w:rPr>
        <w:t xml:space="preserve"> pracovnú zdravotnú službu (</w:t>
      </w:r>
      <w:r>
        <w:rPr>
          <w:rFonts w:ascii="Times New Roman" w:hAnsi="Times New Roman"/>
          <w:color w:val="000000" w:themeColor="text1"/>
          <w:sz w:val="24"/>
          <w:szCs w:val="24"/>
          <w:u w:color="000000"/>
        </w:rPr>
        <w:t>2 805,38 EUR</w:t>
      </w:r>
      <w:r w:rsidRPr="00C565E2">
        <w:rPr>
          <w:rFonts w:ascii="Times New Roman" w:hAnsi="Times New Roman"/>
          <w:color w:val="000000" w:themeColor="text1"/>
          <w:sz w:val="24"/>
          <w:szCs w:val="24"/>
          <w:u w:color="000000"/>
        </w:rPr>
        <w:t>).</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Poplatky Slovenskej pošte, a. s. za poukazovanie dávok sociálneho poistenia v sume 4</w:t>
      </w:r>
      <w:r>
        <w:rPr>
          <w:rFonts w:ascii="Times New Roman" w:hAnsi="Times New Roman"/>
          <w:color w:val="000000" w:themeColor="text1"/>
          <w:sz w:val="24"/>
          <w:szCs w:val="24"/>
          <w:u w:color="000000"/>
        </w:rPr>
        <w:t> 546 629,66</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V </w:t>
      </w:r>
      <w:r w:rsidRPr="00C565E2">
        <w:rPr>
          <w:rFonts w:ascii="Times New Roman" w:hAnsi="Times New Roman"/>
          <w:b/>
          <w:bCs/>
          <w:color w:val="000000" w:themeColor="text1"/>
          <w:sz w:val="24"/>
          <w:szCs w:val="24"/>
          <w:u w:color="000000"/>
        </w:rPr>
        <w:t>nákladovej</w:t>
      </w:r>
      <w:r w:rsidRPr="00C565E2">
        <w:rPr>
          <w:rFonts w:ascii="Times New Roman" w:hAnsi="Times New Roman"/>
          <w:color w:val="000000" w:themeColor="text1"/>
          <w:sz w:val="24"/>
          <w:szCs w:val="24"/>
          <w:u w:color="000000"/>
        </w:rPr>
        <w:t xml:space="preserve"> časti v rámci </w:t>
      </w:r>
      <w:r w:rsidRPr="00C565E2">
        <w:rPr>
          <w:rFonts w:ascii="Times New Roman" w:hAnsi="Times New Roman"/>
          <w:b/>
          <w:bCs/>
          <w:color w:val="000000" w:themeColor="text1"/>
          <w:sz w:val="24"/>
          <w:szCs w:val="24"/>
          <w:u w:color="000000"/>
        </w:rPr>
        <w:t>nezdaňovanej činnosti</w:t>
      </w:r>
      <w:r w:rsidRPr="00C565E2">
        <w:rPr>
          <w:rFonts w:ascii="Times New Roman" w:hAnsi="Times New Roman"/>
          <w:color w:val="000000" w:themeColor="text1"/>
          <w:sz w:val="24"/>
          <w:szCs w:val="24"/>
          <w:u w:color="000000"/>
        </w:rPr>
        <w:t xml:space="preserve"> sa uvádzajú náklady, ktoré súvisia s</w:t>
      </w:r>
      <w:r>
        <w:rPr>
          <w:rFonts w:ascii="Times New Roman" w:hAnsi="Times New Roman"/>
          <w:color w:val="000000" w:themeColor="text1"/>
          <w:sz w:val="24"/>
          <w:szCs w:val="24"/>
          <w:u w:color="000000"/>
        </w:rPr>
        <w:t> </w:t>
      </w:r>
      <w:r w:rsidRPr="00C565E2">
        <w:rPr>
          <w:rFonts w:ascii="Times New Roman" w:hAnsi="Times New Roman"/>
          <w:color w:val="000000" w:themeColor="text1"/>
          <w:sz w:val="24"/>
          <w:szCs w:val="24"/>
          <w:u w:color="000000"/>
        </w:rPr>
        <w:t xml:space="preserve">hlavnou činnosťou organizačných zložiek Sociálnej poisťovne, t. j. s výkonom sociálneho poistenia. Úhrn nákladov v roku </w:t>
      </w:r>
      <w:r>
        <w:rPr>
          <w:rFonts w:ascii="Times New Roman" w:hAnsi="Times New Roman"/>
          <w:color w:val="000000" w:themeColor="text1"/>
          <w:sz w:val="24"/>
          <w:szCs w:val="24"/>
          <w:u w:color="000000"/>
        </w:rPr>
        <w:t>2018</w:t>
      </w:r>
      <w:r w:rsidRPr="00C565E2">
        <w:rPr>
          <w:rFonts w:ascii="Times New Roman" w:hAnsi="Times New Roman"/>
          <w:color w:val="000000" w:themeColor="text1"/>
          <w:sz w:val="24"/>
          <w:szCs w:val="24"/>
          <w:u w:color="000000"/>
        </w:rPr>
        <w:t xml:space="preserve"> je v sume 152</w:t>
      </w:r>
      <w:r>
        <w:rPr>
          <w:rFonts w:ascii="Times New Roman" w:hAnsi="Times New Roman"/>
          <w:color w:val="000000" w:themeColor="text1"/>
          <w:sz w:val="24"/>
          <w:szCs w:val="24"/>
          <w:u w:color="000000"/>
        </w:rPr>
        <w:t> 705 978,18</w:t>
      </w:r>
      <w:r w:rsidRPr="00C565E2">
        <w:rPr>
          <w:rFonts w:ascii="Times New Roman" w:hAnsi="Times New Roman"/>
          <w:color w:val="000000" w:themeColor="text1"/>
          <w:sz w:val="24"/>
          <w:szCs w:val="24"/>
          <w:u w:color="000000"/>
        </w:rPr>
        <w:t>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bez dane z príjmov vyberanej zrážkou z úrokov správneho fondu v sume </w:t>
      </w:r>
      <w:r>
        <w:rPr>
          <w:rFonts w:ascii="Times New Roman" w:hAnsi="Times New Roman"/>
          <w:color w:val="000000" w:themeColor="text1"/>
          <w:sz w:val="24"/>
          <w:szCs w:val="24"/>
          <w:u w:color="000000"/>
        </w:rPr>
        <w:t>510,51</w:t>
      </w:r>
      <w:r w:rsidRPr="00C565E2">
        <w:rPr>
          <w:rFonts w:ascii="Times New Roman" w:hAnsi="Times New Roman"/>
          <w:color w:val="000000" w:themeColor="text1"/>
          <w:sz w:val="24"/>
          <w:szCs w:val="24"/>
          <w:u w:color="000000"/>
        </w:rPr>
        <w:t>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(riadok 061 výkazu).</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 xml:space="preserve">V  </w:t>
      </w:r>
      <w:r w:rsidRPr="00C565E2">
        <w:rPr>
          <w:rFonts w:ascii="Times New Roman" w:hAnsi="Times New Roman"/>
          <w:b/>
          <w:bCs/>
          <w:color w:val="000000" w:themeColor="text1"/>
          <w:sz w:val="24"/>
          <w:szCs w:val="24"/>
          <w:u w:color="000000"/>
        </w:rPr>
        <w:t>nákladovej</w:t>
      </w:r>
      <w:r w:rsidRPr="00C565E2">
        <w:rPr>
          <w:rFonts w:ascii="Times New Roman" w:hAnsi="Times New Roman"/>
          <w:color w:val="000000" w:themeColor="text1"/>
          <w:sz w:val="24"/>
          <w:szCs w:val="24"/>
          <w:u w:color="000000"/>
        </w:rPr>
        <w:t xml:space="preserve"> časti za </w:t>
      </w:r>
      <w:r w:rsidRPr="00C565E2">
        <w:rPr>
          <w:rFonts w:ascii="Times New Roman" w:hAnsi="Times New Roman"/>
          <w:b/>
          <w:bCs/>
          <w:color w:val="000000" w:themeColor="text1"/>
          <w:sz w:val="24"/>
          <w:szCs w:val="24"/>
          <w:u w:color="000000"/>
        </w:rPr>
        <w:t>zdaňovanú činnosť</w:t>
      </w:r>
      <w:r w:rsidRPr="00C565E2">
        <w:rPr>
          <w:rFonts w:ascii="Times New Roman" w:hAnsi="Times New Roman"/>
          <w:color w:val="000000" w:themeColor="text1"/>
          <w:sz w:val="24"/>
          <w:szCs w:val="24"/>
          <w:u w:color="000000"/>
        </w:rPr>
        <w:t xml:space="preserve"> sa uvádzajú náklady v sume </w:t>
      </w:r>
      <w:r>
        <w:rPr>
          <w:rFonts w:ascii="Times New Roman" w:hAnsi="Times New Roman"/>
          <w:color w:val="000000" w:themeColor="text1"/>
          <w:sz w:val="24"/>
          <w:szCs w:val="24"/>
          <w:u w:color="000000"/>
        </w:rPr>
        <w:t>398 858,98</w:t>
      </w:r>
      <w:r w:rsidRPr="00C565E2">
        <w:rPr>
          <w:rFonts w:ascii="Times New Roman" w:hAnsi="Times New Roman"/>
          <w:color w:val="000000" w:themeColor="text1"/>
          <w:sz w:val="24"/>
          <w:szCs w:val="24"/>
          <w:u w:color="000000"/>
        </w:rPr>
        <w:t>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ktoré súvisia so zdaňovanou činnosťou organizačných zložiek Sociálnej poisťovne. Ide o časť nákladov na prevádzku účelových zariaden</w:t>
      </w:r>
      <w:r>
        <w:rPr>
          <w:rFonts w:ascii="Times New Roman" w:hAnsi="Times New Roman"/>
          <w:color w:val="000000" w:themeColor="text1"/>
          <w:sz w:val="24"/>
          <w:szCs w:val="24"/>
          <w:u w:color="000000"/>
        </w:rPr>
        <w:t xml:space="preserve">í Sociálnej poisťovne (ubytovňa </w:t>
      </w:r>
      <w:r w:rsidRPr="00C565E2">
        <w:rPr>
          <w:rFonts w:ascii="Times New Roman" w:hAnsi="Times New Roman"/>
          <w:color w:val="000000" w:themeColor="text1"/>
          <w:sz w:val="24"/>
          <w:szCs w:val="24"/>
          <w:u w:color="000000"/>
        </w:rPr>
        <w:t>a doškoľovacie a</w:t>
      </w:r>
      <w:r>
        <w:rPr>
          <w:rFonts w:ascii="Times New Roman" w:hAnsi="Times New Roman"/>
          <w:color w:val="000000" w:themeColor="text1"/>
          <w:sz w:val="24"/>
          <w:szCs w:val="24"/>
          <w:u w:color="000000"/>
        </w:rPr>
        <w:t> </w:t>
      </w:r>
      <w:r w:rsidRPr="00C565E2">
        <w:rPr>
          <w:rFonts w:ascii="Times New Roman" w:hAnsi="Times New Roman"/>
          <w:color w:val="000000" w:themeColor="text1"/>
          <w:sz w:val="24"/>
          <w:szCs w:val="24"/>
          <w:u w:color="000000"/>
        </w:rPr>
        <w:t xml:space="preserve">rekreačné zariadenia Staré Hory a Pavčina Lehota). Ďalej ide o náklady na odpisy v organizačných zložkách Sociálnej poisťovne, ktoré svoje voľné priestory prenajímajú, resp. poskytujú ubytovacie služby (časť nákladov, ktoré priamo súvisia s prenajatými priestormi a s ubytovaním). Rozpočet zariadení je súčasťou rozpočtu správneho fondu Sociálnej poisťovne. </w:t>
      </w:r>
    </w:p>
    <w:p w:rsidR="00385B00" w:rsidRDefault="00385B00" w:rsidP="00385B00">
      <w:pPr>
        <w:widowControl/>
        <w:spacing w:line="360" w:lineRule="auto"/>
        <w:ind w:firstLine="510"/>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ind w:firstLine="510"/>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 xml:space="preserve">Vo </w:t>
      </w:r>
      <w:r w:rsidRPr="00C565E2">
        <w:rPr>
          <w:rFonts w:ascii="Times New Roman" w:hAnsi="Times New Roman"/>
          <w:b/>
          <w:bCs/>
          <w:color w:val="000000" w:themeColor="text1"/>
          <w:sz w:val="24"/>
          <w:szCs w:val="24"/>
          <w:u w:color="000000"/>
        </w:rPr>
        <w:t>výnosovej</w:t>
      </w:r>
      <w:r w:rsidRPr="00C565E2">
        <w:rPr>
          <w:rFonts w:ascii="Times New Roman" w:hAnsi="Times New Roman"/>
          <w:color w:val="000000" w:themeColor="text1"/>
          <w:sz w:val="24"/>
          <w:szCs w:val="24"/>
          <w:u w:color="000000"/>
        </w:rPr>
        <w:t xml:space="preserve"> časti sa za </w:t>
      </w:r>
      <w:r w:rsidRPr="00C565E2">
        <w:rPr>
          <w:rFonts w:ascii="Times New Roman" w:hAnsi="Times New Roman"/>
          <w:b/>
          <w:bCs/>
          <w:color w:val="000000" w:themeColor="text1"/>
          <w:sz w:val="24"/>
          <w:szCs w:val="24"/>
          <w:u w:color="000000"/>
        </w:rPr>
        <w:t xml:space="preserve">zdaňovanú činnosť </w:t>
      </w:r>
      <w:r w:rsidRPr="00C565E2">
        <w:rPr>
          <w:rFonts w:ascii="Times New Roman" w:hAnsi="Times New Roman"/>
          <w:color w:val="000000" w:themeColor="text1"/>
          <w:sz w:val="24"/>
          <w:szCs w:val="24"/>
          <w:u w:color="000000"/>
        </w:rPr>
        <w:t xml:space="preserve">vykazujú za rok </w:t>
      </w:r>
      <w:r>
        <w:rPr>
          <w:rFonts w:ascii="Times New Roman" w:hAnsi="Times New Roman"/>
          <w:color w:val="000000" w:themeColor="text1"/>
          <w:sz w:val="24"/>
          <w:szCs w:val="24"/>
          <w:u w:color="000000"/>
        </w:rPr>
        <w:t>2018</w:t>
      </w:r>
      <w:r w:rsidRPr="00C565E2">
        <w:rPr>
          <w:rFonts w:ascii="Times New Roman" w:hAnsi="Times New Roman"/>
          <w:color w:val="000000" w:themeColor="text1"/>
          <w:sz w:val="24"/>
          <w:szCs w:val="24"/>
          <w:u w:color="000000"/>
        </w:rPr>
        <w:t xml:space="preserve"> tržby v sume </w:t>
      </w:r>
      <w:r>
        <w:rPr>
          <w:rFonts w:ascii="Times New Roman" w:hAnsi="Times New Roman"/>
          <w:color w:val="000000" w:themeColor="text1"/>
          <w:sz w:val="24"/>
          <w:szCs w:val="24"/>
          <w:u w:color="000000"/>
        </w:rPr>
        <w:t>381 883,94</w:t>
      </w:r>
      <w:r w:rsidRPr="00C565E2">
        <w:rPr>
          <w:rFonts w:ascii="Times New Roman" w:hAnsi="Times New Roman"/>
          <w:color w:val="000000" w:themeColor="text1"/>
          <w:sz w:val="24"/>
          <w:szCs w:val="24"/>
          <w:u w:color="000000"/>
        </w:rPr>
        <w:t>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Ide o úhrady za poskytnuté služby, t. j. ubytovanie a stravovanie v predmetných zariadeniach a úhrady za prenájom voľných priestorov v organizačných zložkách Sociálnej poisťovne.</w:t>
      </w:r>
    </w:p>
    <w:p w:rsidR="00385B00" w:rsidRPr="00C565E2" w:rsidRDefault="00385B00" w:rsidP="00385B00">
      <w:pPr>
        <w:widowControl/>
        <w:spacing w:line="360" w:lineRule="auto"/>
        <w:ind w:firstLine="510"/>
        <w:jc w:val="both"/>
        <w:rPr>
          <w:rFonts w:ascii="Times New Roman" w:hAnsi="Times New Roman"/>
          <w:color w:val="000000" w:themeColor="text1"/>
          <w:sz w:val="24"/>
          <w:szCs w:val="24"/>
          <w:u w:color="000000"/>
        </w:rPr>
      </w:pPr>
    </w:p>
    <w:p w:rsidR="00385B00"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 xml:space="preserve">Celkový hospodársky výsledok (strata) zdaňovanej činnosti Sociálnej poisťovne za rok </w:t>
      </w:r>
      <w:r>
        <w:rPr>
          <w:rFonts w:ascii="Times New Roman" w:hAnsi="Times New Roman"/>
          <w:color w:val="000000" w:themeColor="text1"/>
          <w:sz w:val="24"/>
          <w:szCs w:val="24"/>
          <w:u w:color="000000"/>
        </w:rPr>
        <w:t>2018</w:t>
      </w:r>
      <w:r w:rsidRPr="00C565E2">
        <w:rPr>
          <w:rFonts w:ascii="Times New Roman" w:hAnsi="Times New Roman"/>
          <w:color w:val="000000" w:themeColor="text1"/>
          <w:sz w:val="24"/>
          <w:szCs w:val="24"/>
          <w:u w:color="000000"/>
        </w:rPr>
        <w:t xml:space="preserve"> je v sume </w:t>
      </w:r>
      <w:r>
        <w:rPr>
          <w:rFonts w:ascii="Times New Roman" w:hAnsi="Times New Roman"/>
          <w:color w:val="000000" w:themeColor="text1"/>
          <w:sz w:val="24"/>
          <w:szCs w:val="24"/>
          <w:u w:color="000000"/>
        </w:rPr>
        <w:t>16 975,04</w:t>
      </w:r>
      <w:r w:rsidRPr="00C565E2">
        <w:rPr>
          <w:rFonts w:ascii="Times New Roman" w:hAnsi="Times New Roman"/>
          <w:color w:val="000000" w:themeColor="text1"/>
          <w:sz w:val="24"/>
          <w:szCs w:val="24"/>
          <w:u w:color="000000"/>
        </w:rPr>
        <w:t>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Vyčíslený údaj má charakter účtovnej straty a vyjadruje časť z objemu nákladov na odpisy z vlastného majetku Sociálnej poisťovne a časť nákladov, ktoré súvisia s činnosťou, ktorou sa dosahuje zisk, alebo ktorou sa zisk dá dosiahnuť (nájomné, ubytovacie a stravovacie služby)</w:t>
      </w:r>
      <w:r>
        <w:rPr>
          <w:rFonts w:ascii="Times New Roman" w:hAnsi="Times New Roman"/>
          <w:color w:val="000000" w:themeColor="text1"/>
          <w:sz w:val="24"/>
          <w:szCs w:val="24"/>
          <w:u w:color="000000"/>
        </w:rPr>
        <w:t>, čo je v súlade s vytváraním podmienok na stabilizáciu zamestnancov uplatňovaním personálnej a sociálnej politiky Sociálnej poisťovne.</w:t>
      </w:r>
      <w:r w:rsidRPr="00C565E2">
        <w:rPr>
          <w:rFonts w:ascii="Times New Roman" w:hAnsi="Times New Roman"/>
          <w:color w:val="000000" w:themeColor="text1"/>
          <w:sz w:val="24"/>
          <w:szCs w:val="24"/>
          <w:u w:color="000000"/>
        </w:rPr>
        <w:t xml:space="preserve"> Strata sa v nasledujúcom účtovnom období vyrovná s účtom účtovej skupiny 90 – Fond dlhodobého majetku.</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C565E2" w:rsidRDefault="00385B00" w:rsidP="00385B00">
      <w:pPr>
        <w:pStyle w:val="Nadpis1"/>
        <w:keepNext/>
        <w:widowControl/>
        <w:spacing w:line="360" w:lineRule="auto"/>
        <w:jc w:val="center"/>
        <w:rPr>
          <w:rFonts w:ascii="Times New Roman" w:hAnsi="Times New Roman"/>
          <w:b/>
          <w:bCs/>
          <w:color w:val="000000" w:themeColor="text1"/>
          <w:sz w:val="24"/>
          <w:szCs w:val="24"/>
          <w:u w:color="000000"/>
        </w:rPr>
      </w:pPr>
      <w:r w:rsidRPr="00C565E2">
        <w:rPr>
          <w:rFonts w:ascii="Times New Roman" w:hAnsi="Times New Roman"/>
          <w:b/>
          <w:bCs/>
          <w:color w:val="000000" w:themeColor="text1"/>
          <w:sz w:val="24"/>
          <w:szCs w:val="24"/>
          <w:u w:color="000000"/>
        </w:rPr>
        <w:t>Čl. V</w:t>
      </w:r>
    </w:p>
    <w:p w:rsidR="00385B00" w:rsidRPr="00C565E2" w:rsidRDefault="00385B00" w:rsidP="00385B00">
      <w:pPr>
        <w:pStyle w:val="Nadpis2"/>
        <w:keepNext/>
        <w:widowControl/>
        <w:spacing w:line="360" w:lineRule="auto"/>
        <w:jc w:val="center"/>
        <w:rPr>
          <w:rFonts w:ascii="Times New Roman" w:hAnsi="Times New Roman"/>
          <w:b/>
          <w:bCs/>
          <w:color w:val="000000" w:themeColor="text1"/>
          <w:sz w:val="24"/>
          <w:szCs w:val="24"/>
          <w:u w:color="000000"/>
        </w:rPr>
      </w:pPr>
      <w:r w:rsidRPr="00C565E2">
        <w:rPr>
          <w:rFonts w:ascii="Times New Roman" w:hAnsi="Times New Roman"/>
          <w:b/>
          <w:bCs/>
          <w:color w:val="000000" w:themeColor="text1"/>
          <w:sz w:val="24"/>
          <w:szCs w:val="24"/>
          <w:u w:color="000000"/>
        </w:rPr>
        <w:t>Opis údajov na podsúvahových účtoch</w:t>
      </w:r>
    </w:p>
    <w:p w:rsidR="00385B00" w:rsidRPr="00C565E2" w:rsidRDefault="00385B00" w:rsidP="00385B00">
      <w:pPr>
        <w:widowControl/>
        <w:spacing w:line="360" w:lineRule="auto"/>
        <w:ind w:left="1440" w:hanging="1440"/>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Sociálna poisťovňa na podsúvahových účtoch eviduje:</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r>
      <w:r w:rsidRPr="00C565E2">
        <w:rPr>
          <w:rFonts w:ascii="Times New Roman" w:hAnsi="Times New Roman"/>
          <w:b/>
          <w:bCs/>
          <w:color w:val="000000" w:themeColor="text1"/>
          <w:sz w:val="24"/>
          <w:szCs w:val="24"/>
          <w:u w:color="000000"/>
        </w:rPr>
        <w:t>Prenajatý majetok</w:t>
      </w:r>
      <w:r w:rsidRPr="00C565E2">
        <w:rPr>
          <w:rFonts w:ascii="Times New Roman" w:hAnsi="Times New Roman"/>
          <w:color w:val="000000" w:themeColor="text1"/>
          <w:sz w:val="24"/>
          <w:szCs w:val="24"/>
          <w:u w:color="000000"/>
        </w:rPr>
        <w:t xml:space="preserve"> (osobné počítače a tlačiarne nadobudnuté formou bezodplatného zapožičiavania od štátu pre účely informačného systému Štátnej pokladnice a notebooky a USB </w:t>
      </w:r>
      <w:proofErr w:type="spellStart"/>
      <w:r w:rsidRPr="00C565E2">
        <w:rPr>
          <w:rFonts w:ascii="Times New Roman" w:hAnsi="Times New Roman"/>
          <w:color w:val="000000" w:themeColor="text1"/>
          <w:sz w:val="24"/>
          <w:szCs w:val="24"/>
          <w:u w:color="000000"/>
        </w:rPr>
        <w:t>tokeny</w:t>
      </w:r>
      <w:proofErr w:type="spellEnd"/>
      <w:r w:rsidRPr="00C565E2">
        <w:rPr>
          <w:rFonts w:ascii="Times New Roman" w:hAnsi="Times New Roman"/>
          <w:color w:val="000000" w:themeColor="text1"/>
          <w:sz w:val="24"/>
          <w:szCs w:val="24"/>
          <w:u w:color="000000"/>
        </w:rPr>
        <w:t xml:space="preserve"> na základe zmluvy o výpožičke majetku štátu určeného na účely plnenia úloh hospodárskej mobilizácie Ministerstva práce sociálnych vecí a rodiny</w:t>
      </w:r>
      <w:r w:rsidRPr="00C565E2">
        <w:rPr>
          <w:rFonts w:ascii="Times New Roman" w:hAnsi="Times New Roman"/>
          <w:color w:val="000000" w:themeColor="text1"/>
          <w:sz w:val="24"/>
          <w:szCs w:val="24"/>
        </w:rPr>
        <w:t xml:space="preserve"> a hardvér a softvér – servery na základe zmluvy o výpožičke hnuteľného majetku štátu v súlade s cieľmi projektu IFO do Ministerstva vnútra) v sume </w:t>
      </w:r>
      <w:r>
        <w:rPr>
          <w:rFonts w:ascii="Times New Roman" w:hAnsi="Times New Roman"/>
          <w:color w:val="000000" w:themeColor="text1"/>
          <w:sz w:val="24"/>
          <w:szCs w:val="24"/>
        </w:rPr>
        <w:t>187 094,84</w:t>
      </w:r>
      <w:r w:rsidRPr="00C565E2">
        <w:rPr>
          <w:rFonts w:ascii="Times New Roman" w:hAnsi="Times New Roman"/>
          <w:color w:val="000000" w:themeColor="text1"/>
          <w:sz w:val="24"/>
          <w:szCs w:val="24"/>
        </w:rPr>
        <w:t xml:space="preserve"> </w:t>
      </w:r>
      <w:r>
        <w:rPr>
          <w:rFonts w:ascii="Times New Roman" w:hAnsi="Times New Roman"/>
          <w:color w:val="000000" w:themeColor="text1"/>
          <w:sz w:val="24"/>
          <w:szCs w:val="24"/>
        </w:rPr>
        <w:t>EUR</w:t>
      </w:r>
      <w:r w:rsidRPr="00C565E2">
        <w:rPr>
          <w:rFonts w:ascii="Times New Roman" w:hAnsi="Times New Roman"/>
          <w:color w:val="000000" w:themeColor="text1"/>
          <w:sz w:val="24"/>
          <w:szCs w:val="24"/>
          <w:u w:color="000000"/>
        </w:rPr>
        <w:t xml:space="preserve">. </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r>
      <w:r w:rsidRPr="00C565E2">
        <w:rPr>
          <w:rFonts w:ascii="Times New Roman" w:hAnsi="Times New Roman"/>
          <w:b/>
          <w:bCs/>
          <w:color w:val="000000" w:themeColor="text1"/>
          <w:sz w:val="24"/>
          <w:szCs w:val="24"/>
          <w:u w:color="000000"/>
        </w:rPr>
        <w:t>Materiál civilnej ochrany</w:t>
      </w:r>
      <w:r w:rsidRPr="00C565E2">
        <w:rPr>
          <w:rFonts w:ascii="Times New Roman" w:hAnsi="Times New Roman"/>
          <w:color w:val="000000" w:themeColor="text1"/>
          <w:sz w:val="24"/>
          <w:szCs w:val="24"/>
          <w:u w:color="000000"/>
        </w:rPr>
        <w:t xml:space="preserve"> na úrovni pobočiek v sume </w:t>
      </w:r>
      <w:r>
        <w:rPr>
          <w:rFonts w:ascii="Times New Roman" w:hAnsi="Times New Roman"/>
          <w:color w:val="000000" w:themeColor="text1"/>
          <w:sz w:val="24"/>
          <w:szCs w:val="24"/>
          <w:u w:color="000000"/>
        </w:rPr>
        <w:t>971,48</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ind w:firstLine="510"/>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 xml:space="preserve">V rámci softvérového modulu SAP MM – materiálové hospodárstvo ako súčasti systému logistiky sa v informačnom systéme SAP realizujú procesy </w:t>
      </w:r>
      <w:r w:rsidRPr="00C565E2">
        <w:rPr>
          <w:rFonts w:ascii="Times New Roman" w:hAnsi="Times New Roman"/>
          <w:b/>
          <w:bCs/>
          <w:color w:val="000000" w:themeColor="text1"/>
          <w:sz w:val="24"/>
          <w:szCs w:val="24"/>
          <w:u w:color="000000"/>
        </w:rPr>
        <w:t>skladového hospodárstva</w:t>
      </w:r>
      <w:r w:rsidRPr="00C565E2">
        <w:rPr>
          <w:rFonts w:ascii="Times New Roman" w:hAnsi="Times New Roman"/>
          <w:color w:val="000000" w:themeColor="text1"/>
          <w:sz w:val="24"/>
          <w:szCs w:val="24"/>
          <w:u w:color="000000"/>
        </w:rPr>
        <w:t xml:space="preserve">. Na podsúvahových účtoch sa evidujú materiálové zásoby vo finančnom vyjadrení podľa druhu materiálových zásob, s výnimkou zásob pohonných látok, ktorých zostatok zodpovedá stavu zásob potvrdených inventarizáciou v sume </w:t>
      </w:r>
      <w:r>
        <w:rPr>
          <w:rFonts w:ascii="Times New Roman" w:hAnsi="Times New Roman"/>
          <w:color w:val="000000" w:themeColor="text1"/>
          <w:sz w:val="24"/>
          <w:szCs w:val="24"/>
          <w:u w:color="000000"/>
        </w:rPr>
        <w:t>871 591,77</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r>
      <w:r w:rsidRPr="00C565E2">
        <w:rPr>
          <w:rFonts w:ascii="Times New Roman" w:hAnsi="Times New Roman"/>
          <w:b/>
          <w:bCs/>
          <w:color w:val="000000" w:themeColor="text1"/>
          <w:sz w:val="24"/>
          <w:szCs w:val="24"/>
          <w:u w:color="000000"/>
        </w:rPr>
        <w:t>Drobný majetok</w:t>
      </w:r>
      <w:r w:rsidRPr="00C565E2">
        <w:rPr>
          <w:rFonts w:ascii="Times New Roman" w:hAnsi="Times New Roman"/>
          <w:color w:val="000000" w:themeColor="text1"/>
          <w:sz w:val="24"/>
          <w:szCs w:val="24"/>
          <w:u w:color="000000"/>
        </w:rPr>
        <w:t xml:space="preserve"> v sume </w:t>
      </w:r>
      <w:r>
        <w:rPr>
          <w:rFonts w:ascii="Times New Roman" w:hAnsi="Times New Roman"/>
          <w:color w:val="000000" w:themeColor="text1"/>
          <w:sz w:val="24"/>
          <w:szCs w:val="24"/>
          <w:u w:color="000000"/>
        </w:rPr>
        <w:t>18 608 516,47</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ktorého evidencia sa realizuje prostredníctvom systému finančného riadenia SAP modulu FI-AA.</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Sociálna poisťovňa k 31. 12. </w:t>
      </w:r>
      <w:r>
        <w:rPr>
          <w:rFonts w:ascii="Times New Roman" w:hAnsi="Times New Roman"/>
          <w:color w:val="000000" w:themeColor="text1"/>
          <w:sz w:val="24"/>
          <w:szCs w:val="24"/>
          <w:u w:color="000000"/>
        </w:rPr>
        <w:t>2018</w:t>
      </w:r>
      <w:r w:rsidRPr="00C565E2">
        <w:rPr>
          <w:rFonts w:ascii="Times New Roman" w:hAnsi="Times New Roman"/>
          <w:color w:val="000000" w:themeColor="text1"/>
          <w:sz w:val="24"/>
          <w:szCs w:val="24"/>
          <w:u w:color="000000"/>
        </w:rPr>
        <w:t xml:space="preserve"> eviduje na podsúvahových účtoch </w:t>
      </w:r>
      <w:r w:rsidRPr="00C565E2">
        <w:rPr>
          <w:rFonts w:ascii="Times New Roman" w:hAnsi="Times New Roman"/>
          <w:b/>
          <w:bCs/>
          <w:color w:val="000000" w:themeColor="text1"/>
          <w:sz w:val="24"/>
          <w:szCs w:val="24"/>
          <w:u w:color="000000"/>
        </w:rPr>
        <w:t>pohľadávky na poistnom</w:t>
      </w:r>
      <w:r w:rsidRPr="00C565E2">
        <w:rPr>
          <w:rFonts w:ascii="Times New Roman" w:hAnsi="Times New Roman"/>
          <w:color w:val="000000" w:themeColor="text1"/>
          <w:sz w:val="24"/>
          <w:szCs w:val="24"/>
          <w:u w:color="000000"/>
        </w:rPr>
        <w:t xml:space="preserve"> podľa zákona o sociálnom poistení </w:t>
      </w:r>
      <w:r>
        <w:rPr>
          <w:rFonts w:ascii="Times New Roman" w:hAnsi="Times New Roman"/>
          <w:color w:val="000000" w:themeColor="text1"/>
          <w:sz w:val="24"/>
          <w:szCs w:val="24"/>
          <w:u w:color="000000"/>
        </w:rPr>
        <w:t xml:space="preserve">a podľa právnych predpisov účinných pred 1.1.2004 </w:t>
      </w:r>
      <w:r w:rsidRPr="00C565E2">
        <w:rPr>
          <w:rFonts w:ascii="Times New Roman" w:hAnsi="Times New Roman"/>
          <w:color w:val="000000" w:themeColor="text1"/>
          <w:sz w:val="24"/>
          <w:szCs w:val="24"/>
          <w:u w:color="000000"/>
        </w:rPr>
        <w:t xml:space="preserve">v celkovom objeme </w:t>
      </w:r>
      <w:r>
        <w:rPr>
          <w:rFonts w:ascii="Times New Roman" w:hAnsi="Times New Roman"/>
          <w:color w:val="000000" w:themeColor="text1"/>
          <w:sz w:val="24"/>
          <w:szCs w:val="24"/>
          <w:u w:color="000000"/>
        </w:rPr>
        <w:t>53 659 671,77</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Od 1. 1. </w:t>
      </w:r>
      <w:r>
        <w:rPr>
          <w:rFonts w:ascii="Times New Roman" w:hAnsi="Times New Roman"/>
          <w:color w:val="000000" w:themeColor="text1"/>
          <w:sz w:val="24"/>
          <w:szCs w:val="24"/>
          <w:u w:color="000000"/>
        </w:rPr>
        <w:t>2018</w:t>
      </w:r>
      <w:r w:rsidRPr="00C565E2">
        <w:rPr>
          <w:rFonts w:ascii="Times New Roman" w:hAnsi="Times New Roman"/>
          <w:color w:val="000000" w:themeColor="text1"/>
          <w:sz w:val="24"/>
          <w:szCs w:val="24"/>
          <w:u w:color="000000"/>
        </w:rPr>
        <w:t xml:space="preserve"> do 31. 12. </w:t>
      </w:r>
      <w:r>
        <w:rPr>
          <w:rFonts w:ascii="Times New Roman" w:hAnsi="Times New Roman"/>
          <w:color w:val="000000" w:themeColor="text1"/>
          <w:sz w:val="24"/>
          <w:szCs w:val="24"/>
          <w:u w:color="000000"/>
        </w:rPr>
        <w:t>2018</w:t>
      </w:r>
      <w:r w:rsidRPr="00C565E2">
        <w:rPr>
          <w:rFonts w:ascii="Times New Roman" w:hAnsi="Times New Roman"/>
          <w:color w:val="000000" w:themeColor="text1"/>
          <w:sz w:val="24"/>
          <w:szCs w:val="24"/>
          <w:u w:color="000000"/>
        </w:rPr>
        <w:t xml:space="preserve"> vzrástli pohľadávky na podsúvahových účtoch o</w:t>
      </w:r>
      <w:r>
        <w:rPr>
          <w:rFonts w:ascii="Times New Roman" w:hAnsi="Times New Roman"/>
          <w:color w:val="000000" w:themeColor="text1"/>
          <w:sz w:val="24"/>
          <w:szCs w:val="24"/>
          <w:u w:color="000000"/>
        </w:rPr>
        <w:t> 8 342 917,32</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 xml:space="preserve">. </w:t>
      </w:r>
    </w:p>
    <w:p w:rsidR="00385B00" w:rsidRDefault="00385B00" w:rsidP="00385B00">
      <w:pPr>
        <w:widowControl/>
        <w:spacing w:line="360" w:lineRule="auto"/>
        <w:jc w:val="both"/>
        <w:rPr>
          <w:rFonts w:ascii="Times New Roman" w:hAnsi="Times New Roman"/>
          <w:color w:val="000000" w:themeColor="text1"/>
          <w:sz w:val="24"/>
          <w:szCs w:val="24"/>
          <w:u w:color="000000"/>
        </w:rPr>
      </w:pPr>
    </w:p>
    <w:p w:rsidR="00385B00" w:rsidRPr="008055D2" w:rsidRDefault="00385B00" w:rsidP="00385B00">
      <w:pPr>
        <w:widowControl/>
        <w:spacing w:line="360" w:lineRule="auto"/>
        <w:ind w:firstLine="510"/>
        <w:jc w:val="both"/>
        <w:rPr>
          <w:rFonts w:ascii="Times New Roman" w:hAnsi="Times New Roman"/>
          <w:color w:val="000000" w:themeColor="text1"/>
          <w:sz w:val="24"/>
          <w:szCs w:val="24"/>
          <w:u w:color="000000"/>
        </w:rPr>
      </w:pPr>
      <w:r w:rsidRPr="008055D2">
        <w:rPr>
          <w:rFonts w:ascii="Times New Roman" w:hAnsi="Times New Roman"/>
          <w:color w:val="000000" w:themeColor="text1"/>
          <w:sz w:val="24"/>
          <w:szCs w:val="24"/>
          <w:u w:color="000000"/>
        </w:rPr>
        <w:t>V roku 2018 na základe uznesenia Dozornej rady Sociálnej poisťovne číslo 65/05/18 zo dňa 9. 10. 2018 Sociálna poisťovňa  odpísala pohľadávky podľa §§ 150 a 151 zákona o sociáln</w:t>
      </w:r>
      <w:r>
        <w:rPr>
          <w:rFonts w:ascii="Times New Roman" w:hAnsi="Times New Roman"/>
          <w:color w:val="000000" w:themeColor="text1"/>
          <w:sz w:val="24"/>
          <w:szCs w:val="24"/>
          <w:u w:color="000000"/>
        </w:rPr>
        <w:t xml:space="preserve">om poistení v celkovom objeme </w:t>
      </w:r>
      <w:r w:rsidRPr="008055D2">
        <w:rPr>
          <w:rFonts w:ascii="Times New Roman" w:hAnsi="Times New Roman"/>
          <w:color w:val="000000" w:themeColor="text1"/>
          <w:sz w:val="24"/>
          <w:szCs w:val="24"/>
          <w:u w:color="000000"/>
        </w:rPr>
        <w:t xml:space="preserve">39 698 195,69 EUR. Z toho boli na </w:t>
      </w:r>
      <w:proofErr w:type="spellStart"/>
      <w:r w:rsidRPr="008055D2">
        <w:rPr>
          <w:rFonts w:ascii="Times New Roman" w:hAnsi="Times New Roman"/>
          <w:color w:val="000000" w:themeColor="text1"/>
          <w:sz w:val="24"/>
          <w:szCs w:val="24"/>
          <w:u w:color="000000"/>
        </w:rPr>
        <w:t>podsúvahu</w:t>
      </w:r>
      <w:proofErr w:type="spellEnd"/>
      <w:r w:rsidRPr="008055D2">
        <w:rPr>
          <w:rFonts w:ascii="Times New Roman" w:hAnsi="Times New Roman"/>
          <w:color w:val="000000" w:themeColor="text1"/>
          <w:sz w:val="24"/>
          <w:szCs w:val="24"/>
          <w:u w:color="000000"/>
        </w:rPr>
        <w:t xml:space="preserve"> preúčtované pohľadávky v celkovom objeme 8 342 917,32 EUR, ktoré boli zaradené na odpis podľa § 150 zákona o sociálnom poistení ako nevymáhateľné pohľadávky.</w:t>
      </w:r>
    </w:p>
    <w:p w:rsidR="00385B00" w:rsidRPr="00C565E2" w:rsidRDefault="00385B00" w:rsidP="00385B00">
      <w:pPr>
        <w:widowControl/>
        <w:tabs>
          <w:tab w:val="left" w:pos="567"/>
        </w:tabs>
        <w:spacing w:line="360" w:lineRule="auto"/>
        <w:jc w:val="both"/>
        <w:rPr>
          <w:rFonts w:ascii="Times New Roman" w:hAnsi="Times New Roman"/>
          <w:color w:val="000000" w:themeColor="text1"/>
          <w:sz w:val="24"/>
          <w:szCs w:val="24"/>
          <w:u w:color="000000"/>
        </w:rPr>
      </w:pPr>
    </w:p>
    <w:p w:rsidR="00385B00" w:rsidRDefault="00385B00" w:rsidP="00385B00">
      <w:pPr>
        <w:widowControl/>
        <w:tabs>
          <w:tab w:val="left" w:pos="567"/>
        </w:tabs>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Dôvody zaradenia medzi nevymáhateľné pohľadávky boli definované podľa §</w:t>
      </w:r>
      <w:r>
        <w:rPr>
          <w:rFonts w:ascii="Times New Roman" w:hAnsi="Times New Roman"/>
          <w:color w:val="000000" w:themeColor="text1"/>
          <w:sz w:val="24"/>
          <w:szCs w:val="24"/>
          <w:u w:color="000000"/>
        </w:rPr>
        <w:t> </w:t>
      </w:r>
      <w:r w:rsidRPr="00C565E2">
        <w:rPr>
          <w:rFonts w:ascii="Times New Roman" w:hAnsi="Times New Roman"/>
          <w:color w:val="000000" w:themeColor="text1"/>
          <w:sz w:val="24"/>
          <w:szCs w:val="24"/>
          <w:u w:color="000000"/>
        </w:rPr>
        <w:t>150</w:t>
      </w:r>
      <w:r>
        <w:rPr>
          <w:rFonts w:ascii="Times New Roman" w:hAnsi="Times New Roman"/>
          <w:color w:val="000000" w:themeColor="text1"/>
          <w:sz w:val="24"/>
          <w:szCs w:val="24"/>
          <w:u w:color="000000"/>
        </w:rPr>
        <w:t> </w:t>
      </w:r>
      <w:r w:rsidRPr="00C565E2">
        <w:rPr>
          <w:rFonts w:ascii="Times New Roman" w:hAnsi="Times New Roman"/>
          <w:color w:val="000000" w:themeColor="text1"/>
          <w:sz w:val="24"/>
          <w:szCs w:val="24"/>
          <w:u w:color="000000"/>
        </w:rPr>
        <w:t>ods.</w:t>
      </w:r>
      <w:r>
        <w:rPr>
          <w:rFonts w:ascii="Times New Roman" w:hAnsi="Times New Roman"/>
          <w:color w:val="000000" w:themeColor="text1"/>
          <w:sz w:val="24"/>
          <w:szCs w:val="24"/>
          <w:u w:color="000000"/>
        </w:rPr>
        <w:t> </w:t>
      </w:r>
      <w:r w:rsidRPr="00C565E2">
        <w:rPr>
          <w:rFonts w:ascii="Times New Roman" w:hAnsi="Times New Roman"/>
          <w:color w:val="000000" w:themeColor="text1"/>
          <w:sz w:val="24"/>
          <w:szCs w:val="24"/>
          <w:u w:color="000000"/>
        </w:rPr>
        <w:t>1</w:t>
      </w:r>
      <w:r>
        <w:rPr>
          <w:rFonts w:ascii="Times New Roman" w:hAnsi="Times New Roman"/>
          <w:color w:val="000000" w:themeColor="text1"/>
          <w:sz w:val="24"/>
          <w:szCs w:val="24"/>
          <w:u w:color="000000"/>
        </w:rPr>
        <w:t> </w:t>
      </w:r>
      <w:r w:rsidRPr="00C565E2">
        <w:rPr>
          <w:rFonts w:ascii="Times New Roman" w:hAnsi="Times New Roman"/>
          <w:color w:val="000000" w:themeColor="text1"/>
          <w:sz w:val="24"/>
          <w:szCs w:val="24"/>
          <w:u w:color="000000"/>
        </w:rPr>
        <w:t>písm. a), b), c), d) a e) zákona o sociálnom poistení:</w:t>
      </w:r>
    </w:p>
    <w:p w:rsidR="00385B00" w:rsidRDefault="00385B00" w:rsidP="00385B00">
      <w:pPr>
        <w:pStyle w:val="Odsekzoznamu"/>
        <w:widowControl/>
        <w:numPr>
          <w:ilvl w:val="0"/>
          <w:numId w:val="44"/>
        </w:numPr>
        <w:tabs>
          <w:tab w:val="left" w:pos="567"/>
        </w:tabs>
        <w:spacing w:line="360" w:lineRule="auto"/>
        <w:ind w:left="567"/>
        <w:jc w:val="both"/>
        <w:rPr>
          <w:rFonts w:ascii="Times New Roman" w:hAnsi="Times New Roman"/>
          <w:color w:val="000000" w:themeColor="text1"/>
          <w:sz w:val="24"/>
          <w:szCs w:val="24"/>
          <w:u w:color="000000"/>
        </w:rPr>
      </w:pPr>
      <w:r w:rsidRPr="008766B1">
        <w:rPr>
          <w:rFonts w:ascii="Times New Roman" w:hAnsi="Times New Roman"/>
          <w:color w:val="000000" w:themeColor="text1"/>
          <w:sz w:val="24"/>
          <w:szCs w:val="24"/>
          <w:u w:color="000000"/>
        </w:rPr>
        <w:t>ak je pravdepodobné, že náklady na jej vymáhanie presiahnu výťažok z vymáhania,</w:t>
      </w:r>
    </w:p>
    <w:p w:rsidR="00385B00" w:rsidRDefault="00385B00" w:rsidP="00385B00">
      <w:pPr>
        <w:pStyle w:val="Odsekzoznamu"/>
        <w:widowControl/>
        <w:numPr>
          <w:ilvl w:val="0"/>
          <w:numId w:val="44"/>
        </w:numPr>
        <w:tabs>
          <w:tab w:val="left" w:pos="567"/>
        </w:tabs>
        <w:spacing w:line="360" w:lineRule="auto"/>
        <w:ind w:left="567"/>
        <w:jc w:val="both"/>
        <w:rPr>
          <w:rFonts w:ascii="Times New Roman" w:hAnsi="Times New Roman"/>
          <w:color w:val="000000" w:themeColor="text1"/>
          <w:sz w:val="24"/>
          <w:szCs w:val="24"/>
          <w:u w:color="000000"/>
        </w:rPr>
      </w:pPr>
      <w:r w:rsidRPr="008766B1">
        <w:rPr>
          <w:rFonts w:ascii="Times New Roman" w:hAnsi="Times New Roman"/>
          <w:color w:val="000000" w:themeColor="text1"/>
          <w:sz w:val="24"/>
          <w:szCs w:val="24"/>
          <w:u w:color="000000"/>
        </w:rPr>
        <w:t>ak je zrejmé, že vzhľadom na majetkové pomery fyzickej osoby alebo právnickej osoby, voči ktorej má Sociálna poisťovňa pohľadávku, vymáhanie nebude viesť ani k čiastočnému uspokojeniu pohľadávky,</w:t>
      </w:r>
    </w:p>
    <w:p w:rsidR="00385B00" w:rsidRDefault="00385B00" w:rsidP="00385B00">
      <w:pPr>
        <w:pStyle w:val="Odsekzoznamu"/>
        <w:widowControl/>
        <w:numPr>
          <w:ilvl w:val="0"/>
          <w:numId w:val="44"/>
        </w:numPr>
        <w:tabs>
          <w:tab w:val="left" w:pos="567"/>
        </w:tabs>
        <w:spacing w:line="360" w:lineRule="auto"/>
        <w:ind w:left="567"/>
        <w:jc w:val="both"/>
        <w:rPr>
          <w:rFonts w:ascii="Times New Roman" w:hAnsi="Times New Roman"/>
          <w:color w:val="000000" w:themeColor="text1"/>
          <w:sz w:val="24"/>
          <w:szCs w:val="24"/>
          <w:u w:color="000000"/>
        </w:rPr>
      </w:pPr>
      <w:r w:rsidRPr="008766B1">
        <w:rPr>
          <w:rFonts w:ascii="Times New Roman" w:hAnsi="Times New Roman"/>
          <w:color w:val="000000" w:themeColor="text1"/>
          <w:sz w:val="24"/>
          <w:szCs w:val="24"/>
          <w:u w:color="000000"/>
        </w:rPr>
        <w:t>ak sa najmenej v období troch rokov bezvýsledne vedie výkon rozhodnutia podľa osobitného predpisu,</w:t>
      </w:r>
    </w:p>
    <w:p w:rsidR="00385B00" w:rsidRDefault="00385B00" w:rsidP="00385B00">
      <w:pPr>
        <w:pStyle w:val="Odsekzoznamu"/>
        <w:widowControl/>
        <w:numPr>
          <w:ilvl w:val="0"/>
          <w:numId w:val="44"/>
        </w:numPr>
        <w:tabs>
          <w:tab w:val="left" w:pos="567"/>
        </w:tabs>
        <w:spacing w:line="360" w:lineRule="auto"/>
        <w:ind w:left="567"/>
        <w:jc w:val="both"/>
        <w:rPr>
          <w:rFonts w:ascii="Times New Roman" w:hAnsi="Times New Roman"/>
          <w:color w:val="000000" w:themeColor="text1"/>
          <w:sz w:val="24"/>
          <w:szCs w:val="24"/>
          <w:u w:color="000000"/>
        </w:rPr>
      </w:pPr>
      <w:r w:rsidRPr="008766B1">
        <w:rPr>
          <w:rFonts w:ascii="Times New Roman" w:hAnsi="Times New Roman"/>
          <w:color w:val="000000" w:themeColor="text1"/>
          <w:sz w:val="24"/>
          <w:szCs w:val="24"/>
          <w:u w:color="000000"/>
        </w:rPr>
        <w:t>ak vymáhanie je spojené s nadmernými ťažkosťami, pričom je zrejmé, že ďalšie vymáhanie nebude viesť ani k čiastočnému uspokojeniu pohľadávky voči fyzickej osoby alebo právnickej osoby,</w:t>
      </w:r>
    </w:p>
    <w:p w:rsidR="00385B00" w:rsidRDefault="00385B00" w:rsidP="00385B00">
      <w:pPr>
        <w:pStyle w:val="Odsekzoznamu"/>
        <w:widowControl/>
        <w:numPr>
          <w:ilvl w:val="0"/>
          <w:numId w:val="44"/>
        </w:numPr>
        <w:tabs>
          <w:tab w:val="left" w:pos="567"/>
        </w:tabs>
        <w:spacing w:line="360" w:lineRule="auto"/>
        <w:ind w:left="567"/>
        <w:jc w:val="both"/>
        <w:rPr>
          <w:rFonts w:ascii="Times New Roman" w:hAnsi="Times New Roman"/>
          <w:color w:val="000000" w:themeColor="text1"/>
          <w:sz w:val="24"/>
          <w:szCs w:val="24"/>
          <w:u w:color="000000"/>
        </w:rPr>
      </w:pPr>
      <w:r w:rsidRPr="008766B1">
        <w:rPr>
          <w:rFonts w:ascii="Times New Roman" w:hAnsi="Times New Roman"/>
          <w:color w:val="000000" w:themeColor="text1"/>
          <w:sz w:val="24"/>
          <w:szCs w:val="24"/>
          <w:u w:color="000000"/>
        </w:rPr>
        <w:t>ak nemohlo dôjsť k uspokojeniu pohľadávky ani vymáhaním na dedičoch dlžníka.</w:t>
      </w:r>
    </w:p>
    <w:p w:rsidR="00385B00" w:rsidRPr="008766B1" w:rsidRDefault="00385B00" w:rsidP="00385B00">
      <w:pPr>
        <w:pStyle w:val="Odsekzoznamu"/>
        <w:widowControl/>
        <w:tabs>
          <w:tab w:val="left" w:pos="567"/>
        </w:tabs>
        <w:spacing w:line="360" w:lineRule="auto"/>
        <w:ind w:left="567"/>
        <w:jc w:val="both"/>
        <w:rPr>
          <w:rFonts w:ascii="Times New Roman" w:hAnsi="Times New Roman"/>
          <w:color w:val="000000" w:themeColor="text1"/>
          <w:sz w:val="24"/>
          <w:szCs w:val="24"/>
          <w:u w:color="000000"/>
        </w:rPr>
      </w:pPr>
    </w:p>
    <w:p w:rsidR="00385B00" w:rsidRDefault="00385B00" w:rsidP="00385B00">
      <w:pPr>
        <w:widowControl/>
        <w:tabs>
          <w:tab w:val="left" w:pos="567"/>
        </w:tabs>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Odpísaním pohľadávky podľa § 150 zákona o sociálnom poistení pohľadávka nezaniká. Pokiaľ dlžník uhradí pohľadávku, ktorú Sociálna poisťovňa odpísala, nepovažuje sa úhrada za plnenie bez právneho dôvodu a dlžník nemá nárok na vrátenie zaplatenej sumy.</w:t>
      </w:r>
    </w:p>
    <w:p w:rsidR="00385B00" w:rsidRPr="00C565E2" w:rsidRDefault="00385B00" w:rsidP="00385B00">
      <w:pPr>
        <w:widowControl/>
        <w:tabs>
          <w:tab w:val="left" w:pos="567"/>
        </w:tabs>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Prehľad odpísaných pohľadávok na podsúvahových účtoch k 31. 12. </w:t>
      </w:r>
      <w:r>
        <w:rPr>
          <w:rFonts w:ascii="Times New Roman" w:hAnsi="Times New Roman"/>
          <w:color w:val="000000" w:themeColor="text1"/>
          <w:sz w:val="24"/>
          <w:szCs w:val="24"/>
          <w:u w:color="000000"/>
        </w:rPr>
        <w:t>2018</w:t>
      </w:r>
      <w:r w:rsidRPr="00C565E2">
        <w:rPr>
          <w:rFonts w:ascii="Times New Roman" w:hAnsi="Times New Roman"/>
          <w:color w:val="000000" w:themeColor="text1"/>
          <w:sz w:val="24"/>
          <w:szCs w:val="24"/>
          <w:u w:color="000000"/>
        </w:rPr>
        <w:t>:</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843"/>
        <w:gridCol w:w="1559"/>
        <w:gridCol w:w="1559"/>
        <w:gridCol w:w="1843"/>
      </w:tblGrid>
      <w:tr w:rsidR="00385B00" w:rsidRPr="00C565E2" w:rsidTr="007379ED">
        <w:trPr>
          <w:trHeight w:val="724"/>
        </w:trPr>
        <w:tc>
          <w:tcPr>
            <w:tcW w:w="2622" w:type="dxa"/>
            <w:vMerge w:val="restart"/>
            <w:vAlign w:val="center"/>
          </w:tcPr>
          <w:p w:rsidR="00385B00" w:rsidRPr="00C565E2" w:rsidRDefault="00385B00" w:rsidP="007379ED">
            <w:pPr>
              <w:widowControl/>
              <w:jc w:val="center"/>
              <w:rPr>
                <w:rFonts w:ascii="Times New Roman" w:hAnsi="Times New Roman"/>
                <w:b/>
                <w:color w:val="000000" w:themeColor="text1"/>
                <w:sz w:val="24"/>
                <w:szCs w:val="24"/>
                <w:u w:color="000000"/>
              </w:rPr>
            </w:pPr>
            <w:r w:rsidRPr="00C565E2">
              <w:rPr>
                <w:rFonts w:ascii="Times New Roman" w:hAnsi="Times New Roman"/>
                <w:b/>
                <w:color w:val="000000" w:themeColor="text1"/>
                <w:sz w:val="24"/>
                <w:szCs w:val="24"/>
                <w:u w:color="000000"/>
              </w:rPr>
              <w:t>Druhy pohľadávok (v </w:t>
            </w:r>
            <w:r>
              <w:rPr>
                <w:rFonts w:ascii="Times New Roman" w:hAnsi="Times New Roman"/>
                <w:b/>
                <w:color w:val="000000" w:themeColor="text1"/>
                <w:sz w:val="24"/>
                <w:szCs w:val="24"/>
                <w:u w:color="000000"/>
              </w:rPr>
              <w:t>EUR</w:t>
            </w:r>
            <w:r w:rsidRPr="00C565E2">
              <w:rPr>
                <w:rFonts w:ascii="Times New Roman" w:hAnsi="Times New Roman"/>
                <w:b/>
                <w:color w:val="000000" w:themeColor="text1"/>
                <w:sz w:val="24"/>
                <w:szCs w:val="24"/>
                <w:u w:color="000000"/>
              </w:rPr>
              <w:t>)</w:t>
            </w:r>
          </w:p>
        </w:tc>
        <w:tc>
          <w:tcPr>
            <w:tcW w:w="6804" w:type="dxa"/>
            <w:gridSpan w:val="4"/>
            <w:vAlign w:val="center"/>
          </w:tcPr>
          <w:p w:rsidR="00385B00" w:rsidRPr="00C565E2" w:rsidRDefault="00385B00" w:rsidP="007379ED">
            <w:pPr>
              <w:widowControl/>
              <w:jc w:val="center"/>
              <w:rPr>
                <w:rFonts w:ascii="Times New Roman" w:hAnsi="Times New Roman"/>
                <w:b/>
                <w:color w:val="000000" w:themeColor="text1"/>
                <w:sz w:val="24"/>
                <w:szCs w:val="24"/>
                <w:u w:color="000000"/>
              </w:rPr>
            </w:pPr>
            <w:r w:rsidRPr="00C565E2">
              <w:rPr>
                <w:rFonts w:ascii="Times New Roman" w:hAnsi="Times New Roman"/>
                <w:b/>
                <w:color w:val="000000" w:themeColor="text1"/>
                <w:sz w:val="24"/>
                <w:szCs w:val="24"/>
                <w:u w:color="000000"/>
              </w:rPr>
              <w:t>Odpísané pohľadávky evidované na podsúvahových účtoch k 31.12.</w:t>
            </w:r>
            <w:r>
              <w:rPr>
                <w:rFonts w:ascii="Times New Roman" w:hAnsi="Times New Roman"/>
                <w:b/>
                <w:color w:val="000000" w:themeColor="text1"/>
                <w:sz w:val="24"/>
                <w:szCs w:val="24"/>
                <w:u w:color="000000"/>
              </w:rPr>
              <w:t>2018</w:t>
            </w:r>
          </w:p>
        </w:tc>
      </w:tr>
      <w:tr w:rsidR="00385B00" w:rsidRPr="00C565E2" w:rsidTr="007379ED">
        <w:trPr>
          <w:trHeight w:val="1085"/>
        </w:trPr>
        <w:tc>
          <w:tcPr>
            <w:tcW w:w="2622" w:type="dxa"/>
            <w:vMerge/>
            <w:vAlign w:val="center"/>
          </w:tcPr>
          <w:p w:rsidR="00385B00" w:rsidRPr="00C565E2" w:rsidRDefault="00385B00" w:rsidP="007379ED">
            <w:pPr>
              <w:widowControl/>
              <w:jc w:val="both"/>
              <w:rPr>
                <w:rFonts w:ascii="Times New Roman" w:hAnsi="Times New Roman"/>
                <w:b/>
                <w:color w:val="000000" w:themeColor="text1"/>
                <w:sz w:val="24"/>
                <w:szCs w:val="24"/>
                <w:u w:color="000000"/>
              </w:rPr>
            </w:pPr>
          </w:p>
        </w:tc>
        <w:tc>
          <w:tcPr>
            <w:tcW w:w="1843" w:type="dxa"/>
            <w:vAlign w:val="center"/>
          </w:tcPr>
          <w:p w:rsidR="00385B00" w:rsidRPr="00C565E2" w:rsidRDefault="00385B00" w:rsidP="007379ED">
            <w:pPr>
              <w:widowControl/>
              <w:jc w:val="center"/>
              <w:rPr>
                <w:rFonts w:ascii="Times New Roman" w:hAnsi="Times New Roman"/>
                <w:b/>
                <w:color w:val="000000" w:themeColor="text1"/>
                <w:sz w:val="24"/>
                <w:szCs w:val="24"/>
                <w:u w:color="000000"/>
              </w:rPr>
            </w:pPr>
            <w:r w:rsidRPr="00C565E2">
              <w:rPr>
                <w:rFonts w:ascii="Times New Roman" w:hAnsi="Times New Roman"/>
                <w:b/>
                <w:color w:val="000000" w:themeColor="text1"/>
                <w:sz w:val="24"/>
                <w:szCs w:val="24"/>
                <w:u w:color="000000"/>
              </w:rPr>
              <w:t>Stav na začiatku bežného účtovného obdobia</w:t>
            </w:r>
          </w:p>
        </w:tc>
        <w:tc>
          <w:tcPr>
            <w:tcW w:w="1559" w:type="dxa"/>
            <w:vAlign w:val="center"/>
          </w:tcPr>
          <w:p w:rsidR="00385B00" w:rsidRPr="00C565E2" w:rsidRDefault="00385B00" w:rsidP="007379ED">
            <w:pPr>
              <w:widowControl/>
              <w:jc w:val="center"/>
              <w:rPr>
                <w:rFonts w:ascii="Times New Roman" w:hAnsi="Times New Roman"/>
                <w:b/>
                <w:color w:val="000000" w:themeColor="text1"/>
                <w:sz w:val="24"/>
                <w:szCs w:val="24"/>
                <w:u w:color="000000"/>
              </w:rPr>
            </w:pPr>
            <w:r w:rsidRPr="00C565E2">
              <w:rPr>
                <w:rFonts w:ascii="Times New Roman" w:hAnsi="Times New Roman"/>
                <w:b/>
                <w:color w:val="000000" w:themeColor="text1"/>
                <w:sz w:val="24"/>
                <w:szCs w:val="24"/>
                <w:u w:color="000000"/>
              </w:rPr>
              <w:t>Prírastky</w:t>
            </w:r>
          </w:p>
        </w:tc>
        <w:tc>
          <w:tcPr>
            <w:tcW w:w="1559" w:type="dxa"/>
            <w:vAlign w:val="center"/>
          </w:tcPr>
          <w:p w:rsidR="00385B00" w:rsidRPr="00C565E2" w:rsidRDefault="00385B00" w:rsidP="007379ED">
            <w:pPr>
              <w:widowControl/>
              <w:jc w:val="center"/>
              <w:rPr>
                <w:rFonts w:ascii="Times New Roman" w:hAnsi="Times New Roman"/>
                <w:b/>
                <w:color w:val="000000" w:themeColor="text1"/>
                <w:sz w:val="24"/>
                <w:szCs w:val="24"/>
                <w:u w:color="000000"/>
              </w:rPr>
            </w:pPr>
            <w:r w:rsidRPr="00C565E2">
              <w:rPr>
                <w:rFonts w:ascii="Times New Roman" w:hAnsi="Times New Roman"/>
                <w:b/>
                <w:color w:val="000000" w:themeColor="text1"/>
                <w:sz w:val="24"/>
                <w:szCs w:val="24"/>
                <w:u w:color="000000"/>
              </w:rPr>
              <w:t>Úbytky</w:t>
            </w:r>
          </w:p>
        </w:tc>
        <w:tc>
          <w:tcPr>
            <w:tcW w:w="1843" w:type="dxa"/>
            <w:vAlign w:val="center"/>
          </w:tcPr>
          <w:p w:rsidR="00385B00" w:rsidRPr="00C565E2" w:rsidRDefault="00385B00" w:rsidP="007379ED">
            <w:pPr>
              <w:widowControl/>
              <w:jc w:val="center"/>
              <w:rPr>
                <w:rFonts w:ascii="Times New Roman" w:hAnsi="Times New Roman"/>
                <w:b/>
                <w:color w:val="000000" w:themeColor="text1"/>
                <w:sz w:val="24"/>
                <w:szCs w:val="24"/>
                <w:u w:color="000000"/>
              </w:rPr>
            </w:pPr>
            <w:r w:rsidRPr="00C565E2">
              <w:rPr>
                <w:rFonts w:ascii="Times New Roman" w:hAnsi="Times New Roman"/>
                <w:b/>
                <w:color w:val="000000" w:themeColor="text1"/>
                <w:sz w:val="24"/>
                <w:szCs w:val="24"/>
                <w:u w:color="000000"/>
              </w:rPr>
              <w:t>Stav na konci bežného účtovného obdobia</w:t>
            </w:r>
          </w:p>
        </w:tc>
      </w:tr>
      <w:tr w:rsidR="00385B00" w:rsidRPr="00C565E2" w:rsidTr="007379ED">
        <w:trPr>
          <w:trHeight w:val="270"/>
        </w:trPr>
        <w:tc>
          <w:tcPr>
            <w:tcW w:w="2622" w:type="dxa"/>
            <w:vAlign w:val="center"/>
          </w:tcPr>
          <w:p w:rsidR="00385B00" w:rsidRPr="00C565E2" w:rsidRDefault="00385B00" w:rsidP="007379ED">
            <w:pPr>
              <w:widowControl/>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poistné</w:t>
            </w:r>
          </w:p>
        </w:tc>
        <w:tc>
          <w:tcPr>
            <w:tcW w:w="1843"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23 019 706,81</w:t>
            </w:r>
          </w:p>
        </w:tc>
        <w:tc>
          <w:tcPr>
            <w:tcW w:w="1559"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5 029 708,02</w:t>
            </w:r>
          </w:p>
        </w:tc>
        <w:tc>
          <w:tcPr>
            <w:tcW w:w="1559"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0,00</w:t>
            </w:r>
          </w:p>
        </w:tc>
        <w:tc>
          <w:tcPr>
            <w:tcW w:w="1843"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28 049 414,83</w:t>
            </w:r>
          </w:p>
        </w:tc>
      </w:tr>
      <w:tr w:rsidR="00385B00" w:rsidRPr="00C565E2" w:rsidTr="007379ED">
        <w:trPr>
          <w:trHeight w:val="270"/>
        </w:trPr>
        <w:tc>
          <w:tcPr>
            <w:tcW w:w="2622" w:type="dxa"/>
            <w:vAlign w:val="center"/>
          </w:tcPr>
          <w:p w:rsidR="00385B00" w:rsidRPr="00C565E2" w:rsidRDefault="00385B00" w:rsidP="007379ED">
            <w:pPr>
              <w:widowControl/>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penále</w:t>
            </w:r>
          </w:p>
        </w:tc>
        <w:tc>
          <w:tcPr>
            <w:tcW w:w="1843"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21 806 645,20</w:t>
            </w:r>
          </w:p>
        </w:tc>
        <w:tc>
          <w:tcPr>
            <w:tcW w:w="1559"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3 147 125,26</w:t>
            </w:r>
          </w:p>
        </w:tc>
        <w:tc>
          <w:tcPr>
            <w:tcW w:w="1559"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0,00</w:t>
            </w:r>
          </w:p>
        </w:tc>
        <w:tc>
          <w:tcPr>
            <w:tcW w:w="1843"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24 953 770,46</w:t>
            </w:r>
          </w:p>
        </w:tc>
      </w:tr>
      <w:tr w:rsidR="00385B00" w:rsidRPr="00C565E2" w:rsidTr="007379ED">
        <w:trPr>
          <w:trHeight w:val="270"/>
        </w:trPr>
        <w:tc>
          <w:tcPr>
            <w:tcW w:w="2622" w:type="dxa"/>
            <w:vAlign w:val="center"/>
          </w:tcPr>
          <w:p w:rsidR="00385B00" w:rsidRPr="00C565E2" w:rsidRDefault="00385B00" w:rsidP="007379ED">
            <w:pPr>
              <w:widowControl/>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pokuty</w:t>
            </w:r>
          </w:p>
        </w:tc>
        <w:tc>
          <w:tcPr>
            <w:tcW w:w="1843"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137 777,07</w:t>
            </w:r>
          </w:p>
        </w:tc>
        <w:tc>
          <w:tcPr>
            <w:tcW w:w="1559"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19 485,95</w:t>
            </w:r>
          </w:p>
        </w:tc>
        <w:tc>
          <w:tcPr>
            <w:tcW w:w="1559"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0,00</w:t>
            </w:r>
          </w:p>
        </w:tc>
        <w:tc>
          <w:tcPr>
            <w:tcW w:w="1843"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157 263,02</w:t>
            </w:r>
          </w:p>
        </w:tc>
      </w:tr>
      <w:tr w:rsidR="00385B00" w:rsidRPr="00C565E2" w:rsidTr="007379ED">
        <w:trPr>
          <w:trHeight w:val="270"/>
        </w:trPr>
        <w:tc>
          <w:tcPr>
            <w:tcW w:w="2622" w:type="dxa"/>
            <w:vAlign w:val="center"/>
          </w:tcPr>
          <w:p w:rsidR="00385B00" w:rsidRPr="00C565E2" w:rsidRDefault="00385B00" w:rsidP="007379ED">
            <w:pPr>
              <w:widowControl/>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poplatky</w:t>
            </w:r>
          </w:p>
        </w:tc>
        <w:tc>
          <w:tcPr>
            <w:tcW w:w="1843"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161 658,84</w:t>
            </w:r>
          </w:p>
        </w:tc>
        <w:tc>
          <w:tcPr>
            <w:tcW w:w="1559"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21,84</w:t>
            </w:r>
          </w:p>
        </w:tc>
        <w:tc>
          <w:tcPr>
            <w:tcW w:w="1559"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0,00</w:t>
            </w:r>
          </w:p>
        </w:tc>
        <w:tc>
          <w:tcPr>
            <w:tcW w:w="1843"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161 680,68</w:t>
            </w:r>
          </w:p>
        </w:tc>
      </w:tr>
      <w:tr w:rsidR="00385B00" w:rsidRPr="00C565E2" w:rsidTr="007379ED">
        <w:trPr>
          <w:trHeight w:val="270"/>
        </w:trPr>
        <w:tc>
          <w:tcPr>
            <w:tcW w:w="2622" w:type="dxa"/>
            <w:vAlign w:val="center"/>
          </w:tcPr>
          <w:p w:rsidR="00385B00" w:rsidRPr="00C565E2" w:rsidRDefault="00385B00" w:rsidP="007379ED">
            <w:pPr>
              <w:widowControl/>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regresné náhrady</w:t>
            </w:r>
          </w:p>
        </w:tc>
        <w:tc>
          <w:tcPr>
            <w:tcW w:w="1843"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179 616,35</w:t>
            </w:r>
          </w:p>
        </w:tc>
        <w:tc>
          <w:tcPr>
            <w:tcW w:w="1559"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137 854,65</w:t>
            </w:r>
          </w:p>
        </w:tc>
        <w:tc>
          <w:tcPr>
            <w:tcW w:w="1559"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0,00</w:t>
            </w:r>
          </w:p>
        </w:tc>
        <w:tc>
          <w:tcPr>
            <w:tcW w:w="1843"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317 471,00</w:t>
            </w:r>
          </w:p>
        </w:tc>
      </w:tr>
      <w:tr w:rsidR="00385B00" w:rsidRPr="00C565E2" w:rsidTr="007379ED">
        <w:trPr>
          <w:trHeight w:val="270"/>
        </w:trPr>
        <w:tc>
          <w:tcPr>
            <w:tcW w:w="2622" w:type="dxa"/>
            <w:vAlign w:val="center"/>
          </w:tcPr>
          <w:p w:rsidR="00385B00" w:rsidRPr="00C565E2" w:rsidRDefault="00385B00" w:rsidP="007379ED">
            <w:pPr>
              <w:widowControl/>
              <w:jc w:val="both"/>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 xml:space="preserve">preplatky </w:t>
            </w:r>
            <w:r w:rsidRPr="00C565E2">
              <w:rPr>
                <w:rFonts w:ascii="Times New Roman" w:hAnsi="Times New Roman"/>
                <w:color w:val="000000" w:themeColor="text1"/>
                <w:sz w:val="24"/>
                <w:szCs w:val="24"/>
                <w:u w:color="000000"/>
              </w:rPr>
              <w:t>na dávkach</w:t>
            </w:r>
          </w:p>
        </w:tc>
        <w:tc>
          <w:tcPr>
            <w:tcW w:w="1843"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10 634,26</w:t>
            </w:r>
          </w:p>
        </w:tc>
        <w:tc>
          <w:tcPr>
            <w:tcW w:w="1559"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7 844,33</w:t>
            </w:r>
          </w:p>
        </w:tc>
        <w:tc>
          <w:tcPr>
            <w:tcW w:w="1559"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0,00</w:t>
            </w:r>
          </w:p>
        </w:tc>
        <w:tc>
          <w:tcPr>
            <w:tcW w:w="1843"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18 478,59</w:t>
            </w:r>
          </w:p>
        </w:tc>
      </w:tr>
      <w:tr w:rsidR="00385B00" w:rsidRPr="00C565E2" w:rsidTr="007379ED">
        <w:trPr>
          <w:trHeight w:val="819"/>
        </w:trPr>
        <w:tc>
          <w:tcPr>
            <w:tcW w:w="2622" w:type="dxa"/>
            <w:vAlign w:val="center"/>
          </w:tcPr>
          <w:p w:rsidR="00385B00" w:rsidRPr="00C565E2" w:rsidRDefault="00385B00" w:rsidP="007379ED">
            <w:pPr>
              <w:widowControl/>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Pohľadávky SLP na základe výkazu a na základe rozhodnutia</w:t>
            </w:r>
          </w:p>
        </w:tc>
        <w:tc>
          <w:tcPr>
            <w:tcW w:w="1843"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715,92</w:t>
            </w:r>
          </w:p>
        </w:tc>
        <w:tc>
          <w:tcPr>
            <w:tcW w:w="1559"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877,27</w:t>
            </w:r>
          </w:p>
        </w:tc>
        <w:tc>
          <w:tcPr>
            <w:tcW w:w="1559"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0,00</w:t>
            </w:r>
          </w:p>
        </w:tc>
        <w:tc>
          <w:tcPr>
            <w:tcW w:w="1843"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1 593,19</w:t>
            </w:r>
          </w:p>
        </w:tc>
      </w:tr>
      <w:tr w:rsidR="00385B00" w:rsidRPr="00C565E2" w:rsidTr="007379ED">
        <w:trPr>
          <w:trHeight w:val="270"/>
        </w:trPr>
        <w:tc>
          <w:tcPr>
            <w:tcW w:w="2622" w:type="dxa"/>
            <w:vAlign w:val="center"/>
          </w:tcPr>
          <w:p w:rsidR="00385B00" w:rsidRPr="00C565E2" w:rsidRDefault="00385B00" w:rsidP="007379ED">
            <w:pPr>
              <w:widowControl/>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spolu</w:t>
            </w:r>
          </w:p>
        </w:tc>
        <w:tc>
          <w:tcPr>
            <w:tcW w:w="1843"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45 316 754,45</w:t>
            </w:r>
          </w:p>
        </w:tc>
        <w:tc>
          <w:tcPr>
            <w:tcW w:w="1559"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8 342 917,32</w:t>
            </w:r>
          </w:p>
        </w:tc>
        <w:tc>
          <w:tcPr>
            <w:tcW w:w="1559"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0,00</w:t>
            </w:r>
          </w:p>
        </w:tc>
        <w:tc>
          <w:tcPr>
            <w:tcW w:w="1843" w:type="dxa"/>
            <w:vAlign w:val="center"/>
          </w:tcPr>
          <w:p w:rsidR="00385B00" w:rsidRPr="00C565E2" w:rsidRDefault="00385B00" w:rsidP="007379ED">
            <w:pPr>
              <w:widowControl/>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53 659 671,77</w:t>
            </w:r>
          </w:p>
        </w:tc>
      </w:tr>
    </w:tbl>
    <w:p w:rsidR="00385B00" w:rsidRDefault="00385B00" w:rsidP="00385B00">
      <w:pPr>
        <w:widowControl/>
        <w:spacing w:line="360" w:lineRule="auto"/>
        <w:ind w:firstLine="510"/>
        <w:jc w:val="both"/>
        <w:rPr>
          <w:rFonts w:ascii="Times New Roman" w:hAnsi="Times New Roman"/>
          <w:color w:val="000000" w:themeColor="text1"/>
          <w:sz w:val="24"/>
          <w:szCs w:val="24"/>
          <w:u w:color="000000"/>
        </w:rPr>
      </w:pPr>
    </w:p>
    <w:p w:rsidR="00385B00" w:rsidRDefault="00385B00" w:rsidP="00385B00">
      <w:pPr>
        <w:widowControl/>
        <w:spacing w:line="360" w:lineRule="auto"/>
        <w:ind w:firstLine="510"/>
        <w:jc w:val="both"/>
        <w:rPr>
          <w:rFonts w:ascii="Times New Roman" w:hAnsi="Times New Roman"/>
          <w:color w:val="000000" w:themeColor="text1"/>
          <w:sz w:val="24"/>
          <w:szCs w:val="24"/>
          <w:u w:color="000000"/>
        </w:rPr>
      </w:pPr>
    </w:p>
    <w:p w:rsidR="00385B00" w:rsidRDefault="00385B00" w:rsidP="00385B00">
      <w:pPr>
        <w:widowControl/>
        <w:spacing w:line="360" w:lineRule="auto"/>
        <w:ind w:firstLine="510"/>
        <w:jc w:val="both"/>
        <w:rPr>
          <w:rFonts w:ascii="Times New Roman" w:hAnsi="Times New Roman"/>
          <w:color w:val="000000" w:themeColor="text1"/>
          <w:sz w:val="24"/>
          <w:szCs w:val="24"/>
          <w:u w:color="000000"/>
        </w:rPr>
      </w:pPr>
    </w:p>
    <w:p w:rsidR="00385B00" w:rsidRPr="00315375" w:rsidRDefault="00385B00" w:rsidP="00385B00">
      <w:pPr>
        <w:widowControl/>
        <w:spacing w:line="360" w:lineRule="auto"/>
        <w:ind w:firstLine="510"/>
        <w:jc w:val="both"/>
        <w:rPr>
          <w:rFonts w:ascii="Times New Roman" w:hAnsi="Times New Roman"/>
          <w:color w:val="000000" w:themeColor="text1"/>
          <w:sz w:val="24"/>
          <w:szCs w:val="24"/>
          <w:u w:color="000000"/>
        </w:rPr>
      </w:pPr>
    </w:p>
    <w:p w:rsidR="00385B00" w:rsidRPr="00535798" w:rsidRDefault="00385B00" w:rsidP="00385B00">
      <w:pPr>
        <w:pStyle w:val="Nadpis1"/>
        <w:spacing w:line="360" w:lineRule="auto"/>
        <w:jc w:val="center"/>
        <w:rPr>
          <w:rFonts w:ascii="Times New Roman" w:hAnsi="Times New Roman"/>
          <w:b/>
          <w:sz w:val="24"/>
          <w:szCs w:val="24"/>
          <w:u w:color="000000"/>
        </w:rPr>
      </w:pPr>
      <w:r w:rsidRPr="00535798">
        <w:rPr>
          <w:rFonts w:ascii="Times New Roman" w:hAnsi="Times New Roman"/>
          <w:b/>
          <w:sz w:val="24"/>
          <w:szCs w:val="24"/>
          <w:u w:color="000000"/>
        </w:rPr>
        <w:t>Čl. VI</w:t>
      </w:r>
    </w:p>
    <w:p w:rsidR="00385B00" w:rsidRPr="00F0104E" w:rsidRDefault="00385B00" w:rsidP="00385B00">
      <w:pPr>
        <w:pStyle w:val="Nadpis2"/>
        <w:spacing w:line="360" w:lineRule="auto"/>
        <w:jc w:val="center"/>
        <w:rPr>
          <w:rFonts w:ascii="Times New Roman" w:hAnsi="Times New Roman"/>
          <w:b/>
          <w:sz w:val="24"/>
          <w:szCs w:val="24"/>
          <w:u w:color="000000"/>
        </w:rPr>
      </w:pPr>
      <w:r w:rsidRPr="00535798">
        <w:rPr>
          <w:rFonts w:ascii="Times New Roman" w:hAnsi="Times New Roman"/>
          <w:b/>
          <w:sz w:val="24"/>
          <w:szCs w:val="24"/>
          <w:u w:color="000000"/>
        </w:rPr>
        <w:t>Iné aktíva a iné pasíva</w:t>
      </w:r>
    </w:p>
    <w:p w:rsidR="00385B00" w:rsidRDefault="00385B00" w:rsidP="00385B00">
      <w:pPr>
        <w:widowControl/>
        <w:spacing w:line="360" w:lineRule="auto"/>
        <w:ind w:firstLine="510"/>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 xml:space="preserve">K 31. 12. </w:t>
      </w:r>
      <w:r>
        <w:rPr>
          <w:rFonts w:ascii="Times New Roman" w:hAnsi="Times New Roman"/>
          <w:color w:val="000000" w:themeColor="text1"/>
          <w:sz w:val="24"/>
          <w:szCs w:val="24"/>
          <w:u w:color="000000"/>
        </w:rPr>
        <w:t>2018</w:t>
      </w:r>
      <w:r w:rsidRPr="00C565E2">
        <w:rPr>
          <w:rFonts w:ascii="Times New Roman" w:hAnsi="Times New Roman"/>
          <w:color w:val="000000" w:themeColor="text1"/>
          <w:sz w:val="24"/>
          <w:szCs w:val="24"/>
          <w:u w:color="000000"/>
        </w:rPr>
        <w:t xml:space="preserve"> evidujeme súdne rozhodnutia z právoplatne neskončených súdnych sporov. Sumy istiny, úrokov z omeškania a trov konania nie je možné vyčísliť, pretože povinnosť ich vyplatenia závisí od úspešnosti Sociálnej pois</w:t>
      </w:r>
      <w:r>
        <w:rPr>
          <w:rFonts w:ascii="Times New Roman" w:hAnsi="Times New Roman"/>
          <w:color w:val="000000" w:themeColor="text1"/>
          <w:sz w:val="24"/>
          <w:szCs w:val="24"/>
          <w:u w:color="000000"/>
        </w:rPr>
        <w:t>ťovne v týchto súdnych sporoch.</w:t>
      </w:r>
    </w:p>
    <w:p w:rsidR="00385B00" w:rsidRPr="00C565E2" w:rsidRDefault="00385B00" w:rsidP="00385B00">
      <w:pPr>
        <w:widowControl/>
        <w:spacing w:line="360" w:lineRule="auto"/>
        <w:ind w:firstLine="510"/>
        <w:jc w:val="both"/>
        <w:rPr>
          <w:rFonts w:ascii="Times New Roman" w:hAnsi="Times New Roman"/>
          <w:color w:val="000000" w:themeColor="text1"/>
          <w:sz w:val="24"/>
          <w:szCs w:val="24"/>
          <w:u w:color="000000"/>
        </w:rPr>
      </w:pPr>
    </w:p>
    <w:p w:rsidR="00385B00" w:rsidRDefault="00385B00" w:rsidP="00385B00">
      <w:pPr>
        <w:widowControl/>
        <w:spacing w:line="360" w:lineRule="auto"/>
        <w:ind w:firstLine="510"/>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 xml:space="preserve">Súdne rozhodnutia z právoplatne neskončených súdnych sporov, v ktorých Sociálna poisťovňa vystupuje ako odporca, obsahujú sumu istiny vyčíslenú navrhovateľmi vo výške </w:t>
      </w:r>
      <w:r>
        <w:rPr>
          <w:rFonts w:ascii="Times New Roman" w:hAnsi="Times New Roman"/>
          <w:color w:val="000000" w:themeColor="text1"/>
          <w:sz w:val="24"/>
          <w:szCs w:val="24"/>
          <w:u w:color="000000"/>
        </w:rPr>
        <w:t>2 303 125,48</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r w:rsidRPr="00C565E2">
        <w:rPr>
          <w:rFonts w:ascii="Times New Roman" w:hAnsi="Times New Roman"/>
          <w:color w:val="000000" w:themeColor="text1"/>
          <w:sz w:val="24"/>
          <w:szCs w:val="24"/>
          <w:u w:color="000000"/>
        </w:rPr>
        <w:t>.</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535798" w:rsidRDefault="00385B00" w:rsidP="00385B00">
      <w:pPr>
        <w:pStyle w:val="Nadpis1"/>
        <w:spacing w:line="360" w:lineRule="auto"/>
        <w:jc w:val="center"/>
        <w:rPr>
          <w:rFonts w:ascii="Times New Roman" w:hAnsi="Times New Roman"/>
          <w:b/>
          <w:sz w:val="24"/>
          <w:szCs w:val="24"/>
          <w:u w:color="000000"/>
        </w:rPr>
      </w:pPr>
      <w:r w:rsidRPr="00535798">
        <w:rPr>
          <w:rFonts w:ascii="Times New Roman" w:hAnsi="Times New Roman"/>
          <w:b/>
          <w:sz w:val="24"/>
          <w:szCs w:val="24"/>
          <w:u w:color="000000"/>
        </w:rPr>
        <w:t>Čl. VII</w:t>
      </w:r>
    </w:p>
    <w:p w:rsidR="00385B00" w:rsidRPr="00535798" w:rsidRDefault="00385B00" w:rsidP="00385B00">
      <w:pPr>
        <w:pStyle w:val="Nadpis2"/>
        <w:spacing w:line="360" w:lineRule="auto"/>
        <w:jc w:val="center"/>
        <w:rPr>
          <w:rFonts w:ascii="Times New Roman" w:hAnsi="Times New Roman"/>
          <w:b/>
          <w:sz w:val="24"/>
          <w:szCs w:val="24"/>
        </w:rPr>
      </w:pPr>
      <w:r w:rsidRPr="00535798">
        <w:rPr>
          <w:rFonts w:ascii="Times New Roman" w:hAnsi="Times New Roman"/>
          <w:b/>
          <w:sz w:val="24"/>
          <w:szCs w:val="24"/>
        </w:rPr>
        <w:t>Informácie o príjmoch a výhodách členov štatutárnych orgánov, dozorných orgánov a iných orgánov účtovnej jednotky</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Default="00385B00" w:rsidP="00385B00">
      <w:pPr>
        <w:widowControl/>
        <w:shd w:val="clear" w:color="auto" w:fill="FFFFFF"/>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 xml:space="preserve">Štatutárnym orgánom Sociálnej poisťovne je generálny riaditeľ. Mzda generálneho riaditeľa je určená v zmysle § 122 ods. 6  zákona o sociálnom poistení, mesačne ako šesťnásobok priemernej mesačnej mzdy v hospodárstve Slovenskej republiky zistenej štatistickým úradom za predchádzajúci kalendárny rok. Úprava mzdy generálneho riaditeľa sa vykonáva od 1. apríla kalendárneho roka. Ak generálnemu riaditeľovi patrí aj plat poslanca Národnej rady Slovenskej republiky, počas poberania platu poslanca Národnej rady Slovenskej republiky patrí generálnemu riaditeľovi mesačne mzda v sume minimálnej mzdy. </w:t>
      </w:r>
      <w:r>
        <w:rPr>
          <w:rFonts w:ascii="Times New Roman" w:hAnsi="Times New Roman"/>
          <w:color w:val="000000" w:themeColor="text1"/>
          <w:sz w:val="24"/>
          <w:szCs w:val="24"/>
          <w:u w:color="000000"/>
        </w:rPr>
        <w:t>Sumu minimálnej mzdy na rok 2018  ustanovuje nariadenie vlády Slovenskej republiky č. 278/2017 Z. z. Úprava minimálnej mzdy generálneho riaditeľa sa vykonáva od 1.1. kalendárneho roka.</w:t>
      </w:r>
    </w:p>
    <w:p w:rsidR="00385B00" w:rsidRPr="00C565E2" w:rsidRDefault="00385B00" w:rsidP="00385B00">
      <w:pPr>
        <w:widowControl/>
        <w:shd w:val="clear" w:color="auto" w:fill="FFFFFF"/>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 xml:space="preserve">Dozorným a kontrolným orgánom Sociálnej poisťovne je </w:t>
      </w:r>
      <w:r w:rsidRPr="00C565E2">
        <w:rPr>
          <w:rFonts w:ascii="Times New Roman" w:hAnsi="Times New Roman"/>
          <w:b/>
          <w:bCs/>
          <w:color w:val="000000" w:themeColor="text1"/>
          <w:sz w:val="24"/>
          <w:szCs w:val="24"/>
          <w:u w:color="000000"/>
        </w:rPr>
        <w:t>Dozorná rada Sociálnej poisťovne</w:t>
      </w:r>
      <w:r w:rsidRPr="00C565E2">
        <w:rPr>
          <w:rFonts w:ascii="Times New Roman" w:hAnsi="Times New Roman"/>
          <w:color w:val="000000" w:themeColor="text1"/>
          <w:sz w:val="24"/>
          <w:szCs w:val="24"/>
          <w:u w:color="000000"/>
        </w:rPr>
        <w:t xml:space="preserve">. Člen dozornej rady má v zmysle § 123 ods. 8  zákona o sociálnom poistení nárok na náhradu nákladov spojených s výkonom tejto funkcie. </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spacing w:line="360" w:lineRule="auto"/>
        <w:ind w:firstLine="510"/>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 xml:space="preserve">Národná rada Slovenskej republiky schválila uznesením č. 991 z 27. mája 2004 návrh na priznávanie odmien za výkon funkcie v dozornej rade členom Dozornej rady Sociálnej poisťovne. Pri odmeňovaní členov Dozornej rady Sociálnej poisťovne za výkon funkcie v dozornej rade sa postupuje podľa ústavného zákona č. </w:t>
      </w:r>
      <w:r>
        <w:rPr>
          <w:rFonts w:ascii="Times New Roman" w:hAnsi="Times New Roman"/>
          <w:color w:val="000000" w:themeColor="text1"/>
          <w:sz w:val="24"/>
          <w:szCs w:val="24"/>
          <w:u w:color="000000"/>
        </w:rPr>
        <w:t xml:space="preserve">545/2005 Z. z., ktorým sa mení a dopĺňa ústavný zákon č. </w:t>
      </w:r>
      <w:r w:rsidRPr="00C565E2">
        <w:rPr>
          <w:rFonts w:ascii="Times New Roman" w:hAnsi="Times New Roman"/>
          <w:color w:val="000000" w:themeColor="text1"/>
          <w:sz w:val="24"/>
          <w:szCs w:val="24"/>
          <w:u w:color="000000"/>
        </w:rPr>
        <w:t>357/2004 Z. z. o ochrane verejného záujmu pri výkone funkcií verejných funkcionárov</w:t>
      </w:r>
      <w:r>
        <w:rPr>
          <w:rFonts w:ascii="Times New Roman" w:hAnsi="Times New Roman"/>
          <w:color w:val="000000" w:themeColor="text1"/>
          <w:sz w:val="24"/>
          <w:szCs w:val="24"/>
          <w:u w:color="000000"/>
        </w:rPr>
        <w:t xml:space="preserve">  </w:t>
      </w:r>
      <w:r w:rsidRPr="00C565E2">
        <w:rPr>
          <w:rFonts w:ascii="Times New Roman" w:hAnsi="Times New Roman"/>
          <w:color w:val="000000" w:themeColor="text1"/>
          <w:sz w:val="24"/>
          <w:szCs w:val="24"/>
          <w:u w:color="000000"/>
        </w:rPr>
        <w:t>a zákona č. 55/</w:t>
      </w:r>
      <w:r>
        <w:rPr>
          <w:rFonts w:ascii="Times New Roman" w:hAnsi="Times New Roman"/>
          <w:color w:val="000000" w:themeColor="text1"/>
          <w:sz w:val="24"/>
          <w:szCs w:val="24"/>
          <w:u w:color="000000"/>
        </w:rPr>
        <w:t>2017</w:t>
      </w:r>
      <w:r w:rsidRPr="00C565E2">
        <w:rPr>
          <w:rFonts w:ascii="Times New Roman" w:hAnsi="Times New Roman"/>
          <w:color w:val="000000" w:themeColor="text1"/>
          <w:sz w:val="24"/>
          <w:szCs w:val="24"/>
          <w:u w:color="000000"/>
        </w:rPr>
        <w:t xml:space="preserve"> Z. z. o štátnej službe a o zmene a doplnení niektorých zákonov.  </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shd w:val="clear" w:color="auto" w:fill="FFFFFF"/>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 xml:space="preserve">Pobočku Sociálnej poisťovne v zmysle § 127 zákona o sociálnom poistení riadi </w:t>
      </w:r>
      <w:r w:rsidRPr="00C565E2">
        <w:rPr>
          <w:rFonts w:ascii="Times New Roman" w:hAnsi="Times New Roman"/>
          <w:b/>
          <w:bCs/>
          <w:color w:val="000000" w:themeColor="text1"/>
          <w:sz w:val="24"/>
          <w:szCs w:val="24"/>
          <w:u w:color="000000"/>
        </w:rPr>
        <w:t>riaditeľ pobočky</w:t>
      </w:r>
      <w:r w:rsidRPr="00C565E2">
        <w:rPr>
          <w:rFonts w:ascii="Times New Roman" w:hAnsi="Times New Roman"/>
          <w:color w:val="000000" w:themeColor="text1"/>
          <w:sz w:val="24"/>
          <w:szCs w:val="24"/>
          <w:u w:color="000000"/>
        </w:rPr>
        <w:t>, ktorého vymenúva a odvoláva Generálny riaditeľ Sociálnej poisťovne. Riaditelia pobočiek sú odmeňovaní v zmysle základného vnútorného predpisu Sociálnej poisťovne čl. 2 ods. 7 Mzdového poriadku Sociálnej poisťovne.</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Default="00385B00" w:rsidP="00385B00">
      <w:pPr>
        <w:widowControl/>
        <w:spacing w:line="360" w:lineRule="auto"/>
        <w:ind w:firstLine="510"/>
        <w:jc w:val="both"/>
        <w:rPr>
          <w:rFonts w:ascii="Times New Roman" w:hAnsi="Times New Roman"/>
          <w:b/>
          <w:bCs/>
          <w:color w:val="000000" w:themeColor="text1"/>
          <w:sz w:val="24"/>
          <w:szCs w:val="24"/>
          <w:u w:color="000000"/>
        </w:rPr>
      </w:pPr>
      <w:r w:rsidRPr="00C565E2">
        <w:rPr>
          <w:rFonts w:ascii="Times New Roman" w:hAnsi="Times New Roman"/>
          <w:b/>
          <w:bCs/>
          <w:color w:val="000000" w:themeColor="text1"/>
          <w:sz w:val="24"/>
          <w:szCs w:val="24"/>
          <w:u w:color="000000"/>
        </w:rPr>
        <w:t>Suma peňažných príjmov a hodnota nepeňažných príjmov členov orgánov Sociálnej poisťovne</w:t>
      </w:r>
      <w:r>
        <w:rPr>
          <w:rFonts w:ascii="Times New Roman" w:hAnsi="Times New Roman"/>
          <w:b/>
          <w:bCs/>
          <w:color w:val="000000" w:themeColor="text1"/>
          <w:sz w:val="24"/>
          <w:szCs w:val="24"/>
          <w:u w:color="000000"/>
        </w:rPr>
        <w:t>.</w:t>
      </w:r>
    </w:p>
    <w:p w:rsidR="00385B00" w:rsidRPr="00F0104E" w:rsidRDefault="00385B00" w:rsidP="00385B00">
      <w:pPr>
        <w:widowControl/>
        <w:spacing w:line="360" w:lineRule="auto"/>
        <w:jc w:val="both"/>
        <w:rPr>
          <w:rFonts w:ascii="Times New Roman" w:hAnsi="Times New Roman"/>
          <w:b/>
          <w:bCs/>
          <w:color w:val="000000" w:themeColor="text1"/>
          <w:sz w:val="24"/>
          <w:szCs w:val="24"/>
          <w:u w:color="000000"/>
        </w:rPr>
      </w:pP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b/>
          <w:bCs/>
          <w:color w:val="000000" w:themeColor="text1"/>
          <w:sz w:val="24"/>
          <w:szCs w:val="24"/>
          <w:u w:color="000000"/>
        </w:rPr>
        <w:tab/>
        <w:t xml:space="preserve">Suma peňažných príjmov </w:t>
      </w:r>
      <w:r w:rsidRPr="00C565E2">
        <w:rPr>
          <w:rFonts w:ascii="Times New Roman" w:hAnsi="Times New Roman"/>
          <w:color w:val="000000" w:themeColor="text1"/>
          <w:sz w:val="24"/>
          <w:szCs w:val="24"/>
          <w:u w:color="000000"/>
        </w:rPr>
        <w:t>zahŕňa príjmy zo súčasného pracovnoprávneho vzťahu, odmeny za výkon funkcie v Dozornej rade Sociálnej poisťovne, peňažné príjmy z prostriedkov sociálneho fondu, vrátené poistné zo zaplateného poistného na verejné zdravotné poistenie a príspevok zamestnávateľa na doplnkové dôchodkové sporenie.</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b/>
          <w:bCs/>
          <w:color w:val="000000" w:themeColor="text1"/>
          <w:sz w:val="24"/>
          <w:szCs w:val="24"/>
          <w:u w:color="000000"/>
        </w:rPr>
        <w:tab/>
        <w:t xml:space="preserve">Suma nepeňažných </w:t>
      </w:r>
      <w:r w:rsidRPr="00C565E2">
        <w:rPr>
          <w:rFonts w:ascii="Times New Roman" w:hAnsi="Times New Roman"/>
          <w:color w:val="000000" w:themeColor="text1"/>
          <w:sz w:val="24"/>
          <w:szCs w:val="24"/>
          <w:u w:color="000000"/>
        </w:rPr>
        <w:t>príjmov zahŕňa sumu vo výške 1% zo vstupnej ceny vozidla podľa § 25 zákona o dani z príjmov za každý aj začatý kalendárny mesiac poskytnutia motorového vozidla zamestnávateľa na používanie na služobné a súkromné účely a nepeňažné príspevky z prostriedkov sociálneho fondu.</w:t>
      </w:r>
    </w:p>
    <w:p w:rsidR="00385B00" w:rsidRDefault="00385B00" w:rsidP="00385B00">
      <w:pPr>
        <w:widowControl/>
        <w:spacing w:line="360" w:lineRule="auto"/>
        <w:jc w:val="both"/>
        <w:rPr>
          <w:rFonts w:ascii="Times New Roman" w:hAnsi="Times New Roman"/>
          <w:color w:val="000000" w:themeColor="text1"/>
          <w:sz w:val="24"/>
          <w:szCs w:val="24"/>
          <w:u w:color="000000"/>
        </w:rPr>
      </w:pPr>
    </w:p>
    <w:p w:rsidR="00385B00" w:rsidRDefault="00385B00" w:rsidP="00385B00">
      <w:pPr>
        <w:widowControl/>
        <w:spacing w:line="360" w:lineRule="auto"/>
        <w:ind w:firstLine="510"/>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Príjmy členov jednotlivých orgánov boli určené v súlade s § 5 zákona o dani z príjmov.</w:t>
      </w:r>
    </w:p>
    <w:p w:rsidR="00385B00" w:rsidRPr="00C565E2" w:rsidRDefault="00385B00" w:rsidP="00385B00">
      <w:pPr>
        <w:widowControl/>
        <w:spacing w:line="360" w:lineRule="auto"/>
        <w:jc w:val="both"/>
        <w:rPr>
          <w:rFonts w:ascii="Times New Roman" w:hAnsi="Times New Roman"/>
          <w:color w:val="000000" w:themeColor="text1"/>
          <w:sz w:val="24"/>
          <w:szCs w:val="24"/>
          <w:u w:color="000000"/>
        </w:rPr>
      </w:pPr>
    </w:p>
    <w:p w:rsidR="00385B00" w:rsidRDefault="00385B00" w:rsidP="00385B00">
      <w:pPr>
        <w:widowControl/>
        <w:spacing w:line="360" w:lineRule="auto"/>
        <w:jc w:val="both"/>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ab/>
        <w:t>Jednotlivé vyplatené sumy za obdobie od 1. 1. </w:t>
      </w:r>
      <w:r>
        <w:rPr>
          <w:rFonts w:ascii="Times New Roman" w:hAnsi="Times New Roman"/>
          <w:color w:val="000000" w:themeColor="text1"/>
          <w:sz w:val="24"/>
          <w:szCs w:val="24"/>
          <w:u w:color="000000"/>
        </w:rPr>
        <w:t>2018</w:t>
      </w:r>
      <w:r w:rsidRPr="00C565E2">
        <w:rPr>
          <w:rFonts w:ascii="Times New Roman" w:hAnsi="Times New Roman"/>
          <w:color w:val="000000" w:themeColor="text1"/>
          <w:sz w:val="24"/>
          <w:szCs w:val="24"/>
          <w:u w:color="000000"/>
        </w:rPr>
        <w:t xml:space="preserve"> do 31. 12. </w:t>
      </w:r>
      <w:r>
        <w:rPr>
          <w:rFonts w:ascii="Times New Roman" w:hAnsi="Times New Roman"/>
          <w:color w:val="000000" w:themeColor="text1"/>
          <w:sz w:val="24"/>
          <w:szCs w:val="24"/>
          <w:u w:color="000000"/>
        </w:rPr>
        <w:t>2018</w:t>
      </w:r>
      <w:r w:rsidRPr="00C565E2">
        <w:rPr>
          <w:rFonts w:ascii="Times New Roman" w:hAnsi="Times New Roman"/>
          <w:color w:val="000000" w:themeColor="text1"/>
          <w:sz w:val="24"/>
          <w:szCs w:val="24"/>
          <w:u w:color="000000"/>
        </w:rPr>
        <w:t xml:space="preserve"> s uvedením hodnoty peňažných a nepeňažných príjmov:</w:t>
      </w:r>
    </w:p>
    <w:p w:rsidR="00385B00" w:rsidRDefault="00385B00" w:rsidP="00385B00">
      <w:pPr>
        <w:widowControl/>
        <w:spacing w:line="360" w:lineRule="auto"/>
        <w:jc w:val="both"/>
        <w:rPr>
          <w:rFonts w:ascii="Times New Roman" w:hAnsi="Times New Roman"/>
          <w:color w:val="000000" w:themeColor="text1"/>
          <w:sz w:val="24"/>
          <w:szCs w:val="24"/>
          <w:u w:color="000000"/>
        </w:rPr>
      </w:pPr>
    </w:p>
    <w:p w:rsidR="00385B00" w:rsidRDefault="00385B00" w:rsidP="00385B00">
      <w:pPr>
        <w:widowControl/>
        <w:spacing w:line="360" w:lineRule="auto"/>
        <w:jc w:val="both"/>
        <w:rPr>
          <w:rFonts w:ascii="Times New Roman" w:hAnsi="Times New Roman"/>
          <w:color w:val="000000" w:themeColor="text1"/>
          <w:sz w:val="24"/>
          <w:szCs w:val="24"/>
          <w:u w:color="000000"/>
        </w:rPr>
      </w:pPr>
    </w:p>
    <w:p w:rsidR="00385B00" w:rsidRDefault="00385B00" w:rsidP="00385B00">
      <w:pPr>
        <w:widowControl/>
        <w:spacing w:line="360" w:lineRule="auto"/>
        <w:jc w:val="both"/>
        <w:rPr>
          <w:rFonts w:ascii="Times New Roman" w:hAnsi="Times New Roman"/>
          <w:color w:val="000000" w:themeColor="text1"/>
          <w:sz w:val="24"/>
          <w:szCs w:val="24"/>
          <w:u w:color="000000"/>
        </w:rPr>
      </w:pPr>
    </w:p>
    <w:p w:rsidR="00385B00" w:rsidRDefault="00385B00" w:rsidP="00385B00">
      <w:pPr>
        <w:widowControl/>
        <w:spacing w:line="360" w:lineRule="auto"/>
        <w:jc w:val="both"/>
        <w:rPr>
          <w:rFonts w:ascii="Times New Roman" w:hAnsi="Times New Roman"/>
          <w:color w:val="000000" w:themeColor="text1"/>
          <w:sz w:val="24"/>
          <w:szCs w:val="24"/>
          <w:u w:color="000000"/>
        </w:rPr>
      </w:pPr>
    </w:p>
    <w:p w:rsidR="00385B00" w:rsidRDefault="00385B00" w:rsidP="00385B00">
      <w:pPr>
        <w:widowControl/>
        <w:spacing w:line="360" w:lineRule="auto"/>
        <w:jc w:val="both"/>
        <w:rPr>
          <w:rFonts w:ascii="Times New Roman" w:hAnsi="Times New Roman"/>
          <w:color w:val="000000" w:themeColor="text1"/>
          <w:sz w:val="24"/>
          <w:szCs w:val="24"/>
          <w:u w:color="000000"/>
        </w:rPr>
      </w:pPr>
    </w:p>
    <w:p w:rsidR="00385B00" w:rsidRPr="00C565E2" w:rsidRDefault="00385B00" w:rsidP="00385B00">
      <w:pPr>
        <w:widowControl/>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 xml:space="preserve">v </w:t>
      </w:r>
      <w:r>
        <w:rPr>
          <w:rFonts w:ascii="Times New Roman" w:hAnsi="Times New Roman"/>
          <w:color w:val="000000" w:themeColor="text1"/>
          <w:sz w:val="24"/>
          <w:szCs w:val="24"/>
          <w:u w:color="000000"/>
        </w:rPr>
        <w:t>EUR</w:t>
      </w:r>
    </w:p>
    <w:tbl>
      <w:tblPr>
        <w:tblW w:w="0" w:type="auto"/>
        <w:tblInd w:w="5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559"/>
        <w:gridCol w:w="2693"/>
        <w:gridCol w:w="2835"/>
      </w:tblGrid>
      <w:tr w:rsidR="00385B00" w:rsidRPr="00C565E2" w:rsidTr="007379ED">
        <w:trPr>
          <w:trHeight w:val="20"/>
        </w:trPr>
        <w:tc>
          <w:tcPr>
            <w:tcW w:w="3559" w:type="dxa"/>
            <w:vMerge w:val="restart"/>
            <w:tcBorders>
              <w:top w:val="single" w:sz="4" w:space="0" w:color="auto"/>
              <w:bottom w:val="single" w:sz="4" w:space="0" w:color="auto"/>
              <w:right w:val="single" w:sz="4" w:space="0" w:color="auto"/>
            </w:tcBorders>
            <w:vAlign w:val="center"/>
          </w:tcPr>
          <w:p w:rsidR="00385B00" w:rsidRPr="00C565E2" w:rsidRDefault="00385B00" w:rsidP="007379ED">
            <w:pPr>
              <w:widowControl/>
              <w:jc w:val="center"/>
              <w:rPr>
                <w:rFonts w:ascii="Times New Roman" w:hAnsi="Times New Roman"/>
                <w:b/>
                <w:bCs/>
                <w:color w:val="000000" w:themeColor="text1"/>
                <w:sz w:val="24"/>
                <w:szCs w:val="24"/>
                <w:u w:color="000000"/>
              </w:rPr>
            </w:pPr>
            <w:r w:rsidRPr="00C565E2">
              <w:rPr>
                <w:rFonts w:ascii="Times New Roman" w:hAnsi="Times New Roman"/>
                <w:b/>
                <w:bCs/>
                <w:color w:val="000000" w:themeColor="text1"/>
                <w:sz w:val="24"/>
                <w:szCs w:val="24"/>
                <w:u w:color="000000"/>
              </w:rPr>
              <w:t>Orgány Sociálnej poisťovne</w:t>
            </w:r>
          </w:p>
        </w:tc>
        <w:tc>
          <w:tcPr>
            <w:tcW w:w="5528" w:type="dxa"/>
            <w:gridSpan w:val="2"/>
            <w:tcBorders>
              <w:top w:val="single" w:sz="4" w:space="0" w:color="auto"/>
              <w:left w:val="single" w:sz="4" w:space="0" w:color="auto"/>
              <w:bottom w:val="single" w:sz="4" w:space="0" w:color="auto"/>
            </w:tcBorders>
            <w:vAlign w:val="center"/>
          </w:tcPr>
          <w:p w:rsidR="00385B00" w:rsidRPr="00C565E2" w:rsidRDefault="00385B00" w:rsidP="007379ED">
            <w:pPr>
              <w:widowControl/>
              <w:jc w:val="center"/>
              <w:rPr>
                <w:rFonts w:ascii="Times New Roman" w:hAnsi="Times New Roman"/>
                <w:b/>
                <w:bCs/>
                <w:color w:val="000000" w:themeColor="text1"/>
                <w:sz w:val="24"/>
                <w:szCs w:val="24"/>
                <w:u w:color="000000"/>
              </w:rPr>
            </w:pPr>
            <w:r w:rsidRPr="00C565E2">
              <w:rPr>
                <w:rFonts w:ascii="Times New Roman" w:hAnsi="Times New Roman"/>
                <w:b/>
                <w:bCs/>
                <w:color w:val="000000" w:themeColor="text1"/>
                <w:sz w:val="24"/>
                <w:szCs w:val="24"/>
                <w:u w:color="000000"/>
              </w:rPr>
              <w:t>Obdobie 1.1.</w:t>
            </w:r>
            <w:r>
              <w:rPr>
                <w:rFonts w:ascii="Times New Roman" w:hAnsi="Times New Roman"/>
                <w:b/>
                <w:bCs/>
                <w:color w:val="000000" w:themeColor="text1"/>
                <w:sz w:val="24"/>
                <w:szCs w:val="24"/>
                <w:u w:color="000000"/>
              </w:rPr>
              <w:t>2018</w:t>
            </w:r>
            <w:r w:rsidRPr="00C565E2">
              <w:rPr>
                <w:rFonts w:ascii="Times New Roman" w:hAnsi="Times New Roman"/>
                <w:b/>
                <w:bCs/>
                <w:color w:val="000000" w:themeColor="text1"/>
                <w:sz w:val="24"/>
                <w:szCs w:val="24"/>
                <w:u w:color="000000"/>
              </w:rPr>
              <w:t xml:space="preserve"> - 31.12.</w:t>
            </w:r>
            <w:r>
              <w:rPr>
                <w:rFonts w:ascii="Times New Roman" w:hAnsi="Times New Roman"/>
                <w:b/>
                <w:bCs/>
                <w:color w:val="000000" w:themeColor="text1"/>
                <w:sz w:val="24"/>
                <w:szCs w:val="24"/>
                <w:u w:color="000000"/>
              </w:rPr>
              <w:t>2018</w:t>
            </w:r>
          </w:p>
        </w:tc>
      </w:tr>
      <w:tr w:rsidR="00385B00" w:rsidRPr="00C565E2" w:rsidTr="007379ED">
        <w:trPr>
          <w:trHeight w:val="508"/>
        </w:trPr>
        <w:tc>
          <w:tcPr>
            <w:tcW w:w="3559" w:type="dxa"/>
            <w:vMerge/>
            <w:tcBorders>
              <w:top w:val="single" w:sz="4" w:space="0" w:color="auto"/>
              <w:bottom w:val="single" w:sz="4" w:space="0" w:color="auto"/>
              <w:right w:val="single" w:sz="4" w:space="0" w:color="auto"/>
            </w:tcBorders>
            <w:vAlign w:val="bottom"/>
          </w:tcPr>
          <w:p w:rsidR="00385B00" w:rsidRPr="00C565E2" w:rsidRDefault="00385B00" w:rsidP="007379ED">
            <w:pPr>
              <w:widowControl/>
              <w:rPr>
                <w:rFonts w:ascii="Times New Roman" w:hAnsi="Times New Roman"/>
                <w:b/>
                <w:bCs/>
                <w:color w:val="000000" w:themeColor="text1"/>
                <w:sz w:val="24"/>
                <w:szCs w:val="24"/>
                <w:u w:color="000000"/>
              </w:rPr>
            </w:pPr>
          </w:p>
        </w:tc>
        <w:tc>
          <w:tcPr>
            <w:tcW w:w="2693" w:type="dxa"/>
            <w:tcBorders>
              <w:top w:val="single" w:sz="4" w:space="0" w:color="auto"/>
              <w:left w:val="single" w:sz="4" w:space="0" w:color="auto"/>
              <w:bottom w:val="single" w:sz="4" w:space="0" w:color="auto"/>
              <w:right w:val="single" w:sz="4" w:space="0" w:color="auto"/>
            </w:tcBorders>
            <w:vAlign w:val="bottom"/>
          </w:tcPr>
          <w:p w:rsidR="00385B00" w:rsidRPr="00C565E2" w:rsidRDefault="00385B00" w:rsidP="007379ED">
            <w:pPr>
              <w:widowControl/>
              <w:jc w:val="center"/>
              <w:rPr>
                <w:rFonts w:ascii="Times New Roman" w:hAnsi="Times New Roman"/>
                <w:b/>
                <w:bCs/>
                <w:color w:val="000000" w:themeColor="text1"/>
                <w:sz w:val="24"/>
                <w:szCs w:val="24"/>
                <w:u w:color="000000"/>
              </w:rPr>
            </w:pPr>
            <w:r w:rsidRPr="00C565E2">
              <w:rPr>
                <w:rFonts w:ascii="Times New Roman" w:hAnsi="Times New Roman"/>
                <w:b/>
                <w:bCs/>
                <w:color w:val="000000" w:themeColor="text1"/>
                <w:sz w:val="24"/>
                <w:szCs w:val="24"/>
                <w:u w:color="000000"/>
              </w:rPr>
              <w:t>peňažné príjmy</w:t>
            </w:r>
          </w:p>
        </w:tc>
        <w:tc>
          <w:tcPr>
            <w:tcW w:w="2835" w:type="dxa"/>
            <w:tcBorders>
              <w:top w:val="single" w:sz="4" w:space="0" w:color="auto"/>
              <w:left w:val="single" w:sz="4" w:space="0" w:color="auto"/>
              <w:bottom w:val="single" w:sz="4" w:space="0" w:color="auto"/>
            </w:tcBorders>
            <w:vAlign w:val="bottom"/>
          </w:tcPr>
          <w:p w:rsidR="00385B00" w:rsidRPr="00C565E2" w:rsidRDefault="00385B00" w:rsidP="007379ED">
            <w:pPr>
              <w:widowControl/>
              <w:jc w:val="center"/>
              <w:rPr>
                <w:rFonts w:ascii="Times New Roman" w:hAnsi="Times New Roman"/>
                <w:b/>
                <w:bCs/>
                <w:color w:val="000000" w:themeColor="text1"/>
                <w:sz w:val="24"/>
                <w:szCs w:val="24"/>
                <w:u w:color="000000"/>
              </w:rPr>
            </w:pPr>
            <w:r w:rsidRPr="00C565E2">
              <w:rPr>
                <w:rFonts w:ascii="Times New Roman" w:hAnsi="Times New Roman"/>
                <w:b/>
                <w:bCs/>
                <w:color w:val="000000" w:themeColor="text1"/>
                <w:sz w:val="24"/>
                <w:szCs w:val="24"/>
                <w:u w:color="000000"/>
              </w:rPr>
              <w:t xml:space="preserve">nepeňažné príjmy </w:t>
            </w:r>
          </w:p>
        </w:tc>
      </w:tr>
      <w:tr w:rsidR="00385B00" w:rsidRPr="00C565E2" w:rsidTr="007379ED">
        <w:trPr>
          <w:trHeight w:val="20"/>
        </w:trPr>
        <w:tc>
          <w:tcPr>
            <w:tcW w:w="3559" w:type="dxa"/>
            <w:tcBorders>
              <w:top w:val="single" w:sz="4" w:space="0" w:color="auto"/>
              <w:bottom w:val="single" w:sz="4" w:space="0" w:color="auto"/>
              <w:right w:val="single" w:sz="4" w:space="0" w:color="auto"/>
            </w:tcBorders>
            <w:vAlign w:val="bottom"/>
          </w:tcPr>
          <w:p w:rsidR="00385B00" w:rsidRPr="00C565E2" w:rsidRDefault="00385B00" w:rsidP="007379ED">
            <w:pPr>
              <w:widowControl/>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Štatutárny zástupca</w:t>
            </w:r>
          </w:p>
        </w:tc>
        <w:tc>
          <w:tcPr>
            <w:tcW w:w="2693" w:type="dxa"/>
            <w:tcBorders>
              <w:top w:val="single" w:sz="4" w:space="0" w:color="auto"/>
              <w:left w:val="single" w:sz="4" w:space="0" w:color="auto"/>
              <w:bottom w:val="single" w:sz="4" w:space="0" w:color="auto"/>
              <w:right w:val="single" w:sz="4" w:space="0" w:color="auto"/>
            </w:tcBorders>
            <w:vAlign w:val="bottom"/>
          </w:tcPr>
          <w:p w:rsidR="00385B00" w:rsidRPr="00C565E2" w:rsidRDefault="00385B00" w:rsidP="007379ED">
            <w:pPr>
              <w:widowControl/>
              <w:ind w:right="214"/>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6 131,64</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p>
        </w:tc>
        <w:tc>
          <w:tcPr>
            <w:tcW w:w="2835" w:type="dxa"/>
            <w:tcBorders>
              <w:top w:val="single" w:sz="4" w:space="0" w:color="auto"/>
              <w:left w:val="single" w:sz="4" w:space="0" w:color="auto"/>
              <w:bottom w:val="single" w:sz="4" w:space="0" w:color="auto"/>
            </w:tcBorders>
            <w:vAlign w:val="bottom"/>
          </w:tcPr>
          <w:p w:rsidR="00385B00" w:rsidRPr="00C565E2" w:rsidRDefault="00385B00" w:rsidP="007379ED">
            <w:pPr>
              <w:widowControl/>
              <w:ind w:right="214"/>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 xml:space="preserve">0,00 </w:t>
            </w:r>
            <w:r>
              <w:rPr>
                <w:rFonts w:ascii="Times New Roman" w:hAnsi="Times New Roman"/>
                <w:color w:val="000000" w:themeColor="text1"/>
                <w:sz w:val="24"/>
                <w:szCs w:val="24"/>
                <w:u w:color="000000"/>
              </w:rPr>
              <w:t>EUR</w:t>
            </w:r>
          </w:p>
        </w:tc>
      </w:tr>
      <w:tr w:rsidR="00385B00" w:rsidRPr="00C565E2" w:rsidTr="007379ED">
        <w:trPr>
          <w:trHeight w:val="20"/>
        </w:trPr>
        <w:tc>
          <w:tcPr>
            <w:tcW w:w="3559" w:type="dxa"/>
            <w:tcBorders>
              <w:top w:val="single" w:sz="4" w:space="0" w:color="auto"/>
              <w:bottom w:val="single" w:sz="4" w:space="0" w:color="auto"/>
              <w:right w:val="single" w:sz="4" w:space="0" w:color="auto"/>
            </w:tcBorders>
            <w:vAlign w:val="bottom"/>
          </w:tcPr>
          <w:p w:rsidR="00385B00" w:rsidRPr="00C565E2" w:rsidRDefault="00385B00" w:rsidP="007379ED">
            <w:pPr>
              <w:widowControl/>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Členovia dozornej rady</w:t>
            </w:r>
          </w:p>
        </w:tc>
        <w:tc>
          <w:tcPr>
            <w:tcW w:w="2693" w:type="dxa"/>
            <w:tcBorders>
              <w:top w:val="single" w:sz="4" w:space="0" w:color="auto"/>
              <w:left w:val="single" w:sz="4" w:space="0" w:color="auto"/>
              <w:bottom w:val="single" w:sz="4" w:space="0" w:color="auto"/>
              <w:right w:val="single" w:sz="4" w:space="0" w:color="auto"/>
            </w:tcBorders>
            <w:vAlign w:val="bottom"/>
          </w:tcPr>
          <w:p w:rsidR="00385B00" w:rsidRPr="00C565E2" w:rsidRDefault="00385B00" w:rsidP="007379ED">
            <w:pPr>
              <w:widowControl/>
              <w:ind w:right="214"/>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121 348,80</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p>
        </w:tc>
        <w:tc>
          <w:tcPr>
            <w:tcW w:w="2835" w:type="dxa"/>
            <w:tcBorders>
              <w:top w:val="single" w:sz="4" w:space="0" w:color="auto"/>
              <w:left w:val="single" w:sz="4" w:space="0" w:color="auto"/>
              <w:bottom w:val="single" w:sz="4" w:space="0" w:color="auto"/>
            </w:tcBorders>
            <w:vAlign w:val="bottom"/>
          </w:tcPr>
          <w:p w:rsidR="00385B00" w:rsidRPr="00C565E2" w:rsidRDefault="00385B00" w:rsidP="007379ED">
            <w:pPr>
              <w:widowControl/>
              <w:ind w:right="214"/>
              <w:jc w:val="right"/>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 xml:space="preserve">0,00 </w:t>
            </w:r>
            <w:r>
              <w:rPr>
                <w:rFonts w:ascii="Times New Roman" w:hAnsi="Times New Roman"/>
                <w:color w:val="000000" w:themeColor="text1"/>
                <w:sz w:val="24"/>
                <w:szCs w:val="24"/>
                <w:u w:color="000000"/>
              </w:rPr>
              <w:t>EUR</w:t>
            </w:r>
          </w:p>
        </w:tc>
      </w:tr>
      <w:tr w:rsidR="00385B00" w:rsidRPr="00C565E2" w:rsidTr="007379ED">
        <w:trPr>
          <w:trHeight w:val="20"/>
        </w:trPr>
        <w:tc>
          <w:tcPr>
            <w:tcW w:w="3559" w:type="dxa"/>
            <w:tcBorders>
              <w:top w:val="single" w:sz="4" w:space="0" w:color="auto"/>
              <w:bottom w:val="single" w:sz="4" w:space="0" w:color="auto"/>
              <w:right w:val="single" w:sz="4" w:space="0" w:color="auto"/>
            </w:tcBorders>
            <w:vAlign w:val="bottom"/>
          </w:tcPr>
          <w:p w:rsidR="00385B00" w:rsidRPr="00C565E2" w:rsidRDefault="00385B00" w:rsidP="007379ED">
            <w:pPr>
              <w:widowControl/>
              <w:rPr>
                <w:rFonts w:ascii="Times New Roman" w:hAnsi="Times New Roman"/>
                <w:color w:val="000000" w:themeColor="text1"/>
                <w:sz w:val="24"/>
                <w:szCs w:val="24"/>
                <w:u w:color="000000"/>
              </w:rPr>
            </w:pPr>
            <w:r w:rsidRPr="00C565E2">
              <w:rPr>
                <w:rFonts w:ascii="Times New Roman" w:hAnsi="Times New Roman"/>
                <w:color w:val="000000" w:themeColor="text1"/>
                <w:sz w:val="24"/>
                <w:szCs w:val="24"/>
                <w:u w:color="000000"/>
              </w:rPr>
              <w:t>Riaditelia pobočiek</w:t>
            </w:r>
          </w:p>
        </w:tc>
        <w:tc>
          <w:tcPr>
            <w:tcW w:w="2693" w:type="dxa"/>
            <w:tcBorders>
              <w:top w:val="single" w:sz="4" w:space="0" w:color="auto"/>
              <w:left w:val="single" w:sz="4" w:space="0" w:color="auto"/>
              <w:bottom w:val="single" w:sz="4" w:space="0" w:color="auto"/>
              <w:right w:val="single" w:sz="4" w:space="0" w:color="auto"/>
            </w:tcBorders>
            <w:vAlign w:val="bottom"/>
          </w:tcPr>
          <w:p w:rsidR="00385B00" w:rsidRPr="00C565E2" w:rsidRDefault="00385B00" w:rsidP="007379ED">
            <w:pPr>
              <w:widowControl/>
              <w:ind w:right="214"/>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1 102 228,78</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p>
        </w:tc>
        <w:tc>
          <w:tcPr>
            <w:tcW w:w="2835" w:type="dxa"/>
            <w:tcBorders>
              <w:top w:val="single" w:sz="4" w:space="0" w:color="auto"/>
              <w:left w:val="single" w:sz="4" w:space="0" w:color="auto"/>
              <w:bottom w:val="single" w:sz="4" w:space="0" w:color="auto"/>
            </w:tcBorders>
            <w:vAlign w:val="bottom"/>
          </w:tcPr>
          <w:p w:rsidR="00385B00" w:rsidRPr="00C565E2" w:rsidRDefault="00385B00" w:rsidP="007379ED">
            <w:pPr>
              <w:widowControl/>
              <w:ind w:right="214"/>
              <w:jc w:val="right"/>
              <w:rPr>
                <w:rFonts w:ascii="Times New Roman" w:hAnsi="Times New Roman"/>
                <w:color w:val="000000" w:themeColor="text1"/>
                <w:sz w:val="24"/>
                <w:szCs w:val="24"/>
                <w:u w:color="000000"/>
              </w:rPr>
            </w:pPr>
            <w:r>
              <w:rPr>
                <w:rFonts w:ascii="Times New Roman" w:hAnsi="Times New Roman"/>
                <w:color w:val="000000" w:themeColor="text1"/>
                <w:sz w:val="24"/>
                <w:szCs w:val="24"/>
                <w:u w:color="000000"/>
              </w:rPr>
              <w:t>1 782,55</w:t>
            </w:r>
            <w:r w:rsidRPr="00C565E2">
              <w:rPr>
                <w:rFonts w:ascii="Times New Roman" w:hAnsi="Times New Roman"/>
                <w:color w:val="000000" w:themeColor="text1"/>
                <w:sz w:val="24"/>
                <w:szCs w:val="24"/>
                <w:u w:color="000000"/>
              </w:rPr>
              <w:t xml:space="preserve"> </w:t>
            </w:r>
            <w:r>
              <w:rPr>
                <w:rFonts w:ascii="Times New Roman" w:hAnsi="Times New Roman"/>
                <w:color w:val="000000" w:themeColor="text1"/>
                <w:sz w:val="24"/>
                <w:szCs w:val="24"/>
                <w:u w:color="000000"/>
              </w:rPr>
              <w:t>EUR</w:t>
            </w:r>
          </w:p>
        </w:tc>
      </w:tr>
      <w:tr w:rsidR="00385B00" w:rsidRPr="00C565E2" w:rsidTr="007379ED">
        <w:trPr>
          <w:trHeight w:val="20"/>
        </w:trPr>
        <w:tc>
          <w:tcPr>
            <w:tcW w:w="3559" w:type="dxa"/>
            <w:tcBorders>
              <w:top w:val="single" w:sz="4" w:space="0" w:color="auto"/>
              <w:bottom w:val="single" w:sz="4" w:space="0" w:color="auto"/>
              <w:right w:val="single" w:sz="4" w:space="0" w:color="auto"/>
            </w:tcBorders>
            <w:vAlign w:val="bottom"/>
          </w:tcPr>
          <w:p w:rsidR="00385B00" w:rsidRPr="00C565E2" w:rsidRDefault="00385B00" w:rsidP="007379ED">
            <w:pPr>
              <w:widowControl/>
              <w:rPr>
                <w:rFonts w:ascii="Times New Roman" w:hAnsi="Times New Roman"/>
                <w:b/>
                <w:bCs/>
                <w:color w:val="000000" w:themeColor="text1"/>
                <w:sz w:val="24"/>
                <w:szCs w:val="24"/>
                <w:u w:color="000000"/>
              </w:rPr>
            </w:pPr>
            <w:r w:rsidRPr="00C565E2">
              <w:rPr>
                <w:rFonts w:ascii="Times New Roman" w:hAnsi="Times New Roman"/>
                <w:b/>
                <w:bCs/>
                <w:color w:val="000000" w:themeColor="text1"/>
                <w:sz w:val="24"/>
                <w:szCs w:val="24"/>
                <w:u w:color="000000"/>
              </w:rPr>
              <w:t>PRÍJMY SPOLU</w:t>
            </w:r>
          </w:p>
        </w:tc>
        <w:tc>
          <w:tcPr>
            <w:tcW w:w="2693" w:type="dxa"/>
            <w:tcBorders>
              <w:top w:val="single" w:sz="4" w:space="0" w:color="auto"/>
              <w:left w:val="single" w:sz="4" w:space="0" w:color="auto"/>
              <w:bottom w:val="single" w:sz="4" w:space="0" w:color="auto"/>
              <w:right w:val="single" w:sz="4" w:space="0" w:color="auto"/>
            </w:tcBorders>
            <w:vAlign w:val="bottom"/>
          </w:tcPr>
          <w:p w:rsidR="00385B00" w:rsidRPr="00C565E2" w:rsidRDefault="00385B00" w:rsidP="007379ED">
            <w:pPr>
              <w:widowControl/>
              <w:ind w:right="214"/>
              <w:jc w:val="right"/>
              <w:rPr>
                <w:rFonts w:ascii="Times New Roman" w:hAnsi="Times New Roman"/>
                <w:b/>
                <w:bCs/>
                <w:color w:val="000000" w:themeColor="text1"/>
                <w:sz w:val="24"/>
                <w:szCs w:val="24"/>
                <w:u w:color="000000"/>
              </w:rPr>
            </w:pPr>
            <w:r>
              <w:rPr>
                <w:rFonts w:ascii="Times New Roman" w:hAnsi="Times New Roman"/>
                <w:b/>
                <w:bCs/>
                <w:color w:val="000000" w:themeColor="text1"/>
                <w:sz w:val="24"/>
                <w:szCs w:val="24"/>
                <w:u w:color="000000"/>
              </w:rPr>
              <w:t>1 229 709,22</w:t>
            </w:r>
            <w:r w:rsidRPr="00C565E2">
              <w:rPr>
                <w:rFonts w:ascii="Times New Roman" w:hAnsi="Times New Roman"/>
                <w:b/>
                <w:bCs/>
                <w:color w:val="000000" w:themeColor="text1"/>
                <w:sz w:val="24"/>
                <w:szCs w:val="24"/>
                <w:u w:color="000000"/>
              </w:rPr>
              <w:t xml:space="preserve"> </w:t>
            </w:r>
            <w:r>
              <w:rPr>
                <w:rFonts w:ascii="Times New Roman" w:hAnsi="Times New Roman"/>
                <w:b/>
                <w:bCs/>
                <w:color w:val="000000" w:themeColor="text1"/>
                <w:sz w:val="24"/>
                <w:szCs w:val="24"/>
                <w:u w:color="000000"/>
              </w:rPr>
              <w:t>EUR</w:t>
            </w:r>
          </w:p>
        </w:tc>
        <w:tc>
          <w:tcPr>
            <w:tcW w:w="2835" w:type="dxa"/>
            <w:tcBorders>
              <w:top w:val="single" w:sz="4" w:space="0" w:color="auto"/>
              <w:left w:val="single" w:sz="4" w:space="0" w:color="auto"/>
              <w:bottom w:val="single" w:sz="4" w:space="0" w:color="auto"/>
            </w:tcBorders>
            <w:vAlign w:val="bottom"/>
          </w:tcPr>
          <w:p w:rsidR="00385B00" w:rsidRPr="00C565E2" w:rsidRDefault="00385B00" w:rsidP="007379ED">
            <w:pPr>
              <w:widowControl/>
              <w:ind w:right="214"/>
              <w:jc w:val="right"/>
              <w:rPr>
                <w:rFonts w:ascii="Times New Roman" w:hAnsi="Times New Roman"/>
                <w:b/>
                <w:bCs/>
                <w:color w:val="000000" w:themeColor="text1"/>
                <w:sz w:val="24"/>
                <w:szCs w:val="24"/>
                <w:u w:color="000000"/>
              </w:rPr>
            </w:pPr>
            <w:r>
              <w:rPr>
                <w:rFonts w:ascii="Times New Roman" w:hAnsi="Times New Roman"/>
                <w:b/>
                <w:bCs/>
                <w:color w:val="000000" w:themeColor="text1"/>
                <w:sz w:val="24"/>
                <w:szCs w:val="24"/>
                <w:u w:color="000000"/>
              </w:rPr>
              <w:t>1 782,55</w:t>
            </w:r>
            <w:r w:rsidRPr="00C565E2">
              <w:rPr>
                <w:rFonts w:ascii="Times New Roman" w:hAnsi="Times New Roman"/>
                <w:b/>
                <w:bCs/>
                <w:color w:val="000000" w:themeColor="text1"/>
                <w:sz w:val="24"/>
                <w:szCs w:val="24"/>
                <w:u w:color="000000"/>
              </w:rPr>
              <w:t xml:space="preserve"> </w:t>
            </w:r>
            <w:r>
              <w:rPr>
                <w:rFonts w:ascii="Times New Roman" w:hAnsi="Times New Roman"/>
                <w:b/>
                <w:bCs/>
                <w:color w:val="000000" w:themeColor="text1"/>
                <w:sz w:val="24"/>
                <w:szCs w:val="24"/>
                <w:u w:color="000000"/>
              </w:rPr>
              <w:t>EUR</w:t>
            </w:r>
          </w:p>
        </w:tc>
      </w:tr>
    </w:tbl>
    <w:p w:rsidR="00385B00" w:rsidRDefault="00385B00" w:rsidP="00385B00">
      <w:pPr>
        <w:keepNext/>
        <w:widowControl/>
        <w:autoSpaceDE/>
        <w:autoSpaceDN/>
        <w:adjustRightInd/>
        <w:spacing w:line="360" w:lineRule="auto"/>
        <w:contextualSpacing/>
        <w:jc w:val="center"/>
        <w:outlineLvl w:val="0"/>
        <w:rPr>
          <w:rFonts w:ascii="Times New Roman" w:hAnsi="Times New Roman"/>
          <w:b/>
          <w:bCs/>
          <w:sz w:val="24"/>
          <w:szCs w:val="24"/>
        </w:rPr>
      </w:pPr>
    </w:p>
    <w:p w:rsidR="00385B00" w:rsidRPr="00C075CD" w:rsidRDefault="00385B00" w:rsidP="00385B00">
      <w:pPr>
        <w:keepNext/>
        <w:widowControl/>
        <w:autoSpaceDE/>
        <w:autoSpaceDN/>
        <w:adjustRightInd/>
        <w:spacing w:line="360" w:lineRule="auto"/>
        <w:contextualSpacing/>
        <w:jc w:val="center"/>
        <w:outlineLvl w:val="0"/>
        <w:rPr>
          <w:rFonts w:ascii="Times New Roman" w:hAnsi="Times New Roman"/>
          <w:b/>
          <w:bCs/>
          <w:sz w:val="24"/>
          <w:szCs w:val="24"/>
        </w:rPr>
      </w:pPr>
      <w:r w:rsidRPr="002F3CF2">
        <w:rPr>
          <w:rFonts w:ascii="Times New Roman" w:hAnsi="Times New Roman"/>
          <w:b/>
          <w:bCs/>
          <w:sz w:val="24"/>
          <w:szCs w:val="24"/>
        </w:rPr>
        <w:t>Čl. VIII</w:t>
      </w:r>
    </w:p>
    <w:p w:rsidR="00385B00" w:rsidRPr="002F3CF2" w:rsidRDefault="00385B00" w:rsidP="00385B00">
      <w:pPr>
        <w:keepNext/>
        <w:widowControl/>
        <w:autoSpaceDE/>
        <w:autoSpaceDN/>
        <w:adjustRightInd/>
        <w:spacing w:line="360" w:lineRule="auto"/>
        <w:contextualSpacing/>
        <w:jc w:val="center"/>
        <w:outlineLvl w:val="1"/>
        <w:rPr>
          <w:rFonts w:ascii="Times New Roman" w:hAnsi="Times New Roman"/>
          <w:b/>
          <w:bCs/>
          <w:iCs/>
          <w:sz w:val="24"/>
          <w:szCs w:val="24"/>
          <w:lang w:eastAsia="cs-CZ"/>
        </w:rPr>
      </w:pPr>
      <w:r w:rsidRPr="002F3CF2">
        <w:rPr>
          <w:rFonts w:ascii="Times New Roman" w:hAnsi="Times New Roman"/>
          <w:b/>
          <w:bCs/>
          <w:iCs/>
          <w:sz w:val="24"/>
          <w:szCs w:val="24"/>
          <w:lang w:eastAsia="cs-CZ"/>
        </w:rPr>
        <w:t>Informácie o rozpočte a hodnotenie plnenia rozpočtu</w:t>
      </w:r>
    </w:p>
    <w:p w:rsidR="00385B00" w:rsidRPr="002F3CF2" w:rsidRDefault="00385B00" w:rsidP="00385B00">
      <w:pPr>
        <w:widowControl/>
        <w:autoSpaceDE/>
        <w:autoSpaceDN/>
        <w:adjustRightInd/>
        <w:spacing w:line="360" w:lineRule="auto"/>
        <w:ind w:left="1440"/>
        <w:jc w:val="both"/>
        <w:rPr>
          <w:rFonts w:ascii="Times New Roman" w:hAnsi="Times New Roman"/>
          <w:sz w:val="24"/>
          <w:szCs w:val="24"/>
          <w:lang w:eastAsia="cs-CZ"/>
        </w:rPr>
      </w:pPr>
    </w:p>
    <w:p w:rsidR="00385B00" w:rsidRPr="002F3CF2" w:rsidRDefault="00385B00" w:rsidP="00385B00">
      <w:pPr>
        <w:widowControl/>
        <w:autoSpaceDE/>
        <w:autoSpaceDN/>
        <w:adjustRightInd/>
        <w:spacing w:line="360" w:lineRule="auto"/>
        <w:jc w:val="both"/>
        <w:rPr>
          <w:rFonts w:ascii="Times New Roman" w:hAnsi="Times New Roman"/>
          <w:b/>
          <w:bCs/>
          <w:sz w:val="24"/>
          <w:szCs w:val="24"/>
        </w:rPr>
      </w:pPr>
      <w:r w:rsidRPr="002F3CF2">
        <w:rPr>
          <w:rFonts w:ascii="Times New Roman" w:hAnsi="Times New Roman"/>
          <w:b/>
          <w:bCs/>
          <w:sz w:val="24"/>
          <w:szCs w:val="24"/>
        </w:rPr>
        <w:t>Plnenie rozpočtu príjmov a výdavkov Sociálnej poisťovne a tvorba fondov k 31. 12. 2018</w:t>
      </w:r>
    </w:p>
    <w:p w:rsidR="00385B00" w:rsidRPr="002F3CF2" w:rsidRDefault="00385B00" w:rsidP="00385B00">
      <w:pPr>
        <w:widowControl/>
        <w:autoSpaceDE/>
        <w:autoSpaceDN/>
        <w:adjustRightInd/>
        <w:spacing w:before="240" w:after="120" w:line="360" w:lineRule="auto"/>
        <w:ind w:firstLine="709"/>
        <w:jc w:val="both"/>
        <w:rPr>
          <w:rFonts w:ascii="Times New Roman" w:hAnsi="Times New Roman"/>
          <w:bCs/>
          <w:sz w:val="24"/>
          <w:szCs w:val="24"/>
        </w:rPr>
      </w:pPr>
      <w:r w:rsidRPr="002F3CF2">
        <w:rPr>
          <w:rFonts w:ascii="Times New Roman" w:hAnsi="Times New Roman"/>
          <w:bCs/>
          <w:sz w:val="24"/>
          <w:szCs w:val="24"/>
        </w:rPr>
        <w:t>Plnenie rozpočtu príjmov a výdavkov (nákladov) Sociálnej poisťovne a tvorba fondov je uvedené v tabuľke č. 10</w:t>
      </w:r>
      <w:r>
        <w:rPr>
          <w:rFonts w:ascii="Times New Roman" w:hAnsi="Times New Roman"/>
          <w:bCs/>
          <w:sz w:val="24"/>
          <w:szCs w:val="24"/>
        </w:rPr>
        <w:t>a a č. 10b</w:t>
      </w:r>
      <w:r w:rsidRPr="002F3CF2">
        <w:rPr>
          <w:rFonts w:ascii="Times New Roman" w:hAnsi="Times New Roman"/>
          <w:bCs/>
          <w:sz w:val="24"/>
          <w:szCs w:val="24"/>
        </w:rPr>
        <w:t xml:space="preserve"> „Plnenie rozpočtu príjmov, výdavkov a tvorba fondov Sociálnej poisťovne k 31. 12. 2018“. </w:t>
      </w:r>
    </w:p>
    <w:p w:rsidR="00385B00" w:rsidRPr="002F3CF2" w:rsidRDefault="00385B00" w:rsidP="00385B00">
      <w:pPr>
        <w:widowControl/>
        <w:autoSpaceDE/>
        <w:autoSpaceDN/>
        <w:adjustRightInd/>
        <w:spacing w:before="240" w:after="120" w:line="360" w:lineRule="auto"/>
        <w:ind w:firstLine="709"/>
        <w:jc w:val="both"/>
        <w:rPr>
          <w:rFonts w:ascii="Times New Roman" w:hAnsi="Times New Roman"/>
          <w:bCs/>
          <w:sz w:val="24"/>
          <w:szCs w:val="24"/>
        </w:rPr>
      </w:pPr>
      <w:r w:rsidRPr="002F3CF2">
        <w:rPr>
          <w:rFonts w:ascii="Times New Roman" w:hAnsi="Times New Roman"/>
          <w:bCs/>
          <w:sz w:val="24"/>
          <w:szCs w:val="24"/>
        </w:rPr>
        <w:t xml:space="preserve">Prehľad o plnení rozpočtu príjmov a výdavkov (nákladov) správneho fondu prezentuje tabuľka č. 11 „Plnenie rozpočtu príjmov a výdavkov (nákladov) správneho fondu“. </w:t>
      </w:r>
    </w:p>
    <w:p w:rsidR="00385B00" w:rsidRPr="002F3CF2" w:rsidRDefault="00385B00" w:rsidP="00385B00">
      <w:pPr>
        <w:widowControl/>
        <w:autoSpaceDE/>
        <w:autoSpaceDN/>
        <w:adjustRightInd/>
        <w:spacing w:before="240" w:after="120" w:line="360" w:lineRule="auto"/>
        <w:ind w:firstLine="709"/>
        <w:jc w:val="both"/>
        <w:rPr>
          <w:rFonts w:ascii="Times New Roman" w:hAnsi="Times New Roman"/>
          <w:sz w:val="24"/>
          <w:szCs w:val="24"/>
          <w:lang w:eastAsia="cs-CZ"/>
        </w:rPr>
      </w:pPr>
      <w:r w:rsidRPr="002F3CF2">
        <w:rPr>
          <w:rFonts w:ascii="Times New Roman" w:hAnsi="Times New Roman"/>
          <w:sz w:val="24"/>
          <w:szCs w:val="24"/>
          <w:lang w:eastAsia="cs-CZ"/>
        </w:rPr>
        <w:t>Prehľad o príspevkoch na starobné dôchodkové sporenie je uvedený v tabuľke č. 12  „Príspevky na starobné dôchodkové sporenie“.</w:t>
      </w:r>
    </w:p>
    <w:p w:rsidR="00385B00" w:rsidRPr="002F3CF2" w:rsidRDefault="00385B00" w:rsidP="00385B00">
      <w:pPr>
        <w:widowControl/>
        <w:tabs>
          <w:tab w:val="decimal" w:pos="8647"/>
        </w:tabs>
        <w:autoSpaceDE/>
        <w:autoSpaceDN/>
        <w:adjustRightInd/>
        <w:spacing w:before="240" w:after="120" w:line="360" w:lineRule="auto"/>
        <w:ind w:firstLine="709"/>
        <w:jc w:val="both"/>
        <w:rPr>
          <w:rFonts w:ascii="Times New Roman" w:hAnsi="Times New Roman"/>
          <w:sz w:val="24"/>
          <w:szCs w:val="24"/>
        </w:rPr>
      </w:pPr>
      <w:r w:rsidRPr="002F3CF2">
        <w:rPr>
          <w:rFonts w:ascii="Times New Roman" w:hAnsi="Times New Roman"/>
          <w:b/>
          <w:sz w:val="24"/>
          <w:szCs w:val="24"/>
        </w:rPr>
        <w:t>Príjmy Sociálnej poisťovne</w:t>
      </w:r>
      <w:r w:rsidRPr="002F3CF2">
        <w:rPr>
          <w:rFonts w:ascii="Times New Roman" w:hAnsi="Times New Roman"/>
          <w:sz w:val="24"/>
          <w:szCs w:val="24"/>
        </w:rPr>
        <w:t xml:space="preserve">, t. j. finančné prostriedky z poistného, pokút a penále a ostatné príjmy, vrátane finančných prostriedkov zo </w:t>
      </w:r>
      <w:r w:rsidRPr="002F3CF2">
        <w:rPr>
          <w:rFonts w:ascii="Times New Roman" w:hAnsi="Times New Roman"/>
          <w:sz w:val="24"/>
          <w:szCs w:val="24"/>
          <w:lang w:eastAsia="cs-CZ"/>
        </w:rPr>
        <w:t>štátneho rozpočtu Slovenskej republiky (ŠR SR)</w:t>
      </w:r>
      <w:r w:rsidRPr="002F3CF2">
        <w:rPr>
          <w:rFonts w:ascii="Times New Roman" w:hAnsi="Times New Roman"/>
          <w:sz w:val="24"/>
          <w:szCs w:val="24"/>
        </w:rPr>
        <w:t xml:space="preserve">, v  roku 2018 predstavovali </w:t>
      </w:r>
      <w:r w:rsidRPr="002F3CF2">
        <w:rPr>
          <w:rFonts w:ascii="Times New Roman" w:hAnsi="Times New Roman"/>
          <w:sz w:val="24"/>
          <w:szCs w:val="24"/>
        </w:rPr>
        <w:tab/>
      </w:r>
      <w:r w:rsidRPr="002F3CF2">
        <w:rPr>
          <w:rFonts w:ascii="Times New Roman" w:hAnsi="Times New Roman"/>
          <w:b/>
          <w:sz w:val="24"/>
          <w:szCs w:val="24"/>
        </w:rPr>
        <w:t>8 213 289 tis. EUR,</w:t>
      </w:r>
      <w:r w:rsidRPr="002F3CF2">
        <w:rPr>
          <w:rFonts w:ascii="Times New Roman" w:hAnsi="Times New Roman"/>
          <w:sz w:val="24"/>
          <w:szCs w:val="24"/>
        </w:rPr>
        <w:t xml:space="preserve"> čo je 102,70 %-</w:t>
      </w:r>
      <w:proofErr w:type="spellStart"/>
      <w:r w:rsidRPr="002F3CF2">
        <w:rPr>
          <w:rFonts w:ascii="Times New Roman" w:hAnsi="Times New Roman"/>
          <w:sz w:val="24"/>
          <w:szCs w:val="24"/>
        </w:rPr>
        <w:t>né</w:t>
      </w:r>
      <w:proofErr w:type="spellEnd"/>
      <w:r w:rsidRPr="002F3CF2">
        <w:rPr>
          <w:rFonts w:ascii="Times New Roman" w:hAnsi="Times New Roman"/>
          <w:sz w:val="24"/>
          <w:szCs w:val="24"/>
        </w:rPr>
        <w:t xml:space="preserve"> plnenie schváleného rozpočtu na rok 2018 v</w:t>
      </w:r>
      <w:r>
        <w:rPr>
          <w:rFonts w:ascii="Times New Roman" w:hAnsi="Times New Roman"/>
          <w:sz w:val="24"/>
          <w:szCs w:val="24"/>
        </w:rPr>
        <w:t> </w:t>
      </w:r>
      <w:r w:rsidRPr="002F3CF2">
        <w:rPr>
          <w:rFonts w:ascii="Times New Roman" w:hAnsi="Times New Roman"/>
          <w:sz w:val="24"/>
          <w:szCs w:val="24"/>
        </w:rPr>
        <w:t>sume</w:t>
      </w:r>
      <w:r>
        <w:rPr>
          <w:rFonts w:ascii="Times New Roman" w:hAnsi="Times New Roman"/>
          <w:sz w:val="24"/>
          <w:szCs w:val="24"/>
        </w:rPr>
        <w:t xml:space="preserve"> </w:t>
      </w:r>
      <w:r w:rsidRPr="002F3CF2">
        <w:rPr>
          <w:rFonts w:ascii="Times New Roman" w:hAnsi="Times New Roman"/>
          <w:sz w:val="24"/>
          <w:szCs w:val="24"/>
        </w:rPr>
        <w:t>7 997 210 tis. EUR.</w:t>
      </w:r>
    </w:p>
    <w:p w:rsidR="00385B00" w:rsidRDefault="00385B00" w:rsidP="00385B00">
      <w:pPr>
        <w:widowControl/>
        <w:tabs>
          <w:tab w:val="left" w:pos="4680"/>
          <w:tab w:val="decimal" w:pos="8080"/>
        </w:tabs>
        <w:autoSpaceDE/>
        <w:autoSpaceDN/>
        <w:adjustRightInd/>
        <w:spacing w:before="240" w:line="360" w:lineRule="auto"/>
        <w:ind w:firstLine="720"/>
        <w:jc w:val="both"/>
        <w:rPr>
          <w:rFonts w:ascii="Times New Roman" w:hAnsi="Times New Roman"/>
          <w:sz w:val="24"/>
          <w:szCs w:val="24"/>
          <w:lang w:eastAsia="cs-CZ"/>
        </w:rPr>
      </w:pPr>
      <w:r w:rsidRPr="002F3CF2">
        <w:rPr>
          <w:rFonts w:ascii="Times New Roman" w:hAnsi="Times New Roman"/>
          <w:sz w:val="24"/>
          <w:szCs w:val="24"/>
          <w:lang w:eastAsia="cs-CZ"/>
        </w:rPr>
        <w:t>Štruktúra skutočných príjmov Sociálnej poisťovne v roku 2018 a ich porovnanie so</w:t>
      </w:r>
      <w:r>
        <w:rPr>
          <w:rFonts w:ascii="Times New Roman" w:hAnsi="Times New Roman"/>
          <w:sz w:val="24"/>
          <w:szCs w:val="24"/>
          <w:lang w:eastAsia="cs-CZ"/>
        </w:rPr>
        <w:t> </w:t>
      </w:r>
      <w:r w:rsidRPr="002F3CF2">
        <w:rPr>
          <w:rFonts w:ascii="Times New Roman" w:hAnsi="Times New Roman"/>
          <w:sz w:val="24"/>
          <w:szCs w:val="24"/>
          <w:lang w:eastAsia="cs-CZ"/>
        </w:rPr>
        <w:t>schváleným rozpočtom na rok 2018:</w:t>
      </w:r>
    </w:p>
    <w:p w:rsidR="00385B00" w:rsidRDefault="00385B00" w:rsidP="00385B00">
      <w:pPr>
        <w:widowControl/>
        <w:tabs>
          <w:tab w:val="left" w:pos="4680"/>
          <w:tab w:val="decimal" w:pos="8080"/>
        </w:tabs>
        <w:autoSpaceDE/>
        <w:autoSpaceDN/>
        <w:adjustRightInd/>
        <w:spacing w:before="240" w:line="360" w:lineRule="auto"/>
        <w:ind w:firstLine="720"/>
        <w:jc w:val="both"/>
        <w:rPr>
          <w:rFonts w:ascii="Times New Roman" w:hAnsi="Times New Roman"/>
          <w:sz w:val="24"/>
          <w:szCs w:val="24"/>
          <w:lang w:eastAsia="cs-CZ"/>
        </w:rPr>
      </w:pPr>
    </w:p>
    <w:p w:rsidR="00385B00" w:rsidRPr="002F3CF2" w:rsidRDefault="00385B00" w:rsidP="00385B00">
      <w:pPr>
        <w:widowControl/>
        <w:tabs>
          <w:tab w:val="left" w:pos="4680"/>
          <w:tab w:val="decimal" w:pos="8080"/>
        </w:tabs>
        <w:autoSpaceDE/>
        <w:autoSpaceDN/>
        <w:adjustRightInd/>
        <w:spacing w:before="240" w:line="360" w:lineRule="auto"/>
        <w:ind w:firstLine="720"/>
        <w:jc w:val="both"/>
        <w:rPr>
          <w:rFonts w:ascii="Times New Roman" w:hAnsi="Times New Roman"/>
          <w:sz w:val="24"/>
          <w:szCs w:val="24"/>
          <w:lang w:eastAsia="cs-CZ"/>
        </w:rPr>
      </w:pPr>
    </w:p>
    <w:tbl>
      <w:tblPr>
        <w:tblW w:w="9709" w:type="dxa"/>
        <w:tblCellMar>
          <w:left w:w="70" w:type="dxa"/>
          <w:right w:w="70" w:type="dxa"/>
        </w:tblCellMar>
        <w:tblLook w:val="04A0" w:firstRow="1" w:lastRow="0" w:firstColumn="1" w:lastColumn="0" w:noHBand="0" w:noVBand="1"/>
      </w:tblPr>
      <w:tblGrid>
        <w:gridCol w:w="4625"/>
        <w:gridCol w:w="1257"/>
        <w:gridCol w:w="1418"/>
        <w:gridCol w:w="1134"/>
        <w:gridCol w:w="1275"/>
      </w:tblGrid>
      <w:tr w:rsidR="00385B00" w:rsidRPr="002F3CF2" w:rsidTr="007379ED">
        <w:trPr>
          <w:cantSplit/>
        </w:trPr>
        <w:tc>
          <w:tcPr>
            <w:tcW w:w="4625" w:type="dxa"/>
            <w:tcBorders>
              <w:top w:val="nil"/>
              <w:left w:val="nil"/>
              <w:bottom w:val="nil"/>
              <w:right w:val="nil"/>
            </w:tcBorders>
            <w:noWrap/>
            <w:vAlign w:val="bottom"/>
            <w:hideMark/>
          </w:tcPr>
          <w:p w:rsidR="00385B00" w:rsidRPr="002F3CF2" w:rsidRDefault="00385B00" w:rsidP="007379ED">
            <w:pPr>
              <w:widowControl/>
              <w:autoSpaceDE/>
              <w:autoSpaceDN/>
              <w:adjustRightInd/>
              <w:spacing w:line="360" w:lineRule="auto"/>
              <w:rPr>
                <w:rFonts w:ascii="Times New Roman" w:hAnsi="Times New Roman"/>
                <w:sz w:val="24"/>
                <w:szCs w:val="24"/>
              </w:rPr>
            </w:pPr>
          </w:p>
        </w:tc>
        <w:tc>
          <w:tcPr>
            <w:tcW w:w="1257" w:type="dxa"/>
            <w:tcBorders>
              <w:top w:val="nil"/>
              <w:left w:val="nil"/>
              <w:bottom w:val="single" w:sz="4" w:space="0" w:color="auto"/>
              <w:right w:val="nil"/>
            </w:tcBorders>
            <w:noWrap/>
            <w:vAlign w:val="center"/>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 </w:t>
            </w:r>
          </w:p>
        </w:tc>
        <w:tc>
          <w:tcPr>
            <w:tcW w:w="1418" w:type="dxa"/>
            <w:tcBorders>
              <w:top w:val="nil"/>
              <w:left w:val="nil"/>
              <w:bottom w:val="single" w:sz="4" w:space="0" w:color="auto"/>
              <w:right w:val="nil"/>
            </w:tcBorders>
            <w:noWrap/>
            <w:vAlign w:val="center"/>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 </w:t>
            </w:r>
          </w:p>
        </w:tc>
        <w:tc>
          <w:tcPr>
            <w:tcW w:w="1134" w:type="dxa"/>
            <w:tcBorders>
              <w:top w:val="nil"/>
              <w:left w:val="nil"/>
              <w:bottom w:val="nil"/>
              <w:right w:val="nil"/>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p>
        </w:tc>
        <w:tc>
          <w:tcPr>
            <w:tcW w:w="1275" w:type="dxa"/>
            <w:tcBorders>
              <w:top w:val="nil"/>
              <w:left w:val="nil"/>
              <w:bottom w:val="nil"/>
              <w:right w:val="nil"/>
            </w:tcBorders>
            <w:noWrap/>
            <w:vAlign w:val="bottom"/>
            <w:hideMark/>
          </w:tcPr>
          <w:p w:rsidR="00385B00" w:rsidRPr="002F3CF2" w:rsidRDefault="00385B00" w:rsidP="007379ED">
            <w:pPr>
              <w:widowControl/>
              <w:autoSpaceDE/>
              <w:autoSpaceDN/>
              <w:adjustRightInd/>
              <w:spacing w:line="360" w:lineRule="auto"/>
              <w:rPr>
                <w:rFonts w:ascii="Times New Roman" w:hAnsi="Times New Roman"/>
                <w:sz w:val="24"/>
                <w:szCs w:val="24"/>
              </w:rPr>
            </w:pPr>
            <w:r w:rsidRPr="002F3CF2">
              <w:rPr>
                <w:rFonts w:ascii="Times New Roman" w:hAnsi="Times New Roman"/>
                <w:sz w:val="24"/>
                <w:szCs w:val="24"/>
              </w:rPr>
              <w:t>v tis. EUR</w:t>
            </w:r>
          </w:p>
        </w:tc>
      </w:tr>
      <w:tr w:rsidR="00385B00" w:rsidRPr="00B60F1E" w:rsidTr="007379ED">
        <w:trPr>
          <w:cantSplit/>
          <w:trHeight w:val="517"/>
        </w:trPr>
        <w:tc>
          <w:tcPr>
            <w:tcW w:w="4625" w:type="dxa"/>
            <w:vMerge w:val="restart"/>
            <w:tcBorders>
              <w:top w:val="single" w:sz="4" w:space="0" w:color="auto"/>
              <w:left w:val="single" w:sz="4" w:space="0" w:color="auto"/>
              <w:bottom w:val="single" w:sz="4" w:space="0" w:color="auto"/>
              <w:right w:val="single" w:sz="4" w:space="0" w:color="auto"/>
            </w:tcBorders>
            <w:noWrap/>
            <w:vAlign w:val="center"/>
            <w:hideMark/>
          </w:tcPr>
          <w:p w:rsidR="00385B00" w:rsidRPr="00C075CD" w:rsidRDefault="00385B00" w:rsidP="007379ED">
            <w:pPr>
              <w:widowControl/>
              <w:autoSpaceDE/>
              <w:autoSpaceDN/>
              <w:adjustRightInd/>
              <w:spacing w:line="360" w:lineRule="auto"/>
              <w:jc w:val="center"/>
              <w:rPr>
                <w:rFonts w:ascii="Times New Roman" w:hAnsi="Times New Roman"/>
                <w:sz w:val="24"/>
                <w:szCs w:val="24"/>
              </w:rPr>
            </w:pPr>
            <w:r w:rsidRPr="00B60F1E">
              <w:rPr>
                <w:rFonts w:ascii="Times New Roman" w:hAnsi="Times New Roman"/>
                <w:b/>
                <w:color w:val="000000" w:themeColor="text1"/>
                <w:sz w:val="24"/>
                <w:szCs w:val="24"/>
                <w:u w:color="000000"/>
              </w:rPr>
              <w:t>Ukazovateľ</w:t>
            </w:r>
          </w:p>
        </w:tc>
        <w:tc>
          <w:tcPr>
            <w:tcW w:w="1257" w:type="dxa"/>
            <w:vMerge w:val="restart"/>
            <w:tcBorders>
              <w:top w:val="nil"/>
              <w:left w:val="single" w:sz="4" w:space="0" w:color="auto"/>
              <w:bottom w:val="single" w:sz="4" w:space="0" w:color="auto"/>
              <w:right w:val="single" w:sz="4" w:space="0" w:color="auto"/>
            </w:tcBorders>
            <w:vAlign w:val="bottom"/>
            <w:hideMark/>
          </w:tcPr>
          <w:p w:rsidR="00385B00" w:rsidRPr="00C075CD" w:rsidRDefault="00385B00" w:rsidP="007379ED">
            <w:pPr>
              <w:widowControl/>
              <w:jc w:val="center"/>
              <w:rPr>
                <w:rFonts w:ascii="Times New Roman" w:hAnsi="Times New Roman"/>
                <w:sz w:val="24"/>
                <w:szCs w:val="24"/>
              </w:rPr>
            </w:pPr>
            <w:r w:rsidRPr="00B60F1E">
              <w:rPr>
                <w:rFonts w:ascii="Times New Roman" w:hAnsi="Times New Roman"/>
                <w:b/>
                <w:color w:val="000000" w:themeColor="text1"/>
                <w:sz w:val="24"/>
                <w:szCs w:val="24"/>
                <w:u w:color="000000"/>
              </w:rPr>
              <w:t>Schválený rozpočet na rok 2018</w:t>
            </w:r>
          </w:p>
        </w:tc>
        <w:tc>
          <w:tcPr>
            <w:tcW w:w="1418" w:type="dxa"/>
            <w:vMerge w:val="restart"/>
            <w:tcBorders>
              <w:top w:val="nil"/>
              <w:left w:val="single" w:sz="4" w:space="0" w:color="auto"/>
              <w:bottom w:val="single" w:sz="4" w:space="0" w:color="000000"/>
              <w:right w:val="single" w:sz="4" w:space="0" w:color="auto"/>
            </w:tcBorders>
            <w:vAlign w:val="center"/>
            <w:hideMark/>
          </w:tcPr>
          <w:p w:rsidR="00385B00" w:rsidRPr="00C075CD" w:rsidRDefault="00385B00" w:rsidP="007379ED">
            <w:pPr>
              <w:widowControl/>
              <w:jc w:val="center"/>
              <w:rPr>
                <w:rFonts w:ascii="Times New Roman" w:hAnsi="Times New Roman"/>
                <w:sz w:val="24"/>
                <w:szCs w:val="24"/>
              </w:rPr>
            </w:pPr>
            <w:r w:rsidRPr="00B60F1E">
              <w:rPr>
                <w:rFonts w:ascii="Times New Roman" w:hAnsi="Times New Roman"/>
                <w:b/>
                <w:color w:val="000000" w:themeColor="text1"/>
                <w:sz w:val="24"/>
                <w:szCs w:val="24"/>
                <w:u w:color="000000"/>
              </w:rPr>
              <w:t>Skutočnosť  rok 2018</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385B00" w:rsidRPr="00C075CD" w:rsidRDefault="00385B00" w:rsidP="007379ED">
            <w:pPr>
              <w:widowControl/>
              <w:jc w:val="center"/>
              <w:rPr>
                <w:rFonts w:ascii="Times New Roman" w:hAnsi="Times New Roman"/>
                <w:sz w:val="24"/>
                <w:szCs w:val="24"/>
              </w:rPr>
            </w:pPr>
            <w:r w:rsidRPr="00B60F1E">
              <w:rPr>
                <w:rFonts w:ascii="Times New Roman" w:hAnsi="Times New Roman"/>
                <w:b/>
                <w:color w:val="000000" w:themeColor="text1"/>
                <w:sz w:val="24"/>
                <w:szCs w:val="24"/>
                <w:u w:color="000000"/>
              </w:rPr>
              <w:t>% plnenia 2/1</w:t>
            </w:r>
          </w:p>
        </w:tc>
        <w:tc>
          <w:tcPr>
            <w:tcW w:w="1275" w:type="dxa"/>
            <w:vMerge w:val="restart"/>
            <w:tcBorders>
              <w:top w:val="single" w:sz="4" w:space="0" w:color="auto"/>
              <w:left w:val="single" w:sz="4" w:space="0" w:color="auto"/>
              <w:bottom w:val="single" w:sz="4" w:space="0" w:color="000000"/>
              <w:right w:val="single" w:sz="4" w:space="0" w:color="auto"/>
            </w:tcBorders>
            <w:vAlign w:val="center"/>
            <w:hideMark/>
          </w:tcPr>
          <w:p w:rsidR="00385B00" w:rsidRPr="00B60F1E" w:rsidRDefault="00385B00" w:rsidP="007379ED">
            <w:pPr>
              <w:widowControl/>
              <w:jc w:val="center"/>
              <w:rPr>
                <w:rFonts w:ascii="Times New Roman" w:hAnsi="Times New Roman"/>
                <w:b/>
                <w:color w:val="000000" w:themeColor="text1"/>
                <w:sz w:val="24"/>
                <w:szCs w:val="24"/>
                <w:u w:color="000000"/>
              </w:rPr>
            </w:pPr>
            <w:r w:rsidRPr="00B60F1E">
              <w:rPr>
                <w:rFonts w:ascii="Times New Roman" w:hAnsi="Times New Roman"/>
                <w:b/>
                <w:color w:val="000000" w:themeColor="text1"/>
                <w:sz w:val="24"/>
                <w:szCs w:val="24"/>
                <w:u w:color="000000"/>
              </w:rPr>
              <w:t>Rozdiel  2-1</w:t>
            </w:r>
          </w:p>
        </w:tc>
      </w:tr>
      <w:tr w:rsidR="00385B00" w:rsidRPr="00B60F1E" w:rsidTr="007379ED">
        <w:trPr>
          <w:cantSplit/>
          <w:trHeight w:val="517"/>
        </w:trPr>
        <w:tc>
          <w:tcPr>
            <w:tcW w:w="4625" w:type="dxa"/>
            <w:vMerge/>
            <w:tcBorders>
              <w:top w:val="single" w:sz="4" w:space="0" w:color="auto"/>
              <w:left w:val="single" w:sz="4" w:space="0" w:color="auto"/>
              <w:bottom w:val="single" w:sz="4" w:space="0" w:color="auto"/>
              <w:right w:val="single" w:sz="4" w:space="0" w:color="auto"/>
            </w:tcBorders>
            <w:vAlign w:val="center"/>
            <w:hideMark/>
          </w:tcPr>
          <w:p w:rsidR="00385B00" w:rsidRPr="00C075CD" w:rsidRDefault="00385B00" w:rsidP="007379ED">
            <w:pPr>
              <w:widowControl/>
              <w:autoSpaceDE/>
              <w:autoSpaceDN/>
              <w:adjustRightInd/>
              <w:spacing w:line="360" w:lineRule="auto"/>
              <w:rPr>
                <w:rFonts w:ascii="Times New Roman" w:hAnsi="Times New Roman"/>
                <w:sz w:val="24"/>
                <w:szCs w:val="24"/>
              </w:rPr>
            </w:pPr>
          </w:p>
        </w:tc>
        <w:tc>
          <w:tcPr>
            <w:tcW w:w="1257" w:type="dxa"/>
            <w:vMerge/>
            <w:tcBorders>
              <w:top w:val="nil"/>
              <w:left w:val="single" w:sz="4" w:space="0" w:color="auto"/>
              <w:bottom w:val="single" w:sz="4" w:space="0" w:color="auto"/>
              <w:right w:val="single" w:sz="4" w:space="0" w:color="auto"/>
            </w:tcBorders>
            <w:vAlign w:val="center"/>
            <w:hideMark/>
          </w:tcPr>
          <w:p w:rsidR="00385B00" w:rsidRPr="00C075CD" w:rsidRDefault="00385B00" w:rsidP="007379ED">
            <w:pPr>
              <w:widowControl/>
              <w:autoSpaceDE/>
              <w:autoSpaceDN/>
              <w:adjustRightInd/>
              <w:spacing w:line="360" w:lineRule="auto"/>
              <w:rPr>
                <w:rFonts w:ascii="Times New Roman" w:hAnsi="Times New Roman"/>
                <w:sz w:val="24"/>
                <w:szCs w:val="24"/>
              </w:rPr>
            </w:pPr>
          </w:p>
        </w:tc>
        <w:tc>
          <w:tcPr>
            <w:tcW w:w="1418" w:type="dxa"/>
            <w:vMerge/>
            <w:tcBorders>
              <w:top w:val="nil"/>
              <w:left w:val="single" w:sz="4" w:space="0" w:color="auto"/>
              <w:bottom w:val="single" w:sz="4" w:space="0" w:color="000000"/>
              <w:right w:val="single" w:sz="4" w:space="0" w:color="auto"/>
            </w:tcBorders>
            <w:vAlign w:val="center"/>
            <w:hideMark/>
          </w:tcPr>
          <w:p w:rsidR="00385B00" w:rsidRPr="00C075CD" w:rsidRDefault="00385B00" w:rsidP="007379ED">
            <w:pPr>
              <w:widowControl/>
              <w:autoSpaceDE/>
              <w:autoSpaceDN/>
              <w:adjustRightInd/>
              <w:spacing w:line="360" w:lineRule="auto"/>
              <w:rPr>
                <w:rFonts w:ascii="Times New Roman" w:hAnsi="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85B00" w:rsidRPr="00C075CD" w:rsidRDefault="00385B00" w:rsidP="007379ED">
            <w:pPr>
              <w:widowControl/>
              <w:autoSpaceDE/>
              <w:autoSpaceDN/>
              <w:adjustRightInd/>
              <w:spacing w:line="360" w:lineRule="auto"/>
              <w:rPr>
                <w:rFonts w:ascii="Times New Roman" w:hAnsi="Times New Roman"/>
                <w:sz w:val="24"/>
                <w:szCs w:val="24"/>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385B00" w:rsidRPr="00B60F1E" w:rsidRDefault="00385B00" w:rsidP="007379ED">
            <w:pPr>
              <w:widowControl/>
              <w:autoSpaceDE/>
              <w:autoSpaceDN/>
              <w:adjustRightInd/>
              <w:spacing w:line="360" w:lineRule="auto"/>
              <w:jc w:val="center"/>
              <w:rPr>
                <w:rFonts w:ascii="Times New Roman" w:hAnsi="Times New Roman"/>
                <w:b/>
                <w:color w:val="000000" w:themeColor="text1"/>
                <w:sz w:val="24"/>
                <w:szCs w:val="24"/>
                <w:u w:color="000000"/>
              </w:rPr>
            </w:pPr>
          </w:p>
        </w:tc>
      </w:tr>
      <w:tr w:rsidR="00385B00" w:rsidRPr="002F3CF2" w:rsidTr="007379ED">
        <w:trPr>
          <w:cantSplit/>
        </w:trPr>
        <w:tc>
          <w:tcPr>
            <w:tcW w:w="4625" w:type="dxa"/>
            <w:tcBorders>
              <w:top w:val="nil"/>
              <w:left w:val="single" w:sz="4" w:space="0" w:color="auto"/>
              <w:bottom w:val="single" w:sz="4" w:space="0" w:color="auto"/>
              <w:right w:val="single" w:sz="4" w:space="0" w:color="auto"/>
            </w:tcBorders>
            <w:noWrap/>
            <w:vAlign w:val="center"/>
            <w:hideMark/>
          </w:tcPr>
          <w:p w:rsidR="00385B00" w:rsidRPr="00B60F1E" w:rsidRDefault="00385B00" w:rsidP="007379ED">
            <w:pPr>
              <w:widowControl/>
              <w:autoSpaceDE/>
              <w:autoSpaceDN/>
              <w:adjustRightInd/>
              <w:spacing w:line="360" w:lineRule="auto"/>
              <w:jc w:val="center"/>
              <w:rPr>
                <w:rFonts w:ascii="Times New Roman" w:hAnsi="Times New Roman"/>
                <w:b/>
                <w:color w:val="000000" w:themeColor="text1"/>
                <w:sz w:val="24"/>
                <w:szCs w:val="24"/>
                <w:u w:color="000000"/>
              </w:rPr>
            </w:pPr>
            <w:r w:rsidRPr="00B60F1E">
              <w:rPr>
                <w:rFonts w:ascii="Times New Roman" w:hAnsi="Times New Roman"/>
                <w:b/>
                <w:color w:val="000000" w:themeColor="text1"/>
                <w:sz w:val="24"/>
                <w:szCs w:val="24"/>
                <w:u w:color="000000"/>
              </w:rPr>
              <w:t>a</w:t>
            </w:r>
          </w:p>
        </w:tc>
        <w:tc>
          <w:tcPr>
            <w:tcW w:w="1257" w:type="dxa"/>
            <w:tcBorders>
              <w:top w:val="nil"/>
              <w:left w:val="nil"/>
              <w:bottom w:val="single" w:sz="4" w:space="0" w:color="auto"/>
              <w:right w:val="single" w:sz="4" w:space="0" w:color="auto"/>
            </w:tcBorders>
            <w:noWrap/>
            <w:vAlign w:val="center"/>
            <w:hideMark/>
          </w:tcPr>
          <w:p w:rsidR="00385B00" w:rsidRPr="00B60F1E" w:rsidRDefault="00385B00" w:rsidP="007379ED">
            <w:pPr>
              <w:widowControl/>
              <w:autoSpaceDE/>
              <w:autoSpaceDN/>
              <w:adjustRightInd/>
              <w:spacing w:line="360" w:lineRule="auto"/>
              <w:jc w:val="center"/>
              <w:rPr>
                <w:rFonts w:ascii="Times New Roman" w:hAnsi="Times New Roman"/>
                <w:b/>
                <w:color w:val="000000" w:themeColor="text1"/>
                <w:sz w:val="24"/>
                <w:szCs w:val="24"/>
                <w:u w:color="000000"/>
              </w:rPr>
            </w:pPr>
            <w:r w:rsidRPr="00B60F1E">
              <w:rPr>
                <w:rFonts w:ascii="Times New Roman" w:hAnsi="Times New Roman"/>
                <w:b/>
                <w:color w:val="000000" w:themeColor="text1"/>
                <w:sz w:val="24"/>
                <w:szCs w:val="24"/>
                <w:u w:color="000000"/>
              </w:rPr>
              <w:t>1</w:t>
            </w:r>
          </w:p>
        </w:tc>
        <w:tc>
          <w:tcPr>
            <w:tcW w:w="1418" w:type="dxa"/>
            <w:tcBorders>
              <w:top w:val="nil"/>
              <w:left w:val="nil"/>
              <w:bottom w:val="single" w:sz="4" w:space="0" w:color="auto"/>
              <w:right w:val="single" w:sz="4" w:space="0" w:color="auto"/>
            </w:tcBorders>
            <w:vAlign w:val="center"/>
            <w:hideMark/>
          </w:tcPr>
          <w:p w:rsidR="00385B00" w:rsidRPr="00B60F1E" w:rsidRDefault="00385B00" w:rsidP="007379ED">
            <w:pPr>
              <w:widowControl/>
              <w:autoSpaceDE/>
              <w:autoSpaceDN/>
              <w:adjustRightInd/>
              <w:spacing w:line="360" w:lineRule="auto"/>
              <w:jc w:val="center"/>
              <w:rPr>
                <w:rFonts w:ascii="Times New Roman" w:hAnsi="Times New Roman"/>
                <w:b/>
                <w:color w:val="000000" w:themeColor="text1"/>
                <w:sz w:val="24"/>
                <w:szCs w:val="24"/>
                <w:u w:color="000000"/>
              </w:rPr>
            </w:pPr>
            <w:r w:rsidRPr="00B60F1E">
              <w:rPr>
                <w:rFonts w:ascii="Times New Roman" w:hAnsi="Times New Roman"/>
                <w:b/>
                <w:color w:val="000000" w:themeColor="text1"/>
                <w:sz w:val="24"/>
                <w:szCs w:val="24"/>
                <w:u w:color="000000"/>
              </w:rPr>
              <w:t>2</w:t>
            </w:r>
          </w:p>
        </w:tc>
        <w:tc>
          <w:tcPr>
            <w:tcW w:w="1134" w:type="dxa"/>
            <w:tcBorders>
              <w:top w:val="nil"/>
              <w:left w:val="nil"/>
              <w:bottom w:val="single" w:sz="4" w:space="0" w:color="auto"/>
              <w:right w:val="single" w:sz="4" w:space="0" w:color="auto"/>
            </w:tcBorders>
            <w:noWrap/>
            <w:vAlign w:val="center"/>
            <w:hideMark/>
          </w:tcPr>
          <w:p w:rsidR="00385B00" w:rsidRPr="00B60F1E" w:rsidRDefault="00385B00" w:rsidP="007379ED">
            <w:pPr>
              <w:widowControl/>
              <w:autoSpaceDE/>
              <w:autoSpaceDN/>
              <w:adjustRightInd/>
              <w:spacing w:line="360" w:lineRule="auto"/>
              <w:jc w:val="center"/>
              <w:rPr>
                <w:rFonts w:ascii="Times New Roman" w:hAnsi="Times New Roman"/>
                <w:b/>
                <w:color w:val="000000" w:themeColor="text1"/>
                <w:sz w:val="24"/>
                <w:szCs w:val="24"/>
                <w:u w:color="000000"/>
              </w:rPr>
            </w:pPr>
            <w:r w:rsidRPr="00B60F1E">
              <w:rPr>
                <w:rFonts w:ascii="Times New Roman" w:hAnsi="Times New Roman"/>
                <w:b/>
                <w:color w:val="000000" w:themeColor="text1"/>
                <w:sz w:val="24"/>
                <w:szCs w:val="24"/>
                <w:u w:color="000000"/>
              </w:rPr>
              <w:t>3</w:t>
            </w:r>
          </w:p>
        </w:tc>
        <w:tc>
          <w:tcPr>
            <w:tcW w:w="1275" w:type="dxa"/>
            <w:tcBorders>
              <w:top w:val="nil"/>
              <w:left w:val="nil"/>
              <w:bottom w:val="single" w:sz="4" w:space="0" w:color="auto"/>
              <w:right w:val="single" w:sz="4" w:space="0" w:color="auto"/>
            </w:tcBorders>
            <w:noWrap/>
            <w:vAlign w:val="center"/>
            <w:hideMark/>
          </w:tcPr>
          <w:p w:rsidR="00385B00" w:rsidRPr="00C075CD" w:rsidRDefault="00385B00" w:rsidP="007379ED">
            <w:pPr>
              <w:widowControl/>
              <w:autoSpaceDE/>
              <w:autoSpaceDN/>
              <w:adjustRightInd/>
              <w:spacing w:line="360" w:lineRule="auto"/>
              <w:jc w:val="center"/>
              <w:rPr>
                <w:rFonts w:ascii="Times New Roman" w:hAnsi="Times New Roman"/>
                <w:sz w:val="24"/>
                <w:szCs w:val="24"/>
              </w:rPr>
            </w:pPr>
            <w:r w:rsidRPr="00B60F1E">
              <w:rPr>
                <w:rFonts w:ascii="Times New Roman" w:hAnsi="Times New Roman"/>
                <w:b/>
                <w:color w:val="000000" w:themeColor="text1"/>
                <w:sz w:val="24"/>
                <w:szCs w:val="24"/>
                <w:u w:color="000000"/>
              </w:rPr>
              <w:t>4</w:t>
            </w:r>
          </w:p>
        </w:tc>
      </w:tr>
      <w:tr w:rsidR="00385B00" w:rsidRPr="002F3CF2" w:rsidTr="007379ED">
        <w:trPr>
          <w:cantSplit/>
        </w:trPr>
        <w:tc>
          <w:tcPr>
            <w:tcW w:w="4625" w:type="dxa"/>
            <w:tcBorders>
              <w:top w:val="nil"/>
              <w:left w:val="single" w:sz="4" w:space="0" w:color="auto"/>
              <w:bottom w:val="single" w:sz="4" w:space="0" w:color="auto"/>
              <w:right w:val="single" w:sz="4" w:space="0" w:color="auto"/>
            </w:tcBorders>
            <w:noWrap/>
            <w:vAlign w:val="bottom"/>
            <w:hideMark/>
          </w:tcPr>
          <w:p w:rsidR="00385B00" w:rsidRPr="00C075CD" w:rsidRDefault="00385B00" w:rsidP="007379ED">
            <w:pPr>
              <w:widowControl/>
              <w:autoSpaceDE/>
              <w:autoSpaceDN/>
              <w:adjustRightInd/>
              <w:spacing w:line="360" w:lineRule="auto"/>
              <w:rPr>
                <w:rFonts w:ascii="Times New Roman" w:hAnsi="Times New Roman"/>
                <w:sz w:val="24"/>
                <w:szCs w:val="24"/>
              </w:rPr>
            </w:pPr>
            <w:r w:rsidRPr="00C075CD">
              <w:rPr>
                <w:rFonts w:ascii="Times New Roman" w:hAnsi="Times New Roman"/>
                <w:sz w:val="24"/>
                <w:szCs w:val="24"/>
              </w:rPr>
              <w:t>Príjmy celkom</w:t>
            </w:r>
          </w:p>
        </w:tc>
        <w:tc>
          <w:tcPr>
            <w:tcW w:w="1257" w:type="dxa"/>
            <w:tcBorders>
              <w:top w:val="nil"/>
              <w:left w:val="nil"/>
              <w:bottom w:val="single" w:sz="4" w:space="0" w:color="auto"/>
              <w:right w:val="single" w:sz="4" w:space="0" w:color="auto"/>
            </w:tcBorders>
            <w:noWrap/>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7 997 210</w:t>
            </w:r>
          </w:p>
        </w:tc>
        <w:tc>
          <w:tcPr>
            <w:tcW w:w="1418" w:type="dxa"/>
            <w:tcBorders>
              <w:top w:val="nil"/>
              <w:left w:val="nil"/>
              <w:bottom w:val="single" w:sz="4" w:space="0" w:color="auto"/>
              <w:right w:val="single" w:sz="4" w:space="0" w:color="auto"/>
            </w:tcBorders>
            <w:noWrap/>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8 213 289</w:t>
            </w:r>
          </w:p>
        </w:tc>
        <w:tc>
          <w:tcPr>
            <w:tcW w:w="1134" w:type="dxa"/>
            <w:tcBorders>
              <w:top w:val="nil"/>
              <w:left w:val="nil"/>
              <w:bottom w:val="single" w:sz="4" w:space="0" w:color="auto"/>
              <w:right w:val="single" w:sz="4" w:space="0" w:color="auto"/>
            </w:tcBorders>
            <w:noWrap/>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102,70</w:t>
            </w:r>
          </w:p>
        </w:tc>
        <w:tc>
          <w:tcPr>
            <w:tcW w:w="1275" w:type="dxa"/>
            <w:tcBorders>
              <w:top w:val="nil"/>
              <w:left w:val="nil"/>
              <w:bottom w:val="single" w:sz="4" w:space="0" w:color="auto"/>
              <w:right w:val="single" w:sz="4" w:space="0" w:color="auto"/>
            </w:tcBorders>
            <w:noWrap/>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216 079</w:t>
            </w:r>
          </w:p>
        </w:tc>
      </w:tr>
      <w:tr w:rsidR="00385B00" w:rsidRPr="002F3CF2" w:rsidTr="007379ED">
        <w:trPr>
          <w:cantSplit/>
        </w:trPr>
        <w:tc>
          <w:tcPr>
            <w:tcW w:w="4625" w:type="dxa"/>
            <w:tcBorders>
              <w:top w:val="nil"/>
              <w:left w:val="single" w:sz="4" w:space="0" w:color="auto"/>
              <w:bottom w:val="single" w:sz="4" w:space="0" w:color="auto"/>
              <w:right w:val="single" w:sz="4" w:space="0" w:color="auto"/>
            </w:tcBorders>
            <w:noWrap/>
            <w:vAlign w:val="bottom"/>
            <w:hideMark/>
          </w:tcPr>
          <w:p w:rsidR="00385B00" w:rsidRPr="00C075CD" w:rsidRDefault="00385B00" w:rsidP="007379ED">
            <w:pPr>
              <w:widowControl/>
              <w:autoSpaceDE/>
              <w:autoSpaceDN/>
              <w:adjustRightInd/>
              <w:spacing w:line="360" w:lineRule="auto"/>
              <w:rPr>
                <w:rFonts w:ascii="Times New Roman" w:hAnsi="Times New Roman"/>
                <w:sz w:val="24"/>
                <w:szCs w:val="24"/>
              </w:rPr>
            </w:pPr>
            <w:r w:rsidRPr="00C075CD">
              <w:rPr>
                <w:rFonts w:ascii="Times New Roman" w:hAnsi="Times New Roman"/>
                <w:sz w:val="24"/>
                <w:szCs w:val="24"/>
              </w:rPr>
              <w:t>v tom:</w:t>
            </w:r>
          </w:p>
        </w:tc>
        <w:tc>
          <w:tcPr>
            <w:tcW w:w="1257" w:type="dxa"/>
            <w:tcBorders>
              <w:top w:val="nil"/>
              <w:left w:val="nil"/>
              <w:bottom w:val="single" w:sz="4" w:space="0" w:color="auto"/>
              <w:right w:val="single" w:sz="4" w:space="0" w:color="auto"/>
            </w:tcBorders>
            <w:noWrap/>
            <w:vAlign w:val="bottom"/>
            <w:hideMark/>
          </w:tcPr>
          <w:p w:rsidR="00385B00" w:rsidRPr="00C075CD" w:rsidRDefault="00385B00" w:rsidP="007379ED">
            <w:pPr>
              <w:widowControl/>
              <w:autoSpaceDE/>
              <w:autoSpaceDN/>
              <w:adjustRightInd/>
              <w:spacing w:line="360" w:lineRule="auto"/>
              <w:rPr>
                <w:rFonts w:ascii="Times New Roman" w:hAnsi="Times New Roman"/>
                <w:sz w:val="24"/>
                <w:szCs w:val="24"/>
              </w:rPr>
            </w:pPr>
            <w:r w:rsidRPr="00C075CD">
              <w:rPr>
                <w:rFonts w:ascii="Times New Roman" w:hAnsi="Times New Roman"/>
                <w:sz w:val="24"/>
                <w:szCs w:val="24"/>
              </w:rPr>
              <w:t> </w:t>
            </w:r>
          </w:p>
        </w:tc>
        <w:tc>
          <w:tcPr>
            <w:tcW w:w="1418" w:type="dxa"/>
            <w:tcBorders>
              <w:top w:val="nil"/>
              <w:left w:val="nil"/>
              <w:bottom w:val="single" w:sz="4" w:space="0" w:color="auto"/>
              <w:right w:val="single" w:sz="4" w:space="0" w:color="auto"/>
            </w:tcBorders>
            <w:noWrap/>
            <w:vAlign w:val="bottom"/>
            <w:hideMark/>
          </w:tcPr>
          <w:p w:rsidR="00385B00" w:rsidRPr="00C075CD" w:rsidRDefault="00385B00" w:rsidP="007379ED">
            <w:pPr>
              <w:widowControl/>
              <w:autoSpaceDE/>
              <w:autoSpaceDN/>
              <w:adjustRightInd/>
              <w:spacing w:line="360" w:lineRule="auto"/>
              <w:rPr>
                <w:rFonts w:ascii="Times New Roman" w:hAnsi="Times New Roman"/>
                <w:sz w:val="24"/>
                <w:szCs w:val="24"/>
              </w:rPr>
            </w:pPr>
            <w:r w:rsidRPr="00C075CD">
              <w:rPr>
                <w:rFonts w:ascii="Times New Roman" w:hAnsi="Times New Roman"/>
                <w:sz w:val="24"/>
                <w:szCs w:val="24"/>
              </w:rPr>
              <w:t> </w:t>
            </w:r>
          </w:p>
        </w:tc>
        <w:tc>
          <w:tcPr>
            <w:tcW w:w="1134" w:type="dxa"/>
            <w:tcBorders>
              <w:top w:val="nil"/>
              <w:left w:val="nil"/>
              <w:bottom w:val="single" w:sz="4" w:space="0" w:color="auto"/>
              <w:right w:val="single" w:sz="4" w:space="0" w:color="auto"/>
            </w:tcBorders>
            <w:noWrap/>
            <w:vAlign w:val="bottom"/>
            <w:hideMark/>
          </w:tcPr>
          <w:p w:rsidR="00385B00" w:rsidRPr="00C075CD" w:rsidRDefault="00385B00" w:rsidP="007379ED">
            <w:pPr>
              <w:widowControl/>
              <w:autoSpaceDE/>
              <w:autoSpaceDN/>
              <w:adjustRightInd/>
              <w:spacing w:line="360" w:lineRule="auto"/>
              <w:rPr>
                <w:rFonts w:ascii="Times New Roman" w:hAnsi="Times New Roman"/>
                <w:sz w:val="24"/>
                <w:szCs w:val="24"/>
              </w:rPr>
            </w:pPr>
            <w:r w:rsidRPr="00C075CD">
              <w:rPr>
                <w:rFonts w:ascii="Times New Roman" w:hAnsi="Times New Roman"/>
                <w:sz w:val="24"/>
                <w:szCs w:val="24"/>
              </w:rPr>
              <w:t> </w:t>
            </w:r>
          </w:p>
        </w:tc>
        <w:tc>
          <w:tcPr>
            <w:tcW w:w="1275" w:type="dxa"/>
            <w:tcBorders>
              <w:top w:val="nil"/>
              <w:left w:val="nil"/>
              <w:bottom w:val="single" w:sz="4" w:space="0" w:color="auto"/>
              <w:right w:val="single" w:sz="4" w:space="0" w:color="auto"/>
            </w:tcBorders>
            <w:noWrap/>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 </w:t>
            </w:r>
          </w:p>
        </w:tc>
      </w:tr>
      <w:tr w:rsidR="00385B00" w:rsidRPr="002F3CF2" w:rsidTr="007379ED">
        <w:trPr>
          <w:cantSplit/>
        </w:trPr>
        <w:tc>
          <w:tcPr>
            <w:tcW w:w="4625" w:type="dxa"/>
            <w:tcBorders>
              <w:top w:val="nil"/>
              <w:left w:val="single" w:sz="4" w:space="0" w:color="auto"/>
              <w:bottom w:val="single" w:sz="4" w:space="0" w:color="auto"/>
              <w:right w:val="single" w:sz="4" w:space="0" w:color="auto"/>
            </w:tcBorders>
            <w:vAlign w:val="bottom"/>
            <w:hideMark/>
          </w:tcPr>
          <w:p w:rsidR="00385B00" w:rsidRPr="00C075CD" w:rsidRDefault="00385B00" w:rsidP="007379ED">
            <w:pPr>
              <w:widowControl/>
              <w:autoSpaceDE/>
              <w:autoSpaceDN/>
              <w:adjustRightInd/>
              <w:spacing w:line="360" w:lineRule="auto"/>
              <w:rPr>
                <w:rFonts w:ascii="Times New Roman" w:hAnsi="Times New Roman"/>
                <w:sz w:val="24"/>
                <w:szCs w:val="24"/>
              </w:rPr>
            </w:pPr>
            <w:r w:rsidRPr="00C075CD">
              <w:rPr>
                <w:rFonts w:ascii="Times New Roman" w:hAnsi="Times New Roman"/>
                <w:sz w:val="24"/>
                <w:szCs w:val="24"/>
              </w:rPr>
              <w:t>príjmy z bežného poistného od ekonomicky aktívneho obyvateľstva (EAO)</w:t>
            </w:r>
          </w:p>
        </w:tc>
        <w:tc>
          <w:tcPr>
            <w:tcW w:w="1257" w:type="dxa"/>
            <w:tcBorders>
              <w:top w:val="nil"/>
              <w:left w:val="nil"/>
              <w:bottom w:val="single" w:sz="4" w:space="0" w:color="auto"/>
              <w:right w:val="single" w:sz="4" w:space="0" w:color="auto"/>
            </w:tcBorders>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7 215 395</w:t>
            </w:r>
          </w:p>
        </w:tc>
        <w:tc>
          <w:tcPr>
            <w:tcW w:w="1418" w:type="dxa"/>
            <w:tcBorders>
              <w:top w:val="nil"/>
              <w:left w:val="nil"/>
              <w:bottom w:val="single" w:sz="4" w:space="0" w:color="auto"/>
              <w:right w:val="single" w:sz="4" w:space="0" w:color="auto"/>
            </w:tcBorders>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7 407 735</w:t>
            </w:r>
          </w:p>
        </w:tc>
        <w:tc>
          <w:tcPr>
            <w:tcW w:w="1134" w:type="dxa"/>
            <w:tcBorders>
              <w:top w:val="nil"/>
              <w:left w:val="nil"/>
              <w:bottom w:val="single" w:sz="4" w:space="0" w:color="auto"/>
              <w:right w:val="single" w:sz="4" w:space="0" w:color="auto"/>
            </w:tcBorders>
            <w:noWrap/>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102,67</w:t>
            </w:r>
          </w:p>
        </w:tc>
        <w:tc>
          <w:tcPr>
            <w:tcW w:w="1275" w:type="dxa"/>
            <w:tcBorders>
              <w:top w:val="nil"/>
              <w:left w:val="nil"/>
              <w:bottom w:val="single" w:sz="4" w:space="0" w:color="auto"/>
              <w:right w:val="single" w:sz="4" w:space="0" w:color="auto"/>
            </w:tcBorders>
            <w:noWrap/>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192 340</w:t>
            </w:r>
          </w:p>
        </w:tc>
      </w:tr>
      <w:tr w:rsidR="00385B00" w:rsidRPr="002F3CF2" w:rsidTr="007379ED">
        <w:trPr>
          <w:cantSplit/>
        </w:trPr>
        <w:tc>
          <w:tcPr>
            <w:tcW w:w="4625" w:type="dxa"/>
            <w:tcBorders>
              <w:top w:val="nil"/>
              <w:left w:val="single" w:sz="4" w:space="0" w:color="auto"/>
              <w:bottom w:val="single" w:sz="4" w:space="0" w:color="auto"/>
              <w:right w:val="single" w:sz="4" w:space="0" w:color="auto"/>
            </w:tcBorders>
            <w:vAlign w:val="bottom"/>
            <w:hideMark/>
          </w:tcPr>
          <w:p w:rsidR="00385B00" w:rsidRPr="00C075CD" w:rsidRDefault="00385B00" w:rsidP="007379ED">
            <w:pPr>
              <w:widowControl/>
              <w:autoSpaceDE/>
              <w:autoSpaceDN/>
              <w:adjustRightInd/>
              <w:spacing w:line="360" w:lineRule="auto"/>
              <w:rPr>
                <w:rFonts w:ascii="Times New Roman" w:hAnsi="Times New Roman"/>
                <w:sz w:val="24"/>
                <w:szCs w:val="24"/>
              </w:rPr>
            </w:pPr>
            <w:r w:rsidRPr="00C075CD">
              <w:rPr>
                <w:rFonts w:ascii="Times New Roman" w:hAnsi="Times New Roman"/>
                <w:sz w:val="24"/>
                <w:szCs w:val="24"/>
              </w:rPr>
              <w:t xml:space="preserve">príjmy z dlžného poistného  </w:t>
            </w:r>
          </w:p>
        </w:tc>
        <w:tc>
          <w:tcPr>
            <w:tcW w:w="1257" w:type="dxa"/>
            <w:tcBorders>
              <w:top w:val="nil"/>
              <w:left w:val="nil"/>
              <w:bottom w:val="single" w:sz="4" w:space="0" w:color="auto"/>
              <w:right w:val="single" w:sz="4" w:space="0" w:color="auto"/>
            </w:tcBorders>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209 493</w:t>
            </w:r>
          </w:p>
        </w:tc>
        <w:tc>
          <w:tcPr>
            <w:tcW w:w="1418" w:type="dxa"/>
            <w:tcBorders>
              <w:top w:val="nil"/>
              <w:left w:val="nil"/>
              <w:bottom w:val="single" w:sz="4" w:space="0" w:color="auto"/>
              <w:right w:val="single" w:sz="4" w:space="0" w:color="auto"/>
            </w:tcBorders>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399 401</w:t>
            </w:r>
          </w:p>
        </w:tc>
        <w:tc>
          <w:tcPr>
            <w:tcW w:w="1134" w:type="dxa"/>
            <w:tcBorders>
              <w:top w:val="nil"/>
              <w:left w:val="nil"/>
              <w:bottom w:val="single" w:sz="4" w:space="0" w:color="auto"/>
              <w:right w:val="single" w:sz="4" w:space="0" w:color="auto"/>
            </w:tcBorders>
            <w:noWrap/>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190,65</w:t>
            </w:r>
          </w:p>
        </w:tc>
        <w:tc>
          <w:tcPr>
            <w:tcW w:w="1275" w:type="dxa"/>
            <w:tcBorders>
              <w:top w:val="nil"/>
              <w:left w:val="nil"/>
              <w:bottom w:val="single" w:sz="4" w:space="0" w:color="auto"/>
              <w:right w:val="single" w:sz="4" w:space="0" w:color="auto"/>
            </w:tcBorders>
            <w:noWrap/>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189 908</w:t>
            </w:r>
          </w:p>
        </w:tc>
      </w:tr>
      <w:tr w:rsidR="00385B00" w:rsidRPr="002F3CF2" w:rsidTr="007379ED">
        <w:trPr>
          <w:cantSplit/>
        </w:trPr>
        <w:tc>
          <w:tcPr>
            <w:tcW w:w="4625" w:type="dxa"/>
            <w:tcBorders>
              <w:top w:val="nil"/>
              <w:left w:val="single" w:sz="4" w:space="0" w:color="auto"/>
              <w:bottom w:val="single" w:sz="4" w:space="0" w:color="auto"/>
              <w:right w:val="single" w:sz="4" w:space="0" w:color="auto"/>
            </w:tcBorders>
            <w:vAlign w:val="bottom"/>
            <w:hideMark/>
          </w:tcPr>
          <w:p w:rsidR="00385B00" w:rsidRPr="00C075CD" w:rsidRDefault="00385B00" w:rsidP="007379ED">
            <w:pPr>
              <w:widowControl/>
              <w:autoSpaceDE/>
              <w:autoSpaceDN/>
              <w:adjustRightInd/>
              <w:spacing w:line="360" w:lineRule="auto"/>
              <w:rPr>
                <w:rFonts w:ascii="Times New Roman" w:hAnsi="Times New Roman"/>
                <w:sz w:val="24"/>
                <w:szCs w:val="24"/>
              </w:rPr>
            </w:pPr>
            <w:r w:rsidRPr="00C075CD">
              <w:rPr>
                <w:rFonts w:ascii="Times New Roman" w:hAnsi="Times New Roman"/>
                <w:sz w:val="24"/>
                <w:szCs w:val="24"/>
              </w:rPr>
              <w:t>príjmy zo sankcií</w:t>
            </w:r>
          </w:p>
        </w:tc>
        <w:tc>
          <w:tcPr>
            <w:tcW w:w="1257" w:type="dxa"/>
            <w:tcBorders>
              <w:top w:val="nil"/>
              <w:left w:val="nil"/>
              <w:bottom w:val="single" w:sz="4" w:space="0" w:color="auto"/>
              <w:right w:val="single" w:sz="4" w:space="0" w:color="auto"/>
            </w:tcBorders>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16 303</w:t>
            </w:r>
          </w:p>
        </w:tc>
        <w:tc>
          <w:tcPr>
            <w:tcW w:w="1418" w:type="dxa"/>
            <w:tcBorders>
              <w:top w:val="nil"/>
              <w:left w:val="nil"/>
              <w:bottom w:val="single" w:sz="4" w:space="0" w:color="auto"/>
              <w:right w:val="single" w:sz="4" w:space="0" w:color="auto"/>
            </w:tcBorders>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15 066</w:t>
            </w:r>
          </w:p>
        </w:tc>
        <w:tc>
          <w:tcPr>
            <w:tcW w:w="1134" w:type="dxa"/>
            <w:tcBorders>
              <w:top w:val="nil"/>
              <w:left w:val="nil"/>
              <w:bottom w:val="single" w:sz="4" w:space="0" w:color="auto"/>
              <w:right w:val="single" w:sz="4" w:space="0" w:color="auto"/>
            </w:tcBorders>
            <w:noWrap/>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92,41</w:t>
            </w:r>
          </w:p>
        </w:tc>
        <w:tc>
          <w:tcPr>
            <w:tcW w:w="1275" w:type="dxa"/>
            <w:tcBorders>
              <w:top w:val="nil"/>
              <w:left w:val="nil"/>
              <w:bottom w:val="single" w:sz="4" w:space="0" w:color="auto"/>
              <w:right w:val="single" w:sz="4" w:space="0" w:color="auto"/>
            </w:tcBorders>
            <w:noWrap/>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-1 237</w:t>
            </w:r>
          </w:p>
        </w:tc>
      </w:tr>
      <w:tr w:rsidR="00385B00" w:rsidRPr="002F3CF2" w:rsidTr="007379ED">
        <w:trPr>
          <w:cantSplit/>
        </w:trPr>
        <w:tc>
          <w:tcPr>
            <w:tcW w:w="4625" w:type="dxa"/>
            <w:tcBorders>
              <w:top w:val="nil"/>
              <w:left w:val="single" w:sz="4" w:space="0" w:color="auto"/>
              <w:bottom w:val="single" w:sz="4" w:space="0" w:color="auto"/>
              <w:right w:val="single" w:sz="4" w:space="0" w:color="auto"/>
            </w:tcBorders>
            <w:vAlign w:val="bottom"/>
            <w:hideMark/>
          </w:tcPr>
          <w:p w:rsidR="00385B00" w:rsidRPr="00C075CD" w:rsidRDefault="00385B00" w:rsidP="007379ED">
            <w:pPr>
              <w:widowControl/>
              <w:autoSpaceDE/>
              <w:autoSpaceDN/>
              <w:adjustRightInd/>
              <w:spacing w:line="360" w:lineRule="auto"/>
              <w:rPr>
                <w:rFonts w:ascii="Times New Roman" w:hAnsi="Times New Roman"/>
                <w:sz w:val="24"/>
                <w:szCs w:val="24"/>
              </w:rPr>
            </w:pPr>
            <w:r w:rsidRPr="00C075CD">
              <w:rPr>
                <w:rFonts w:ascii="Times New Roman" w:hAnsi="Times New Roman"/>
                <w:sz w:val="24"/>
                <w:szCs w:val="24"/>
              </w:rPr>
              <w:t>príjmy z poistného od štátu vrátane 0,25 % z príspevkov na SDS</w:t>
            </w:r>
          </w:p>
        </w:tc>
        <w:tc>
          <w:tcPr>
            <w:tcW w:w="1257" w:type="dxa"/>
            <w:tcBorders>
              <w:top w:val="nil"/>
              <w:left w:val="nil"/>
              <w:bottom w:val="single" w:sz="4" w:space="0" w:color="auto"/>
              <w:right w:val="single" w:sz="4" w:space="0" w:color="auto"/>
            </w:tcBorders>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276 182</w:t>
            </w:r>
          </w:p>
        </w:tc>
        <w:tc>
          <w:tcPr>
            <w:tcW w:w="1418" w:type="dxa"/>
            <w:tcBorders>
              <w:top w:val="nil"/>
              <w:left w:val="nil"/>
              <w:bottom w:val="single" w:sz="4" w:space="0" w:color="auto"/>
              <w:right w:val="single" w:sz="4" w:space="0" w:color="auto"/>
            </w:tcBorders>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253 398</w:t>
            </w:r>
          </w:p>
        </w:tc>
        <w:tc>
          <w:tcPr>
            <w:tcW w:w="1134" w:type="dxa"/>
            <w:tcBorders>
              <w:top w:val="nil"/>
              <w:left w:val="nil"/>
              <w:bottom w:val="single" w:sz="4" w:space="0" w:color="auto"/>
              <w:right w:val="single" w:sz="4" w:space="0" w:color="auto"/>
            </w:tcBorders>
            <w:noWrap/>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91,75</w:t>
            </w:r>
          </w:p>
        </w:tc>
        <w:tc>
          <w:tcPr>
            <w:tcW w:w="1275" w:type="dxa"/>
            <w:tcBorders>
              <w:top w:val="nil"/>
              <w:left w:val="nil"/>
              <w:bottom w:val="single" w:sz="4" w:space="0" w:color="auto"/>
              <w:right w:val="single" w:sz="4" w:space="0" w:color="auto"/>
            </w:tcBorders>
            <w:noWrap/>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-22 784</w:t>
            </w:r>
          </w:p>
        </w:tc>
      </w:tr>
      <w:tr w:rsidR="00385B00" w:rsidRPr="002F3CF2" w:rsidTr="007379ED">
        <w:trPr>
          <w:cantSplit/>
        </w:trPr>
        <w:tc>
          <w:tcPr>
            <w:tcW w:w="4625" w:type="dxa"/>
            <w:tcBorders>
              <w:top w:val="nil"/>
              <w:left w:val="single" w:sz="4" w:space="0" w:color="auto"/>
              <w:bottom w:val="single" w:sz="4" w:space="0" w:color="auto"/>
              <w:right w:val="single" w:sz="4" w:space="0" w:color="auto"/>
            </w:tcBorders>
            <w:vAlign w:val="bottom"/>
            <w:hideMark/>
          </w:tcPr>
          <w:p w:rsidR="00385B00" w:rsidRPr="00C075CD" w:rsidRDefault="00385B00" w:rsidP="007379ED">
            <w:pPr>
              <w:widowControl/>
              <w:autoSpaceDE/>
              <w:autoSpaceDN/>
              <w:adjustRightInd/>
              <w:spacing w:line="360" w:lineRule="auto"/>
              <w:rPr>
                <w:rFonts w:ascii="Times New Roman" w:hAnsi="Times New Roman"/>
                <w:sz w:val="24"/>
                <w:szCs w:val="24"/>
              </w:rPr>
            </w:pPr>
            <w:r w:rsidRPr="00C075CD">
              <w:rPr>
                <w:rFonts w:ascii="Times New Roman" w:hAnsi="Times New Roman"/>
                <w:sz w:val="24"/>
                <w:szCs w:val="24"/>
              </w:rPr>
              <w:t>príjmy od Sociálnej poisťovne</w:t>
            </w:r>
          </w:p>
        </w:tc>
        <w:tc>
          <w:tcPr>
            <w:tcW w:w="1257" w:type="dxa"/>
            <w:tcBorders>
              <w:top w:val="nil"/>
              <w:left w:val="nil"/>
              <w:bottom w:val="single" w:sz="4" w:space="0" w:color="auto"/>
              <w:right w:val="single" w:sz="4" w:space="0" w:color="auto"/>
            </w:tcBorders>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2 500</w:t>
            </w:r>
          </w:p>
        </w:tc>
        <w:tc>
          <w:tcPr>
            <w:tcW w:w="1418" w:type="dxa"/>
            <w:tcBorders>
              <w:top w:val="nil"/>
              <w:left w:val="nil"/>
              <w:bottom w:val="single" w:sz="4" w:space="0" w:color="auto"/>
              <w:right w:val="single" w:sz="4" w:space="0" w:color="auto"/>
            </w:tcBorders>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3 016</w:t>
            </w:r>
          </w:p>
        </w:tc>
        <w:tc>
          <w:tcPr>
            <w:tcW w:w="1134" w:type="dxa"/>
            <w:tcBorders>
              <w:top w:val="nil"/>
              <w:left w:val="nil"/>
              <w:bottom w:val="single" w:sz="4" w:space="0" w:color="auto"/>
              <w:right w:val="single" w:sz="4" w:space="0" w:color="auto"/>
            </w:tcBorders>
            <w:noWrap/>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120,64</w:t>
            </w:r>
          </w:p>
        </w:tc>
        <w:tc>
          <w:tcPr>
            <w:tcW w:w="1275" w:type="dxa"/>
            <w:tcBorders>
              <w:top w:val="nil"/>
              <w:left w:val="nil"/>
              <w:bottom w:val="single" w:sz="4" w:space="0" w:color="auto"/>
              <w:right w:val="single" w:sz="4" w:space="0" w:color="auto"/>
            </w:tcBorders>
            <w:noWrap/>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516</w:t>
            </w:r>
          </w:p>
        </w:tc>
      </w:tr>
      <w:tr w:rsidR="00385B00" w:rsidRPr="002F3CF2" w:rsidTr="007379ED">
        <w:trPr>
          <w:cantSplit/>
        </w:trPr>
        <w:tc>
          <w:tcPr>
            <w:tcW w:w="4625" w:type="dxa"/>
            <w:tcBorders>
              <w:top w:val="nil"/>
              <w:left w:val="single" w:sz="4" w:space="0" w:color="auto"/>
              <w:bottom w:val="nil"/>
              <w:right w:val="single" w:sz="4" w:space="0" w:color="auto"/>
            </w:tcBorders>
            <w:vAlign w:val="bottom"/>
            <w:hideMark/>
          </w:tcPr>
          <w:p w:rsidR="00385B00" w:rsidRPr="00C075CD" w:rsidRDefault="00385B00" w:rsidP="007379ED">
            <w:pPr>
              <w:widowControl/>
              <w:autoSpaceDE/>
              <w:autoSpaceDN/>
              <w:adjustRightInd/>
              <w:spacing w:line="360" w:lineRule="auto"/>
              <w:rPr>
                <w:rFonts w:ascii="Times New Roman" w:hAnsi="Times New Roman"/>
                <w:sz w:val="24"/>
                <w:szCs w:val="24"/>
              </w:rPr>
            </w:pPr>
            <w:r w:rsidRPr="00C075CD">
              <w:rPr>
                <w:rFonts w:ascii="Times New Roman" w:hAnsi="Times New Roman"/>
                <w:sz w:val="24"/>
                <w:szCs w:val="24"/>
              </w:rPr>
              <w:t xml:space="preserve">ostatné príjmy </w:t>
            </w:r>
          </w:p>
        </w:tc>
        <w:tc>
          <w:tcPr>
            <w:tcW w:w="1257" w:type="dxa"/>
            <w:tcBorders>
              <w:top w:val="nil"/>
              <w:left w:val="nil"/>
              <w:bottom w:val="nil"/>
              <w:right w:val="single" w:sz="4" w:space="0" w:color="auto"/>
            </w:tcBorders>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270 712</w:t>
            </w:r>
          </w:p>
        </w:tc>
        <w:tc>
          <w:tcPr>
            <w:tcW w:w="1418" w:type="dxa"/>
            <w:tcBorders>
              <w:top w:val="nil"/>
              <w:left w:val="nil"/>
              <w:bottom w:val="nil"/>
              <w:right w:val="single" w:sz="4" w:space="0" w:color="auto"/>
            </w:tcBorders>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129 288</w:t>
            </w:r>
          </w:p>
        </w:tc>
        <w:tc>
          <w:tcPr>
            <w:tcW w:w="1134" w:type="dxa"/>
            <w:tcBorders>
              <w:top w:val="nil"/>
              <w:left w:val="nil"/>
              <w:bottom w:val="nil"/>
              <w:right w:val="single" w:sz="4" w:space="0" w:color="auto"/>
            </w:tcBorders>
            <w:noWrap/>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47,76</w:t>
            </w:r>
          </w:p>
        </w:tc>
        <w:tc>
          <w:tcPr>
            <w:tcW w:w="1275" w:type="dxa"/>
            <w:tcBorders>
              <w:top w:val="nil"/>
              <w:left w:val="nil"/>
              <w:bottom w:val="nil"/>
              <w:right w:val="single" w:sz="4" w:space="0" w:color="auto"/>
            </w:tcBorders>
            <w:noWrap/>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-141 424</w:t>
            </w:r>
          </w:p>
        </w:tc>
      </w:tr>
      <w:tr w:rsidR="00385B00" w:rsidRPr="002F3CF2" w:rsidTr="007379ED">
        <w:trPr>
          <w:cantSplit/>
        </w:trPr>
        <w:tc>
          <w:tcPr>
            <w:tcW w:w="4625" w:type="dxa"/>
            <w:tcBorders>
              <w:top w:val="nil"/>
              <w:left w:val="single" w:sz="4" w:space="0" w:color="auto"/>
              <w:bottom w:val="single" w:sz="4" w:space="0" w:color="auto"/>
              <w:right w:val="single" w:sz="4" w:space="0" w:color="auto"/>
            </w:tcBorders>
            <w:vAlign w:val="bottom"/>
            <w:hideMark/>
          </w:tcPr>
          <w:p w:rsidR="00385B00" w:rsidRPr="00C075CD" w:rsidRDefault="00385B00" w:rsidP="007379ED">
            <w:pPr>
              <w:widowControl/>
              <w:autoSpaceDE/>
              <w:autoSpaceDN/>
              <w:adjustRightInd/>
              <w:spacing w:line="360" w:lineRule="auto"/>
              <w:rPr>
                <w:rFonts w:ascii="Times New Roman" w:hAnsi="Times New Roman"/>
                <w:i/>
                <w:iCs/>
                <w:sz w:val="24"/>
                <w:szCs w:val="24"/>
              </w:rPr>
            </w:pPr>
            <w:r w:rsidRPr="00C075CD">
              <w:rPr>
                <w:rFonts w:ascii="Times New Roman" w:hAnsi="Times New Roman"/>
                <w:i/>
                <w:iCs/>
                <w:sz w:val="24"/>
                <w:szCs w:val="24"/>
              </w:rPr>
              <w:t xml:space="preserve">  z toho príjmy zo ŠR SR</w:t>
            </w:r>
          </w:p>
        </w:tc>
        <w:tc>
          <w:tcPr>
            <w:tcW w:w="1257" w:type="dxa"/>
            <w:tcBorders>
              <w:top w:val="nil"/>
              <w:left w:val="nil"/>
              <w:bottom w:val="single" w:sz="4" w:space="0" w:color="auto"/>
              <w:right w:val="single" w:sz="4" w:space="0" w:color="auto"/>
            </w:tcBorders>
            <w:vAlign w:val="bottom"/>
            <w:hideMark/>
          </w:tcPr>
          <w:p w:rsidR="00385B00" w:rsidRPr="00C075CD" w:rsidRDefault="00385B00" w:rsidP="007379ED">
            <w:pPr>
              <w:widowControl/>
              <w:autoSpaceDE/>
              <w:autoSpaceDN/>
              <w:adjustRightInd/>
              <w:spacing w:line="360" w:lineRule="auto"/>
              <w:jc w:val="right"/>
              <w:rPr>
                <w:rFonts w:ascii="Times New Roman" w:hAnsi="Times New Roman"/>
                <w:i/>
                <w:iCs/>
                <w:sz w:val="24"/>
                <w:szCs w:val="24"/>
              </w:rPr>
            </w:pPr>
            <w:r w:rsidRPr="00C075CD">
              <w:rPr>
                <w:rFonts w:ascii="Times New Roman" w:hAnsi="Times New Roman"/>
                <w:i/>
                <w:iCs/>
                <w:sz w:val="24"/>
                <w:szCs w:val="24"/>
              </w:rPr>
              <w:t>255 392</w:t>
            </w:r>
          </w:p>
        </w:tc>
        <w:tc>
          <w:tcPr>
            <w:tcW w:w="1418" w:type="dxa"/>
            <w:tcBorders>
              <w:top w:val="nil"/>
              <w:left w:val="nil"/>
              <w:bottom w:val="single" w:sz="4" w:space="0" w:color="auto"/>
              <w:right w:val="single" w:sz="4" w:space="0" w:color="auto"/>
            </w:tcBorders>
            <w:vAlign w:val="bottom"/>
            <w:hideMark/>
          </w:tcPr>
          <w:p w:rsidR="00385B00" w:rsidRPr="00C075CD" w:rsidRDefault="00385B00" w:rsidP="007379ED">
            <w:pPr>
              <w:widowControl/>
              <w:autoSpaceDE/>
              <w:autoSpaceDN/>
              <w:adjustRightInd/>
              <w:spacing w:line="360" w:lineRule="auto"/>
              <w:jc w:val="right"/>
              <w:rPr>
                <w:rFonts w:ascii="Times New Roman" w:hAnsi="Times New Roman"/>
                <w:i/>
                <w:iCs/>
                <w:sz w:val="24"/>
                <w:szCs w:val="24"/>
              </w:rPr>
            </w:pPr>
            <w:r w:rsidRPr="00C075CD">
              <w:rPr>
                <w:rFonts w:ascii="Times New Roman" w:hAnsi="Times New Roman"/>
                <w:i/>
                <w:iCs/>
                <w:sz w:val="24"/>
                <w:szCs w:val="24"/>
              </w:rPr>
              <w:t>106 413</w:t>
            </w:r>
          </w:p>
        </w:tc>
        <w:tc>
          <w:tcPr>
            <w:tcW w:w="1134" w:type="dxa"/>
            <w:tcBorders>
              <w:top w:val="nil"/>
              <w:left w:val="nil"/>
              <w:bottom w:val="single" w:sz="4" w:space="0" w:color="auto"/>
              <w:right w:val="single" w:sz="4" w:space="0" w:color="auto"/>
            </w:tcBorders>
            <w:noWrap/>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41,67</w:t>
            </w:r>
          </w:p>
        </w:tc>
        <w:tc>
          <w:tcPr>
            <w:tcW w:w="1275" w:type="dxa"/>
            <w:tcBorders>
              <w:top w:val="nil"/>
              <w:left w:val="nil"/>
              <w:bottom w:val="single" w:sz="4" w:space="0" w:color="auto"/>
              <w:right w:val="single" w:sz="4" w:space="0" w:color="auto"/>
            </w:tcBorders>
            <w:noWrap/>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-148 979</w:t>
            </w:r>
          </w:p>
        </w:tc>
      </w:tr>
      <w:tr w:rsidR="00385B00" w:rsidRPr="002F3CF2" w:rsidTr="007379ED">
        <w:trPr>
          <w:cantSplit/>
        </w:trPr>
        <w:tc>
          <w:tcPr>
            <w:tcW w:w="4625" w:type="dxa"/>
            <w:tcBorders>
              <w:top w:val="nil"/>
              <w:left w:val="single" w:sz="4" w:space="0" w:color="auto"/>
              <w:bottom w:val="single" w:sz="4" w:space="0" w:color="auto"/>
              <w:right w:val="single" w:sz="4" w:space="0" w:color="auto"/>
            </w:tcBorders>
            <w:vAlign w:val="bottom"/>
            <w:hideMark/>
          </w:tcPr>
          <w:p w:rsidR="00385B00" w:rsidRPr="00C075CD" w:rsidRDefault="00385B00" w:rsidP="007379ED">
            <w:pPr>
              <w:widowControl/>
              <w:autoSpaceDE/>
              <w:autoSpaceDN/>
              <w:adjustRightInd/>
              <w:spacing w:line="360" w:lineRule="auto"/>
              <w:rPr>
                <w:rFonts w:ascii="Times New Roman" w:hAnsi="Times New Roman"/>
                <w:sz w:val="24"/>
                <w:szCs w:val="24"/>
              </w:rPr>
            </w:pPr>
            <w:r w:rsidRPr="00C075CD">
              <w:rPr>
                <w:rFonts w:ascii="Times New Roman" w:hAnsi="Times New Roman"/>
                <w:sz w:val="24"/>
                <w:szCs w:val="24"/>
              </w:rPr>
              <w:t>príspevky na SDS zaplatené zamestnávateľom po uplynutí 60 dní</w:t>
            </w:r>
          </w:p>
        </w:tc>
        <w:tc>
          <w:tcPr>
            <w:tcW w:w="1257" w:type="dxa"/>
            <w:tcBorders>
              <w:top w:val="nil"/>
              <w:left w:val="nil"/>
              <w:bottom w:val="single" w:sz="4" w:space="0" w:color="auto"/>
              <w:right w:val="single" w:sz="4" w:space="0" w:color="auto"/>
            </w:tcBorders>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5 161</w:t>
            </w:r>
          </w:p>
        </w:tc>
        <w:tc>
          <w:tcPr>
            <w:tcW w:w="1418" w:type="dxa"/>
            <w:tcBorders>
              <w:top w:val="nil"/>
              <w:left w:val="nil"/>
              <w:bottom w:val="single" w:sz="4" w:space="0" w:color="auto"/>
              <w:right w:val="single" w:sz="4" w:space="0" w:color="auto"/>
            </w:tcBorders>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3 856</w:t>
            </w:r>
          </w:p>
        </w:tc>
        <w:tc>
          <w:tcPr>
            <w:tcW w:w="1134" w:type="dxa"/>
            <w:tcBorders>
              <w:top w:val="nil"/>
              <w:left w:val="nil"/>
              <w:bottom w:val="single" w:sz="4" w:space="0" w:color="auto"/>
              <w:right w:val="single" w:sz="4" w:space="0" w:color="auto"/>
            </w:tcBorders>
            <w:noWrap/>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74,71</w:t>
            </w:r>
          </w:p>
        </w:tc>
        <w:tc>
          <w:tcPr>
            <w:tcW w:w="1275" w:type="dxa"/>
            <w:tcBorders>
              <w:top w:val="nil"/>
              <w:left w:val="nil"/>
              <w:bottom w:val="single" w:sz="4" w:space="0" w:color="auto"/>
              <w:right w:val="single" w:sz="4" w:space="0" w:color="auto"/>
            </w:tcBorders>
            <w:noWrap/>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-1 305</w:t>
            </w:r>
          </w:p>
        </w:tc>
      </w:tr>
      <w:tr w:rsidR="00385B00" w:rsidRPr="002F3CF2" w:rsidTr="007379ED">
        <w:trPr>
          <w:cantSplit/>
        </w:trPr>
        <w:tc>
          <w:tcPr>
            <w:tcW w:w="4625" w:type="dxa"/>
            <w:tcBorders>
              <w:top w:val="nil"/>
              <w:left w:val="single" w:sz="4" w:space="0" w:color="auto"/>
              <w:bottom w:val="single" w:sz="4" w:space="0" w:color="auto"/>
              <w:right w:val="single" w:sz="4" w:space="0" w:color="auto"/>
            </w:tcBorders>
            <w:vAlign w:val="bottom"/>
            <w:hideMark/>
          </w:tcPr>
          <w:p w:rsidR="00385B00" w:rsidRPr="00C075CD" w:rsidRDefault="00385B00" w:rsidP="007379ED">
            <w:pPr>
              <w:widowControl/>
              <w:autoSpaceDE/>
              <w:autoSpaceDN/>
              <w:adjustRightInd/>
              <w:spacing w:line="360" w:lineRule="auto"/>
              <w:rPr>
                <w:rFonts w:ascii="Times New Roman" w:hAnsi="Times New Roman"/>
                <w:sz w:val="24"/>
                <w:szCs w:val="24"/>
              </w:rPr>
            </w:pPr>
            <w:r w:rsidRPr="00C075CD">
              <w:rPr>
                <w:rFonts w:ascii="Times New Roman" w:hAnsi="Times New Roman"/>
                <w:sz w:val="24"/>
                <w:szCs w:val="24"/>
              </w:rPr>
              <w:t xml:space="preserve">príjmy správneho fondu  z príspevkov na SDS (EAO) </w:t>
            </w:r>
          </w:p>
        </w:tc>
        <w:tc>
          <w:tcPr>
            <w:tcW w:w="1257" w:type="dxa"/>
            <w:tcBorders>
              <w:top w:val="nil"/>
              <w:left w:val="nil"/>
              <w:bottom w:val="single" w:sz="4" w:space="0" w:color="auto"/>
              <w:right w:val="single" w:sz="4" w:space="0" w:color="auto"/>
            </w:tcBorders>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1 464</w:t>
            </w:r>
          </w:p>
        </w:tc>
        <w:tc>
          <w:tcPr>
            <w:tcW w:w="1418" w:type="dxa"/>
            <w:tcBorders>
              <w:top w:val="nil"/>
              <w:left w:val="nil"/>
              <w:bottom w:val="single" w:sz="4" w:space="0" w:color="auto"/>
              <w:right w:val="single" w:sz="4" w:space="0" w:color="auto"/>
            </w:tcBorders>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1 496</w:t>
            </w:r>
          </w:p>
        </w:tc>
        <w:tc>
          <w:tcPr>
            <w:tcW w:w="1134" w:type="dxa"/>
            <w:tcBorders>
              <w:top w:val="nil"/>
              <w:left w:val="nil"/>
              <w:bottom w:val="single" w:sz="4" w:space="0" w:color="auto"/>
              <w:right w:val="single" w:sz="4" w:space="0" w:color="auto"/>
            </w:tcBorders>
            <w:noWrap/>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102,19</w:t>
            </w:r>
          </w:p>
        </w:tc>
        <w:tc>
          <w:tcPr>
            <w:tcW w:w="1275" w:type="dxa"/>
            <w:tcBorders>
              <w:top w:val="nil"/>
              <w:left w:val="nil"/>
              <w:bottom w:val="single" w:sz="4" w:space="0" w:color="auto"/>
              <w:right w:val="single" w:sz="4" w:space="0" w:color="auto"/>
            </w:tcBorders>
            <w:noWrap/>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32</w:t>
            </w:r>
          </w:p>
        </w:tc>
      </w:tr>
      <w:tr w:rsidR="00385B00" w:rsidRPr="002F3CF2" w:rsidTr="007379ED">
        <w:trPr>
          <w:cantSplit/>
        </w:trPr>
        <w:tc>
          <w:tcPr>
            <w:tcW w:w="4625" w:type="dxa"/>
            <w:tcBorders>
              <w:top w:val="nil"/>
              <w:left w:val="single" w:sz="4" w:space="0" w:color="auto"/>
              <w:bottom w:val="single" w:sz="4" w:space="0" w:color="auto"/>
              <w:right w:val="single" w:sz="4" w:space="0" w:color="auto"/>
            </w:tcBorders>
            <w:noWrap/>
            <w:vAlign w:val="bottom"/>
            <w:hideMark/>
          </w:tcPr>
          <w:p w:rsidR="00385B00" w:rsidRPr="00C075CD" w:rsidRDefault="00385B00" w:rsidP="007379ED">
            <w:pPr>
              <w:widowControl/>
              <w:autoSpaceDE/>
              <w:autoSpaceDN/>
              <w:adjustRightInd/>
              <w:spacing w:line="360" w:lineRule="auto"/>
              <w:rPr>
                <w:rFonts w:ascii="Times New Roman" w:hAnsi="Times New Roman"/>
                <w:sz w:val="24"/>
                <w:szCs w:val="24"/>
              </w:rPr>
            </w:pPr>
            <w:r w:rsidRPr="00C075CD">
              <w:rPr>
                <w:rFonts w:ascii="Times New Roman" w:hAnsi="Times New Roman"/>
                <w:sz w:val="24"/>
                <w:szCs w:val="24"/>
              </w:rPr>
              <w:t>príjmy z otvorenia II. piliera</w:t>
            </w:r>
          </w:p>
        </w:tc>
        <w:tc>
          <w:tcPr>
            <w:tcW w:w="1257" w:type="dxa"/>
            <w:tcBorders>
              <w:top w:val="nil"/>
              <w:left w:val="nil"/>
              <w:bottom w:val="single" w:sz="4" w:space="0" w:color="auto"/>
              <w:right w:val="single" w:sz="4" w:space="0" w:color="auto"/>
            </w:tcBorders>
            <w:noWrap/>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0</w:t>
            </w:r>
          </w:p>
        </w:tc>
        <w:tc>
          <w:tcPr>
            <w:tcW w:w="1418" w:type="dxa"/>
            <w:tcBorders>
              <w:top w:val="nil"/>
              <w:left w:val="nil"/>
              <w:bottom w:val="single" w:sz="4" w:space="0" w:color="auto"/>
              <w:right w:val="single" w:sz="4" w:space="0" w:color="auto"/>
            </w:tcBorders>
            <w:noWrap/>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33</w:t>
            </w:r>
          </w:p>
        </w:tc>
        <w:tc>
          <w:tcPr>
            <w:tcW w:w="1134" w:type="dxa"/>
            <w:tcBorders>
              <w:top w:val="nil"/>
              <w:left w:val="nil"/>
              <w:bottom w:val="single" w:sz="4" w:space="0" w:color="auto"/>
              <w:right w:val="single" w:sz="4" w:space="0" w:color="auto"/>
            </w:tcBorders>
            <w:noWrap/>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0,00</w:t>
            </w:r>
          </w:p>
        </w:tc>
        <w:tc>
          <w:tcPr>
            <w:tcW w:w="1275" w:type="dxa"/>
            <w:tcBorders>
              <w:top w:val="nil"/>
              <w:left w:val="nil"/>
              <w:bottom w:val="single" w:sz="4" w:space="0" w:color="auto"/>
              <w:right w:val="single" w:sz="4" w:space="0" w:color="auto"/>
            </w:tcBorders>
            <w:noWrap/>
            <w:vAlign w:val="bottom"/>
            <w:hideMark/>
          </w:tcPr>
          <w:p w:rsidR="00385B00" w:rsidRPr="00C075CD" w:rsidRDefault="00385B00" w:rsidP="007379ED">
            <w:pPr>
              <w:widowControl/>
              <w:autoSpaceDE/>
              <w:autoSpaceDN/>
              <w:adjustRightInd/>
              <w:spacing w:line="360" w:lineRule="auto"/>
              <w:jc w:val="right"/>
              <w:rPr>
                <w:rFonts w:ascii="Times New Roman" w:hAnsi="Times New Roman"/>
                <w:sz w:val="24"/>
                <w:szCs w:val="24"/>
              </w:rPr>
            </w:pPr>
            <w:r w:rsidRPr="00C075CD">
              <w:rPr>
                <w:rFonts w:ascii="Times New Roman" w:hAnsi="Times New Roman"/>
                <w:sz w:val="24"/>
                <w:szCs w:val="24"/>
              </w:rPr>
              <w:t>33</w:t>
            </w:r>
          </w:p>
        </w:tc>
      </w:tr>
    </w:tbl>
    <w:p w:rsidR="00385B00" w:rsidRPr="002F3CF2" w:rsidRDefault="00385B00" w:rsidP="00385B00">
      <w:pPr>
        <w:widowControl/>
        <w:autoSpaceDE/>
        <w:autoSpaceDN/>
        <w:adjustRightInd/>
        <w:spacing w:before="240" w:after="120" w:line="360" w:lineRule="auto"/>
        <w:ind w:firstLine="510"/>
        <w:jc w:val="both"/>
        <w:rPr>
          <w:rFonts w:ascii="Times New Roman" w:hAnsi="Times New Roman"/>
          <w:b/>
          <w:sz w:val="24"/>
          <w:szCs w:val="24"/>
        </w:rPr>
      </w:pPr>
      <w:r w:rsidRPr="002F3CF2">
        <w:rPr>
          <w:rFonts w:ascii="Times New Roman" w:hAnsi="Times New Roman"/>
          <w:bCs/>
          <w:sz w:val="24"/>
          <w:szCs w:val="24"/>
        </w:rPr>
        <w:t>V absolútnom vyjadrení je plnenie</w:t>
      </w:r>
      <w:r w:rsidRPr="002F3CF2">
        <w:rPr>
          <w:rFonts w:ascii="Times New Roman" w:hAnsi="Times New Roman"/>
          <w:b/>
          <w:bCs/>
          <w:sz w:val="24"/>
          <w:szCs w:val="24"/>
        </w:rPr>
        <w:t xml:space="preserve"> </w:t>
      </w:r>
      <w:r w:rsidRPr="002F3CF2">
        <w:rPr>
          <w:rFonts w:ascii="Times New Roman" w:hAnsi="Times New Roman"/>
          <w:b/>
          <w:bCs/>
          <w:sz w:val="24"/>
          <w:szCs w:val="24"/>
          <w:lang w:eastAsia="en-US"/>
        </w:rPr>
        <w:t xml:space="preserve">príjmov celkom </w:t>
      </w:r>
      <w:r w:rsidRPr="002F3CF2">
        <w:rPr>
          <w:rFonts w:ascii="Times New Roman" w:hAnsi="Times New Roman"/>
          <w:bCs/>
          <w:sz w:val="24"/>
          <w:szCs w:val="24"/>
          <w:lang w:eastAsia="en-US"/>
        </w:rPr>
        <w:t>oproti schválenému rozpočtu na rok 2018</w:t>
      </w:r>
      <w:r w:rsidRPr="002F3CF2">
        <w:rPr>
          <w:rFonts w:ascii="Times New Roman" w:hAnsi="Times New Roman"/>
          <w:b/>
          <w:bCs/>
          <w:sz w:val="24"/>
          <w:szCs w:val="24"/>
          <w:lang w:eastAsia="en-US"/>
        </w:rPr>
        <w:t xml:space="preserve"> vyššie o 216 079 tis. EUR. </w:t>
      </w:r>
      <w:r w:rsidRPr="002F3CF2">
        <w:rPr>
          <w:rFonts w:ascii="Times New Roman" w:hAnsi="Times New Roman"/>
          <w:bCs/>
          <w:sz w:val="24"/>
          <w:szCs w:val="24"/>
          <w:lang w:eastAsia="en-US"/>
        </w:rPr>
        <w:t>P</w:t>
      </w:r>
      <w:r w:rsidRPr="002F3CF2">
        <w:rPr>
          <w:rFonts w:ascii="Times New Roman" w:hAnsi="Times New Roman"/>
          <w:bCs/>
          <w:sz w:val="24"/>
          <w:szCs w:val="24"/>
        </w:rPr>
        <w:t xml:space="preserve">lnenie </w:t>
      </w:r>
      <w:r w:rsidRPr="002F3CF2">
        <w:rPr>
          <w:rFonts w:ascii="Times New Roman" w:hAnsi="Times New Roman"/>
          <w:b/>
          <w:bCs/>
          <w:sz w:val="24"/>
          <w:szCs w:val="24"/>
        </w:rPr>
        <w:t xml:space="preserve">príjmov </w:t>
      </w:r>
      <w:r w:rsidRPr="002F3CF2">
        <w:rPr>
          <w:rFonts w:ascii="Times New Roman" w:hAnsi="Times New Roman"/>
          <w:b/>
          <w:sz w:val="24"/>
          <w:szCs w:val="24"/>
        </w:rPr>
        <w:t>od</w:t>
      </w:r>
      <w:r w:rsidRPr="002F3CF2">
        <w:rPr>
          <w:rFonts w:ascii="Times New Roman" w:hAnsi="Times New Roman"/>
          <w:sz w:val="24"/>
          <w:szCs w:val="24"/>
        </w:rPr>
        <w:t xml:space="preserve"> </w:t>
      </w:r>
      <w:r w:rsidRPr="002F3CF2">
        <w:rPr>
          <w:rFonts w:ascii="Times New Roman" w:hAnsi="Times New Roman"/>
          <w:b/>
          <w:sz w:val="24"/>
          <w:szCs w:val="24"/>
        </w:rPr>
        <w:t xml:space="preserve">EAO z bežného poistného </w:t>
      </w:r>
      <w:r w:rsidRPr="002F3CF2">
        <w:rPr>
          <w:rFonts w:ascii="Times New Roman" w:hAnsi="Times New Roman"/>
          <w:sz w:val="24"/>
          <w:szCs w:val="24"/>
        </w:rPr>
        <w:t xml:space="preserve">je, v porovnaní so schváleným rozpočtom na rok 2018, </w:t>
      </w:r>
      <w:r w:rsidRPr="002F3CF2">
        <w:rPr>
          <w:rFonts w:ascii="Times New Roman" w:hAnsi="Times New Roman"/>
          <w:b/>
          <w:sz w:val="24"/>
          <w:szCs w:val="24"/>
        </w:rPr>
        <w:t xml:space="preserve">vyššie o 192 340 tis. EUR. </w:t>
      </w:r>
    </w:p>
    <w:p w:rsidR="00385B00" w:rsidRPr="002F3CF2" w:rsidRDefault="00385B00" w:rsidP="00385B00">
      <w:pPr>
        <w:widowControl/>
        <w:autoSpaceDE/>
        <w:autoSpaceDN/>
        <w:adjustRightInd/>
        <w:spacing w:before="240" w:after="120" w:line="360" w:lineRule="auto"/>
        <w:ind w:firstLine="709"/>
        <w:jc w:val="both"/>
        <w:rPr>
          <w:rFonts w:ascii="Times New Roman" w:hAnsi="Times New Roman"/>
          <w:b/>
          <w:bCs/>
          <w:sz w:val="24"/>
          <w:szCs w:val="24"/>
        </w:rPr>
      </w:pPr>
      <w:r w:rsidRPr="002F3CF2">
        <w:rPr>
          <w:rFonts w:ascii="Times New Roman" w:hAnsi="Times New Roman"/>
          <w:sz w:val="24"/>
          <w:szCs w:val="24"/>
        </w:rPr>
        <w:t>Plnenie</w:t>
      </w:r>
      <w:r w:rsidRPr="002F3CF2">
        <w:rPr>
          <w:rFonts w:ascii="Times New Roman" w:hAnsi="Times New Roman"/>
          <w:b/>
          <w:bCs/>
          <w:sz w:val="24"/>
          <w:szCs w:val="24"/>
        </w:rPr>
        <w:t xml:space="preserve"> </w:t>
      </w:r>
      <w:r w:rsidRPr="002F3CF2">
        <w:rPr>
          <w:rFonts w:ascii="Times New Roman" w:hAnsi="Times New Roman"/>
          <w:b/>
          <w:sz w:val="24"/>
          <w:szCs w:val="24"/>
        </w:rPr>
        <w:t>príjmov</w:t>
      </w:r>
      <w:r w:rsidRPr="002F3CF2">
        <w:rPr>
          <w:rFonts w:ascii="Times New Roman" w:hAnsi="Times New Roman"/>
          <w:sz w:val="24"/>
          <w:szCs w:val="24"/>
        </w:rPr>
        <w:t xml:space="preserve"> z </w:t>
      </w:r>
      <w:r w:rsidRPr="002F3CF2">
        <w:rPr>
          <w:rFonts w:ascii="Times New Roman" w:hAnsi="Times New Roman"/>
          <w:b/>
          <w:bCs/>
          <w:sz w:val="24"/>
          <w:szCs w:val="24"/>
        </w:rPr>
        <w:t>dlžného poistného</w:t>
      </w:r>
      <w:r w:rsidRPr="002F3CF2">
        <w:rPr>
          <w:rFonts w:ascii="Times New Roman" w:hAnsi="Times New Roman"/>
          <w:sz w:val="24"/>
          <w:szCs w:val="24"/>
        </w:rPr>
        <w:t xml:space="preserve"> je, v porovnaní so schváleným rozpočtom na rok 2018, </w:t>
      </w:r>
      <w:r w:rsidRPr="002F3CF2">
        <w:rPr>
          <w:rFonts w:ascii="Times New Roman" w:hAnsi="Times New Roman"/>
          <w:b/>
          <w:sz w:val="24"/>
          <w:szCs w:val="24"/>
        </w:rPr>
        <w:t>vyššie o 189 908</w:t>
      </w:r>
      <w:r w:rsidRPr="002F3CF2">
        <w:rPr>
          <w:rFonts w:ascii="Times New Roman" w:hAnsi="Times New Roman"/>
          <w:b/>
          <w:bCs/>
          <w:sz w:val="24"/>
          <w:szCs w:val="24"/>
        </w:rPr>
        <w:t xml:space="preserve"> tis. EUR. </w:t>
      </w:r>
      <w:r w:rsidRPr="002F3CF2">
        <w:rPr>
          <w:rFonts w:ascii="Times New Roman" w:hAnsi="Times New Roman"/>
          <w:bCs/>
          <w:sz w:val="24"/>
          <w:szCs w:val="24"/>
        </w:rPr>
        <w:t>V príjmoch z dlžného poistného je zahrnutá</w:t>
      </w:r>
      <w:r w:rsidRPr="002F3CF2">
        <w:rPr>
          <w:rFonts w:ascii="Times New Roman" w:hAnsi="Times New Roman"/>
          <w:b/>
          <w:bCs/>
          <w:sz w:val="24"/>
          <w:szCs w:val="24"/>
        </w:rPr>
        <w:t xml:space="preserve"> odplata za</w:t>
      </w:r>
      <w:r>
        <w:rPr>
          <w:rFonts w:ascii="Times New Roman" w:hAnsi="Times New Roman"/>
          <w:b/>
          <w:bCs/>
          <w:sz w:val="24"/>
          <w:szCs w:val="24"/>
        </w:rPr>
        <w:t> </w:t>
      </w:r>
      <w:r w:rsidRPr="002F3CF2">
        <w:rPr>
          <w:rFonts w:ascii="Times New Roman" w:hAnsi="Times New Roman"/>
          <w:b/>
          <w:bCs/>
          <w:sz w:val="24"/>
          <w:szCs w:val="24"/>
        </w:rPr>
        <w:t>postúpené pohľadávky</w:t>
      </w:r>
      <w:r w:rsidRPr="002F3CF2">
        <w:rPr>
          <w:rFonts w:ascii="Times New Roman" w:hAnsi="Times New Roman"/>
          <w:bCs/>
          <w:sz w:val="24"/>
          <w:szCs w:val="24"/>
        </w:rPr>
        <w:t xml:space="preserve"> </w:t>
      </w:r>
      <w:r w:rsidRPr="002F3CF2">
        <w:rPr>
          <w:rFonts w:ascii="Times New Roman" w:hAnsi="Times New Roman"/>
          <w:b/>
          <w:bCs/>
          <w:sz w:val="24"/>
          <w:szCs w:val="24"/>
        </w:rPr>
        <w:t xml:space="preserve">v sume 187 219 tis. EUR </w:t>
      </w:r>
      <w:r w:rsidRPr="002F3CF2">
        <w:rPr>
          <w:rFonts w:ascii="Times New Roman" w:hAnsi="Times New Roman"/>
          <w:bCs/>
          <w:sz w:val="24"/>
          <w:szCs w:val="24"/>
        </w:rPr>
        <w:t xml:space="preserve">(v zmysle zmlúv o postúpení pohľadávok číslo 52565-1/2018-BA a číslo 52563-1/2018-BA zaplatená spoločnosťou </w:t>
      </w:r>
      <w:proofErr w:type="spellStart"/>
      <w:r w:rsidRPr="002F3CF2">
        <w:rPr>
          <w:rFonts w:ascii="Times New Roman" w:hAnsi="Times New Roman"/>
          <w:bCs/>
          <w:sz w:val="24"/>
          <w:szCs w:val="24"/>
        </w:rPr>
        <w:t>Debitum</w:t>
      </w:r>
      <w:proofErr w:type="spellEnd"/>
      <w:r w:rsidRPr="002F3CF2">
        <w:rPr>
          <w:rFonts w:ascii="Times New Roman" w:hAnsi="Times New Roman"/>
          <w:bCs/>
          <w:sz w:val="24"/>
          <w:szCs w:val="24"/>
        </w:rPr>
        <w:t>, a. s.),</w:t>
      </w:r>
      <w:r w:rsidRPr="002F3CF2">
        <w:rPr>
          <w:rFonts w:ascii="Times New Roman" w:hAnsi="Times New Roman"/>
          <w:b/>
          <w:bCs/>
          <w:sz w:val="24"/>
          <w:szCs w:val="24"/>
        </w:rPr>
        <w:t xml:space="preserve"> </w:t>
      </w:r>
      <w:r w:rsidRPr="002F3CF2">
        <w:rPr>
          <w:rFonts w:ascii="Times New Roman" w:hAnsi="Times New Roman"/>
          <w:bCs/>
          <w:sz w:val="24"/>
          <w:szCs w:val="24"/>
        </w:rPr>
        <w:t>ktorá bola pripísaná na účet správneho fondu 2. júla 2018 a následne zaúčtovaná do všetkých fondov v zmysle zákona o sociálnom poistení</w:t>
      </w:r>
      <w:r w:rsidRPr="002F3CF2">
        <w:rPr>
          <w:rFonts w:ascii="Times New Roman" w:hAnsi="Times New Roman"/>
          <w:b/>
          <w:bCs/>
          <w:sz w:val="24"/>
          <w:szCs w:val="24"/>
        </w:rPr>
        <w:t>.</w:t>
      </w:r>
    </w:p>
    <w:p w:rsidR="00385B00" w:rsidRPr="002F3CF2" w:rsidRDefault="00385B00" w:rsidP="00385B00">
      <w:pPr>
        <w:widowControl/>
        <w:autoSpaceDE/>
        <w:autoSpaceDN/>
        <w:adjustRightInd/>
        <w:spacing w:before="240" w:after="120" w:line="360" w:lineRule="auto"/>
        <w:ind w:firstLine="720"/>
        <w:jc w:val="both"/>
        <w:rPr>
          <w:rFonts w:ascii="Times New Roman" w:hAnsi="Times New Roman"/>
          <w:sz w:val="24"/>
          <w:szCs w:val="24"/>
          <w:lang w:eastAsia="en-US"/>
        </w:rPr>
      </w:pPr>
      <w:r w:rsidRPr="002F3CF2">
        <w:rPr>
          <w:rFonts w:ascii="Times New Roman" w:hAnsi="Times New Roman"/>
          <w:b/>
          <w:bCs/>
          <w:sz w:val="24"/>
          <w:szCs w:val="24"/>
          <w:lang w:eastAsia="en-US"/>
        </w:rPr>
        <w:t xml:space="preserve">Sociálnej poisťovni bol </w:t>
      </w:r>
      <w:r w:rsidRPr="002F3CF2">
        <w:rPr>
          <w:rFonts w:ascii="Times New Roman" w:hAnsi="Times New Roman"/>
          <w:sz w:val="24"/>
          <w:szCs w:val="24"/>
          <w:lang w:eastAsia="en-US"/>
        </w:rPr>
        <w:t>prostredníctvom výdavkového účtu MF SR</w:t>
      </w:r>
      <w:r w:rsidRPr="002F3CF2">
        <w:rPr>
          <w:rFonts w:ascii="Times New Roman" w:hAnsi="Times New Roman"/>
          <w:b/>
          <w:bCs/>
          <w:sz w:val="24"/>
          <w:szCs w:val="24"/>
          <w:lang w:eastAsia="en-US"/>
        </w:rPr>
        <w:t xml:space="preserve"> </w:t>
      </w:r>
      <w:r w:rsidRPr="002F3CF2">
        <w:rPr>
          <w:rFonts w:ascii="Times New Roman" w:hAnsi="Times New Roman"/>
          <w:b/>
          <w:sz w:val="24"/>
          <w:szCs w:val="24"/>
          <w:lang w:eastAsia="en-US"/>
        </w:rPr>
        <w:t>poskytnutý</w:t>
      </w:r>
      <w:r w:rsidRPr="002F3CF2">
        <w:rPr>
          <w:rFonts w:ascii="Times New Roman" w:hAnsi="Times New Roman"/>
          <w:b/>
          <w:bCs/>
          <w:sz w:val="24"/>
          <w:szCs w:val="24"/>
          <w:lang w:eastAsia="en-US"/>
        </w:rPr>
        <w:t xml:space="preserve"> transfer finančných prostriedkov zo ŠR SR</w:t>
      </w:r>
      <w:r w:rsidRPr="002F3CF2">
        <w:rPr>
          <w:rFonts w:ascii="Times New Roman" w:hAnsi="Times New Roman"/>
          <w:sz w:val="24"/>
          <w:szCs w:val="24"/>
          <w:lang w:eastAsia="en-US"/>
        </w:rPr>
        <w:t xml:space="preserve"> </w:t>
      </w:r>
      <w:r w:rsidRPr="002F3CF2">
        <w:rPr>
          <w:rFonts w:ascii="Times New Roman" w:hAnsi="Times New Roman"/>
          <w:b/>
          <w:sz w:val="24"/>
          <w:szCs w:val="24"/>
          <w:lang w:eastAsia="en-US"/>
        </w:rPr>
        <w:t>vo výške 106 413 tis. EUR</w:t>
      </w:r>
      <w:r w:rsidRPr="002F3CF2">
        <w:rPr>
          <w:rFonts w:ascii="Times New Roman" w:hAnsi="Times New Roman"/>
          <w:sz w:val="24"/>
          <w:szCs w:val="24"/>
          <w:lang w:eastAsia="en-US"/>
        </w:rPr>
        <w:t xml:space="preserve"> (o 148 979 tis. EUR menej, ako bolo zapracované v schválenom rozpočte na rok 2018),</w:t>
      </w:r>
      <w:r w:rsidRPr="002F3CF2">
        <w:rPr>
          <w:rFonts w:ascii="Times New Roman" w:hAnsi="Times New Roman"/>
          <w:sz w:val="24"/>
          <w:szCs w:val="24"/>
        </w:rPr>
        <w:t xml:space="preserve"> ktorý je určený na krytie deficitu vzniknutého v dôsledku zavedenia II. piliera a ako finančná výpomoc z dôvodu platobnej neschopnosti základného fondu starobného poistenia, v zmysle § 157 ods. 4 zákona č. 461/2003 </w:t>
      </w:r>
      <w:r>
        <w:rPr>
          <w:rFonts w:ascii="Times New Roman" w:hAnsi="Times New Roman"/>
          <w:sz w:val="24"/>
          <w:szCs w:val="24"/>
        </w:rPr>
        <w:t xml:space="preserve"> </w:t>
      </w:r>
      <w:r w:rsidRPr="002F3CF2">
        <w:rPr>
          <w:rFonts w:ascii="Times New Roman" w:hAnsi="Times New Roman"/>
          <w:sz w:val="24"/>
          <w:szCs w:val="24"/>
        </w:rPr>
        <w:t>Z. z. o sociálnom poistení v znení neskorších predpisov.</w:t>
      </w:r>
    </w:p>
    <w:p w:rsidR="00385B00" w:rsidRPr="002F3CF2" w:rsidRDefault="00385B00" w:rsidP="00385B00">
      <w:pPr>
        <w:widowControl/>
        <w:tabs>
          <w:tab w:val="decimal" w:pos="8222"/>
        </w:tabs>
        <w:autoSpaceDE/>
        <w:autoSpaceDN/>
        <w:adjustRightInd/>
        <w:spacing w:before="240" w:after="120" w:line="360" w:lineRule="auto"/>
        <w:ind w:firstLine="709"/>
        <w:jc w:val="both"/>
        <w:outlineLvl w:val="0"/>
        <w:rPr>
          <w:rFonts w:ascii="Times New Roman" w:hAnsi="Times New Roman"/>
          <w:b/>
          <w:sz w:val="24"/>
          <w:szCs w:val="24"/>
          <w:lang w:eastAsia="cs-CZ"/>
        </w:rPr>
      </w:pPr>
      <w:r w:rsidRPr="002F3CF2">
        <w:rPr>
          <w:rFonts w:ascii="Times New Roman" w:hAnsi="Times New Roman"/>
          <w:b/>
          <w:sz w:val="24"/>
          <w:szCs w:val="24"/>
          <w:lang w:eastAsia="cs-CZ"/>
        </w:rPr>
        <w:t>Tvorba fondov</w:t>
      </w:r>
    </w:p>
    <w:p w:rsidR="00385B00" w:rsidRPr="002F3CF2" w:rsidRDefault="00385B00" w:rsidP="00385B00">
      <w:pPr>
        <w:widowControl/>
        <w:autoSpaceDE/>
        <w:autoSpaceDN/>
        <w:adjustRightInd/>
        <w:spacing w:before="240" w:line="360" w:lineRule="auto"/>
        <w:ind w:firstLine="709"/>
        <w:jc w:val="both"/>
        <w:rPr>
          <w:rFonts w:ascii="Times New Roman" w:hAnsi="Times New Roman"/>
          <w:sz w:val="24"/>
          <w:szCs w:val="24"/>
        </w:rPr>
      </w:pPr>
      <w:r w:rsidRPr="002F3CF2">
        <w:rPr>
          <w:rFonts w:ascii="Times New Roman" w:hAnsi="Times New Roman"/>
          <w:sz w:val="24"/>
          <w:szCs w:val="24"/>
        </w:rPr>
        <w:t>Z príjmov poistného, pokút, penále a ostatných príjmov v roku 2018 boli vytvorené jednotlivé fondy:</w:t>
      </w:r>
    </w:p>
    <w:tbl>
      <w:tblPr>
        <w:tblW w:w="9498" w:type="dxa"/>
        <w:tblInd w:w="70" w:type="dxa"/>
        <w:tblLayout w:type="fixed"/>
        <w:tblCellMar>
          <w:left w:w="70" w:type="dxa"/>
          <w:right w:w="70" w:type="dxa"/>
        </w:tblCellMar>
        <w:tblLook w:val="04A0" w:firstRow="1" w:lastRow="0" w:firstColumn="1" w:lastColumn="0" w:noHBand="0" w:noVBand="1"/>
      </w:tblPr>
      <w:tblGrid>
        <w:gridCol w:w="4395"/>
        <w:gridCol w:w="1622"/>
        <w:gridCol w:w="1622"/>
        <w:gridCol w:w="1859"/>
      </w:tblGrid>
      <w:tr w:rsidR="00385B00" w:rsidRPr="002F3CF2" w:rsidTr="007379ED">
        <w:trPr>
          <w:trHeight w:val="255"/>
        </w:trPr>
        <w:tc>
          <w:tcPr>
            <w:tcW w:w="4395" w:type="dxa"/>
            <w:tcBorders>
              <w:top w:val="nil"/>
              <w:left w:val="nil"/>
              <w:bottom w:val="nil"/>
              <w:right w:val="nil"/>
            </w:tcBorders>
            <w:noWrap/>
            <w:vAlign w:val="bottom"/>
            <w:hideMark/>
          </w:tcPr>
          <w:p w:rsidR="00385B00" w:rsidRPr="002F3CF2" w:rsidRDefault="00385B00" w:rsidP="007379ED">
            <w:pPr>
              <w:widowControl/>
              <w:autoSpaceDE/>
              <w:autoSpaceDN/>
              <w:adjustRightInd/>
              <w:spacing w:line="360" w:lineRule="auto"/>
              <w:rPr>
                <w:rFonts w:ascii="Times New Roman" w:hAnsi="Times New Roman"/>
                <w:sz w:val="24"/>
                <w:szCs w:val="24"/>
              </w:rPr>
            </w:pPr>
          </w:p>
        </w:tc>
        <w:tc>
          <w:tcPr>
            <w:tcW w:w="1622" w:type="dxa"/>
            <w:tcBorders>
              <w:top w:val="nil"/>
              <w:left w:val="nil"/>
              <w:bottom w:val="nil"/>
              <w:right w:val="nil"/>
            </w:tcBorders>
            <w:noWrap/>
            <w:vAlign w:val="bottom"/>
            <w:hideMark/>
          </w:tcPr>
          <w:p w:rsidR="00385B00" w:rsidRPr="002F3CF2" w:rsidRDefault="00385B00" w:rsidP="007379ED">
            <w:pPr>
              <w:widowControl/>
              <w:autoSpaceDE/>
              <w:autoSpaceDN/>
              <w:adjustRightInd/>
              <w:spacing w:line="360" w:lineRule="auto"/>
              <w:rPr>
                <w:rFonts w:ascii="Times New Roman" w:hAnsi="Times New Roman"/>
                <w:sz w:val="24"/>
                <w:szCs w:val="24"/>
              </w:rPr>
            </w:pPr>
          </w:p>
        </w:tc>
        <w:tc>
          <w:tcPr>
            <w:tcW w:w="1622" w:type="dxa"/>
            <w:tcBorders>
              <w:top w:val="nil"/>
              <w:left w:val="nil"/>
              <w:bottom w:val="nil"/>
              <w:right w:val="nil"/>
            </w:tcBorders>
            <w:noWrap/>
            <w:vAlign w:val="bottom"/>
            <w:hideMark/>
          </w:tcPr>
          <w:p w:rsidR="00385B00" w:rsidRPr="002F3CF2" w:rsidRDefault="00385B00" w:rsidP="007379ED">
            <w:pPr>
              <w:widowControl/>
              <w:autoSpaceDE/>
              <w:autoSpaceDN/>
              <w:adjustRightInd/>
              <w:spacing w:line="360" w:lineRule="auto"/>
              <w:rPr>
                <w:rFonts w:ascii="Times New Roman" w:hAnsi="Times New Roman"/>
                <w:sz w:val="24"/>
                <w:szCs w:val="24"/>
              </w:rPr>
            </w:pPr>
          </w:p>
        </w:tc>
        <w:tc>
          <w:tcPr>
            <w:tcW w:w="1859" w:type="dxa"/>
            <w:tcBorders>
              <w:top w:val="nil"/>
              <w:left w:val="nil"/>
              <w:bottom w:val="nil"/>
              <w:right w:val="nil"/>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v tis. EUR</w:t>
            </w:r>
          </w:p>
        </w:tc>
      </w:tr>
      <w:tr w:rsidR="00385B00" w:rsidRPr="002F3CF2" w:rsidTr="007379ED">
        <w:trPr>
          <w:trHeight w:val="555"/>
        </w:trPr>
        <w:tc>
          <w:tcPr>
            <w:tcW w:w="4395" w:type="dxa"/>
            <w:tcBorders>
              <w:top w:val="single" w:sz="4" w:space="0" w:color="auto"/>
              <w:left w:val="single" w:sz="4" w:space="0" w:color="auto"/>
              <w:bottom w:val="single" w:sz="4" w:space="0" w:color="auto"/>
              <w:right w:val="single" w:sz="4" w:space="0" w:color="auto"/>
            </w:tcBorders>
            <w:noWrap/>
            <w:vAlign w:val="bottom"/>
            <w:hideMark/>
          </w:tcPr>
          <w:p w:rsidR="00385B00" w:rsidRPr="002E58A7" w:rsidRDefault="00385B00" w:rsidP="007379ED">
            <w:pPr>
              <w:widowControl/>
              <w:autoSpaceDE/>
              <w:autoSpaceDN/>
              <w:adjustRightInd/>
              <w:spacing w:line="360" w:lineRule="auto"/>
              <w:jc w:val="center"/>
              <w:rPr>
                <w:rFonts w:ascii="Times New Roman" w:hAnsi="Times New Roman"/>
                <w:b/>
                <w:color w:val="000000" w:themeColor="text1"/>
                <w:sz w:val="24"/>
                <w:szCs w:val="24"/>
                <w:u w:color="000000"/>
              </w:rPr>
            </w:pPr>
            <w:r w:rsidRPr="002E58A7">
              <w:rPr>
                <w:rFonts w:ascii="Times New Roman" w:hAnsi="Times New Roman"/>
                <w:b/>
                <w:color w:val="000000" w:themeColor="text1"/>
                <w:sz w:val="24"/>
                <w:szCs w:val="24"/>
                <w:u w:color="000000"/>
              </w:rPr>
              <w:t xml:space="preserve">Fond  </w:t>
            </w:r>
          </w:p>
        </w:tc>
        <w:tc>
          <w:tcPr>
            <w:tcW w:w="1622" w:type="dxa"/>
            <w:tcBorders>
              <w:top w:val="single" w:sz="4" w:space="0" w:color="auto"/>
              <w:left w:val="nil"/>
              <w:bottom w:val="single" w:sz="4" w:space="0" w:color="auto"/>
              <w:right w:val="single" w:sz="4" w:space="0" w:color="auto"/>
            </w:tcBorders>
            <w:vAlign w:val="bottom"/>
            <w:hideMark/>
          </w:tcPr>
          <w:p w:rsidR="00385B00" w:rsidRPr="002E58A7" w:rsidRDefault="00385B00" w:rsidP="007379ED">
            <w:pPr>
              <w:widowControl/>
              <w:jc w:val="center"/>
              <w:rPr>
                <w:rFonts w:ascii="Times New Roman" w:hAnsi="Times New Roman"/>
                <w:b/>
                <w:color w:val="000000" w:themeColor="text1"/>
                <w:sz w:val="24"/>
                <w:szCs w:val="24"/>
                <w:u w:color="000000"/>
              </w:rPr>
            </w:pPr>
            <w:r w:rsidRPr="002E58A7">
              <w:rPr>
                <w:rFonts w:ascii="Times New Roman" w:hAnsi="Times New Roman"/>
                <w:b/>
                <w:color w:val="000000" w:themeColor="text1"/>
                <w:sz w:val="24"/>
                <w:szCs w:val="24"/>
                <w:u w:color="000000"/>
              </w:rPr>
              <w:t>Tvorba fondu v bežnom roku</w:t>
            </w:r>
          </w:p>
        </w:tc>
        <w:tc>
          <w:tcPr>
            <w:tcW w:w="1622" w:type="dxa"/>
            <w:tcBorders>
              <w:top w:val="single" w:sz="4" w:space="0" w:color="auto"/>
              <w:left w:val="nil"/>
              <w:bottom w:val="single" w:sz="4" w:space="0" w:color="auto"/>
              <w:right w:val="single" w:sz="4" w:space="0" w:color="auto"/>
            </w:tcBorders>
            <w:vAlign w:val="bottom"/>
            <w:hideMark/>
          </w:tcPr>
          <w:p w:rsidR="00385B00" w:rsidRPr="002E58A7" w:rsidRDefault="00385B00" w:rsidP="007379ED">
            <w:pPr>
              <w:widowControl/>
              <w:jc w:val="center"/>
              <w:rPr>
                <w:rFonts w:ascii="Times New Roman" w:hAnsi="Times New Roman"/>
                <w:b/>
                <w:color w:val="000000" w:themeColor="text1"/>
                <w:sz w:val="24"/>
                <w:szCs w:val="24"/>
                <w:u w:color="000000"/>
              </w:rPr>
            </w:pPr>
            <w:r w:rsidRPr="002E58A7">
              <w:rPr>
                <w:rFonts w:ascii="Times New Roman" w:hAnsi="Times New Roman"/>
                <w:b/>
                <w:color w:val="000000" w:themeColor="text1"/>
                <w:sz w:val="24"/>
                <w:szCs w:val="24"/>
                <w:u w:color="000000"/>
              </w:rPr>
              <w:t>Prevod zostatku z roku 2017</w:t>
            </w:r>
          </w:p>
        </w:tc>
        <w:tc>
          <w:tcPr>
            <w:tcW w:w="1859" w:type="dxa"/>
            <w:tcBorders>
              <w:top w:val="single" w:sz="4" w:space="0" w:color="auto"/>
              <w:left w:val="nil"/>
              <w:bottom w:val="single" w:sz="4" w:space="0" w:color="auto"/>
              <w:right w:val="single" w:sz="4" w:space="0" w:color="auto"/>
            </w:tcBorders>
            <w:vAlign w:val="bottom"/>
            <w:hideMark/>
          </w:tcPr>
          <w:p w:rsidR="00385B00" w:rsidRPr="002E58A7" w:rsidRDefault="00385B00" w:rsidP="007379ED">
            <w:pPr>
              <w:widowControl/>
              <w:jc w:val="center"/>
              <w:rPr>
                <w:rFonts w:ascii="Times New Roman" w:hAnsi="Times New Roman"/>
                <w:b/>
                <w:color w:val="000000" w:themeColor="text1"/>
                <w:sz w:val="24"/>
                <w:szCs w:val="24"/>
                <w:u w:color="000000"/>
              </w:rPr>
            </w:pPr>
            <w:r w:rsidRPr="002E58A7">
              <w:rPr>
                <w:rFonts w:ascii="Times New Roman" w:hAnsi="Times New Roman"/>
                <w:b/>
                <w:color w:val="000000" w:themeColor="text1"/>
                <w:sz w:val="24"/>
                <w:szCs w:val="24"/>
                <w:u w:color="000000"/>
              </w:rPr>
              <w:t>Tvorba fondu celkom 1+2</w:t>
            </w:r>
          </w:p>
        </w:tc>
      </w:tr>
      <w:tr w:rsidR="00385B00" w:rsidRPr="002F3CF2" w:rsidTr="007379ED">
        <w:trPr>
          <w:trHeight w:val="255"/>
        </w:trPr>
        <w:tc>
          <w:tcPr>
            <w:tcW w:w="4395" w:type="dxa"/>
            <w:tcBorders>
              <w:top w:val="nil"/>
              <w:left w:val="single" w:sz="4" w:space="0" w:color="auto"/>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center"/>
              <w:rPr>
                <w:rFonts w:ascii="Times New Roman" w:hAnsi="Times New Roman"/>
                <w:sz w:val="24"/>
                <w:szCs w:val="24"/>
              </w:rPr>
            </w:pPr>
            <w:r w:rsidRPr="002F3CF2">
              <w:rPr>
                <w:rFonts w:ascii="Times New Roman" w:hAnsi="Times New Roman"/>
                <w:sz w:val="24"/>
                <w:szCs w:val="24"/>
              </w:rPr>
              <w:t>a</w:t>
            </w:r>
          </w:p>
        </w:tc>
        <w:tc>
          <w:tcPr>
            <w:tcW w:w="1622" w:type="dxa"/>
            <w:tcBorders>
              <w:top w:val="nil"/>
              <w:left w:val="nil"/>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center"/>
              <w:rPr>
                <w:rFonts w:ascii="Times New Roman" w:hAnsi="Times New Roman"/>
                <w:sz w:val="24"/>
                <w:szCs w:val="24"/>
              </w:rPr>
            </w:pPr>
            <w:r w:rsidRPr="002F3CF2">
              <w:rPr>
                <w:rFonts w:ascii="Times New Roman" w:hAnsi="Times New Roman"/>
                <w:sz w:val="24"/>
                <w:szCs w:val="24"/>
              </w:rPr>
              <w:t>1</w:t>
            </w:r>
          </w:p>
        </w:tc>
        <w:tc>
          <w:tcPr>
            <w:tcW w:w="1622" w:type="dxa"/>
            <w:tcBorders>
              <w:top w:val="nil"/>
              <w:left w:val="nil"/>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center"/>
              <w:rPr>
                <w:rFonts w:ascii="Times New Roman" w:hAnsi="Times New Roman"/>
                <w:sz w:val="24"/>
                <w:szCs w:val="24"/>
              </w:rPr>
            </w:pPr>
            <w:r w:rsidRPr="002F3CF2">
              <w:rPr>
                <w:rFonts w:ascii="Times New Roman" w:hAnsi="Times New Roman"/>
                <w:sz w:val="24"/>
                <w:szCs w:val="24"/>
              </w:rPr>
              <w:t>2</w:t>
            </w:r>
          </w:p>
        </w:tc>
        <w:tc>
          <w:tcPr>
            <w:tcW w:w="1859" w:type="dxa"/>
            <w:tcBorders>
              <w:top w:val="nil"/>
              <w:left w:val="nil"/>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center"/>
              <w:rPr>
                <w:rFonts w:ascii="Times New Roman" w:hAnsi="Times New Roman"/>
                <w:sz w:val="24"/>
                <w:szCs w:val="24"/>
              </w:rPr>
            </w:pPr>
            <w:r w:rsidRPr="002F3CF2">
              <w:rPr>
                <w:rFonts w:ascii="Times New Roman" w:hAnsi="Times New Roman"/>
                <w:sz w:val="24"/>
                <w:szCs w:val="24"/>
              </w:rPr>
              <w:t>3</w:t>
            </w:r>
          </w:p>
        </w:tc>
      </w:tr>
      <w:tr w:rsidR="00385B00" w:rsidRPr="002F3CF2" w:rsidTr="007379ED">
        <w:trPr>
          <w:trHeight w:val="255"/>
        </w:trPr>
        <w:tc>
          <w:tcPr>
            <w:tcW w:w="4395" w:type="dxa"/>
            <w:tcBorders>
              <w:top w:val="nil"/>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rPr>
                <w:rFonts w:ascii="Times New Roman" w:hAnsi="Times New Roman"/>
                <w:sz w:val="24"/>
                <w:szCs w:val="24"/>
              </w:rPr>
            </w:pPr>
            <w:r w:rsidRPr="002F3CF2">
              <w:rPr>
                <w:rFonts w:ascii="Times New Roman" w:hAnsi="Times New Roman"/>
                <w:sz w:val="24"/>
                <w:szCs w:val="24"/>
              </w:rPr>
              <w:t>Základný fond nemocenského poistenia</w:t>
            </w:r>
          </w:p>
        </w:tc>
        <w:tc>
          <w:tcPr>
            <w:tcW w:w="1622" w:type="dxa"/>
            <w:tcBorders>
              <w:top w:val="single" w:sz="4" w:space="0" w:color="auto"/>
              <w:left w:val="single" w:sz="4" w:space="0" w:color="auto"/>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687 583</w:t>
            </w:r>
          </w:p>
        </w:tc>
        <w:tc>
          <w:tcPr>
            <w:tcW w:w="1622" w:type="dxa"/>
            <w:tcBorders>
              <w:top w:val="single" w:sz="4" w:space="0" w:color="auto"/>
              <w:left w:val="nil"/>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56 559</w:t>
            </w:r>
          </w:p>
        </w:tc>
        <w:tc>
          <w:tcPr>
            <w:tcW w:w="1859" w:type="dxa"/>
            <w:tcBorders>
              <w:top w:val="single" w:sz="4" w:space="0" w:color="auto"/>
              <w:left w:val="nil"/>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744 142</w:t>
            </w:r>
          </w:p>
        </w:tc>
      </w:tr>
      <w:tr w:rsidR="00385B00" w:rsidRPr="002F3CF2" w:rsidTr="007379ED">
        <w:trPr>
          <w:trHeight w:val="255"/>
        </w:trPr>
        <w:tc>
          <w:tcPr>
            <w:tcW w:w="4395" w:type="dxa"/>
            <w:tcBorders>
              <w:top w:val="nil"/>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rPr>
                <w:rFonts w:ascii="Times New Roman" w:hAnsi="Times New Roman"/>
                <w:sz w:val="24"/>
                <w:szCs w:val="24"/>
              </w:rPr>
            </w:pPr>
            <w:r w:rsidRPr="002F3CF2">
              <w:rPr>
                <w:rFonts w:ascii="Times New Roman" w:hAnsi="Times New Roman"/>
                <w:sz w:val="24"/>
                <w:szCs w:val="24"/>
              </w:rPr>
              <w:t>Základný fond starobného poistenia</w:t>
            </w:r>
          </w:p>
        </w:tc>
        <w:tc>
          <w:tcPr>
            <w:tcW w:w="1622" w:type="dxa"/>
            <w:tcBorders>
              <w:top w:val="nil"/>
              <w:left w:val="single" w:sz="4" w:space="0" w:color="auto"/>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4 029 950</w:t>
            </w:r>
          </w:p>
        </w:tc>
        <w:tc>
          <w:tcPr>
            <w:tcW w:w="1622" w:type="dxa"/>
            <w:tcBorders>
              <w:top w:val="nil"/>
              <w:left w:val="nil"/>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208 715</w:t>
            </w:r>
          </w:p>
        </w:tc>
        <w:tc>
          <w:tcPr>
            <w:tcW w:w="1859" w:type="dxa"/>
            <w:tcBorders>
              <w:top w:val="nil"/>
              <w:left w:val="nil"/>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4 238 665</w:t>
            </w:r>
          </w:p>
        </w:tc>
      </w:tr>
      <w:tr w:rsidR="00385B00" w:rsidRPr="002F3CF2" w:rsidTr="007379ED">
        <w:trPr>
          <w:trHeight w:val="255"/>
        </w:trPr>
        <w:tc>
          <w:tcPr>
            <w:tcW w:w="4395" w:type="dxa"/>
            <w:tcBorders>
              <w:top w:val="nil"/>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rPr>
                <w:rFonts w:ascii="Times New Roman" w:hAnsi="Times New Roman"/>
                <w:sz w:val="24"/>
                <w:szCs w:val="24"/>
              </w:rPr>
            </w:pPr>
            <w:r w:rsidRPr="002F3CF2">
              <w:rPr>
                <w:rFonts w:ascii="Times New Roman" w:hAnsi="Times New Roman"/>
                <w:sz w:val="24"/>
                <w:szCs w:val="24"/>
              </w:rPr>
              <w:t>Základný fond invalidného poistenia</w:t>
            </w:r>
          </w:p>
        </w:tc>
        <w:tc>
          <w:tcPr>
            <w:tcW w:w="1622" w:type="dxa"/>
            <w:tcBorders>
              <w:top w:val="nil"/>
              <w:left w:val="single" w:sz="4" w:space="0" w:color="auto"/>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1 449 611</w:t>
            </w:r>
          </w:p>
        </w:tc>
        <w:tc>
          <w:tcPr>
            <w:tcW w:w="1622" w:type="dxa"/>
            <w:tcBorders>
              <w:top w:val="nil"/>
              <w:left w:val="nil"/>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166 988</w:t>
            </w:r>
          </w:p>
        </w:tc>
        <w:tc>
          <w:tcPr>
            <w:tcW w:w="1859" w:type="dxa"/>
            <w:tcBorders>
              <w:top w:val="nil"/>
              <w:left w:val="nil"/>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1 616 599</w:t>
            </w:r>
          </w:p>
        </w:tc>
      </w:tr>
      <w:tr w:rsidR="00385B00" w:rsidRPr="002F3CF2" w:rsidTr="007379ED">
        <w:trPr>
          <w:trHeight w:val="255"/>
        </w:trPr>
        <w:tc>
          <w:tcPr>
            <w:tcW w:w="4395" w:type="dxa"/>
            <w:tcBorders>
              <w:top w:val="nil"/>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rPr>
                <w:rFonts w:ascii="Times New Roman" w:hAnsi="Times New Roman"/>
                <w:sz w:val="24"/>
                <w:szCs w:val="24"/>
              </w:rPr>
            </w:pPr>
            <w:r w:rsidRPr="002F3CF2">
              <w:rPr>
                <w:rFonts w:ascii="Times New Roman" w:hAnsi="Times New Roman"/>
                <w:sz w:val="24"/>
                <w:szCs w:val="24"/>
              </w:rPr>
              <w:t>Základný fond úrazového poistenia</w:t>
            </w:r>
          </w:p>
        </w:tc>
        <w:tc>
          <w:tcPr>
            <w:tcW w:w="1622" w:type="dxa"/>
            <w:tcBorders>
              <w:top w:val="nil"/>
              <w:left w:val="single" w:sz="4" w:space="0" w:color="auto"/>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187 622</w:t>
            </w:r>
          </w:p>
        </w:tc>
        <w:tc>
          <w:tcPr>
            <w:tcW w:w="1622" w:type="dxa"/>
            <w:tcBorders>
              <w:top w:val="nil"/>
              <w:left w:val="nil"/>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21 993</w:t>
            </w:r>
          </w:p>
        </w:tc>
        <w:tc>
          <w:tcPr>
            <w:tcW w:w="1859" w:type="dxa"/>
            <w:tcBorders>
              <w:top w:val="nil"/>
              <w:left w:val="nil"/>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209 615</w:t>
            </w:r>
          </w:p>
        </w:tc>
      </w:tr>
      <w:tr w:rsidR="00385B00" w:rsidRPr="002F3CF2" w:rsidTr="007379ED">
        <w:trPr>
          <w:trHeight w:val="255"/>
        </w:trPr>
        <w:tc>
          <w:tcPr>
            <w:tcW w:w="4395" w:type="dxa"/>
            <w:tcBorders>
              <w:top w:val="nil"/>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rPr>
                <w:rFonts w:ascii="Times New Roman" w:hAnsi="Times New Roman"/>
                <w:sz w:val="24"/>
                <w:szCs w:val="24"/>
              </w:rPr>
            </w:pPr>
            <w:r w:rsidRPr="002F3CF2">
              <w:rPr>
                <w:rFonts w:ascii="Times New Roman" w:hAnsi="Times New Roman"/>
                <w:sz w:val="24"/>
                <w:szCs w:val="24"/>
              </w:rPr>
              <w:t>Základný fond garančného poistenia</w:t>
            </w:r>
          </w:p>
        </w:tc>
        <w:tc>
          <w:tcPr>
            <w:tcW w:w="1622" w:type="dxa"/>
            <w:tcBorders>
              <w:top w:val="nil"/>
              <w:left w:val="single" w:sz="4" w:space="0" w:color="auto"/>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51 810</w:t>
            </w:r>
          </w:p>
        </w:tc>
        <w:tc>
          <w:tcPr>
            <w:tcW w:w="1622" w:type="dxa"/>
            <w:tcBorders>
              <w:top w:val="nil"/>
              <w:left w:val="nil"/>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9 331</w:t>
            </w:r>
          </w:p>
        </w:tc>
        <w:tc>
          <w:tcPr>
            <w:tcW w:w="1859" w:type="dxa"/>
            <w:tcBorders>
              <w:top w:val="nil"/>
              <w:left w:val="nil"/>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61 141</w:t>
            </w:r>
          </w:p>
        </w:tc>
      </w:tr>
      <w:tr w:rsidR="00385B00" w:rsidRPr="002F3CF2" w:rsidTr="007379ED">
        <w:trPr>
          <w:trHeight w:val="255"/>
        </w:trPr>
        <w:tc>
          <w:tcPr>
            <w:tcW w:w="4395" w:type="dxa"/>
            <w:tcBorders>
              <w:top w:val="nil"/>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rPr>
                <w:rFonts w:ascii="Times New Roman" w:hAnsi="Times New Roman"/>
                <w:sz w:val="24"/>
                <w:szCs w:val="24"/>
              </w:rPr>
            </w:pPr>
            <w:r w:rsidRPr="002F3CF2">
              <w:rPr>
                <w:rFonts w:ascii="Times New Roman" w:hAnsi="Times New Roman"/>
                <w:sz w:val="24"/>
                <w:szCs w:val="24"/>
              </w:rPr>
              <w:t>Základný fond poistenia v nezamestnanosti</w:t>
            </w:r>
          </w:p>
        </w:tc>
        <w:tc>
          <w:tcPr>
            <w:tcW w:w="1622" w:type="dxa"/>
            <w:tcBorders>
              <w:top w:val="nil"/>
              <w:left w:val="single" w:sz="4" w:space="0" w:color="auto"/>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445 514</w:t>
            </w:r>
          </w:p>
        </w:tc>
        <w:tc>
          <w:tcPr>
            <w:tcW w:w="1622" w:type="dxa"/>
            <w:tcBorders>
              <w:top w:val="nil"/>
              <w:left w:val="nil"/>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42 321</w:t>
            </w:r>
          </w:p>
        </w:tc>
        <w:tc>
          <w:tcPr>
            <w:tcW w:w="1859" w:type="dxa"/>
            <w:tcBorders>
              <w:top w:val="nil"/>
              <w:left w:val="nil"/>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487 835</w:t>
            </w:r>
          </w:p>
        </w:tc>
      </w:tr>
      <w:tr w:rsidR="00385B00" w:rsidRPr="002F3CF2" w:rsidTr="007379ED">
        <w:trPr>
          <w:trHeight w:val="255"/>
        </w:trPr>
        <w:tc>
          <w:tcPr>
            <w:tcW w:w="4395" w:type="dxa"/>
            <w:tcBorders>
              <w:top w:val="nil"/>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rPr>
                <w:rFonts w:ascii="Times New Roman" w:hAnsi="Times New Roman"/>
                <w:sz w:val="24"/>
                <w:szCs w:val="24"/>
              </w:rPr>
            </w:pPr>
            <w:r w:rsidRPr="002F3CF2">
              <w:rPr>
                <w:rFonts w:ascii="Times New Roman" w:hAnsi="Times New Roman"/>
                <w:sz w:val="24"/>
                <w:szCs w:val="24"/>
              </w:rPr>
              <w:t>Rezervný fond solidarity</w:t>
            </w:r>
          </w:p>
        </w:tc>
        <w:tc>
          <w:tcPr>
            <w:tcW w:w="1622" w:type="dxa"/>
            <w:tcBorders>
              <w:top w:val="nil"/>
              <w:left w:val="single" w:sz="4" w:space="0" w:color="auto"/>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1 165 084</w:t>
            </w:r>
          </w:p>
        </w:tc>
        <w:tc>
          <w:tcPr>
            <w:tcW w:w="1622" w:type="dxa"/>
            <w:tcBorders>
              <w:top w:val="nil"/>
              <w:left w:val="nil"/>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59 801</w:t>
            </w:r>
          </w:p>
        </w:tc>
        <w:tc>
          <w:tcPr>
            <w:tcW w:w="1859" w:type="dxa"/>
            <w:tcBorders>
              <w:top w:val="nil"/>
              <w:left w:val="nil"/>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1 224 885</w:t>
            </w:r>
          </w:p>
        </w:tc>
      </w:tr>
      <w:tr w:rsidR="00385B00" w:rsidRPr="002F3CF2" w:rsidTr="007379ED">
        <w:trPr>
          <w:trHeight w:val="255"/>
        </w:trPr>
        <w:tc>
          <w:tcPr>
            <w:tcW w:w="4395" w:type="dxa"/>
            <w:tcBorders>
              <w:top w:val="nil"/>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rPr>
                <w:rFonts w:ascii="Times New Roman" w:hAnsi="Times New Roman"/>
                <w:sz w:val="24"/>
                <w:szCs w:val="24"/>
              </w:rPr>
            </w:pPr>
            <w:r w:rsidRPr="002F3CF2">
              <w:rPr>
                <w:rFonts w:ascii="Times New Roman" w:hAnsi="Times New Roman"/>
                <w:sz w:val="24"/>
                <w:szCs w:val="24"/>
              </w:rPr>
              <w:t>Správny fond</w:t>
            </w:r>
          </w:p>
        </w:tc>
        <w:tc>
          <w:tcPr>
            <w:tcW w:w="1622" w:type="dxa"/>
            <w:tcBorders>
              <w:top w:val="nil"/>
              <w:left w:val="single" w:sz="4" w:space="0" w:color="auto"/>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196 115</w:t>
            </w:r>
          </w:p>
        </w:tc>
        <w:tc>
          <w:tcPr>
            <w:tcW w:w="1622" w:type="dxa"/>
            <w:tcBorders>
              <w:top w:val="nil"/>
              <w:left w:val="nil"/>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0</w:t>
            </w:r>
          </w:p>
        </w:tc>
        <w:tc>
          <w:tcPr>
            <w:tcW w:w="1859" w:type="dxa"/>
            <w:tcBorders>
              <w:top w:val="nil"/>
              <w:left w:val="nil"/>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196 115</w:t>
            </w:r>
          </w:p>
        </w:tc>
      </w:tr>
      <w:tr w:rsidR="00385B00" w:rsidRPr="002F3CF2" w:rsidTr="007379ED">
        <w:trPr>
          <w:trHeight w:val="255"/>
        </w:trPr>
        <w:tc>
          <w:tcPr>
            <w:tcW w:w="4395" w:type="dxa"/>
            <w:tcBorders>
              <w:top w:val="nil"/>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rPr>
                <w:rFonts w:ascii="Times New Roman" w:hAnsi="Times New Roman"/>
                <w:sz w:val="24"/>
                <w:szCs w:val="24"/>
              </w:rPr>
            </w:pPr>
            <w:r w:rsidRPr="002F3CF2">
              <w:rPr>
                <w:rFonts w:ascii="Times New Roman" w:hAnsi="Times New Roman"/>
                <w:sz w:val="24"/>
                <w:szCs w:val="24"/>
              </w:rPr>
              <w:t>Spolu</w:t>
            </w:r>
          </w:p>
        </w:tc>
        <w:tc>
          <w:tcPr>
            <w:tcW w:w="1622" w:type="dxa"/>
            <w:tcBorders>
              <w:top w:val="nil"/>
              <w:left w:val="single" w:sz="4" w:space="0" w:color="auto"/>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8 213 289</w:t>
            </w:r>
          </w:p>
        </w:tc>
        <w:tc>
          <w:tcPr>
            <w:tcW w:w="1622" w:type="dxa"/>
            <w:tcBorders>
              <w:top w:val="nil"/>
              <w:left w:val="nil"/>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565 708</w:t>
            </w:r>
          </w:p>
        </w:tc>
        <w:tc>
          <w:tcPr>
            <w:tcW w:w="1859" w:type="dxa"/>
            <w:tcBorders>
              <w:top w:val="nil"/>
              <w:left w:val="nil"/>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8 778 997</w:t>
            </w:r>
          </w:p>
        </w:tc>
      </w:tr>
    </w:tbl>
    <w:p w:rsidR="00385B00" w:rsidRPr="002F3CF2" w:rsidRDefault="00385B00" w:rsidP="00385B00">
      <w:pPr>
        <w:widowControl/>
        <w:autoSpaceDE/>
        <w:autoSpaceDN/>
        <w:adjustRightInd/>
        <w:spacing w:line="360" w:lineRule="auto"/>
        <w:ind w:firstLine="709"/>
        <w:jc w:val="both"/>
        <w:rPr>
          <w:rFonts w:ascii="Times New Roman" w:hAnsi="Times New Roman"/>
          <w:sz w:val="24"/>
          <w:szCs w:val="24"/>
        </w:rPr>
      </w:pPr>
    </w:p>
    <w:p w:rsidR="00385B00" w:rsidRPr="002F3CF2" w:rsidRDefault="00385B00" w:rsidP="00385B00">
      <w:pPr>
        <w:widowControl/>
        <w:autoSpaceDE/>
        <w:autoSpaceDN/>
        <w:adjustRightInd/>
        <w:spacing w:before="240" w:after="120" w:line="360" w:lineRule="auto"/>
        <w:ind w:firstLine="709"/>
        <w:jc w:val="both"/>
        <w:rPr>
          <w:rFonts w:ascii="Times New Roman" w:hAnsi="Times New Roman"/>
          <w:sz w:val="24"/>
          <w:szCs w:val="24"/>
          <w:lang w:eastAsia="cs-CZ"/>
        </w:rPr>
      </w:pPr>
      <w:r w:rsidRPr="002F3CF2">
        <w:rPr>
          <w:rFonts w:ascii="Times New Roman" w:hAnsi="Times New Roman"/>
          <w:sz w:val="24"/>
          <w:szCs w:val="24"/>
          <w:lang w:eastAsia="cs-CZ"/>
        </w:rPr>
        <w:t>Správny fond sa tvoril v roku 2018:</w:t>
      </w:r>
    </w:p>
    <w:p w:rsidR="00385B00" w:rsidRPr="002F3CF2" w:rsidRDefault="00385B00" w:rsidP="00385B00">
      <w:pPr>
        <w:widowControl/>
        <w:numPr>
          <w:ilvl w:val="0"/>
          <w:numId w:val="16"/>
        </w:numPr>
        <w:tabs>
          <w:tab w:val="num" w:pos="567"/>
          <w:tab w:val="decimal" w:pos="8647"/>
        </w:tabs>
        <w:autoSpaceDE/>
        <w:autoSpaceDN/>
        <w:adjustRightInd/>
        <w:spacing w:after="120" w:line="360" w:lineRule="auto"/>
        <w:ind w:left="0" w:firstLine="0"/>
        <w:rPr>
          <w:rFonts w:ascii="Times New Roman" w:hAnsi="Times New Roman"/>
          <w:sz w:val="24"/>
          <w:szCs w:val="24"/>
          <w:lang w:eastAsia="cs-CZ"/>
        </w:rPr>
      </w:pPr>
      <w:r w:rsidRPr="002F3CF2">
        <w:rPr>
          <w:rFonts w:ascii="Times New Roman" w:hAnsi="Times New Roman"/>
          <w:sz w:val="24"/>
          <w:szCs w:val="24"/>
          <w:lang w:eastAsia="cs-CZ"/>
        </w:rPr>
        <w:t>vo výške 2,4 % z poistného na nemocenské poistenie, dôchodkové poistenie, úrazové poistenie, garančné poistenie, poistenie v nezamestnanosti, z poistného do rezervného fondu solidarity a z odplaty za postúpenú pohľadávku na poistnom na nemocenské poistenie, na</w:t>
      </w:r>
      <w:r>
        <w:rPr>
          <w:rFonts w:ascii="Times New Roman" w:hAnsi="Times New Roman"/>
          <w:sz w:val="24"/>
          <w:szCs w:val="24"/>
          <w:lang w:eastAsia="cs-CZ"/>
        </w:rPr>
        <w:t> </w:t>
      </w:r>
      <w:r w:rsidRPr="002F3CF2">
        <w:rPr>
          <w:rFonts w:ascii="Times New Roman" w:hAnsi="Times New Roman"/>
          <w:sz w:val="24"/>
          <w:szCs w:val="24"/>
          <w:lang w:eastAsia="cs-CZ"/>
        </w:rPr>
        <w:t>poistnom na dôchodkové poistenie, na poistnom na úrazové poistenie, na poistnom na garančné poistenie, na poistnom na poistenie v nezamestnanosti a na poistnom do rezervného fondu solidarity, čo predstavuje</w:t>
      </w:r>
      <w:r w:rsidRPr="002F3CF2">
        <w:rPr>
          <w:rFonts w:ascii="Times New Roman" w:hAnsi="Times New Roman"/>
          <w:sz w:val="24"/>
          <w:szCs w:val="24"/>
          <w:lang w:eastAsia="cs-CZ"/>
        </w:rPr>
        <w:tab/>
      </w:r>
      <w:r>
        <w:rPr>
          <w:rFonts w:ascii="Times New Roman" w:hAnsi="Times New Roman"/>
          <w:sz w:val="24"/>
          <w:szCs w:val="24"/>
          <w:lang w:eastAsia="cs-CZ"/>
        </w:rPr>
        <w:t xml:space="preserve">   </w:t>
      </w:r>
      <w:r w:rsidRPr="002F3CF2">
        <w:rPr>
          <w:rFonts w:ascii="Times New Roman" w:hAnsi="Times New Roman"/>
          <w:sz w:val="24"/>
          <w:szCs w:val="24"/>
          <w:lang w:eastAsia="cs-CZ"/>
        </w:rPr>
        <w:t>193 452 tis. EUR</w:t>
      </w:r>
    </w:p>
    <w:p w:rsidR="00385B00" w:rsidRPr="002F3CF2" w:rsidRDefault="00385B00" w:rsidP="00385B00">
      <w:pPr>
        <w:widowControl/>
        <w:numPr>
          <w:ilvl w:val="0"/>
          <w:numId w:val="17"/>
        </w:numPr>
        <w:tabs>
          <w:tab w:val="decimal" w:pos="8647"/>
        </w:tabs>
        <w:autoSpaceDE/>
        <w:autoSpaceDN/>
        <w:adjustRightInd/>
        <w:spacing w:after="120" w:line="360" w:lineRule="auto"/>
        <w:ind w:left="567" w:hanging="567"/>
        <w:rPr>
          <w:rFonts w:ascii="Times New Roman" w:hAnsi="Times New Roman"/>
          <w:sz w:val="24"/>
          <w:szCs w:val="24"/>
          <w:lang w:eastAsia="cs-CZ"/>
        </w:rPr>
      </w:pPr>
      <w:r w:rsidRPr="002F3CF2">
        <w:rPr>
          <w:rFonts w:ascii="Times New Roman" w:hAnsi="Times New Roman"/>
          <w:sz w:val="24"/>
          <w:szCs w:val="24"/>
          <w:lang w:eastAsia="cs-CZ"/>
        </w:rPr>
        <w:t>vo výške 0,25 % z vybraných príspevkov na SDS</w:t>
      </w:r>
      <w:r w:rsidRPr="002F3CF2">
        <w:rPr>
          <w:rFonts w:ascii="Times New Roman" w:hAnsi="Times New Roman"/>
          <w:sz w:val="24"/>
          <w:szCs w:val="24"/>
          <w:lang w:eastAsia="cs-CZ"/>
        </w:rPr>
        <w:tab/>
        <w:t>1 535 tis. EUR</w:t>
      </w:r>
    </w:p>
    <w:p w:rsidR="00385B00" w:rsidRPr="002F3CF2" w:rsidRDefault="00385B00" w:rsidP="00385B00">
      <w:pPr>
        <w:widowControl/>
        <w:numPr>
          <w:ilvl w:val="0"/>
          <w:numId w:val="17"/>
        </w:numPr>
        <w:tabs>
          <w:tab w:val="decimal" w:pos="8647"/>
        </w:tabs>
        <w:autoSpaceDE/>
        <w:autoSpaceDN/>
        <w:adjustRightInd/>
        <w:spacing w:after="120" w:line="360" w:lineRule="auto"/>
        <w:ind w:left="567" w:hanging="567"/>
        <w:rPr>
          <w:rFonts w:ascii="Times New Roman" w:hAnsi="Times New Roman"/>
          <w:sz w:val="24"/>
          <w:szCs w:val="24"/>
          <w:lang w:eastAsia="cs-CZ"/>
        </w:rPr>
      </w:pPr>
      <w:r w:rsidRPr="002F3CF2">
        <w:rPr>
          <w:rFonts w:ascii="Times New Roman" w:hAnsi="Times New Roman"/>
          <w:sz w:val="24"/>
          <w:szCs w:val="24"/>
          <w:lang w:eastAsia="cs-CZ"/>
        </w:rPr>
        <w:t>z príspevkov na SDS od zamestnávateľa po uplynutí 60 dní</w:t>
      </w:r>
      <w:r w:rsidRPr="002F3CF2">
        <w:rPr>
          <w:rFonts w:ascii="Times New Roman" w:hAnsi="Times New Roman"/>
          <w:sz w:val="24"/>
          <w:szCs w:val="24"/>
          <w:lang w:eastAsia="cs-CZ"/>
        </w:rPr>
        <w:tab/>
        <w:t>9 tis. EUR</w:t>
      </w:r>
    </w:p>
    <w:p w:rsidR="00385B00" w:rsidRPr="002F3CF2" w:rsidRDefault="00385B00" w:rsidP="00385B00">
      <w:pPr>
        <w:widowControl/>
        <w:numPr>
          <w:ilvl w:val="0"/>
          <w:numId w:val="17"/>
        </w:numPr>
        <w:tabs>
          <w:tab w:val="decimal" w:pos="8647"/>
        </w:tabs>
        <w:autoSpaceDE/>
        <w:autoSpaceDN/>
        <w:adjustRightInd/>
        <w:spacing w:after="120" w:line="360" w:lineRule="auto"/>
        <w:ind w:left="567" w:hanging="567"/>
        <w:rPr>
          <w:rFonts w:ascii="Times New Roman" w:hAnsi="Times New Roman"/>
          <w:sz w:val="24"/>
          <w:szCs w:val="24"/>
          <w:lang w:eastAsia="cs-CZ"/>
        </w:rPr>
      </w:pPr>
      <w:r w:rsidRPr="002F3CF2">
        <w:rPr>
          <w:rFonts w:ascii="Times New Roman" w:hAnsi="Times New Roman"/>
          <w:sz w:val="24"/>
          <w:szCs w:val="24"/>
          <w:lang w:eastAsia="cs-CZ"/>
        </w:rPr>
        <w:t xml:space="preserve">z ostatných príjmov v sume   </w:t>
      </w:r>
      <w:r w:rsidRPr="002F3CF2">
        <w:rPr>
          <w:rFonts w:ascii="Times New Roman" w:hAnsi="Times New Roman"/>
          <w:sz w:val="24"/>
          <w:szCs w:val="24"/>
          <w:lang w:eastAsia="cs-CZ"/>
        </w:rPr>
        <w:tab/>
        <w:t>1 118 tis. EUR</w:t>
      </w:r>
    </w:p>
    <w:p w:rsidR="00385B00" w:rsidRPr="00D45738" w:rsidRDefault="00385B00" w:rsidP="00385B00">
      <w:pPr>
        <w:widowControl/>
        <w:numPr>
          <w:ilvl w:val="0"/>
          <w:numId w:val="17"/>
        </w:numPr>
        <w:tabs>
          <w:tab w:val="decimal" w:pos="8647"/>
        </w:tabs>
        <w:autoSpaceDE/>
        <w:autoSpaceDN/>
        <w:adjustRightInd/>
        <w:spacing w:after="120" w:line="360" w:lineRule="auto"/>
        <w:ind w:left="567" w:hanging="567"/>
        <w:rPr>
          <w:rFonts w:ascii="Times New Roman" w:hAnsi="Times New Roman"/>
          <w:sz w:val="24"/>
          <w:szCs w:val="24"/>
          <w:lang w:eastAsia="cs-CZ"/>
        </w:rPr>
      </w:pPr>
      <w:r w:rsidRPr="002F3CF2">
        <w:rPr>
          <w:rFonts w:ascii="Times New Roman" w:hAnsi="Times New Roman"/>
          <w:sz w:val="24"/>
          <w:szCs w:val="24"/>
          <w:lang w:eastAsia="cs-CZ"/>
        </w:rPr>
        <w:t xml:space="preserve">z otvorenia II. </w:t>
      </w:r>
      <w:r>
        <w:rPr>
          <w:rFonts w:ascii="Times New Roman" w:hAnsi="Times New Roman"/>
          <w:sz w:val="24"/>
          <w:szCs w:val="24"/>
          <w:lang w:eastAsia="cs-CZ"/>
        </w:rPr>
        <w:t>p</w:t>
      </w:r>
      <w:r w:rsidRPr="002F3CF2">
        <w:rPr>
          <w:rFonts w:ascii="Times New Roman" w:hAnsi="Times New Roman"/>
          <w:sz w:val="24"/>
          <w:szCs w:val="24"/>
          <w:lang w:eastAsia="cs-CZ"/>
        </w:rPr>
        <w:t>iliera</w:t>
      </w:r>
      <w:r w:rsidRPr="002F3CF2">
        <w:rPr>
          <w:rFonts w:ascii="Times New Roman" w:hAnsi="Times New Roman"/>
          <w:sz w:val="24"/>
          <w:szCs w:val="24"/>
          <w:lang w:eastAsia="cs-CZ"/>
        </w:rPr>
        <w:tab/>
        <w:t>1 tis. EUR</w:t>
      </w:r>
    </w:p>
    <w:p w:rsidR="00385B00" w:rsidRPr="002F3CF2" w:rsidRDefault="00385B00" w:rsidP="00385B00">
      <w:pPr>
        <w:widowControl/>
        <w:tabs>
          <w:tab w:val="decimal" w:pos="8222"/>
        </w:tabs>
        <w:autoSpaceDE/>
        <w:autoSpaceDN/>
        <w:adjustRightInd/>
        <w:spacing w:before="240" w:after="120" w:line="360" w:lineRule="auto"/>
        <w:ind w:firstLine="709"/>
        <w:jc w:val="both"/>
        <w:rPr>
          <w:rFonts w:ascii="Times New Roman" w:hAnsi="Times New Roman"/>
          <w:sz w:val="24"/>
          <w:szCs w:val="24"/>
        </w:rPr>
      </w:pPr>
      <w:r w:rsidRPr="002F3CF2">
        <w:rPr>
          <w:rFonts w:ascii="Times New Roman" w:hAnsi="Times New Roman"/>
          <w:b/>
          <w:sz w:val="24"/>
          <w:szCs w:val="24"/>
        </w:rPr>
        <w:t>Výdavky (náklady) Sociálnej poisťovne v roku 2018</w:t>
      </w:r>
      <w:r w:rsidRPr="002F3CF2">
        <w:rPr>
          <w:rFonts w:ascii="Times New Roman" w:hAnsi="Times New Roman"/>
          <w:sz w:val="24"/>
          <w:szCs w:val="24"/>
        </w:rPr>
        <w:t xml:space="preserve"> v porovnaní so schváleným rozpočtom na rok 2018:</w:t>
      </w:r>
    </w:p>
    <w:tbl>
      <w:tblPr>
        <w:tblW w:w="9851" w:type="dxa"/>
        <w:tblCellMar>
          <w:left w:w="70" w:type="dxa"/>
          <w:right w:w="70" w:type="dxa"/>
        </w:tblCellMar>
        <w:tblLook w:val="04A0" w:firstRow="1" w:lastRow="0" w:firstColumn="1" w:lastColumn="0" w:noHBand="0" w:noVBand="1"/>
      </w:tblPr>
      <w:tblGrid>
        <w:gridCol w:w="4380"/>
        <w:gridCol w:w="1480"/>
        <w:gridCol w:w="1480"/>
        <w:gridCol w:w="1414"/>
        <w:gridCol w:w="1097"/>
      </w:tblGrid>
      <w:tr w:rsidR="00385B00" w:rsidRPr="002F3CF2" w:rsidTr="007379ED">
        <w:trPr>
          <w:trHeight w:val="300"/>
        </w:trPr>
        <w:tc>
          <w:tcPr>
            <w:tcW w:w="4380" w:type="dxa"/>
            <w:tcBorders>
              <w:top w:val="nil"/>
              <w:left w:val="nil"/>
              <w:bottom w:val="nil"/>
              <w:right w:val="nil"/>
            </w:tcBorders>
            <w:noWrap/>
            <w:vAlign w:val="bottom"/>
            <w:hideMark/>
          </w:tcPr>
          <w:p w:rsidR="00385B00" w:rsidRPr="002F3CF2" w:rsidRDefault="00385B00" w:rsidP="007379ED">
            <w:pPr>
              <w:widowControl/>
              <w:autoSpaceDE/>
              <w:autoSpaceDN/>
              <w:adjustRightInd/>
              <w:rPr>
                <w:rFonts w:ascii="Times New Roman" w:hAnsi="Times New Roman"/>
                <w:sz w:val="24"/>
                <w:szCs w:val="24"/>
              </w:rPr>
            </w:pPr>
          </w:p>
        </w:tc>
        <w:tc>
          <w:tcPr>
            <w:tcW w:w="1480" w:type="dxa"/>
            <w:tcBorders>
              <w:top w:val="nil"/>
              <w:left w:val="nil"/>
              <w:bottom w:val="nil"/>
              <w:right w:val="nil"/>
            </w:tcBorders>
            <w:noWrap/>
            <w:vAlign w:val="bottom"/>
            <w:hideMark/>
          </w:tcPr>
          <w:p w:rsidR="00385B00" w:rsidRPr="002F3CF2" w:rsidRDefault="00385B00" w:rsidP="007379ED">
            <w:pPr>
              <w:widowControl/>
              <w:autoSpaceDE/>
              <w:autoSpaceDN/>
              <w:adjustRightInd/>
              <w:rPr>
                <w:rFonts w:ascii="Times New Roman" w:hAnsi="Times New Roman"/>
                <w:sz w:val="24"/>
                <w:szCs w:val="24"/>
              </w:rPr>
            </w:pPr>
          </w:p>
        </w:tc>
        <w:tc>
          <w:tcPr>
            <w:tcW w:w="1480" w:type="dxa"/>
            <w:tcBorders>
              <w:top w:val="nil"/>
              <w:left w:val="nil"/>
              <w:bottom w:val="nil"/>
              <w:right w:val="nil"/>
            </w:tcBorders>
            <w:noWrap/>
            <w:vAlign w:val="bottom"/>
            <w:hideMark/>
          </w:tcPr>
          <w:p w:rsidR="00385B00" w:rsidRPr="002F3CF2" w:rsidRDefault="00385B00" w:rsidP="007379ED">
            <w:pPr>
              <w:widowControl/>
              <w:autoSpaceDE/>
              <w:autoSpaceDN/>
              <w:adjustRightInd/>
              <w:rPr>
                <w:rFonts w:ascii="Times New Roman" w:hAnsi="Times New Roman"/>
                <w:sz w:val="24"/>
                <w:szCs w:val="24"/>
              </w:rPr>
            </w:pPr>
          </w:p>
        </w:tc>
        <w:tc>
          <w:tcPr>
            <w:tcW w:w="1414" w:type="dxa"/>
            <w:tcBorders>
              <w:top w:val="nil"/>
              <w:left w:val="nil"/>
              <w:bottom w:val="nil"/>
              <w:right w:val="nil"/>
            </w:tcBorders>
            <w:noWrap/>
            <w:vAlign w:val="bottom"/>
            <w:hideMark/>
          </w:tcPr>
          <w:p w:rsidR="00385B00" w:rsidRPr="002F3CF2" w:rsidRDefault="00385B00" w:rsidP="007379ED">
            <w:pPr>
              <w:widowControl/>
              <w:autoSpaceDE/>
              <w:autoSpaceDN/>
              <w:adjustRightInd/>
              <w:rPr>
                <w:rFonts w:ascii="Times New Roman" w:hAnsi="Times New Roman"/>
                <w:sz w:val="24"/>
                <w:szCs w:val="24"/>
              </w:rPr>
            </w:pPr>
          </w:p>
        </w:tc>
        <w:tc>
          <w:tcPr>
            <w:tcW w:w="1097" w:type="dxa"/>
            <w:tcBorders>
              <w:top w:val="nil"/>
              <w:left w:val="nil"/>
              <w:bottom w:val="nil"/>
              <w:right w:val="nil"/>
            </w:tcBorders>
            <w:noWrap/>
            <w:vAlign w:val="bottom"/>
            <w:hideMark/>
          </w:tcPr>
          <w:p w:rsidR="00385B00" w:rsidRPr="002F3CF2" w:rsidRDefault="00385B00" w:rsidP="007379ED">
            <w:pPr>
              <w:widowControl/>
              <w:autoSpaceDE/>
              <w:autoSpaceDN/>
              <w:adjustRightInd/>
              <w:rPr>
                <w:rFonts w:ascii="Times New Roman" w:hAnsi="Times New Roman"/>
                <w:sz w:val="24"/>
                <w:szCs w:val="24"/>
              </w:rPr>
            </w:pPr>
            <w:r>
              <w:rPr>
                <w:rFonts w:ascii="Times New Roman" w:hAnsi="Times New Roman"/>
                <w:sz w:val="24"/>
                <w:szCs w:val="24"/>
              </w:rPr>
              <w:t xml:space="preserve">v </w:t>
            </w:r>
            <w:proofErr w:type="spellStart"/>
            <w:r>
              <w:rPr>
                <w:rFonts w:ascii="Times New Roman" w:hAnsi="Times New Roman"/>
                <w:sz w:val="24"/>
                <w:szCs w:val="24"/>
              </w:rPr>
              <w:t>tis.EUR</w:t>
            </w:r>
            <w:proofErr w:type="spellEnd"/>
          </w:p>
        </w:tc>
      </w:tr>
      <w:tr w:rsidR="00385B00" w:rsidRPr="002F3CF2" w:rsidTr="007379ED">
        <w:trPr>
          <w:trHeight w:val="517"/>
        </w:trPr>
        <w:tc>
          <w:tcPr>
            <w:tcW w:w="4380" w:type="dxa"/>
            <w:vMerge w:val="restart"/>
            <w:tcBorders>
              <w:top w:val="single" w:sz="4" w:space="0" w:color="auto"/>
              <w:left w:val="single" w:sz="4" w:space="0" w:color="auto"/>
              <w:bottom w:val="single" w:sz="4" w:space="0" w:color="auto"/>
              <w:right w:val="single" w:sz="4" w:space="0" w:color="auto"/>
            </w:tcBorders>
            <w:noWrap/>
            <w:vAlign w:val="center"/>
            <w:hideMark/>
          </w:tcPr>
          <w:p w:rsidR="00385B00" w:rsidRPr="00ED65E7" w:rsidRDefault="00385B00" w:rsidP="007379ED">
            <w:pPr>
              <w:widowControl/>
              <w:autoSpaceDE/>
              <w:autoSpaceDN/>
              <w:adjustRightInd/>
              <w:spacing w:line="360" w:lineRule="auto"/>
              <w:jc w:val="center"/>
              <w:rPr>
                <w:rFonts w:ascii="Times New Roman" w:hAnsi="Times New Roman"/>
                <w:b/>
                <w:color w:val="000000" w:themeColor="text1"/>
                <w:sz w:val="24"/>
                <w:szCs w:val="24"/>
                <w:u w:color="000000"/>
              </w:rPr>
            </w:pPr>
            <w:r w:rsidRPr="00ED65E7">
              <w:rPr>
                <w:rFonts w:ascii="Times New Roman" w:hAnsi="Times New Roman"/>
                <w:b/>
                <w:color w:val="000000" w:themeColor="text1"/>
                <w:sz w:val="24"/>
                <w:szCs w:val="24"/>
                <w:u w:color="000000"/>
              </w:rPr>
              <w:t>Ukazovateľ</w:t>
            </w:r>
          </w:p>
        </w:tc>
        <w:tc>
          <w:tcPr>
            <w:tcW w:w="1480" w:type="dxa"/>
            <w:vMerge w:val="restart"/>
            <w:tcBorders>
              <w:top w:val="single" w:sz="4" w:space="0" w:color="auto"/>
              <w:left w:val="single" w:sz="4" w:space="0" w:color="auto"/>
              <w:bottom w:val="single" w:sz="4" w:space="0" w:color="auto"/>
              <w:right w:val="single" w:sz="4" w:space="0" w:color="auto"/>
            </w:tcBorders>
            <w:vAlign w:val="bottom"/>
            <w:hideMark/>
          </w:tcPr>
          <w:p w:rsidR="00385B00" w:rsidRPr="00ED65E7" w:rsidRDefault="00385B00" w:rsidP="007379ED">
            <w:pPr>
              <w:widowControl/>
              <w:jc w:val="center"/>
              <w:rPr>
                <w:rFonts w:ascii="Times New Roman" w:hAnsi="Times New Roman"/>
                <w:b/>
                <w:color w:val="000000" w:themeColor="text1"/>
                <w:sz w:val="24"/>
                <w:szCs w:val="24"/>
                <w:u w:color="000000"/>
              </w:rPr>
            </w:pPr>
            <w:r w:rsidRPr="00ED65E7">
              <w:rPr>
                <w:rFonts w:ascii="Times New Roman" w:hAnsi="Times New Roman"/>
                <w:b/>
                <w:color w:val="000000" w:themeColor="text1"/>
                <w:sz w:val="24"/>
                <w:szCs w:val="24"/>
                <w:u w:color="000000"/>
              </w:rPr>
              <w:t>Schválený rozpočet na rok 2018</w:t>
            </w:r>
          </w:p>
        </w:tc>
        <w:tc>
          <w:tcPr>
            <w:tcW w:w="1480" w:type="dxa"/>
            <w:vMerge w:val="restart"/>
            <w:tcBorders>
              <w:top w:val="single" w:sz="4" w:space="0" w:color="auto"/>
              <w:left w:val="single" w:sz="4" w:space="0" w:color="auto"/>
              <w:bottom w:val="single" w:sz="4" w:space="0" w:color="000000"/>
              <w:right w:val="single" w:sz="4" w:space="0" w:color="auto"/>
            </w:tcBorders>
            <w:vAlign w:val="center"/>
            <w:hideMark/>
          </w:tcPr>
          <w:p w:rsidR="00385B00" w:rsidRPr="00ED65E7" w:rsidRDefault="00385B00" w:rsidP="007379ED">
            <w:pPr>
              <w:widowControl/>
              <w:jc w:val="center"/>
              <w:rPr>
                <w:rFonts w:ascii="Times New Roman" w:hAnsi="Times New Roman"/>
                <w:b/>
                <w:color w:val="000000" w:themeColor="text1"/>
                <w:sz w:val="24"/>
                <w:szCs w:val="24"/>
                <w:u w:color="000000"/>
              </w:rPr>
            </w:pPr>
            <w:r w:rsidRPr="00ED65E7">
              <w:rPr>
                <w:rFonts w:ascii="Times New Roman" w:hAnsi="Times New Roman"/>
                <w:b/>
                <w:color w:val="000000" w:themeColor="text1"/>
                <w:sz w:val="24"/>
                <w:szCs w:val="24"/>
                <w:u w:color="000000"/>
              </w:rPr>
              <w:t>Skutočnosť rok 2018</w:t>
            </w:r>
          </w:p>
        </w:tc>
        <w:tc>
          <w:tcPr>
            <w:tcW w:w="1414" w:type="dxa"/>
            <w:vMerge w:val="restart"/>
            <w:tcBorders>
              <w:top w:val="single" w:sz="4" w:space="0" w:color="auto"/>
              <w:left w:val="single" w:sz="4" w:space="0" w:color="auto"/>
              <w:bottom w:val="single" w:sz="4" w:space="0" w:color="auto"/>
              <w:right w:val="single" w:sz="4" w:space="0" w:color="auto"/>
            </w:tcBorders>
            <w:vAlign w:val="center"/>
            <w:hideMark/>
          </w:tcPr>
          <w:p w:rsidR="00385B00" w:rsidRPr="00ED65E7" w:rsidRDefault="00385B00" w:rsidP="007379ED">
            <w:pPr>
              <w:widowControl/>
              <w:jc w:val="center"/>
              <w:rPr>
                <w:rFonts w:ascii="Times New Roman" w:hAnsi="Times New Roman"/>
                <w:b/>
                <w:color w:val="000000" w:themeColor="text1"/>
                <w:sz w:val="24"/>
                <w:szCs w:val="24"/>
                <w:u w:color="000000"/>
              </w:rPr>
            </w:pPr>
            <w:r w:rsidRPr="00ED65E7">
              <w:rPr>
                <w:rFonts w:ascii="Times New Roman" w:hAnsi="Times New Roman"/>
                <w:b/>
                <w:color w:val="000000" w:themeColor="text1"/>
                <w:sz w:val="24"/>
                <w:szCs w:val="24"/>
                <w:u w:color="000000"/>
              </w:rPr>
              <w:t>% plnenia 2/1</w:t>
            </w:r>
          </w:p>
        </w:tc>
        <w:tc>
          <w:tcPr>
            <w:tcW w:w="1097" w:type="dxa"/>
            <w:vMerge w:val="restart"/>
            <w:tcBorders>
              <w:top w:val="single" w:sz="4" w:space="0" w:color="auto"/>
              <w:left w:val="single" w:sz="4" w:space="0" w:color="auto"/>
              <w:bottom w:val="single" w:sz="4" w:space="0" w:color="000000"/>
              <w:right w:val="single" w:sz="4" w:space="0" w:color="auto"/>
            </w:tcBorders>
            <w:vAlign w:val="center"/>
            <w:hideMark/>
          </w:tcPr>
          <w:p w:rsidR="00385B00" w:rsidRPr="00ED65E7" w:rsidRDefault="00385B00" w:rsidP="007379ED">
            <w:pPr>
              <w:widowControl/>
              <w:jc w:val="center"/>
              <w:rPr>
                <w:rFonts w:ascii="Times New Roman" w:hAnsi="Times New Roman"/>
                <w:b/>
                <w:color w:val="000000" w:themeColor="text1"/>
                <w:sz w:val="24"/>
                <w:szCs w:val="24"/>
                <w:u w:color="000000"/>
              </w:rPr>
            </w:pPr>
            <w:r w:rsidRPr="00ED65E7">
              <w:rPr>
                <w:rFonts w:ascii="Times New Roman" w:hAnsi="Times New Roman"/>
                <w:b/>
                <w:color w:val="000000" w:themeColor="text1"/>
                <w:sz w:val="24"/>
                <w:szCs w:val="24"/>
                <w:u w:color="000000"/>
              </w:rPr>
              <w:t>Rozdiel  2-1</w:t>
            </w:r>
          </w:p>
        </w:tc>
      </w:tr>
      <w:tr w:rsidR="00385B00" w:rsidRPr="002F3CF2" w:rsidTr="007379ED">
        <w:trPr>
          <w:trHeight w:val="517"/>
        </w:trPr>
        <w:tc>
          <w:tcPr>
            <w:tcW w:w="4380" w:type="dxa"/>
            <w:vMerge/>
            <w:tcBorders>
              <w:top w:val="single" w:sz="4" w:space="0" w:color="auto"/>
              <w:left w:val="single" w:sz="4" w:space="0" w:color="auto"/>
              <w:bottom w:val="single" w:sz="4" w:space="0" w:color="auto"/>
              <w:right w:val="single" w:sz="4" w:space="0" w:color="auto"/>
            </w:tcBorders>
            <w:vAlign w:val="center"/>
            <w:hideMark/>
          </w:tcPr>
          <w:p w:rsidR="00385B00" w:rsidRPr="002F3CF2" w:rsidRDefault="00385B00" w:rsidP="007379ED">
            <w:pPr>
              <w:widowControl/>
              <w:autoSpaceDE/>
              <w:autoSpaceDN/>
              <w:adjustRightInd/>
              <w:spacing w:line="360" w:lineRule="auto"/>
              <w:rPr>
                <w:rFonts w:ascii="Times New Roman" w:hAnsi="Times New Roman"/>
                <w:sz w:val="24"/>
                <w:szCs w:val="24"/>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385B00" w:rsidRPr="002F3CF2" w:rsidRDefault="00385B00" w:rsidP="007379ED">
            <w:pPr>
              <w:widowControl/>
              <w:autoSpaceDE/>
              <w:autoSpaceDN/>
              <w:adjustRightInd/>
              <w:spacing w:line="360" w:lineRule="auto"/>
              <w:rPr>
                <w:rFonts w:ascii="Times New Roman" w:hAnsi="Times New Roman"/>
                <w:sz w:val="24"/>
                <w:szCs w:val="24"/>
              </w:rPr>
            </w:pPr>
          </w:p>
        </w:tc>
        <w:tc>
          <w:tcPr>
            <w:tcW w:w="1480" w:type="dxa"/>
            <w:vMerge/>
            <w:tcBorders>
              <w:top w:val="single" w:sz="4" w:space="0" w:color="auto"/>
              <w:left w:val="single" w:sz="4" w:space="0" w:color="auto"/>
              <w:bottom w:val="single" w:sz="4" w:space="0" w:color="000000"/>
              <w:right w:val="single" w:sz="4" w:space="0" w:color="auto"/>
            </w:tcBorders>
            <w:vAlign w:val="center"/>
            <w:hideMark/>
          </w:tcPr>
          <w:p w:rsidR="00385B00" w:rsidRPr="002F3CF2" w:rsidRDefault="00385B00" w:rsidP="007379ED">
            <w:pPr>
              <w:widowControl/>
              <w:autoSpaceDE/>
              <w:autoSpaceDN/>
              <w:adjustRightInd/>
              <w:spacing w:line="360" w:lineRule="auto"/>
              <w:rPr>
                <w:rFonts w:ascii="Times New Roman" w:hAnsi="Times New Roman"/>
                <w:sz w:val="24"/>
                <w:szCs w:val="24"/>
              </w:rPr>
            </w:pPr>
          </w:p>
        </w:tc>
        <w:tc>
          <w:tcPr>
            <w:tcW w:w="1414" w:type="dxa"/>
            <w:vMerge/>
            <w:tcBorders>
              <w:top w:val="single" w:sz="4" w:space="0" w:color="auto"/>
              <w:left w:val="single" w:sz="4" w:space="0" w:color="auto"/>
              <w:bottom w:val="single" w:sz="4" w:space="0" w:color="auto"/>
              <w:right w:val="single" w:sz="4" w:space="0" w:color="auto"/>
            </w:tcBorders>
            <w:vAlign w:val="center"/>
            <w:hideMark/>
          </w:tcPr>
          <w:p w:rsidR="00385B00" w:rsidRPr="002F3CF2" w:rsidRDefault="00385B00" w:rsidP="007379ED">
            <w:pPr>
              <w:widowControl/>
              <w:autoSpaceDE/>
              <w:autoSpaceDN/>
              <w:adjustRightInd/>
              <w:spacing w:line="360" w:lineRule="auto"/>
              <w:rPr>
                <w:rFonts w:ascii="Times New Roman" w:hAnsi="Times New Roman"/>
                <w:sz w:val="24"/>
                <w:szCs w:val="24"/>
              </w:rPr>
            </w:pPr>
          </w:p>
        </w:tc>
        <w:tc>
          <w:tcPr>
            <w:tcW w:w="1097" w:type="dxa"/>
            <w:vMerge/>
            <w:tcBorders>
              <w:top w:val="single" w:sz="4" w:space="0" w:color="auto"/>
              <w:left w:val="single" w:sz="4" w:space="0" w:color="auto"/>
              <w:bottom w:val="single" w:sz="4" w:space="0" w:color="000000"/>
              <w:right w:val="single" w:sz="4" w:space="0" w:color="auto"/>
            </w:tcBorders>
            <w:vAlign w:val="center"/>
            <w:hideMark/>
          </w:tcPr>
          <w:p w:rsidR="00385B00" w:rsidRPr="002F3CF2" w:rsidRDefault="00385B00" w:rsidP="007379ED">
            <w:pPr>
              <w:widowControl/>
              <w:autoSpaceDE/>
              <w:autoSpaceDN/>
              <w:adjustRightInd/>
              <w:spacing w:line="360" w:lineRule="auto"/>
              <w:rPr>
                <w:rFonts w:ascii="Times New Roman" w:hAnsi="Times New Roman"/>
                <w:sz w:val="24"/>
                <w:szCs w:val="24"/>
              </w:rPr>
            </w:pPr>
          </w:p>
        </w:tc>
      </w:tr>
      <w:tr w:rsidR="00385B00" w:rsidRPr="002F3CF2" w:rsidTr="007379ED">
        <w:trPr>
          <w:trHeight w:val="300"/>
        </w:trPr>
        <w:tc>
          <w:tcPr>
            <w:tcW w:w="4380" w:type="dxa"/>
            <w:tcBorders>
              <w:top w:val="nil"/>
              <w:left w:val="single" w:sz="4" w:space="0" w:color="auto"/>
              <w:bottom w:val="single" w:sz="4" w:space="0" w:color="auto"/>
              <w:right w:val="single" w:sz="4" w:space="0" w:color="auto"/>
            </w:tcBorders>
            <w:noWrap/>
            <w:vAlign w:val="center"/>
            <w:hideMark/>
          </w:tcPr>
          <w:p w:rsidR="00385B00" w:rsidRPr="002F3CF2" w:rsidRDefault="00385B00" w:rsidP="007379ED">
            <w:pPr>
              <w:widowControl/>
              <w:autoSpaceDE/>
              <w:autoSpaceDN/>
              <w:adjustRightInd/>
              <w:spacing w:line="360" w:lineRule="auto"/>
              <w:jc w:val="center"/>
              <w:rPr>
                <w:rFonts w:ascii="Times New Roman" w:hAnsi="Times New Roman"/>
                <w:sz w:val="24"/>
                <w:szCs w:val="24"/>
              </w:rPr>
            </w:pPr>
            <w:r w:rsidRPr="002F3CF2">
              <w:rPr>
                <w:rFonts w:ascii="Times New Roman" w:hAnsi="Times New Roman"/>
                <w:sz w:val="24"/>
                <w:szCs w:val="24"/>
              </w:rPr>
              <w:t>a</w:t>
            </w:r>
          </w:p>
        </w:tc>
        <w:tc>
          <w:tcPr>
            <w:tcW w:w="1480" w:type="dxa"/>
            <w:tcBorders>
              <w:top w:val="nil"/>
              <w:left w:val="nil"/>
              <w:bottom w:val="single" w:sz="4" w:space="0" w:color="auto"/>
              <w:right w:val="single" w:sz="4" w:space="0" w:color="auto"/>
            </w:tcBorders>
            <w:noWrap/>
            <w:vAlign w:val="center"/>
            <w:hideMark/>
          </w:tcPr>
          <w:p w:rsidR="00385B00" w:rsidRPr="002F3CF2" w:rsidRDefault="00385B00" w:rsidP="007379ED">
            <w:pPr>
              <w:widowControl/>
              <w:autoSpaceDE/>
              <w:autoSpaceDN/>
              <w:adjustRightInd/>
              <w:spacing w:line="360" w:lineRule="auto"/>
              <w:jc w:val="center"/>
              <w:rPr>
                <w:rFonts w:ascii="Times New Roman" w:hAnsi="Times New Roman"/>
                <w:color w:val="000000"/>
                <w:sz w:val="24"/>
                <w:szCs w:val="24"/>
              </w:rPr>
            </w:pPr>
            <w:r w:rsidRPr="002F3CF2">
              <w:rPr>
                <w:rFonts w:ascii="Times New Roman" w:hAnsi="Times New Roman"/>
                <w:color w:val="000000"/>
                <w:sz w:val="24"/>
                <w:szCs w:val="24"/>
              </w:rPr>
              <w:t>1</w:t>
            </w:r>
          </w:p>
        </w:tc>
        <w:tc>
          <w:tcPr>
            <w:tcW w:w="1480" w:type="dxa"/>
            <w:tcBorders>
              <w:top w:val="nil"/>
              <w:left w:val="nil"/>
              <w:bottom w:val="single" w:sz="4" w:space="0" w:color="auto"/>
              <w:right w:val="single" w:sz="4" w:space="0" w:color="auto"/>
            </w:tcBorders>
            <w:noWrap/>
            <w:vAlign w:val="center"/>
            <w:hideMark/>
          </w:tcPr>
          <w:p w:rsidR="00385B00" w:rsidRPr="002F3CF2" w:rsidRDefault="00385B00" w:rsidP="007379ED">
            <w:pPr>
              <w:widowControl/>
              <w:autoSpaceDE/>
              <w:autoSpaceDN/>
              <w:adjustRightInd/>
              <w:spacing w:line="360" w:lineRule="auto"/>
              <w:jc w:val="center"/>
              <w:rPr>
                <w:rFonts w:ascii="Times New Roman" w:hAnsi="Times New Roman"/>
                <w:sz w:val="24"/>
                <w:szCs w:val="24"/>
              </w:rPr>
            </w:pPr>
            <w:r w:rsidRPr="002F3CF2">
              <w:rPr>
                <w:rFonts w:ascii="Times New Roman" w:hAnsi="Times New Roman"/>
                <w:sz w:val="24"/>
                <w:szCs w:val="24"/>
              </w:rPr>
              <w:t>2</w:t>
            </w:r>
          </w:p>
        </w:tc>
        <w:tc>
          <w:tcPr>
            <w:tcW w:w="1414" w:type="dxa"/>
            <w:tcBorders>
              <w:top w:val="nil"/>
              <w:left w:val="nil"/>
              <w:bottom w:val="single" w:sz="4" w:space="0" w:color="auto"/>
              <w:right w:val="single" w:sz="4" w:space="0" w:color="auto"/>
            </w:tcBorders>
            <w:noWrap/>
            <w:vAlign w:val="center"/>
            <w:hideMark/>
          </w:tcPr>
          <w:p w:rsidR="00385B00" w:rsidRPr="002F3CF2" w:rsidRDefault="00385B00" w:rsidP="007379ED">
            <w:pPr>
              <w:widowControl/>
              <w:autoSpaceDE/>
              <w:autoSpaceDN/>
              <w:adjustRightInd/>
              <w:spacing w:line="360" w:lineRule="auto"/>
              <w:jc w:val="center"/>
              <w:rPr>
                <w:rFonts w:ascii="Times New Roman" w:hAnsi="Times New Roman"/>
                <w:sz w:val="24"/>
                <w:szCs w:val="24"/>
              </w:rPr>
            </w:pPr>
            <w:r w:rsidRPr="002F3CF2">
              <w:rPr>
                <w:rFonts w:ascii="Times New Roman" w:hAnsi="Times New Roman"/>
                <w:sz w:val="24"/>
                <w:szCs w:val="24"/>
              </w:rPr>
              <w:t>3</w:t>
            </w:r>
          </w:p>
        </w:tc>
        <w:tc>
          <w:tcPr>
            <w:tcW w:w="1097" w:type="dxa"/>
            <w:tcBorders>
              <w:top w:val="nil"/>
              <w:left w:val="nil"/>
              <w:bottom w:val="single" w:sz="4" w:space="0" w:color="auto"/>
              <w:right w:val="single" w:sz="4" w:space="0" w:color="auto"/>
            </w:tcBorders>
            <w:noWrap/>
            <w:vAlign w:val="center"/>
            <w:hideMark/>
          </w:tcPr>
          <w:p w:rsidR="00385B00" w:rsidRPr="002F3CF2" w:rsidRDefault="00385B00" w:rsidP="007379ED">
            <w:pPr>
              <w:widowControl/>
              <w:autoSpaceDE/>
              <w:autoSpaceDN/>
              <w:adjustRightInd/>
              <w:spacing w:line="360" w:lineRule="auto"/>
              <w:jc w:val="center"/>
              <w:rPr>
                <w:rFonts w:ascii="Times New Roman" w:hAnsi="Times New Roman"/>
                <w:sz w:val="24"/>
                <w:szCs w:val="24"/>
              </w:rPr>
            </w:pPr>
            <w:r w:rsidRPr="002F3CF2">
              <w:rPr>
                <w:rFonts w:ascii="Times New Roman" w:hAnsi="Times New Roman"/>
                <w:sz w:val="24"/>
                <w:szCs w:val="24"/>
              </w:rPr>
              <w:t>4</w:t>
            </w:r>
          </w:p>
        </w:tc>
      </w:tr>
      <w:tr w:rsidR="00385B00" w:rsidRPr="002F3CF2" w:rsidTr="007379ED">
        <w:trPr>
          <w:trHeight w:val="300"/>
        </w:trPr>
        <w:tc>
          <w:tcPr>
            <w:tcW w:w="4380" w:type="dxa"/>
            <w:tcBorders>
              <w:top w:val="nil"/>
              <w:left w:val="single" w:sz="4" w:space="0" w:color="auto"/>
              <w:bottom w:val="single" w:sz="4" w:space="0" w:color="auto"/>
              <w:right w:val="single" w:sz="4" w:space="0" w:color="auto"/>
            </w:tcBorders>
            <w:noWrap/>
            <w:vAlign w:val="center"/>
            <w:hideMark/>
          </w:tcPr>
          <w:p w:rsidR="00385B00" w:rsidRPr="002F3CF2" w:rsidRDefault="00385B00" w:rsidP="007379ED">
            <w:pPr>
              <w:widowControl/>
              <w:autoSpaceDE/>
              <w:autoSpaceDN/>
              <w:adjustRightInd/>
              <w:spacing w:line="360" w:lineRule="auto"/>
              <w:rPr>
                <w:rFonts w:ascii="Times New Roman" w:hAnsi="Times New Roman"/>
                <w:sz w:val="24"/>
                <w:szCs w:val="24"/>
              </w:rPr>
            </w:pPr>
            <w:r w:rsidRPr="002F3CF2">
              <w:rPr>
                <w:rFonts w:ascii="Times New Roman" w:hAnsi="Times New Roman"/>
                <w:sz w:val="24"/>
                <w:szCs w:val="24"/>
              </w:rPr>
              <w:t>Použitie prostriedkov celkom</w:t>
            </w:r>
          </w:p>
        </w:tc>
        <w:tc>
          <w:tcPr>
            <w:tcW w:w="1480" w:type="dxa"/>
            <w:tcBorders>
              <w:top w:val="nil"/>
              <w:left w:val="nil"/>
              <w:bottom w:val="single" w:sz="4" w:space="0" w:color="auto"/>
              <w:right w:val="single" w:sz="4" w:space="0" w:color="auto"/>
            </w:tcBorders>
            <w:noWrap/>
            <w:vAlign w:val="center"/>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7 989 682</w:t>
            </w:r>
          </w:p>
        </w:tc>
        <w:tc>
          <w:tcPr>
            <w:tcW w:w="1480" w:type="dxa"/>
            <w:tcBorders>
              <w:top w:val="nil"/>
              <w:left w:val="nil"/>
              <w:bottom w:val="single" w:sz="4" w:space="0" w:color="auto"/>
              <w:right w:val="single" w:sz="4" w:space="0" w:color="auto"/>
            </w:tcBorders>
            <w:noWrap/>
            <w:vAlign w:val="center"/>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8 112 694</w:t>
            </w:r>
          </w:p>
        </w:tc>
        <w:tc>
          <w:tcPr>
            <w:tcW w:w="1414" w:type="dxa"/>
            <w:tcBorders>
              <w:top w:val="nil"/>
              <w:left w:val="nil"/>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101,54</w:t>
            </w:r>
          </w:p>
        </w:tc>
        <w:tc>
          <w:tcPr>
            <w:tcW w:w="1097" w:type="dxa"/>
            <w:tcBorders>
              <w:top w:val="nil"/>
              <w:left w:val="nil"/>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123 012</w:t>
            </w:r>
          </w:p>
        </w:tc>
      </w:tr>
      <w:tr w:rsidR="00385B00" w:rsidRPr="002F3CF2" w:rsidTr="007379ED">
        <w:trPr>
          <w:trHeight w:val="300"/>
        </w:trPr>
        <w:tc>
          <w:tcPr>
            <w:tcW w:w="4380" w:type="dxa"/>
            <w:tcBorders>
              <w:top w:val="nil"/>
              <w:left w:val="single" w:sz="4" w:space="0" w:color="auto"/>
              <w:bottom w:val="single" w:sz="4" w:space="0" w:color="auto"/>
              <w:right w:val="single" w:sz="4" w:space="0" w:color="auto"/>
            </w:tcBorders>
            <w:noWrap/>
            <w:vAlign w:val="center"/>
            <w:hideMark/>
          </w:tcPr>
          <w:p w:rsidR="00385B00" w:rsidRPr="002F3CF2" w:rsidRDefault="00385B00" w:rsidP="007379ED">
            <w:pPr>
              <w:widowControl/>
              <w:autoSpaceDE/>
              <w:autoSpaceDN/>
              <w:adjustRightInd/>
              <w:spacing w:line="360" w:lineRule="auto"/>
              <w:rPr>
                <w:rFonts w:ascii="Times New Roman" w:hAnsi="Times New Roman"/>
                <w:sz w:val="24"/>
                <w:szCs w:val="24"/>
              </w:rPr>
            </w:pPr>
            <w:r w:rsidRPr="002F3CF2">
              <w:rPr>
                <w:rFonts w:ascii="Times New Roman" w:hAnsi="Times New Roman"/>
                <w:sz w:val="24"/>
                <w:szCs w:val="24"/>
              </w:rPr>
              <w:t>v tom:</w:t>
            </w:r>
          </w:p>
        </w:tc>
        <w:tc>
          <w:tcPr>
            <w:tcW w:w="1480" w:type="dxa"/>
            <w:tcBorders>
              <w:top w:val="nil"/>
              <w:left w:val="nil"/>
              <w:bottom w:val="single" w:sz="4" w:space="0" w:color="auto"/>
              <w:right w:val="single" w:sz="4" w:space="0" w:color="auto"/>
            </w:tcBorders>
            <w:noWrap/>
            <w:vAlign w:val="center"/>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 </w:t>
            </w:r>
          </w:p>
        </w:tc>
        <w:tc>
          <w:tcPr>
            <w:tcW w:w="1480" w:type="dxa"/>
            <w:tcBorders>
              <w:top w:val="nil"/>
              <w:left w:val="nil"/>
              <w:bottom w:val="single" w:sz="4" w:space="0" w:color="auto"/>
              <w:right w:val="nil"/>
            </w:tcBorders>
            <w:noWrap/>
            <w:vAlign w:val="center"/>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 </w:t>
            </w:r>
          </w:p>
        </w:tc>
        <w:tc>
          <w:tcPr>
            <w:tcW w:w="1414" w:type="dxa"/>
            <w:tcBorders>
              <w:top w:val="nil"/>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 </w:t>
            </w:r>
          </w:p>
        </w:tc>
        <w:tc>
          <w:tcPr>
            <w:tcW w:w="1097" w:type="dxa"/>
            <w:tcBorders>
              <w:top w:val="nil"/>
              <w:left w:val="nil"/>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rPr>
                <w:rFonts w:ascii="Times New Roman" w:hAnsi="Times New Roman"/>
                <w:sz w:val="24"/>
                <w:szCs w:val="24"/>
              </w:rPr>
            </w:pPr>
            <w:r w:rsidRPr="002F3CF2">
              <w:rPr>
                <w:rFonts w:ascii="Times New Roman" w:hAnsi="Times New Roman"/>
                <w:sz w:val="24"/>
                <w:szCs w:val="24"/>
              </w:rPr>
              <w:t> </w:t>
            </w:r>
          </w:p>
        </w:tc>
      </w:tr>
      <w:tr w:rsidR="00385B00" w:rsidRPr="002F3CF2" w:rsidTr="007379ED">
        <w:trPr>
          <w:trHeight w:val="300"/>
        </w:trPr>
        <w:tc>
          <w:tcPr>
            <w:tcW w:w="4380" w:type="dxa"/>
            <w:tcBorders>
              <w:top w:val="nil"/>
              <w:left w:val="single" w:sz="4" w:space="0" w:color="auto"/>
              <w:bottom w:val="single" w:sz="4" w:space="0" w:color="auto"/>
              <w:right w:val="single" w:sz="4" w:space="0" w:color="auto"/>
            </w:tcBorders>
            <w:noWrap/>
            <w:vAlign w:val="center"/>
            <w:hideMark/>
          </w:tcPr>
          <w:p w:rsidR="00385B00" w:rsidRPr="002F3CF2" w:rsidRDefault="00385B00" w:rsidP="007379ED">
            <w:pPr>
              <w:widowControl/>
              <w:autoSpaceDE/>
              <w:autoSpaceDN/>
              <w:adjustRightInd/>
              <w:spacing w:line="360" w:lineRule="auto"/>
              <w:rPr>
                <w:rFonts w:ascii="Times New Roman" w:hAnsi="Times New Roman"/>
                <w:sz w:val="24"/>
                <w:szCs w:val="24"/>
              </w:rPr>
            </w:pPr>
            <w:r w:rsidRPr="002F3CF2">
              <w:rPr>
                <w:rFonts w:ascii="Times New Roman" w:hAnsi="Times New Roman"/>
                <w:sz w:val="24"/>
                <w:szCs w:val="24"/>
              </w:rPr>
              <w:t>výdavky základných fondov, v tom:</w:t>
            </w:r>
          </w:p>
        </w:tc>
        <w:tc>
          <w:tcPr>
            <w:tcW w:w="1480" w:type="dxa"/>
            <w:tcBorders>
              <w:top w:val="nil"/>
              <w:left w:val="nil"/>
              <w:bottom w:val="single" w:sz="4" w:space="0" w:color="auto"/>
              <w:right w:val="single" w:sz="4" w:space="0" w:color="auto"/>
            </w:tcBorders>
            <w:noWrap/>
            <w:vAlign w:val="center"/>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7 881 832</w:t>
            </w:r>
          </w:p>
        </w:tc>
        <w:tc>
          <w:tcPr>
            <w:tcW w:w="1480" w:type="dxa"/>
            <w:tcBorders>
              <w:top w:val="nil"/>
              <w:left w:val="nil"/>
              <w:bottom w:val="single" w:sz="4" w:space="0" w:color="auto"/>
              <w:right w:val="single" w:sz="4" w:space="0" w:color="auto"/>
            </w:tcBorders>
            <w:noWrap/>
            <w:vAlign w:val="center"/>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7 959 491</w:t>
            </w:r>
          </w:p>
        </w:tc>
        <w:tc>
          <w:tcPr>
            <w:tcW w:w="1414" w:type="dxa"/>
            <w:tcBorders>
              <w:top w:val="nil"/>
              <w:left w:val="nil"/>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100,99</w:t>
            </w:r>
          </w:p>
        </w:tc>
        <w:tc>
          <w:tcPr>
            <w:tcW w:w="1097" w:type="dxa"/>
            <w:tcBorders>
              <w:top w:val="nil"/>
              <w:left w:val="nil"/>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77 659</w:t>
            </w:r>
          </w:p>
        </w:tc>
      </w:tr>
      <w:tr w:rsidR="00385B00" w:rsidRPr="002F3CF2" w:rsidTr="007379ED">
        <w:trPr>
          <w:trHeight w:val="300"/>
        </w:trPr>
        <w:tc>
          <w:tcPr>
            <w:tcW w:w="4380" w:type="dxa"/>
            <w:tcBorders>
              <w:top w:val="nil"/>
              <w:left w:val="single" w:sz="4" w:space="0" w:color="auto"/>
              <w:bottom w:val="single" w:sz="4" w:space="0" w:color="auto"/>
              <w:right w:val="single" w:sz="4" w:space="0" w:color="auto"/>
            </w:tcBorders>
            <w:noWrap/>
            <w:vAlign w:val="center"/>
            <w:hideMark/>
          </w:tcPr>
          <w:p w:rsidR="00385B00" w:rsidRPr="002F3CF2" w:rsidRDefault="00385B00" w:rsidP="007379ED">
            <w:pPr>
              <w:widowControl/>
              <w:autoSpaceDE/>
              <w:autoSpaceDN/>
              <w:adjustRightInd/>
              <w:spacing w:line="360" w:lineRule="auto"/>
              <w:rPr>
                <w:rFonts w:ascii="Times New Roman" w:hAnsi="Times New Roman"/>
                <w:sz w:val="24"/>
                <w:szCs w:val="24"/>
              </w:rPr>
            </w:pPr>
            <w:r w:rsidRPr="002F3CF2">
              <w:rPr>
                <w:rFonts w:ascii="Times New Roman" w:hAnsi="Times New Roman"/>
                <w:sz w:val="24"/>
                <w:szCs w:val="24"/>
              </w:rPr>
              <w:t>a) základný fond nemocenského poistenia</w:t>
            </w:r>
          </w:p>
        </w:tc>
        <w:tc>
          <w:tcPr>
            <w:tcW w:w="1480" w:type="dxa"/>
            <w:tcBorders>
              <w:top w:val="nil"/>
              <w:left w:val="nil"/>
              <w:bottom w:val="single" w:sz="4" w:space="0" w:color="auto"/>
              <w:right w:val="single" w:sz="4" w:space="0" w:color="auto"/>
            </w:tcBorders>
            <w:noWrap/>
            <w:vAlign w:val="center"/>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604 152</w:t>
            </w:r>
          </w:p>
        </w:tc>
        <w:tc>
          <w:tcPr>
            <w:tcW w:w="1480" w:type="dxa"/>
            <w:tcBorders>
              <w:top w:val="nil"/>
              <w:left w:val="nil"/>
              <w:bottom w:val="single" w:sz="4" w:space="0" w:color="auto"/>
              <w:right w:val="nil"/>
            </w:tcBorders>
            <w:noWrap/>
            <w:vAlign w:val="center"/>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661 224</w:t>
            </w:r>
          </w:p>
        </w:tc>
        <w:tc>
          <w:tcPr>
            <w:tcW w:w="1414" w:type="dxa"/>
            <w:tcBorders>
              <w:top w:val="nil"/>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109,45</w:t>
            </w:r>
          </w:p>
        </w:tc>
        <w:tc>
          <w:tcPr>
            <w:tcW w:w="1097" w:type="dxa"/>
            <w:tcBorders>
              <w:top w:val="nil"/>
              <w:left w:val="nil"/>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57 072</w:t>
            </w:r>
          </w:p>
        </w:tc>
      </w:tr>
      <w:tr w:rsidR="00385B00" w:rsidRPr="002F3CF2" w:rsidTr="007379ED">
        <w:trPr>
          <w:trHeight w:val="300"/>
        </w:trPr>
        <w:tc>
          <w:tcPr>
            <w:tcW w:w="4380" w:type="dxa"/>
            <w:tcBorders>
              <w:top w:val="nil"/>
              <w:left w:val="single" w:sz="4" w:space="0" w:color="auto"/>
              <w:bottom w:val="single" w:sz="4" w:space="0" w:color="auto"/>
              <w:right w:val="single" w:sz="4" w:space="0" w:color="auto"/>
            </w:tcBorders>
            <w:noWrap/>
            <w:vAlign w:val="center"/>
            <w:hideMark/>
          </w:tcPr>
          <w:p w:rsidR="00385B00" w:rsidRPr="002F3CF2" w:rsidRDefault="00385B00" w:rsidP="007379ED">
            <w:pPr>
              <w:widowControl/>
              <w:autoSpaceDE/>
              <w:autoSpaceDN/>
              <w:adjustRightInd/>
              <w:spacing w:line="360" w:lineRule="auto"/>
              <w:rPr>
                <w:rFonts w:ascii="Times New Roman" w:hAnsi="Times New Roman"/>
                <w:sz w:val="24"/>
                <w:szCs w:val="24"/>
              </w:rPr>
            </w:pPr>
            <w:r w:rsidRPr="002F3CF2">
              <w:rPr>
                <w:rFonts w:ascii="Times New Roman" w:hAnsi="Times New Roman"/>
                <w:sz w:val="24"/>
                <w:szCs w:val="24"/>
              </w:rPr>
              <w:t>b) základný fond starobného poistenia</w:t>
            </w:r>
          </w:p>
        </w:tc>
        <w:tc>
          <w:tcPr>
            <w:tcW w:w="1480" w:type="dxa"/>
            <w:tcBorders>
              <w:top w:val="nil"/>
              <w:left w:val="nil"/>
              <w:bottom w:val="single" w:sz="4" w:space="0" w:color="auto"/>
              <w:right w:val="single" w:sz="4" w:space="0" w:color="auto"/>
            </w:tcBorders>
            <w:noWrap/>
            <w:vAlign w:val="center"/>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6 095 626</w:t>
            </w:r>
          </w:p>
        </w:tc>
        <w:tc>
          <w:tcPr>
            <w:tcW w:w="1480" w:type="dxa"/>
            <w:tcBorders>
              <w:top w:val="nil"/>
              <w:left w:val="nil"/>
              <w:bottom w:val="single" w:sz="4" w:space="0" w:color="auto"/>
              <w:right w:val="nil"/>
            </w:tcBorders>
            <w:noWrap/>
            <w:vAlign w:val="center"/>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6 116 494</w:t>
            </w:r>
          </w:p>
        </w:tc>
        <w:tc>
          <w:tcPr>
            <w:tcW w:w="1414" w:type="dxa"/>
            <w:tcBorders>
              <w:top w:val="nil"/>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100,34</w:t>
            </w:r>
          </w:p>
        </w:tc>
        <w:tc>
          <w:tcPr>
            <w:tcW w:w="1097" w:type="dxa"/>
            <w:tcBorders>
              <w:top w:val="nil"/>
              <w:left w:val="nil"/>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20 868</w:t>
            </w:r>
          </w:p>
        </w:tc>
      </w:tr>
      <w:tr w:rsidR="00385B00" w:rsidRPr="002F3CF2" w:rsidTr="007379ED">
        <w:trPr>
          <w:trHeight w:val="300"/>
        </w:trPr>
        <w:tc>
          <w:tcPr>
            <w:tcW w:w="4380" w:type="dxa"/>
            <w:tcBorders>
              <w:top w:val="nil"/>
              <w:left w:val="single" w:sz="4" w:space="0" w:color="auto"/>
              <w:bottom w:val="single" w:sz="4" w:space="0" w:color="auto"/>
              <w:right w:val="single" w:sz="4" w:space="0" w:color="auto"/>
            </w:tcBorders>
            <w:noWrap/>
            <w:vAlign w:val="center"/>
            <w:hideMark/>
          </w:tcPr>
          <w:p w:rsidR="00385B00" w:rsidRPr="002F3CF2" w:rsidRDefault="00385B00" w:rsidP="007379ED">
            <w:pPr>
              <w:widowControl/>
              <w:autoSpaceDE/>
              <w:autoSpaceDN/>
              <w:adjustRightInd/>
              <w:spacing w:line="360" w:lineRule="auto"/>
              <w:rPr>
                <w:rFonts w:ascii="Times New Roman" w:hAnsi="Times New Roman"/>
                <w:sz w:val="24"/>
                <w:szCs w:val="24"/>
              </w:rPr>
            </w:pPr>
            <w:r w:rsidRPr="002F3CF2">
              <w:rPr>
                <w:rFonts w:ascii="Times New Roman" w:hAnsi="Times New Roman"/>
                <w:sz w:val="24"/>
                <w:szCs w:val="24"/>
              </w:rPr>
              <w:t>c) základný fond invalidného poistenia</w:t>
            </w:r>
          </w:p>
        </w:tc>
        <w:tc>
          <w:tcPr>
            <w:tcW w:w="1480" w:type="dxa"/>
            <w:tcBorders>
              <w:top w:val="nil"/>
              <w:left w:val="nil"/>
              <w:bottom w:val="single" w:sz="4" w:space="0" w:color="auto"/>
              <w:right w:val="single" w:sz="4" w:space="0" w:color="auto"/>
            </w:tcBorders>
            <w:noWrap/>
            <w:vAlign w:val="center"/>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951 104</w:t>
            </w:r>
          </w:p>
        </w:tc>
        <w:tc>
          <w:tcPr>
            <w:tcW w:w="1480" w:type="dxa"/>
            <w:tcBorders>
              <w:top w:val="nil"/>
              <w:left w:val="nil"/>
              <w:bottom w:val="single" w:sz="4" w:space="0" w:color="auto"/>
              <w:right w:val="nil"/>
            </w:tcBorders>
            <w:noWrap/>
            <w:vAlign w:val="center"/>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931 103</w:t>
            </w:r>
          </w:p>
        </w:tc>
        <w:tc>
          <w:tcPr>
            <w:tcW w:w="1414" w:type="dxa"/>
            <w:tcBorders>
              <w:top w:val="nil"/>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97,90</w:t>
            </w:r>
          </w:p>
        </w:tc>
        <w:tc>
          <w:tcPr>
            <w:tcW w:w="1097" w:type="dxa"/>
            <w:tcBorders>
              <w:top w:val="nil"/>
              <w:left w:val="nil"/>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-20 001</w:t>
            </w:r>
          </w:p>
        </w:tc>
      </w:tr>
      <w:tr w:rsidR="00385B00" w:rsidRPr="002F3CF2" w:rsidTr="007379ED">
        <w:trPr>
          <w:trHeight w:val="300"/>
        </w:trPr>
        <w:tc>
          <w:tcPr>
            <w:tcW w:w="4380" w:type="dxa"/>
            <w:tcBorders>
              <w:top w:val="nil"/>
              <w:left w:val="single" w:sz="4" w:space="0" w:color="auto"/>
              <w:bottom w:val="single" w:sz="4" w:space="0" w:color="auto"/>
              <w:right w:val="single" w:sz="4" w:space="0" w:color="auto"/>
            </w:tcBorders>
            <w:noWrap/>
            <w:vAlign w:val="center"/>
            <w:hideMark/>
          </w:tcPr>
          <w:p w:rsidR="00385B00" w:rsidRPr="002F3CF2" w:rsidRDefault="00385B00" w:rsidP="007379ED">
            <w:pPr>
              <w:widowControl/>
              <w:autoSpaceDE/>
              <w:autoSpaceDN/>
              <w:adjustRightInd/>
              <w:spacing w:line="360" w:lineRule="auto"/>
              <w:rPr>
                <w:rFonts w:ascii="Times New Roman" w:hAnsi="Times New Roman"/>
                <w:i/>
                <w:iCs/>
                <w:sz w:val="24"/>
                <w:szCs w:val="24"/>
              </w:rPr>
            </w:pPr>
            <w:r w:rsidRPr="002F3CF2">
              <w:rPr>
                <w:rFonts w:ascii="Times New Roman" w:hAnsi="Times New Roman"/>
                <w:i/>
                <w:iCs/>
                <w:sz w:val="24"/>
                <w:szCs w:val="24"/>
              </w:rPr>
              <w:t xml:space="preserve">    výdavky z dôchodkového poistenia spolu</w:t>
            </w:r>
          </w:p>
        </w:tc>
        <w:tc>
          <w:tcPr>
            <w:tcW w:w="1480" w:type="dxa"/>
            <w:tcBorders>
              <w:top w:val="nil"/>
              <w:left w:val="nil"/>
              <w:bottom w:val="single" w:sz="4" w:space="0" w:color="auto"/>
              <w:right w:val="single" w:sz="4" w:space="0" w:color="auto"/>
            </w:tcBorders>
            <w:noWrap/>
            <w:vAlign w:val="center"/>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7 046 730</w:t>
            </w:r>
          </w:p>
        </w:tc>
        <w:tc>
          <w:tcPr>
            <w:tcW w:w="1480" w:type="dxa"/>
            <w:tcBorders>
              <w:top w:val="nil"/>
              <w:left w:val="nil"/>
              <w:bottom w:val="single" w:sz="4" w:space="0" w:color="auto"/>
              <w:right w:val="nil"/>
            </w:tcBorders>
            <w:noWrap/>
            <w:vAlign w:val="center"/>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7 047 597</w:t>
            </w:r>
          </w:p>
        </w:tc>
        <w:tc>
          <w:tcPr>
            <w:tcW w:w="1414" w:type="dxa"/>
            <w:tcBorders>
              <w:top w:val="nil"/>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100,01</w:t>
            </w:r>
          </w:p>
        </w:tc>
        <w:tc>
          <w:tcPr>
            <w:tcW w:w="1097" w:type="dxa"/>
            <w:tcBorders>
              <w:top w:val="nil"/>
              <w:left w:val="nil"/>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867</w:t>
            </w:r>
          </w:p>
        </w:tc>
      </w:tr>
      <w:tr w:rsidR="00385B00" w:rsidRPr="002F3CF2" w:rsidTr="007379ED">
        <w:trPr>
          <w:trHeight w:val="300"/>
        </w:trPr>
        <w:tc>
          <w:tcPr>
            <w:tcW w:w="4380" w:type="dxa"/>
            <w:tcBorders>
              <w:top w:val="nil"/>
              <w:left w:val="single" w:sz="4" w:space="0" w:color="auto"/>
              <w:bottom w:val="single" w:sz="4" w:space="0" w:color="auto"/>
              <w:right w:val="single" w:sz="4" w:space="0" w:color="auto"/>
            </w:tcBorders>
            <w:noWrap/>
            <w:vAlign w:val="center"/>
            <w:hideMark/>
          </w:tcPr>
          <w:p w:rsidR="00385B00" w:rsidRPr="002F3CF2" w:rsidRDefault="00385B00" w:rsidP="007379ED">
            <w:pPr>
              <w:widowControl/>
              <w:autoSpaceDE/>
              <w:autoSpaceDN/>
              <w:adjustRightInd/>
              <w:spacing w:line="360" w:lineRule="auto"/>
              <w:rPr>
                <w:rFonts w:ascii="Times New Roman" w:hAnsi="Times New Roman"/>
                <w:sz w:val="24"/>
                <w:szCs w:val="24"/>
              </w:rPr>
            </w:pPr>
            <w:r w:rsidRPr="002F3CF2">
              <w:rPr>
                <w:rFonts w:ascii="Times New Roman" w:hAnsi="Times New Roman"/>
                <w:sz w:val="24"/>
                <w:szCs w:val="24"/>
              </w:rPr>
              <w:t>d) základný fond úrazového poistenia</w:t>
            </w:r>
          </w:p>
        </w:tc>
        <w:tc>
          <w:tcPr>
            <w:tcW w:w="1480" w:type="dxa"/>
            <w:tcBorders>
              <w:top w:val="nil"/>
              <w:left w:val="nil"/>
              <w:bottom w:val="single" w:sz="4" w:space="0" w:color="auto"/>
              <w:right w:val="single" w:sz="4" w:space="0" w:color="auto"/>
            </w:tcBorders>
            <w:noWrap/>
            <w:vAlign w:val="center"/>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53 304</w:t>
            </w:r>
          </w:p>
        </w:tc>
        <w:tc>
          <w:tcPr>
            <w:tcW w:w="1480" w:type="dxa"/>
            <w:tcBorders>
              <w:top w:val="nil"/>
              <w:left w:val="nil"/>
              <w:bottom w:val="single" w:sz="4" w:space="0" w:color="auto"/>
              <w:right w:val="nil"/>
            </w:tcBorders>
            <w:noWrap/>
            <w:vAlign w:val="center"/>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50 816</w:t>
            </w:r>
          </w:p>
        </w:tc>
        <w:tc>
          <w:tcPr>
            <w:tcW w:w="1414" w:type="dxa"/>
            <w:tcBorders>
              <w:top w:val="nil"/>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95,33</w:t>
            </w:r>
          </w:p>
        </w:tc>
        <w:tc>
          <w:tcPr>
            <w:tcW w:w="1097" w:type="dxa"/>
            <w:tcBorders>
              <w:top w:val="nil"/>
              <w:left w:val="nil"/>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-2 488</w:t>
            </w:r>
          </w:p>
        </w:tc>
      </w:tr>
      <w:tr w:rsidR="00385B00" w:rsidRPr="002F3CF2" w:rsidTr="007379ED">
        <w:trPr>
          <w:trHeight w:val="300"/>
        </w:trPr>
        <w:tc>
          <w:tcPr>
            <w:tcW w:w="4380" w:type="dxa"/>
            <w:tcBorders>
              <w:top w:val="nil"/>
              <w:left w:val="single" w:sz="4" w:space="0" w:color="auto"/>
              <w:bottom w:val="single" w:sz="4" w:space="0" w:color="auto"/>
              <w:right w:val="single" w:sz="4" w:space="0" w:color="auto"/>
            </w:tcBorders>
            <w:noWrap/>
            <w:vAlign w:val="center"/>
            <w:hideMark/>
          </w:tcPr>
          <w:p w:rsidR="00385B00" w:rsidRPr="002F3CF2" w:rsidRDefault="00385B00" w:rsidP="007379ED">
            <w:pPr>
              <w:widowControl/>
              <w:autoSpaceDE/>
              <w:autoSpaceDN/>
              <w:adjustRightInd/>
              <w:spacing w:line="360" w:lineRule="auto"/>
              <w:rPr>
                <w:rFonts w:ascii="Times New Roman" w:hAnsi="Times New Roman"/>
                <w:sz w:val="24"/>
                <w:szCs w:val="24"/>
              </w:rPr>
            </w:pPr>
            <w:r w:rsidRPr="002F3CF2">
              <w:rPr>
                <w:rFonts w:ascii="Times New Roman" w:hAnsi="Times New Roman"/>
                <w:sz w:val="24"/>
                <w:szCs w:val="24"/>
              </w:rPr>
              <w:t>e) základný fond garančného poistenia</w:t>
            </w:r>
          </w:p>
        </w:tc>
        <w:tc>
          <w:tcPr>
            <w:tcW w:w="1480" w:type="dxa"/>
            <w:tcBorders>
              <w:top w:val="nil"/>
              <w:left w:val="nil"/>
              <w:bottom w:val="single" w:sz="4" w:space="0" w:color="auto"/>
              <w:right w:val="single" w:sz="4" w:space="0" w:color="auto"/>
            </w:tcBorders>
            <w:noWrap/>
            <w:vAlign w:val="center"/>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14 745</w:t>
            </w:r>
          </w:p>
        </w:tc>
        <w:tc>
          <w:tcPr>
            <w:tcW w:w="1480" w:type="dxa"/>
            <w:tcBorders>
              <w:top w:val="nil"/>
              <w:left w:val="nil"/>
              <w:bottom w:val="single" w:sz="4" w:space="0" w:color="auto"/>
              <w:right w:val="nil"/>
            </w:tcBorders>
            <w:noWrap/>
            <w:vAlign w:val="center"/>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16 109</w:t>
            </w:r>
          </w:p>
        </w:tc>
        <w:tc>
          <w:tcPr>
            <w:tcW w:w="1414" w:type="dxa"/>
            <w:tcBorders>
              <w:top w:val="nil"/>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109,25</w:t>
            </w:r>
          </w:p>
        </w:tc>
        <w:tc>
          <w:tcPr>
            <w:tcW w:w="1097" w:type="dxa"/>
            <w:tcBorders>
              <w:top w:val="nil"/>
              <w:left w:val="nil"/>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1 364</w:t>
            </w:r>
          </w:p>
        </w:tc>
      </w:tr>
      <w:tr w:rsidR="00385B00" w:rsidRPr="002F3CF2" w:rsidTr="007379ED">
        <w:trPr>
          <w:trHeight w:val="300"/>
        </w:trPr>
        <w:tc>
          <w:tcPr>
            <w:tcW w:w="4380" w:type="dxa"/>
            <w:tcBorders>
              <w:top w:val="nil"/>
              <w:left w:val="single" w:sz="4" w:space="0" w:color="auto"/>
              <w:bottom w:val="single" w:sz="4" w:space="0" w:color="auto"/>
              <w:right w:val="single" w:sz="4" w:space="0" w:color="auto"/>
            </w:tcBorders>
            <w:noWrap/>
            <w:vAlign w:val="center"/>
            <w:hideMark/>
          </w:tcPr>
          <w:p w:rsidR="00385B00" w:rsidRPr="002F3CF2" w:rsidRDefault="00385B00" w:rsidP="007379ED">
            <w:pPr>
              <w:widowControl/>
              <w:autoSpaceDE/>
              <w:autoSpaceDN/>
              <w:adjustRightInd/>
              <w:spacing w:line="360" w:lineRule="auto"/>
              <w:rPr>
                <w:rFonts w:ascii="Times New Roman" w:hAnsi="Times New Roman"/>
                <w:sz w:val="24"/>
                <w:szCs w:val="24"/>
              </w:rPr>
            </w:pPr>
            <w:r w:rsidRPr="002F3CF2">
              <w:rPr>
                <w:rFonts w:ascii="Times New Roman" w:hAnsi="Times New Roman"/>
                <w:sz w:val="24"/>
                <w:szCs w:val="24"/>
              </w:rPr>
              <w:t xml:space="preserve">f) základný fond poistenia </w:t>
            </w:r>
            <w:r>
              <w:rPr>
                <w:rFonts w:ascii="Times New Roman" w:hAnsi="Times New Roman"/>
                <w:sz w:val="24"/>
                <w:szCs w:val="24"/>
              </w:rPr>
              <w:t>v </w:t>
            </w:r>
            <w:r w:rsidRPr="002F3CF2">
              <w:rPr>
                <w:rFonts w:ascii="Times New Roman" w:hAnsi="Times New Roman"/>
                <w:sz w:val="24"/>
                <w:szCs w:val="24"/>
              </w:rPr>
              <w:t>nezamestnanosti</w:t>
            </w:r>
          </w:p>
        </w:tc>
        <w:tc>
          <w:tcPr>
            <w:tcW w:w="1480" w:type="dxa"/>
            <w:tcBorders>
              <w:top w:val="nil"/>
              <w:left w:val="nil"/>
              <w:bottom w:val="single" w:sz="4" w:space="0" w:color="auto"/>
              <w:right w:val="single" w:sz="4" w:space="0" w:color="auto"/>
            </w:tcBorders>
            <w:noWrap/>
            <w:vAlign w:val="center"/>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162 901</w:t>
            </w:r>
          </w:p>
        </w:tc>
        <w:tc>
          <w:tcPr>
            <w:tcW w:w="1480" w:type="dxa"/>
            <w:tcBorders>
              <w:top w:val="nil"/>
              <w:left w:val="nil"/>
              <w:bottom w:val="single" w:sz="4" w:space="0" w:color="auto"/>
              <w:right w:val="nil"/>
            </w:tcBorders>
            <w:noWrap/>
            <w:vAlign w:val="center"/>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183 745</w:t>
            </w:r>
          </w:p>
        </w:tc>
        <w:tc>
          <w:tcPr>
            <w:tcW w:w="1414" w:type="dxa"/>
            <w:tcBorders>
              <w:top w:val="nil"/>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112,80</w:t>
            </w:r>
          </w:p>
        </w:tc>
        <w:tc>
          <w:tcPr>
            <w:tcW w:w="1097" w:type="dxa"/>
            <w:tcBorders>
              <w:top w:val="nil"/>
              <w:left w:val="nil"/>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20 844</w:t>
            </w:r>
          </w:p>
        </w:tc>
      </w:tr>
      <w:tr w:rsidR="00385B00" w:rsidRPr="002F3CF2" w:rsidTr="007379ED">
        <w:trPr>
          <w:trHeight w:val="300"/>
        </w:trPr>
        <w:tc>
          <w:tcPr>
            <w:tcW w:w="4380" w:type="dxa"/>
            <w:tcBorders>
              <w:top w:val="nil"/>
              <w:left w:val="single" w:sz="4" w:space="0" w:color="auto"/>
              <w:bottom w:val="single" w:sz="4" w:space="0" w:color="auto"/>
              <w:right w:val="single" w:sz="4" w:space="0" w:color="auto"/>
            </w:tcBorders>
            <w:noWrap/>
            <w:vAlign w:val="center"/>
            <w:hideMark/>
          </w:tcPr>
          <w:p w:rsidR="00385B00" w:rsidRPr="002F3CF2" w:rsidRDefault="00385B00" w:rsidP="007379ED">
            <w:pPr>
              <w:widowControl/>
              <w:autoSpaceDE/>
              <w:autoSpaceDN/>
              <w:adjustRightInd/>
              <w:spacing w:line="360" w:lineRule="auto"/>
              <w:rPr>
                <w:rFonts w:ascii="Times New Roman" w:hAnsi="Times New Roman"/>
                <w:sz w:val="24"/>
                <w:szCs w:val="24"/>
              </w:rPr>
            </w:pPr>
            <w:r w:rsidRPr="002F3CF2">
              <w:rPr>
                <w:rFonts w:ascii="Times New Roman" w:hAnsi="Times New Roman"/>
                <w:sz w:val="24"/>
                <w:szCs w:val="24"/>
              </w:rPr>
              <w:t>výdavky správneho fondu</w:t>
            </w:r>
          </w:p>
        </w:tc>
        <w:tc>
          <w:tcPr>
            <w:tcW w:w="1480" w:type="dxa"/>
            <w:tcBorders>
              <w:top w:val="nil"/>
              <w:left w:val="nil"/>
              <w:bottom w:val="single" w:sz="4" w:space="0" w:color="auto"/>
              <w:right w:val="single" w:sz="4" w:space="0" w:color="auto"/>
            </w:tcBorders>
            <w:noWrap/>
            <w:vAlign w:val="center"/>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107 850</w:t>
            </w:r>
          </w:p>
        </w:tc>
        <w:tc>
          <w:tcPr>
            <w:tcW w:w="1480" w:type="dxa"/>
            <w:tcBorders>
              <w:top w:val="nil"/>
              <w:left w:val="nil"/>
              <w:bottom w:val="single" w:sz="4" w:space="0" w:color="auto"/>
              <w:right w:val="nil"/>
            </w:tcBorders>
            <w:noWrap/>
            <w:vAlign w:val="center"/>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153 203</w:t>
            </w:r>
          </w:p>
        </w:tc>
        <w:tc>
          <w:tcPr>
            <w:tcW w:w="1414" w:type="dxa"/>
            <w:tcBorders>
              <w:top w:val="nil"/>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142,05</w:t>
            </w:r>
          </w:p>
        </w:tc>
        <w:tc>
          <w:tcPr>
            <w:tcW w:w="1097" w:type="dxa"/>
            <w:tcBorders>
              <w:top w:val="nil"/>
              <w:left w:val="nil"/>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45 353</w:t>
            </w:r>
          </w:p>
        </w:tc>
      </w:tr>
    </w:tbl>
    <w:p w:rsidR="00385B00" w:rsidRDefault="00385B00" w:rsidP="00385B00">
      <w:pPr>
        <w:widowControl/>
        <w:autoSpaceDE/>
        <w:autoSpaceDN/>
        <w:adjustRightInd/>
        <w:spacing w:before="120" w:after="120" w:line="360" w:lineRule="auto"/>
        <w:ind w:firstLine="510"/>
        <w:jc w:val="both"/>
        <w:rPr>
          <w:rFonts w:ascii="Times New Roman" w:hAnsi="Times New Roman"/>
          <w:sz w:val="24"/>
          <w:szCs w:val="24"/>
        </w:rPr>
      </w:pPr>
    </w:p>
    <w:p w:rsidR="00385B00" w:rsidRPr="002F3CF2" w:rsidRDefault="00385B00" w:rsidP="00385B00">
      <w:pPr>
        <w:widowControl/>
        <w:autoSpaceDE/>
        <w:autoSpaceDN/>
        <w:adjustRightInd/>
        <w:spacing w:before="120" w:after="120" w:line="360" w:lineRule="auto"/>
        <w:ind w:firstLine="510"/>
        <w:jc w:val="both"/>
        <w:rPr>
          <w:rFonts w:ascii="Times New Roman" w:hAnsi="Times New Roman"/>
          <w:sz w:val="24"/>
          <w:szCs w:val="24"/>
          <w:lang w:eastAsia="cs-CZ"/>
        </w:rPr>
      </w:pPr>
      <w:r w:rsidRPr="002F3CF2">
        <w:rPr>
          <w:rFonts w:ascii="Times New Roman" w:hAnsi="Times New Roman"/>
          <w:b/>
          <w:sz w:val="24"/>
          <w:szCs w:val="24"/>
          <w:lang w:eastAsia="cs-CZ"/>
        </w:rPr>
        <w:t>Výdavky Sociálnej poisťovne</w:t>
      </w:r>
      <w:r w:rsidRPr="002F3CF2">
        <w:rPr>
          <w:rFonts w:ascii="Times New Roman" w:hAnsi="Times New Roman"/>
          <w:sz w:val="24"/>
          <w:szCs w:val="24"/>
          <w:lang w:eastAsia="cs-CZ"/>
        </w:rPr>
        <w:t xml:space="preserve"> </w:t>
      </w:r>
      <w:r w:rsidRPr="002F3CF2">
        <w:rPr>
          <w:rFonts w:ascii="Times New Roman" w:hAnsi="Times New Roman"/>
          <w:b/>
          <w:sz w:val="24"/>
          <w:szCs w:val="24"/>
          <w:lang w:eastAsia="cs-CZ"/>
        </w:rPr>
        <w:t>v roku 2018</w:t>
      </w:r>
      <w:r w:rsidRPr="002F3CF2">
        <w:rPr>
          <w:rFonts w:ascii="Times New Roman" w:hAnsi="Times New Roman"/>
          <w:sz w:val="24"/>
          <w:szCs w:val="24"/>
          <w:lang w:eastAsia="cs-CZ"/>
        </w:rPr>
        <w:t xml:space="preserve"> boli v porovnaní so schváleným rozpočtom na rok 2018 </w:t>
      </w:r>
      <w:r w:rsidRPr="002F3CF2">
        <w:rPr>
          <w:rFonts w:ascii="Times New Roman" w:hAnsi="Times New Roman"/>
          <w:b/>
          <w:sz w:val="24"/>
          <w:szCs w:val="24"/>
          <w:lang w:eastAsia="cs-CZ"/>
        </w:rPr>
        <w:t>vyššie o 123 012 tis. EUR</w:t>
      </w:r>
      <w:r w:rsidRPr="002F3CF2">
        <w:rPr>
          <w:rFonts w:ascii="Times New Roman" w:hAnsi="Times New Roman"/>
          <w:sz w:val="24"/>
          <w:szCs w:val="24"/>
          <w:lang w:eastAsia="cs-CZ"/>
        </w:rPr>
        <w:t>. Najvyšší podiel na výdavkoch Sociálnej poisťovne majú výdavky z dôchodkového poistenia (86,87 %), ktoré dosiahli výšku 7 047 597 tis. EUR, čo je 100,01 % schváleného rozpočtu na rok 2018 vo výške 7 046 730 tis. EUR.</w:t>
      </w:r>
    </w:p>
    <w:p w:rsidR="00385B00" w:rsidRDefault="00385B00" w:rsidP="00385B00">
      <w:pPr>
        <w:widowControl/>
        <w:autoSpaceDE/>
        <w:autoSpaceDN/>
        <w:adjustRightInd/>
        <w:spacing w:before="240" w:after="120" w:line="360" w:lineRule="auto"/>
        <w:ind w:firstLine="709"/>
        <w:jc w:val="both"/>
        <w:rPr>
          <w:rFonts w:ascii="Times New Roman" w:hAnsi="Times New Roman"/>
          <w:sz w:val="24"/>
          <w:szCs w:val="24"/>
          <w:lang w:eastAsia="cs-CZ"/>
        </w:rPr>
      </w:pPr>
      <w:r w:rsidRPr="002F3CF2">
        <w:rPr>
          <w:rFonts w:ascii="Times New Roman" w:hAnsi="Times New Roman"/>
          <w:color w:val="000000"/>
          <w:sz w:val="24"/>
          <w:szCs w:val="24"/>
          <w:lang w:eastAsia="cs-CZ"/>
        </w:rPr>
        <w:t>Nižšie ako rozpočtované boli výdavky</w:t>
      </w:r>
      <w:r w:rsidRPr="002F3CF2">
        <w:rPr>
          <w:rFonts w:ascii="Times New Roman" w:hAnsi="Times New Roman"/>
          <w:sz w:val="24"/>
          <w:szCs w:val="24"/>
          <w:lang w:eastAsia="cs-CZ"/>
        </w:rPr>
        <w:t>:</w:t>
      </w:r>
    </w:p>
    <w:p w:rsidR="00385B00" w:rsidRDefault="00385B00" w:rsidP="00385B00">
      <w:pPr>
        <w:widowControl/>
        <w:numPr>
          <w:ilvl w:val="0"/>
          <w:numId w:val="16"/>
        </w:numPr>
        <w:tabs>
          <w:tab w:val="num" w:pos="567"/>
          <w:tab w:val="decimal" w:pos="8647"/>
        </w:tabs>
        <w:autoSpaceDE/>
        <w:autoSpaceDN/>
        <w:adjustRightInd/>
        <w:spacing w:after="120" w:line="360" w:lineRule="auto"/>
        <w:ind w:left="0" w:firstLine="0"/>
        <w:jc w:val="both"/>
        <w:rPr>
          <w:rFonts w:ascii="Times New Roman" w:hAnsi="Times New Roman"/>
          <w:sz w:val="24"/>
          <w:szCs w:val="24"/>
          <w:lang w:eastAsia="cs-CZ"/>
        </w:rPr>
      </w:pPr>
      <w:r w:rsidRPr="00106055">
        <w:rPr>
          <w:rFonts w:ascii="Times New Roman" w:hAnsi="Times New Roman"/>
          <w:sz w:val="24"/>
          <w:szCs w:val="24"/>
          <w:lang w:eastAsia="cs-CZ"/>
        </w:rPr>
        <w:t xml:space="preserve">v základnom fonde invalidného poistenia o 20 001 tis. EUR, </w:t>
      </w:r>
      <w:r w:rsidRPr="00106055">
        <w:rPr>
          <w:rFonts w:ascii="Times New Roman" w:hAnsi="Times New Roman"/>
          <w:color w:val="000000"/>
          <w:sz w:val="24"/>
          <w:szCs w:val="24"/>
          <w:lang w:eastAsia="cs-CZ"/>
        </w:rPr>
        <w:t xml:space="preserve">najmä </w:t>
      </w:r>
      <w:r w:rsidRPr="00106055">
        <w:rPr>
          <w:rFonts w:ascii="Times New Roman" w:hAnsi="Times New Roman"/>
          <w:sz w:val="24"/>
          <w:szCs w:val="24"/>
          <w:lang w:eastAsia="cs-CZ"/>
        </w:rPr>
        <w:t>v dôchodkoch vdovských o 12 214 tis. EUR z dôvodu nižšieho počtu novopriznávaných dôchodkov ako bolo rozpočtované na rok 2018;</w:t>
      </w:r>
    </w:p>
    <w:p w:rsidR="00385B00" w:rsidRPr="00106055" w:rsidRDefault="00385B00" w:rsidP="00385B00">
      <w:pPr>
        <w:widowControl/>
        <w:numPr>
          <w:ilvl w:val="0"/>
          <w:numId w:val="16"/>
        </w:numPr>
        <w:tabs>
          <w:tab w:val="num" w:pos="567"/>
          <w:tab w:val="decimal" w:pos="8647"/>
        </w:tabs>
        <w:autoSpaceDE/>
        <w:autoSpaceDN/>
        <w:adjustRightInd/>
        <w:spacing w:after="120" w:line="360" w:lineRule="auto"/>
        <w:ind w:left="0" w:firstLine="0"/>
        <w:jc w:val="both"/>
        <w:rPr>
          <w:rFonts w:ascii="Times New Roman" w:hAnsi="Times New Roman"/>
          <w:sz w:val="24"/>
          <w:szCs w:val="24"/>
          <w:lang w:eastAsia="cs-CZ"/>
        </w:rPr>
      </w:pPr>
      <w:r w:rsidRPr="00106055">
        <w:rPr>
          <w:rFonts w:ascii="Times New Roman" w:hAnsi="Times New Roman"/>
          <w:sz w:val="24"/>
          <w:szCs w:val="24"/>
          <w:lang w:eastAsia="cs-CZ"/>
        </w:rPr>
        <w:t>v základnom fonde úrazového poistenia o 2 488 tis. EUR.</w:t>
      </w:r>
    </w:p>
    <w:p w:rsidR="00385B00" w:rsidRDefault="00385B00" w:rsidP="00385B00">
      <w:pPr>
        <w:widowControl/>
        <w:autoSpaceDE/>
        <w:autoSpaceDN/>
        <w:adjustRightInd/>
        <w:spacing w:before="240" w:after="120" w:line="360" w:lineRule="auto"/>
        <w:ind w:firstLine="709"/>
        <w:jc w:val="both"/>
        <w:rPr>
          <w:rFonts w:ascii="Times New Roman" w:hAnsi="Times New Roman"/>
          <w:sz w:val="24"/>
          <w:szCs w:val="24"/>
          <w:lang w:eastAsia="cs-CZ"/>
        </w:rPr>
      </w:pPr>
      <w:r w:rsidRPr="002F3CF2">
        <w:rPr>
          <w:rFonts w:ascii="Times New Roman" w:hAnsi="Times New Roman"/>
          <w:sz w:val="24"/>
          <w:szCs w:val="24"/>
          <w:lang w:eastAsia="cs-CZ"/>
        </w:rPr>
        <w:t>Vyššie ako rozpočtované boli výdavky:</w:t>
      </w:r>
    </w:p>
    <w:p w:rsidR="00385B00" w:rsidRDefault="00385B00" w:rsidP="00385B00">
      <w:pPr>
        <w:widowControl/>
        <w:numPr>
          <w:ilvl w:val="0"/>
          <w:numId w:val="16"/>
        </w:numPr>
        <w:tabs>
          <w:tab w:val="num" w:pos="567"/>
          <w:tab w:val="decimal" w:pos="8647"/>
        </w:tabs>
        <w:autoSpaceDE/>
        <w:autoSpaceDN/>
        <w:adjustRightInd/>
        <w:spacing w:after="120" w:line="360" w:lineRule="auto"/>
        <w:ind w:left="0" w:firstLine="0"/>
        <w:jc w:val="both"/>
        <w:rPr>
          <w:rFonts w:ascii="Times New Roman" w:hAnsi="Times New Roman"/>
          <w:sz w:val="24"/>
          <w:szCs w:val="24"/>
          <w:lang w:eastAsia="cs-CZ"/>
        </w:rPr>
      </w:pPr>
      <w:r w:rsidRPr="00106055">
        <w:rPr>
          <w:rFonts w:ascii="Times New Roman" w:hAnsi="Times New Roman"/>
          <w:sz w:val="24"/>
          <w:szCs w:val="24"/>
          <w:lang w:eastAsia="cs-CZ"/>
        </w:rPr>
        <w:t>v základnom fonde nemocenského poistenia o 57 072 tis. EUR, z dôvodu vyššieho priemerného mesačného počtu prípadov nemocenských dávok (najmä dávky materské) a nárastu priemernej mesačnej výšky dávky v roku 2018, oproti predpokladu zapracovanému v schválenom rozpočte na rok 2018;</w:t>
      </w:r>
    </w:p>
    <w:p w:rsidR="00385B00" w:rsidRDefault="00385B00" w:rsidP="00385B00">
      <w:pPr>
        <w:widowControl/>
        <w:numPr>
          <w:ilvl w:val="0"/>
          <w:numId w:val="16"/>
        </w:numPr>
        <w:tabs>
          <w:tab w:val="num" w:pos="567"/>
          <w:tab w:val="decimal" w:pos="8647"/>
        </w:tabs>
        <w:autoSpaceDE/>
        <w:autoSpaceDN/>
        <w:adjustRightInd/>
        <w:spacing w:after="120" w:line="360" w:lineRule="auto"/>
        <w:ind w:left="0" w:firstLine="0"/>
        <w:jc w:val="both"/>
        <w:rPr>
          <w:rFonts w:ascii="Times New Roman" w:hAnsi="Times New Roman"/>
          <w:sz w:val="24"/>
          <w:szCs w:val="24"/>
          <w:lang w:eastAsia="cs-CZ"/>
        </w:rPr>
      </w:pPr>
      <w:r w:rsidRPr="00106055">
        <w:rPr>
          <w:rFonts w:ascii="Times New Roman" w:hAnsi="Times New Roman"/>
          <w:sz w:val="24"/>
          <w:szCs w:val="24"/>
          <w:lang w:eastAsia="cs-CZ"/>
        </w:rPr>
        <w:t xml:space="preserve"> v základnom fonde starobného poistenia o 20 868 tis. EUR, najmä v dôchodkoch starobných (46 487 tis. EUR) z dôvodu vyššieho počtu a vyššej priemernej výšky novopriznávaných dôchodkov ako bolo rozpočtované na rok 2018;</w:t>
      </w:r>
    </w:p>
    <w:p w:rsidR="00385B00" w:rsidRDefault="00385B00" w:rsidP="00385B00">
      <w:pPr>
        <w:widowControl/>
        <w:numPr>
          <w:ilvl w:val="0"/>
          <w:numId w:val="16"/>
        </w:numPr>
        <w:tabs>
          <w:tab w:val="num" w:pos="567"/>
          <w:tab w:val="decimal" w:pos="8647"/>
        </w:tabs>
        <w:autoSpaceDE/>
        <w:autoSpaceDN/>
        <w:adjustRightInd/>
        <w:spacing w:after="120" w:line="360" w:lineRule="auto"/>
        <w:ind w:left="0" w:firstLine="0"/>
        <w:jc w:val="both"/>
        <w:rPr>
          <w:rFonts w:ascii="Times New Roman" w:hAnsi="Times New Roman"/>
          <w:sz w:val="24"/>
          <w:szCs w:val="24"/>
          <w:lang w:eastAsia="cs-CZ"/>
        </w:rPr>
      </w:pPr>
      <w:r w:rsidRPr="00106055">
        <w:rPr>
          <w:rFonts w:ascii="Times New Roman" w:hAnsi="Times New Roman"/>
          <w:sz w:val="24"/>
          <w:szCs w:val="24"/>
          <w:lang w:eastAsia="cs-CZ"/>
        </w:rPr>
        <w:t>v základnom fonde poistenia v nezamestnanosti o 20 844 tis. EUR; najmä z dôvodu vyššieho priemerného mesačného počtu dávok v nezamestnanosti, ako bolo zapracované v schválenom rozpočte na rok 2018,</w:t>
      </w:r>
    </w:p>
    <w:p w:rsidR="00385B00" w:rsidRPr="00106055" w:rsidRDefault="00385B00" w:rsidP="00385B00">
      <w:pPr>
        <w:widowControl/>
        <w:numPr>
          <w:ilvl w:val="0"/>
          <w:numId w:val="16"/>
        </w:numPr>
        <w:tabs>
          <w:tab w:val="num" w:pos="567"/>
          <w:tab w:val="decimal" w:pos="8647"/>
        </w:tabs>
        <w:autoSpaceDE/>
        <w:autoSpaceDN/>
        <w:adjustRightInd/>
        <w:spacing w:after="120" w:line="360" w:lineRule="auto"/>
        <w:ind w:left="0" w:firstLine="0"/>
        <w:jc w:val="both"/>
        <w:rPr>
          <w:rFonts w:ascii="Times New Roman" w:hAnsi="Times New Roman"/>
          <w:sz w:val="24"/>
          <w:szCs w:val="24"/>
          <w:lang w:eastAsia="cs-CZ"/>
        </w:rPr>
      </w:pPr>
      <w:r w:rsidRPr="00106055">
        <w:rPr>
          <w:rFonts w:ascii="Times New Roman" w:hAnsi="Times New Roman"/>
          <w:sz w:val="24"/>
          <w:szCs w:val="24"/>
          <w:lang w:eastAsia="cs-CZ"/>
        </w:rPr>
        <w:t xml:space="preserve">správneho fondu o 45 353 tis. EUR. </w:t>
      </w:r>
    </w:p>
    <w:p w:rsidR="00385B00" w:rsidRPr="002F3CF2" w:rsidRDefault="00385B00" w:rsidP="00385B00">
      <w:pPr>
        <w:widowControl/>
        <w:tabs>
          <w:tab w:val="decimal" w:pos="8100"/>
        </w:tabs>
        <w:autoSpaceDE/>
        <w:autoSpaceDN/>
        <w:adjustRightInd/>
        <w:spacing w:before="240" w:after="120" w:line="360" w:lineRule="auto"/>
        <w:ind w:firstLine="709"/>
        <w:jc w:val="both"/>
        <w:rPr>
          <w:rFonts w:ascii="Times New Roman" w:hAnsi="Times New Roman"/>
          <w:sz w:val="24"/>
          <w:szCs w:val="24"/>
        </w:rPr>
      </w:pPr>
      <w:r w:rsidRPr="002F3CF2">
        <w:rPr>
          <w:rFonts w:ascii="Times New Roman" w:hAnsi="Times New Roman"/>
          <w:sz w:val="24"/>
          <w:szCs w:val="24"/>
          <w:lang w:eastAsia="cs-CZ"/>
        </w:rPr>
        <w:t xml:space="preserve">Použitie finančných prostriedkov </w:t>
      </w:r>
      <w:r w:rsidRPr="002F3CF2">
        <w:rPr>
          <w:rFonts w:ascii="Times New Roman" w:hAnsi="Times New Roman"/>
          <w:b/>
          <w:sz w:val="24"/>
          <w:szCs w:val="24"/>
          <w:lang w:eastAsia="cs-CZ"/>
        </w:rPr>
        <w:t>správneho fondu v roku 2018</w:t>
      </w:r>
      <w:r w:rsidRPr="002F3CF2">
        <w:rPr>
          <w:rFonts w:ascii="Times New Roman" w:hAnsi="Times New Roman"/>
          <w:sz w:val="24"/>
          <w:szCs w:val="24"/>
          <w:lang w:eastAsia="cs-CZ"/>
        </w:rPr>
        <w:t xml:space="preserve"> bolo vo výške </w:t>
      </w:r>
      <w:r w:rsidRPr="002F3CF2">
        <w:rPr>
          <w:rFonts w:ascii="Times New Roman" w:hAnsi="Times New Roman"/>
          <w:b/>
          <w:sz w:val="24"/>
          <w:szCs w:val="24"/>
          <w:lang w:eastAsia="cs-CZ"/>
        </w:rPr>
        <w:t>153 203 tis. EUR</w:t>
      </w:r>
      <w:r w:rsidRPr="002F3CF2">
        <w:rPr>
          <w:rFonts w:ascii="Times New Roman" w:hAnsi="Times New Roman"/>
          <w:sz w:val="24"/>
          <w:szCs w:val="24"/>
          <w:lang w:eastAsia="cs-CZ"/>
        </w:rPr>
        <w:t>.</w:t>
      </w:r>
    </w:p>
    <w:p w:rsidR="00385B00" w:rsidRPr="002F3CF2" w:rsidRDefault="00385B00" w:rsidP="00385B00">
      <w:pPr>
        <w:widowControl/>
        <w:autoSpaceDE/>
        <w:autoSpaceDN/>
        <w:adjustRightInd/>
        <w:spacing w:before="240" w:after="120" w:line="360" w:lineRule="auto"/>
        <w:ind w:firstLine="680"/>
        <w:jc w:val="both"/>
        <w:rPr>
          <w:rFonts w:ascii="Times New Roman" w:hAnsi="Times New Roman"/>
          <w:sz w:val="24"/>
          <w:szCs w:val="24"/>
        </w:rPr>
      </w:pPr>
      <w:r w:rsidRPr="002F3CF2">
        <w:rPr>
          <w:rFonts w:ascii="Times New Roman" w:hAnsi="Times New Roman"/>
          <w:sz w:val="24"/>
          <w:szCs w:val="24"/>
        </w:rPr>
        <w:t>V rozpočte výdavkov (nákladov) správneho fondu v roku 2018 sa predpokladalo použitie prostriedkov správneho fondu v sume 107 850 tis. EUR. V nadväznosti na požiadavky súvisiace so zabezpečením výkonu sociálneho poistenia do konca roka 2018 a tvorbu správneho fondu v bežnom roku 2018, v zmysle § 168 ods.</w:t>
      </w:r>
      <w:r>
        <w:rPr>
          <w:rFonts w:ascii="Times New Roman" w:hAnsi="Times New Roman"/>
          <w:sz w:val="24"/>
          <w:szCs w:val="24"/>
        </w:rPr>
        <w:t> </w:t>
      </w:r>
      <w:r w:rsidRPr="002F3CF2">
        <w:rPr>
          <w:rFonts w:ascii="Times New Roman" w:hAnsi="Times New Roman"/>
          <w:sz w:val="24"/>
          <w:szCs w:val="24"/>
        </w:rPr>
        <w:t>2 zákona o sociálnom poistení, generálny riaditeľ Sociálnej poisťovne dňa 9. januára 2018 schválil úpravu rozpisu rozpočtu správneho fondu Sociálnej poisťovne na rok 2018 na sumu 163 864 tis. EUR.</w:t>
      </w:r>
    </w:p>
    <w:p w:rsidR="00385B00" w:rsidRPr="002F3CF2" w:rsidRDefault="00385B00" w:rsidP="00385B00">
      <w:pPr>
        <w:widowControl/>
        <w:tabs>
          <w:tab w:val="decimal" w:pos="8100"/>
        </w:tabs>
        <w:autoSpaceDE/>
        <w:autoSpaceDN/>
        <w:adjustRightInd/>
        <w:spacing w:before="240" w:after="120" w:line="360" w:lineRule="auto"/>
        <w:ind w:firstLine="709"/>
        <w:jc w:val="both"/>
        <w:rPr>
          <w:rFonts w:ascii="Times New Roman" w:hAnsi="Times New Roman"/>
          <w:sz w:val="24"/>
          <w:szCs w:val="24"/>
        </w:rPr>
      </w:pPr>
      <w:r w:rsidRPr="002F3CF2">
        <w:rPr>
          <w:rFonts w:ascii="Times New Roman" w:hAnsi="Times New Roman"/>
          <w:sz w:val="24"/>
          <w:szCs w:val="24"/>
        </w:rPr>
        <w:t>Vynaložené finančné prostriedky správneho fondu súvisiace s krytím bežných výdavkov (nákladov) boli v sume 147 048 tis. EUR, čo je 95,98 %-</w:t>
      </w:r>
      <w:proofErr w:type="spellStart"/>
      <w:r w:rsidRPr="002F3CF2">
        <w:rPr>
          <w:rFonts w:ascii="Times New Roman" w:hAnsi="Times New Roman"/>
          <w:sz w:val="24"/>
          <w:szCs w:val="24"/>
        </w:rPr>
        <w:t>ny</w:t>
      </w:r>
      <w:proofErr w:type="spellEnd"/>
      <w:r w:rsidRPr="002F3CF2">
        <w:rPr>
          <w:rFonts w:ascii="Times New Roman" w:hAnsi="Times New Roman"/>
          <w:sz w:val="24"/>
          <w:szCs w:val="24"/>
        </w:rPr>
        <w:t xml:space="preserve"> podiel na celkových použitých prostriedkoch správneho fondu za rok 2018.</w:t>
      </w:r>
    </w:p>
    <w:p w:rsidR="00385B00" w:rsidRPr="002F3CF2" w:rsidRDefault="00385B00" w:rsidP="00385B00">
      <w:pPr>
        <w:widowControl/>
        <w:tabs>
          <w:tab w:val="left" w:pos="709"/>
          <w:tab w:val="right" w:pos="5670"/>
          <w:tab w:val="right" w:pos="9072"/>
        </w:tabs>
        <w:autoSpaceDE/>
        <w:autoSpaceDN/>
        <w:adjustRightInd/>
        <w:spacing w:before="240" w:after="120" w:line="360" w:lineRule="auto"/>
        <w:ind w:firstLine="720"/>
        <w:jc w:val="both"/>
        <w:rPr>
          <w:rFonts w:ascii="Times New Roman" w:hAnsi="Times New Roman"/>
          <w:sz w:val="24"/>
          <w:szCs w:val="24"/>
          <w:lang w:eastAsia="cs-CZ"/>
        </w:rPr>
      </w:pPr>
      <w:r w:rsidRPr="002F3CF2">
        <w:rPr>
          <w:rFonts w:ascii="Times New Roman" w:hAnsi="Times New Roman"/>
          <w:sz w:val="24"/>
          <w:szCs w:val="24"/>
          <w:lang w:eastAsia="cs-CZ"/>
        </w:rPr>
        <w:t>Na celkovom plnení upraveného rozpisu rozpočtu správneho fondu v roku 2018 sa podieľali osobné náklady v sume 104 811 </w:t>
      </w:r>
      <w:r w:rsidRPr="002F3CF2">
        <w:rPr>
          <w:rFonts w:ascii="Times New Roman" w:hAnsi="Times New Roman"/>
          <w:color w:val="000000"/>
          <w:sz w:val="24"/>
          <w:szCs w:val="24"/>
          <w:lang w:eastAsia="cs-CZ"/>
        </w:rPr>
        <w:t>tis. EUR</w:t>
      </w:r>
      <w:r w:rsidRPr="002F3CF2">
        <w:rPr>
          <w:rFonts w:ascii="Times New Roman" w:hAnsi="Times New Roman"/>
          <w:sz w:val="24"/>
          <w:szCs w:val="24"/>
          <w:lang w:eastAsia="cs-CZ"/>
        </w:rPr>
        <w:t>,</w:t>
      </w:r>
      <w:r w:rsidRPr="002F3CF2">
        <w:rPr>
          <w:rFonts w:ascii="Times New Roman" w:hAnsi="Times New Roman"/>
          <w:b/>
          <w:sz w:val="24"/>
          <w:szCs w:val="24"/>
          <w:lang w:eastAsia="cs-CZ"/>
        </w:rPr>
        <w:t xml:space="preserve"> </w:t>
      </w:r>
      <w:r w:rsidRPr="002F3CF2">
        <w:rPr>
          <w:rFonts w:ascii="Times New Roman" w:hAnsi="Times New Roman"/>
          <w:sz w:val="24"/>
          <w:szCs w:val="24"/>
          <w:lang w:eastAsia="cs-CZ"/>
        </w:rPr>
        <w:t>z toho mzdové prostriedky 72 655 tis. EUR a poistné a príspevok do poisťovní 27 583 tis. EUR.</w:t>
      </w:r>
    </w:p>
    <w:p w:rsidR="00385B00" w:rsidRPr="002F3CF2" w:rsidRDefault="00385B00" w:rsidP="00385B00">
      <w:pPr>
        <w:widowControl/>
        <w:tabs>
          <w:tab w:val="decimal" w:pos="8647"/>
        </w:tabs>
        <w:autoSpaceDE/>
        <w:autoSpaceDN/>
        <w:adjustRightInd/>
        <w:spacing w:before="240" w:after="120" w:line="360" w:lineRule="auto"/>
        <w:ind w:firstLine="720"/>
        <w:jc w:val="both"/>
        <w:rPr>
          <w:rFonts w:ascii="Times New Roman" w:hAnsi="Times New Roman"/>
          <w:sz w:val="24"/>
          <w:szCs w:val="24"/>
        </w:rPr>
      </w:pPr>
      <w:r w:rsidRPr="002F3CF2">
        <w:rPr>
          <w:rFonts w:ascii="Times New Roman" w:hAnsi="Times New Roman"/>
          <w:sz w:val="24"/>
          <w:szCs w:val="24"/>
        </w:rPr>
        <w:t>Finančné prostriedky správneho fondu súvisiace s krytím kapitálových výdavkov za rok 2018 boli vo výške 6 155 tis. EUR, čo z upraveného rozpisu rozpočtu na rok  2018 v sume 12 880 tis. EUR, je plnenie na 47,79 %.</w:t>
      </w:r>
    </w:p>
    <w:p w:rsidR="00385B00" w:rsidRDefault="00385B00" w:rsidP="00385B00">
      <w:pPr>
        <w:autoSpaceDE/>
        <w:autoSpaceDN/>
        <w:adjustRightInd/>
        <w:spacing w:before="240" w:after="120" w:line="360" w:lineRule="auto"/>
        <w:ind w:firstLine="709"/>
        <w:jc w:val="both"/>
        <w:rPr>
          <w:rFonts w:ascii="Times New Roman" w:hAnsi="Times New Roman"/>
          <w:sz w:val="24"/>
          <w:szCs w:val="24"/>
          <w:lang w:eastAsia="en-US"/>
        </w:rPr>
      </w:pPr>
      <w:r w:rsidRPr="002F3CF2">
        <w:rPr>
          <w:rFonts w:ascii="Times New Roman" w:hAnsi="Times New Roman"/>
          <w:sz w:val="24"/>
          <w:szCs w:val="24"/>
          <w:lang w:eastAsia="en-US"/>
        </w:rPr>
        <w:t>Z porovnania skutočných príjmov a výdavkov Sociálnej poisťovne k 31. decembru 2018 vyplývajú bilančné rozdiely v hospodárení Sociálnej poisťovne podľa jednotlivých fondov:</w:t>
      </w:r>
    </w:p>
    <w:p w:rsidR="00385B00" w:rsidRDefault="00385B00" w:rsidP="00385B00">
      <w:pPr>
        <w:autoSpaceDE/>
        <w:autoSpaceDN/>
        <w:adjustRightInd/>
        <w:spacing w:before="240" w:after="120" w:line="360" w:lineRule="auto"/>
        <w:ind w:firstLine="709"/>
        <w:jc w:val="both"/>
        <w:rPr>
          <w:rFonts w:ascii="Times New Roman" w:hAnsi="Times New Roman"/>
          <w:sz w:val="24"/>
          <w:szCs w:val="24"/>
          <w:lang w:eastAsia="en-US"/>
        </w:rPr>
      </w:pPr>
    </w:p>
    <w:p w:rsidR="00385B00" w:rsidRDefault="00385B00" w:rsidP="00385B00">
      <w:pPr>
        <w:autoSpaceDE/>
        <w:autoSpaceDN/>
        <w:adjustRightInd/>
        <w:spacing w:before="240" w:after="120" w:line="360" w:lineRule="auto"/>
        <w:ind w:firstLine="709"/>
        <w:jc w:val="both"/>
        <w:rPr>
          <w:rFonts w:ascii="Times New Roman" w:hAnsi="Times New Roman"/>
          <w:sz w:val="24"/>
          <w:szCs w:val="24"/>
          <w:lang w:eastAsia="en-US"/>
        </w:rPr>
      </w:pPr>
    </w:p>
    <w:p w:rsidR="00385B00" w:rsidRDefault="00385B00" w:rsidP="00385B00">
      <w:pPr>
        <w:autoSpaceDE/>
        <w:autoSpaceDN/>
        <w:adjustRightInd/>
        <w:spacing w:before="240" w:after="120" w:line="360" w:lineRule="auto"/>
        <w:ind w:firstLine="709"/>
        <w:jc w:val="both"/>
        <w:rPr>
          <w:rFonts w:ascii="Times New Roman" w:hAnsi="Times New Roman"/>
          <w:sz w:val="24"/>
          <w:szCs w:val="24"/>
          <w:lang w:eastAsia="en-US"/>
        </w:rPr>
      </w:pPr>
    </w:p>
    <w:p w:rsidR="00385B00" w:rsidRDefault="00385B00" w:rsidP="00385B00">
      <w:pPr>
        <w:autoSpaceDE/>
        <w:autoSpaceDN/>
        <w:adjustRightInd/>
        <w:spacing w:before="240" w:after="120" w:line="360" w:lineRule="auto"/>
        <w:ind w:firstLine="709"/>
        <w:jc w:val="both"/>
        <w:rPr>
          <w:rFonts w:ascii="Times New Roman" w:hAnsi="Times New Roman"/>
          <w:sz w:val="24"/>
          <w:szCs w:val="24"/>
          <w:lang w:eastAsia="en-US"/>
        </w:rPr>
      </w:pPr>
    </w:p>
    <w:p w:rsidR="00385B00" w:rsidRDefault="00385B00" w:rsidP="00385B00">
      <w:pPr>
        <w:autoSpaceDE/>
        <w:autoSpaceDN/>
        <w:adjustRightInd/>
        <w:spacing w:before="240" w:after="120" w:line="360" w:lineRule="auto"/>
        <w:ind w:firstLine="709"/>
        <w:jc w:val="both"/>
        <w:rPr>
          <w:rFonts w:ascii="Times New Roman" w:hAnsi="Times New Roman"/>
          <w:sz w:val="24"/>
          <w:szCs w:val="24"/>
          <w:lang w:eastAsia="en-US"/>
        </w:rPr>
      </w:pPr>
    </w:p>
    <w:p w:rsidR="00385B00" w:rsidRDefault="00385B00" w:rsidP="00385B00">
      <w:pPr>
        <w:autoSpaceDE/>
        <w:autoSpaceDN/>
        <w:adjustRightInd/>
        <w:spacing w:before="240" w:after="120" w:line="360" w:lineRule="auto"/>
        <w:ind w:firstLine="709"/>
        <w:jc w:val="both"/>
        <w:rPr>
          <w:rFonts w:ascii="Times New Roman" w:hAnsi="Times New Roman"/>
          <w:sz w:val="24"/>
          <w:szCs w:val="24"/>
          <w:lang w:eastAsia="en-US"/>
        </w:rPr>
      </w:pPr>
    </w:p>
    <w:p w:rsidR="00385B00" w:rsidRDefault="00385B00" w:rsidP="00385B00">
      <w:pPr>
        <w:autoSpaceDE/>
        <w:autoSpaceDN/>
        <w:adjustRightInd/>
        <w:spacing w:before="240" w:after="120" w:line="360" w:lineRule="auto"/>
        <w:ind w:firstLine="709"/>
        <w:jc w:val="both"/>
        <w:rPr>
          <w:rFonts w:ascii="Times New Roman" w:hAnsi="Times New Roman"/>
          <w:sz w:val="24"/>
          <w:szCs w:val="24"/>
          <w:lang w:eastAsia="en-US"/>
        </w:rPr>
      </w:pPr>
    </w:p>
    <w:p w:rsidR="00385B00" w:rsidRPr="002F3CF2" w:rsidRDefault="00385B00" w:rsidP="00385B00">
      <w:pPr>
        <w:autoSpaceDE/>
        <w:autoSpaceDN/>
        <w:adjustRightInd/>
        <w:spacing w:before="240" w:after="120" w:line="360" w:lineRule="auto"/>
        <w:ind w:firstLine="709"/>
        <w:jc w:val="both"/>
        <w:rPr>
          <w:rFonts w:ascii="Times New Roman" w:hAnsi="Times New Roman"/>
          <w:sz w:val="24"/>
          <w:szCs w:val="24"/>
          <w:lang w:eastAsia="en-US"/>
        </w:rPr>
      </w:pPr>
    </w:p>
    <w:tbl>
      <w:tblPr>
        <w:tblW w:w="9851" w:type="dxa"/>
        <w:tblLayout w:type="fixed"/>
        <w:tblCellMar>
          <w:left w:w="70" w:type="dxa"/>
          <w:right w:w="70" w:type="dxa"/>
        </w:tblCellMar>
        <w:tblLook w:val="04A0" w:firstRow="1" w:lastRow="0" w:firstColumn="1" w:lastColumn="0" w:noHBand="0" w:noVBand="1"/>
      </w:tblPr>
      <w:tblGrid>
        <w:gridCol w:w="2835"/>
        <w:gridCol w:w="1275"/>
        <w:gridCol w:w="1086"/>
        <w:gridCol w:w="1678"/>
        <w:gridCol w:w="1701"/>
        <w:gridCol w:w="1276"/>
      </w:tblGrid>
      <w:tr w:rsidR="00385B00" w:rsidRPr="002F3CF2" w:rsidTr="007379ED">
        <w:trPr>
          <w:trHeight w:val="268"/>
        </w:trPr>
        <w:tc>
          <w:tcPr>
            <w:tcW w:w="2835" w:type="dxa"/>
            <w:tcBorders>
              <w:top w:val="nil"/>
              <w:left w:val="nil"/>
              <w:bottom w:val="nil"/>
              <w:right w:val="nil"/>
            </w:tcBorders>
            <w:noWrap/>
            <w:vAlign w:val="bottom"/>
            <w:hideMark/>
          </w:tcPr>
          <w:p w:rsidR="00385B00" w:rsidRPr="002F3CF2" w:rsidRDefault="00385B00" w:rsidP="007379ED">
            <w:pPr>
              <w:widowControl/>
              <w:autoSpaceDE/>
              <w:autoSpaceDN/>
              <w:adjustRightInd/>
              <w:spacing w:line="360" w:lineRule="auto"/>
              <w:rPr>
                <w:rFonts w:ascii="Times New Roman" w:hAnsi="Times New Roman"/>
                <w:sz w:val="24"/>
                <w:szCs w:val="24"/>
              </w:rPr>
            </w:pPr>
          </w:p>
        </w:tc>
        <w:tc>
          <w:tcPr>
            <w:tcW w:w="1275" w:type="dxa"/>
            <w:tcBorders>
              <w:top w:val="nil"/>
              <w:left w:val="nil"/>
              <w:bottom w:val="nil"/>
              <w:right w:val="nil"/>
            </w:tcBorders>
            <w:noWrap/>
            <w:vAlign w:val="bottom"/>
            <w:hideMark/>
          </w:tcPr>
          <w:p w:rsidR="00385B00" w:rsidRPr="002F3CF2" w:rsidRDefault="00385B00" w:rsidP="007379ED">
            <w:pPr>
              <w:widowControl/>
              <w:autoSpaceDE/>
              <w:autoSpaceDN/>
              <w:adjustRightInd/>
              <w:spacing w:line="360" w:lineRule="auto"/>
              <w:rPr>
                <w:rFonts w:ascii="Times New Roman" w:hAnsi="Times New Roman"/>
                <w:sz w:val="24"/>
                <w:szCs w:val="24"/>
              </w:rPr>
            </w:pPr>
          </w:p>
        </w:tc>
        <w:tc>
          <w:tcPr>
            <w:tcW w:w="1086" w:type="dxa"/>
            <w:tcBorders>
              <w:top w:val="nil"/>
              <w:left w:val="nil"/>
              <w:bottom w:val="nil"/>
              <w:right w:val="nil"/>
            </w:tcBorders>
            <w:noWrap/>
            <w:vAlign w:val="bottom"/>
            <w:hideMark/>
          </w:tcPr>
          <w:p w:rsidR="00385B00" w:rsidRPr="002F3CF2" w:rsidRDefault="00385B00" w:rsidP="007379ED">
            <w:pPr>
              <w:widowControl/>
              <w:autoSpaceDE/>
              <w:autoSpaceDN/>
              <w:adjustRightInd/>
              <w:spacing w:line="360" w:lineRule="auto"/>
              <w:rPr>
                <w:rFonts w:ascii="Times New Roman" w:hAnsi="Times New Roman"/>
                <w:sz w:val="24"/>
                <w:szCs w:val="24"/>
              </w:rPr>
            </w:pPr>
          </w:p>
        </w:tc>
        <w:tc>
          <w:tcPr>
            <w:tcW w:w="1678" w:type="dxa"/>
            <w:tcBorders>
              <w:top w:val="nil"/>
              <w:left w:val="nil"/>
              <w:bottom w:val="nil"/>
              <w:right w:val="nil"/>
            </w:tcBorders>
            <w:noWrap/>
            <w:vAlign w:val="bottom"/>
            <w:hideMark/>
          </w:tcPr>
          <w:p w:rsidR="00385B00" w:rsidRPr="002F3CF2" w:rsidRDefault="00385B00" w:rsidP="007379ED">
            <w:pPr>
              <w:widowControl/>
              <w:autoSpaceDE/>
              <w:autoSpaceDN/>
              <w:adjustRightInd/>
              <w:spacing w:line="360" w:lineRule="auto"/>
              <w:rPr>
                <w:rFonts w:ascii="Times New Roman" w:hAnsi="Times New Roman"/>
                <w:sz w:val="24"/>
                <w:szCs w:val="24"/>
              </w:rPr>
            </w:pPr>
          </w:p>
        </w:tc>
        <w:tc>
          <w:tcPr>
            <w:tcW w:w="1701" w:type="dxa"/>
            <w:tcBorders>
              <w:top w:val="nil"/>
              <w:left w:val="nil"/>
              <w:bottom w:val="nil"/>
              <w:right w:val="nil"/>
            </w:tcBorders>
            <w:noWrap/>
            <w:vAlign w:val="bottom"/>
            <w:hideMark/>
          </w:tcPr>
          <w:p w:rsidR="00385B00" w:rsidRPr="002F3CF2" w:rsidRDefault="00385B00" w:rsidP="007379ED">
            <w:pPr>
              <w:widowControl/>
              <w:autoSpaceDE/>
              <w:autoSpaceDN/>
              <w:adjustRightInd/>
              <w:spacing w:line="360" w:lineRule="auto"/>
              <w:rPr>
                <w:rFonts w:ascii="Times New Roman" w:hAnsi="Times New Roman"/>
                <w:sz w:val="24"/>
                <w:szCs w:val="24"/>
              </w:rPr>
            </w:pPr>
          </w:p>
        </w:tc>
        <w:tc>
          <w:tcPr>
            <w:tcW w:w="1276" w:type="dxa"/>
            <w:tcBorders>
              <w:top w:val="nil"/>
              <w:left w:val="nil"/>
              <w:bottom w:val="nil"/>
              <w:right w:val="nil"/>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v tis. EUR</w:t>
            </w:r>
          </w:p>
        </w:tc>
      </w:tr>
      <w:tr w:rsidR="00385B00" w:rsidRPr="002F3CF2" w:rsidTr="007379ED">
        <w:trPr>
          <w:trHeight w:val="1014"/>
        </w:trPr>
        <w:tc>
          <w:tcPr>
            <w:tcW w:w="2835" w:type="dxa"/>
            <w:tcBorders>
              <w:top w:val="single" w:sz="4" w:space="0" w:color="auto"/>
              <w:left w:val="single" w:sz="4" w:space="0" w:color="auto"/>
              <w:bottom w:val="single" w:sz="4" w:space="0" w:color="auto"/>
              <w:right w:val="single" w:sz="4" w:space="0" w:color="auto"/>
            </w:tcBorders>
            <w:noWrap/>
            <w:vAlign w:val="bottom"/>
            <w:hideMark/>
          </w:tcPr>
          <w:p w:rsidR="00385B00" w:rsidRPr="00615454" w:rsidRDefault="00385B00" w:rsidP="007379ED">
            <w:pPr>
              <w:widowControl/>
              <w:autoSpaceDE/>
              <w:autoSpaceDN/>
              <w:adjustRightInd/>
              <w:spacing w:line="360" w:lineRule="auto"/>
              <w:jc w:val="center"/>
              <w:rPr>
                <w:rFonts w:ascii="Times New Roman" w:hAnsi="Times New Roman"/>
                <w:color w:val="000000" w:themeColor="text1"/>
                <w:sz w:val="24"/>
                <w:szCs w:val="24"/>
                <w:u w:color="000000"/>
              </w:rPr>
            </w:pPr>
            <w:r w:rsidRPr="00615454">
              <w:rPr>
                <w:rFonts w:ascii="Times New Roman" w:hAnsi="Times New Roman"/>
                <w:color w:val="000000" w:themeColor="text1"/>
                <w:sz w:val="24"/>
                <w:szCs w:val="24"/>
                <w:u w:color="000000"/>
              </w:rPr>
              <w:t xml:space="preserve">Fond  </w:t>
            </w:r>
          </w:p>
        </w:tc>
        <w:tc>
          <w:tcPr>
            <w:tcW w:w="1275" w:type="dxa"/>
            <w:tcBorders>
              <w:top w:val="single" w:sz="4" w:space="0" w:color="auto"/>
              <w:left w:val="nil"/>
              <w:bottom w:val="single" w:sz="4" w:space="0" w:color="auto"/>
              <w:right w:val="single" w:sz="4" w:space="0" w:color="auto"/>
            </w:tcBorders>
            <w:vAlign w:val="bottom"/>
            <w:hideMark/>
          </w:tcPr>
          <w:p w:rsidR="00385B00" w:rsidRPr="00615454" w:rsidRDefault="00385B00" w:rsidP="007379ED">
            <w:pPr>
              <w:widowControl/>
              <w:jc w:val="center"/>
              <w:rPr>
                <w:rFonts w:ascii="Times New Roman" w:hAnsi="Times New Roman"/>
                <w:b/>
                <w:color w:val="000000" w:themeColor="text1"/>
                <w:sz w:val="24"/>
                <w:szCs w:val="24"/>
                <w:u w:color="000000"/>
              </w:rPr>
            </w:pPr>
            <w:r w:rsidRPr="00615454">
              <w:rPr>
                <w:rFonts w:ascii="Times New Roman" w:hAnsi="Times New Roman"/>
                <w:b/>
                <w:color w:val="000000" w:themeColor="text1"/>
                <w:sz w:val="24"/>
                <w:szCs w:val="24"/>
                <w:u w:color="000000"/>
              </w:rPr>
              <w:t xml:space="preserve">Bilančný rozdiel </w:t>
            </w:r>
            <w:r>
              <w:rPr>
                <w:rFonts w:ascii="Times New Roman" w:hAnsi="Times New Roman"/>
                <w:b/>
                <w:color w:val="000000" w:themeColor="text1"/>
                <w:sz w:val="24"/>
                <w:szCs w:val="24"/>
                <w:u w:color="000000"/>
              </w:rPr>
              <w:t>v </w:t>
            </w:r>
            <w:r w:rsidRPr="00615454">
              <w:rPr>
                <w:rFonts w:ascii="Times New Roman" w:hAnsi="Times New Roman"/>
                <w:b/>
                <w:color w:val="000000" w:themeColor="text1"/>
                <w:sz w:val="24"/>
                <w:szCs w:val="24"/>
                <w:u w:color="000000"/>
              </w:rPr>
              <w:t>bežnom roku</w:t>
            </w:r>
          </w:p>
        </w:tc>
        <w:tc>
          <w:tcPr>
            <w:tcW w:w="1086" w:type="dxa"/>
            <w:tcBorders>
              <w:top w:val="single" w:sz="4" w:space="0" w:color="auto"/>
              <w:left w:val="nil"/>
              <w:bottom w:val="single" w:sz="4" w:space="0" w:color="auto"/>
              <w:right w:val="single" w:sz="4" w:space="0" w:color="auto"/>
            </w:tcBorders>
            <w:vAlign w:val="bottom"/>
            <w:hideMark/>
          </w:tcPr>
          <w:p w:rsidR="00385B00" w:rsidRPr="00615454" w:rsidRDefault="00385B00" w:rsidP="007379ED">
            <w:pPr>
              <w:widowControl/>
              <w:jc w:val="center"/>
              <w:rPr>
                <w:rFonts w:ascii="Times New Roman" w:hAnsi="Times New Roman"/>
                <w:b/>
                <w:color w:val="000000" w:themeColor="text1"/>
                <w:sz w:val="24"/>
                <w:szCs w:val="24"/>
                <w:u w:color="000000"/>
              </w:rPr>
            </w:pPr>
            <w:r w:rsidRPr="00615454">
              <w:rPr>
                <w:rFonts w:ascii="Times New Roman" w:hAnsi="Times New Roman"/>
                <w:b/>
                <w:color w:val="000000" w:themeColor="text1"/>
                <w:sz w:val="24"/>
                <w:szCs w:val="24"/>
                <w:u w:color="000000"/>
              </w:rPr>
              <w:t>Prevod zostatku z roku 2017</w:t>
            </w:r>
          </w:p>
        </w:tc>
        <w:tc>
          <w:tcPr>
            <w:tcW w:w="1678" w:type="dxa"/>
            <w:tcBorders>
              <w:top w:val="single" w:sz="4" w:space="0" w:color="auto"/>
              <w:left w:val="nil"/>
              <w:bottom w:val="single" w:sz="4" w:space="0" w:color="auto"/>
              <w:right w:val="single" w:sz="4" w:space="0" w:color="auto"/>
            </w:tcBorders>
            <w:vAlign w:val="bottom"/>
            <w:hideMark/>
          </w:tcPr>
          <w:p w:rsidR="00385B00" w:rsidRPr="00615454" w:rsidRDefault="00385B00" w:rsidP="007379ED">
            <w:pPr>
              <w:widowControl/>
              <w:jc w:val="center"/>
              <w:rPr>
                <w:rFonts w:ascii="Times New Roman" w:hAnsi="Times New Roman"/>
                <w:b/>
                <w:color w:val="000000" w:themeColor="text1"/>
                <w:sz w:val="24"/>
                <w:szCs w:val="24"/>
                <w:u w:color="000000"/>
              </w:rPr>
            </w:pPr>
            <w:r w:rsidRPr="00615454">
              <w:rPr>
                <w:rFonts w:ascii="Times New Roman" w:hAnsi="Times New Roman"/>
                <w:b/>
                <w:color w:val="000000" w:themeColor="text1"/>
                <w:sz w:val="24"/>
                <w:szCs w:val="24"/>
                <w:u w:color="000000"/>
              </w:rPr>
              <w:t xml:space="preserve">Riešenie deficitu  v nemocenskom poistení </w:t>
            </w:r>
          </w:p>
        </w:tc>
        <w:tc>
          <w:tcPr>
            <w:tcW w:w="1701" w:type="dxa"/>
            <w:tcBorders>
              <w:top w:val="single" w:sz="4" w:space="0" w:color="auto"/>
              <w:left w:val="nil"/>
              <w:bottom w:val="single" w:sz="4" w:space="0" w:color="auto"/>
              <w:right w:val="single" w:sz="4" w:space="0" w:color="auto"/>
            </w:tcBorders>
            <w:vAlign w:val="bottom"/>
            <w:hideMark/>
          </w:tcPr>
          <w:p w:rsidR="00385B00" w:rsidRPr="00615454" w:rsidRDefault="00385B00" w:rsidP="007379ED">
            <w:pPr>
              <w:widowControl/>
              <w:jc w:val="center"/>
              <w:rPr>
                <w:rFonts w:ascii="Times New Roman" w:hAnsi="Times New Roman"/>
                <w:b/>
                <w:color w:val="000000" w:themeColor="text1"/>
                <w:sz w:val="24"/>
                <w:szCs w:val="24"/>
                <w:u w:color="000000"/>
              </w:rPr>
            </w:pPr>
            <w:r>
              <w:rPr>
                <w:rFonts w:ascii="Times New Roman" w:hAnsi="Times New Roman"/>
                <w:b/>
                <w:color w:val="000000" w:themeColor="text1"/>
                <w:sz w:val="24"/>
                <w:szCs w:val="24"/>
                <w:u w:color="000000"/>
              </w:rPr>
              <w:t xml:space="preserve">Riešenie deficitu  v </w:t>
            </w:r>
            <w:r w:rsidRPr="00615454">
              <w:rPr>
                <w:rFonts w:ascii="Times New Roman" w:hAnsi="Times New Roman"/>
                <w:b/>
                <w:color w:val="000000" w:themeColor="text1"/>
                <w:sz w:val="24"/>
                <w:szCs w:val="24"/>
                <w:u w:color="000000"/>
              </w:rPr>
              <w:t xml:space="preserve">dôchodkovom poistení </w:t>
            </w:r>
          </w:p>
        </w:tc>
        <w:tc>
          <w:tcPr>
            <w:tcW w:w="1276" w:type="dxa"/>
            <w:tcBorders>
              <w:top w:val="single" w:sz="4" w:space="0" w:color="auto"/>
              <w:left w:val="nil"/>
              <w:bottom w:val="single" w:sz="4" w:space="0" w:color="auto"/>
              <w:right w:val="single" w:sz="4" w:space="0" w:color="auto"/>
            </w:tcBorders>
            <w:vAlign w:val="bottom"/>
            <w:hideMark/>
          </w:tcPr>
          <w:p w:rsidR="00385B00" w:rsidRPr="00615454" w:rsidRDefault="00385B00" w:rsidP="007379ED">
            <w:pPr>
              <w:widowControl/>
              <w:jc w:val="center"/>
              <w:rPr>
                <w:rFonts w:ascii="Times New Roman" w:hAnsi="Times New Roman"/>
                <w:b/>
                <w:color w:val="000000" w:themeColor="text1"/>
                <w:sz w:val="24"/>
                <w:szCs w:val="24"/>
                <w:u w:color="000000"/>
              </w:rPr>
            </w:pPr>
            <w:r w:rsidRPr="00615454">
              <w:rPr>
                <w:rFonts w:ascii="Times New Roman" w:hAnsi="Times New Roman"/>
                <w:b/>
                <w:color w:val="000000" w:themeColor="text1"/>
                <w:sz w:val="24"/>
                <w:szCs w:val="24"/>
                <w:u w:color="000000"/>
              </w:rPr>
              <w:t>Bilančný rozdiel k 31.12.2018</w:t>
            </w:r>
          </w:p>
        </w:tc>
      </w:tr>
      <w:tr w:rsidR="00385B00" w:rsidRPr="002F3CF2" w:rsidTr="007379ED">
        <w:trPr>
          <w:trHeight w:val="287"/>
        </w:trPr>
        <w:tc>
          <w:tcPr>
            <w:tcW w:w="2835" w:type="dxa"/>
            <w:tcBorders>
              <w:top w:val="single" w:sz="4" w:space="0" w:color="auto"/>
              <w:left w:val="single" w:sz="4" w:space="0" w:color="auto"/>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center"/>
              <w:rPr>
                <w:rFonts w:ascii="Times New Roman" w:hAnsi="Times New Roman"/>
                <w:sz w:val="24"/>
                <w:szCs w:val="24"/>
              </w:rPr>
            </w:pPr>
            <w:r w:rsidRPr="002F3CF2">
              <w:rPr>
                <w:rFonts w:ascii="Times New Roman" w:hAnsi="Times New Roman"/>
                <w:sz w:val="24"/>
                <w:szCs w:val="24"/>
              </w:rPr>
              <w:t>a</w:t>
            </w:r>
          </w:p>
        </w:tc>
        <w:tc>
          <w:tcPr>
            <w:tcW w:w="1275" w:type="dxa"/>
            <w:tcBorders>
              <w:top w:val="single" w:sz="4" w:space="0" w:color="auto"/>
              <w:left w:val="single" w:sz="4" w:space="0" w:color="auto"/>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center"/>
              <w:rPr>
                <w:rFonts w:ascii="Times New Roman" w:hAnsi="Times New Roman"/>
                <w:sz w:val="24"/>
                <w:szCs w:val="24"/>
              </w:rPr>
            </w:pPr>
            <w:r w:rsidRPr="002F3CF2">
              <w:rPr>
                <w:rFonts w:ascii="Times New Roman" w:hAnsi="Times New Roman"/>
                <w:sz w:val="24"/>
                <w:szCs w:val="24"/>
              </w:rPr>
              <w:t>1</w:t>
            </w:r>
          </w:p>
        </w:tc>
        <w:tc>
          <w:tcPr>
            <w:tcW w:w="1086" w:type="dxa"/>
            <w:tcBorders>
              <w:top w:val="single" w:sz="4" w:space="0" w:color="auto"/>
              <w:left w:val="nil"/>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center"/>
              <w:rPr>
                <w:rFonts w:ascii="Times New Roman" w:hAnsi="Times New Roman"/>
                <w:sz w:val="24"/>
                <w:szCs w:val="24"/>
              </w:rPr>
            </w:pPr>
            <w:r w:rsidRPr="002F3CF2">
              <w:rPr>
                <w:rFonts w:ascii="Times New Roman" w:hAnsi="Times New Roman"/>
                <w:sz w:val="24"/>
                <w:szCs w:val="24"/>
              </w:rPr>
              <w:t>2</w:t>
            </w:r>
          </w:p>
        </w:tc>
        <w:tc>
          <w:tcPr>
            <w:tcW w:w="1678" w:type="dxa"/>
            <w:tcBorders>
              <w:top w:val="single" w:sz="4" w:space="0" w:color="auto"/>
              <w:left w:val="nil"/>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center"/>
              <w:rPr>
                <w:rFonts w:ascii="Times New Roman" w:hAnsi="Times New Roman"/>
                <w:sz w:val="24"/>
                <w:szCs w:val="24"/>
              </w:rPr>
            </w:pPr>
            <w:r w:rsidRPr="002F3CF2">
              <w:rPr>
                <w:rFonts w:ascii="Times New Roman" w:hAnsi="Times New Roman"/>
                <w:sz w:val="24"/>
                <w:szCs w:val="24"/>
              </w:rPr>
              <w:t>3</w:t>
            </w:r>
          </w:p>
        </w:tc>
        <w:tc>
          <w:tcPr>
            <w:tcW w:w="1701" w:type="dxa"/>
            <w:tcBorders>
              <w:top w:val="single" w:sz="4" w:space="0" w:color="auto"/>
              <w:left w:val="nil"/>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center"/>
              <w:rPr>
                <w:rFonts w:ascii="Times New Roman" w:hAnsi="Times New Roman"/>
                <w:sz w:val="24"/>
                <w:szCs w:val="24"/>
              </w:rPr>
            </w:pPr>
            <w:r w:rsidRPr="002F3CF2">
              <w:rPr>
                <w:rFonts w:ascii="Times New Roman" w:hAnsi="Times New Roman"/>
                <w:sz w:val="24"/>
                <w:szCs w:val="24"/>
              </w:rPr>
              <w:t>4</w:t>
            </w:r>
          </w:p>
        </w:tc>
        <w:tc>
          <w:tcPr>
            <w:tcW w:w="1276" w:type="dxa"/>
            <w:tcBorders>
              <w:top w:val="single" w:sz="4" w:space="0" w:color="auto"/>
              <w:left w:val="nil"/>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center"/>
              <w:rPr>
                <w:rFonts w:ascii="Times New Roman" w:hAnsi="Times New Roman"/>
                <w:sz w:val="24"/>
                <w:szCs w:val="24"/>
              </w:rPr>
            </w:pPr>
            <w:r w:rsidRPr="002F3CF2">
              <w:rPr>
                <w:rFonts w:ascii="Times New Roman" w:hAnsi="Times New Roman"/>
                <w:sz w:val="24"/>
                <w:szCs w:val="24"/>
              </w:rPr>
              <w:t>5</w:t>
            </w:r>
          </w:p>
        </w:tc>
      </w:tr>
      <w:tr w:rsidR="00385B00" w:rsidRPr="002F3CF2" w:rsidTr="007379ED">
        <w:trPr>
          <w:trHeight w:val="492"/>
        </w:trPr>
        <w:tc>
          <w:tcPr>
            <w:tcW w:w="2835" w:type="dxa"/>
            <w:tcBorders>
              <w:top w:val="single" w:sz="4" w:space="0" w:color="auto"/>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rPr>
                <w:rFonts w:ascii="Times New Roman" w:hAnsi="Times New Roman"/>
                <w:sz w:val="24"/>
                <w:szCs w:val="24"/>
              </w:rPr>
            </w:pPr>
            <w:r w:rsidRPr="002F3CF2">
              <w:rPr>
                <w:rFonts w:ascii="Times New Roman" w:hAnsi="Times New Roman"/>
                <w:sz w:val="24"/>
                <w:szCs w:val="24"/>
              </w:rPr>
              <w:t>Základný fond nemocenského poistenia</w:t>
            </w:r>
          </w:p>
        </w:tc>
        <w:tc>
          <w:tcPr>
            <w:tcW w:w="1275" w:type="dxa"/>
            <w:tcBorders>
              <w:top w:val="single" w:sz="4" w:space="0" w:color="auto"/>
              <w:left w:val="single" w:sz="4" w:space="0" w:color="auto"/>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26 359</w:t>
            </w:r>
          </w:p>
        </w:tc>
        <w:tc>
          <w:tcPr>
            <w:tcW w:w="1086" w:type="dxa"/>
            <w:tcBorders>
              <w:top w:val="single" w:sz="4" w:space="0" w:color="auto"/>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56 559</w:t>
            </w:r>
          </w:p>
        </w:tc>
        <w:tc>
          <w:tcPr>
            <w:tcW w:w="1678" w:type="dxa"/>
            <w:tcBorders>
              <w:top w:val="single" w:sz="4" w:space="0" w:color="auto"/>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20 000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-40 000</w:t>
            </w:r>
          </w:p>
        </w:tc>
        <w:tc>
          <w:tcPr>
            <w:tcW w:w="1276" w:type="dxa"/>
            <w:tcBorders>
              <w:top w:val="single" w:sz="4" w:space="0" w:color="auto"/>
              <w:left w:val="single" w:sz="4" w:space="0" w:color="auto"/>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62 918</w:t>
            </w:r>
          </w:p>
        </w:tc>
      </w:tr>
      <w:tr w:rsidR="00385B00" w:rsidRPr="002F3CF2" w:rsidTr="007379ED">
        <w:trPr>
          <w:trHeight w:val="492"/>
        </w:trPr>
        <w:tc>
          <w:tcPr>
            <w:tcW w:w="2835" w:type="dxa"/>
            <w:tcBorders>
              <w:top w:val="single" w:sz="4" w:space="0" w:color="auto"/>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rPr>
                <w:rFonts w:ascii="Times New Roman" w:hAnsi="Times New Roman"/>
                <w:sz w:val="24"/>
                <w:szCs w:val="24"/>
              </w:rPr>
            </w:pPr>
            <w:r w:rsidRPr="002F3CF2">
              <w:rPr>
                <w:rFonts w:ascii="Times New Roman" w:hAnsi="Times New Roman"/>
                <w:sz w:val="24"/>
                <w:szCs w:val="24"/>
              </w:rPr>
              <w:t>Základný fond starobného poistenia</w:t>
            </w:r>
          </w:p>
        </w:tc>
        <w:tc>
          <w:tcPr>
            <w:tcW w:w="1275" w:type="dxa"/>
            <w:tcBorders>
              <w:top w:val="single" w:sz="4" w:space="0" w:color="auto"/>
              <w:left w:val="single" w:sz="4" w:space="0" w:color="auto"/>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-2 086 544</w:t>
            </w:r>
          </w:p>
        </w:tc>
        <w:tc>
          <w:tcPr>
            <w:tcW w:w="1086" w:type="dxa"/>
            <w:tcBorders>
              <w:top w:val="single" w:sz="4" w:space="0" w:color="auto"/>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208 715</w:t>
            </w:r>
          </w:p>
        </w:tc>
        <w:tc>
          <w:tcPr>
            <w:tcW w:w="1678" w:type="dxa"/>
            <w:tcBorders>
              <w:top w:val="single" w:sz="4" w:space="0" w:color="auto"/>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2 165 000</w:t>
            </w:r>
          </w:p>
        </w:tc>
        <w:tc>
          <w:tcPr>
            <w:tcW w:w="1276" w:type="dxa"/>
            <w:tcBorders>
              <w:top w:val="single" w:sz="4" w:space="0" w:color="auto"/>
              <w:left w:val="single" w:sz="4" w:space="0" w:color="auto"/>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287 171</w:t>
            </w:r>
          </w:p>
        </w:tc>
      </w:tr>
      <w:tr w:rsidR="00385B00" w:rsidRPr="002F3CF2" w:rsidTr="007379ED">
        <w:trPr>
          <w:trHeight w:val="507"/>
        </w:trPr>
        <w:tc>
          <w:tcPr>
            <w:tcW w:w="2835" w:type="dxa"/>
            <w:tcBorders>
              <w:top w:val="single" w:sz="4" w:space="0" w:color="auto"/>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rPr>
                <w:rFonts w:ascii="Times New Roman" w:hAnsi="Times New Roman"/>
                <w:sz w:val="24"/>
                <w:szCs w:val="24"/>
              </w:rPr>
            </w:pPr>
            <w:r w:rsidRPr="002F3CF2">
              <w:rPr>
                <w:rFonts w:ascii="Times New Roman" w:hAnsi="Times New Roman"/>
                <w:sz w:val="24"/>
                <w:szCs w:val="24"/>
              </w:rPr>
              <w:t>Základný fond invalidného poistenia</w:t>
            </w:r>
          </w:p>
        </w:tc>
        <w:tc>
          <w:tcPr>
            <w:tcW w:w="1275" w:type="dxa"/>
            <w:tcBorders>
              <w:top w:val="single" w:sz="4" w:space="0" w:color="auto"/>
              <w:left w:val="single" w:sz="4" w:space="0" w:color="auto"/>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518 508</w:t>
            </w:r>
          </w:p>
        </w:tc>
        <w:tc>
          <w:tcPr>
            <w:tcW w:w="1086" w:type="dxa"/>
            <w:tcBorders>
              <w:top w:val="single" w:sz="4" w:space="0" w:color="auto"/>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166 988</w:t>
            </w:r>
          </w:p>
        </w:tc>
        <w:tc>
          <w:tcPr>
            <w:tcW w:w="1678" w:type="dxa"/>
            <w:tcBorders>
              <w:top w:val="single" w:sz="4" w:space="0" w:color="auto"/>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-530 000</w:t>
            </w:r>
          </w:p>
        </w:tc>
        <w:tc>
          <w:tcPr>
            <w:tcW w:w="1276" w:type="dxa"/>
            <w:tcBorders>
              <w:top w:val="single" w:sz="4" w:space="0" w:color="auto"/>
              <w:left w:val="single" w:sz="4" w:space="0" w:color="auto"/>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155 496</w:t>
            </w:r>
          </w:p>
        </w:tc>
      </w:tr>
      <w:tr w:rsidR="00385B00" w:rsidRPr="002F3CF2" w:rsidTr="007379ED">
        <w:trPr>
          <w:trHeight w:val="253"/>
        </w:trPr>
        <w:tc>
          <w:tcPr>
            <w:tcW w:w="2835" w:type="dxa"/>
            <w:tcBorders>
              <w:top w:val="single" w:sz="4" w:space="0" w:color="auto"/>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rPr>
                <w:rFonts w:ascii="Times New Roman" w:hAnsi="Times New Roman"/>
                <w:i/>
                <w:iCs/>
                <w:sz w:val="24"/>
                <w:szCs w:val="24"/>
              </w:rPr>
            </w:pPr>
            <w:r w:rsidRPr="002F3CF2">
              <w:rPr>
                <w:rFonts w:ascii="Times New Roman" w:hAnsi="Times New Roman"/>
                <w:i/>
                <w:iCs/>
                <w:sz w:val="24"/>
                <w:szCs w:val="24"/>
              </w:rPr>
              <w:t>Dôchodkové poistenie spolu</w:t>
            </w:r>
          </w:p>
        </w:tc>
        <w:tc>
          <w:tcPr>
            <w:tcW w:w="1275" w:type="dxa"/>
            <w:tcBorders>
              <w:top w:val="single" w:sz="4" w:space="0" w:color="auto"/>
              <w:left w:val="single" w:sz="4" w:space="0" w:color="auto"/>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-1 568 036</w:t>
            </w:r>
          </w:p>
        </w:tc>
        <w:tc>
          <w:tcPr>
            <w:tcW w:w="1086" w:type="dxa"/>
            <w:tcBorders>
              <w:top w:val="single" w:sz="4" w:space="0" w:color="auto"/>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375 703</w:t>
            </w:r>
          </w:p>
        </w:tc>
        <w:tc>
          <w:tcPr>
            <w:tcW w:w="1678" w:type="dxa"/>
            <w:tcBorders>
              <w:top w:val="single" w:sz="4" w:space="0" w:color="auto"/>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1 635 000</w:t>
            </w:r>
          </w:p>
        </w:tc>
        <w:tc>
          <w:tcPr>
            <w:tcW w:w="1276" w:type="dxa"/>
            <w:tcBorders>
              <w:top w:val="single" w:sz="4" w:space="0" w:color="auto"/>
              <w:left w:val="single" w:sz="4" w:space="0" w:color="auto"/>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442 667</w:t>
            </w:r>
          </w:p>
        </w:tc>
      </w:tr>
      <w:tr w:rsidR="00385B00" w:rsidRPr="002F3CF2" w:rsidTr="007379ED">
        <w:trPr>
          <w:trHeight w:val="492"/>
        </w:trPr>
        <w:tc>
          <w:tcPr>
            <w:tcW w:w="2835" w:type="dxa"/>
            <w:tcBorders>
              <w:top w:val="single" w:sz="4" w:space="0" w:color="auto"/>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rPr>
                <w:rFonts w:ascii="Times New Roman" w:hAnsi="Times New Roman"/>
                <w:sz w:val="24"/>
                <w:szCs w:val="24"/>
              </w:rPr>
            </w:pPr>
            <w:r w:rsidRPr="002F3CF2">
              <w:rPr>
                <w:rFonts w:ascii="Times New Roman" w:hAnsi="Times New Roman"/>
                <w:sz w:val="24"/>
                <w:szCs w:val="24"/>
              </w:rPr>
              <w:t>Základný fond úrazového poistenia</w:t>
            </w:r>
          </w:p>
        </w:tc>
        <w:tc>
          <w:tcPr>
            <w:tcW w:w="1275" w:type="dxa"/>
            <w:tcBorders>
              <w:top w:val="single" w:sz="4" w:space="0" w:color="auto"/>
              <w:left w:val="single" w:sz="4" w:space="0" w:color="auto"/>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136 806</w:t>
            </w:r>
          </w:p>
        </w:tc>
        <w:tc>
          <w:tcPr>
            <w:tcW w:w="1086" w:type="dxa"/>
            <w:tcBorders>
              <w:top w:val="single" w:sz="4" w:space="0" w:color="auto"/>
              <w:left w:val="nil"/>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21 993</w:t>
            </w:r>
          </w:p>
        </w:tc>
        <w:tc>
          <w:tcPr>
            <w:tcW w:w="1678" w:type="dxa"/>
            <w:tcBorders>
              <w:top w:val="single" w:sz="4" w:space="0" w:color="auto"/>
              <w:left w:val="nil"/>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0 </w:t>
            </w:r>
          </w:p>
        </w:tc>
        <w:tc>
          <w:tcPr>
            <w:tcW w:w="1701" w:type="dxa"/>
            <w:tcBorders>
              <w:top w:val="single" w:sz="4" w:space="0" w:color="auto"/>
              <w:left w:val="nil"/>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-135 000</w:t>
            </w:r>
          </w:p>
        </w:tc>
        <w:tc>
          <w:tcPr>
            <w:tcW w:w="1276" w:type="dxa"/>
            <w:tcBorders>
              <w:top w:val="single" w:sz="4" w:space="0" w:color="auto"/>
              <w:left w:val="nil"/>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23 799</w:t>
            </w:r>
          </w:p>
        </w:tc>
      </w:tr>
      <w:tr w:rsidR="00385B00" w:rsidRPr="002F3CF2" w:rsidTr="007379ED">
        <w:trPr>
          <w:trHeight w:val="507"/>
        </w:trPr>
        <w:tc>
          <w:tcPr>
            <w:tcW w:w="2835" w:type="dxa"/>
            <w:tcBorders>
              <w:top w:val="single" w:sz="4" w:space="0" w:color="auto"/>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rPr>
                <w:rFonts w:ascii="Times New Roman" w:hAnsi="Times New Roman"/>
                <w:sz w:val="24"/>
                <w:szCs w:val="24"/>
              </w:rPr>
            </w:pPr>
            <w:r w:rsidRPr="002F3CF2">
              <w:rPr>
                <w:rFonts w:ascii="Times New Roman" w:hAnsi="Times New Roman"/>
                <w:sz w:val="24"/>
                <w:szCs w:val="24"/>
              </w:rPr>
              <w:t>Základný fond garančného poistenia</w:t>
            </w:r>
          </w:p>
        </w:tc>
        <w:tc>
          <w:tcPr>
            <w:tcW w:w="1275" w:type="dxa"/>
            <w:tcBorders>
              <w:top w:val="single" w:sz="4" w:space="0" w:color="auto"/>
              <w:left w:val="single" w:sz="4" w:space="0" w:color="auto"/>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35 701</w:t>
            </w:r>
          </w:p>
        </w:tc>
        <w:tc>
          <w:tcPr>
            <w:tcW w:w="1086" w:type="dxa"/>
            <w:tcBorders>
              <w:top w:val="single" w:sz="4" w:space="0" w:color="auto"/>
              <w:left w:val="nil"/>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9 331</w:t>
            </w:r>
          </w:p>
        </w:tc>
        <w:tc>
          <w:tcPr>
            <w:tcW w:w="1678" w:type="dxa"/>
            <w:tcBorders>
              <w:top w:val="single" w:sz="4" w:space="0" w:color="auto"/>
              <w:left w:val="nil"/>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0 </w:t>
            </w:r>
          </w:p>
        </w:tc>
        <w:tc>
          <w:tcPr>
            <w:tcW w:w="1701" w:type="dxa"/>
            <w:tcBorders>
              <w:top w:val="single" w:sz="4" w:space="0" w:color="auto"/>
              <w:left w:val="nil"/>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-35 000</w:t>
            </w:r>
          </w:p>
        </w:tc>
        <w:tc>
          <w:tcPr>
            <w:tcW w:w="1276" w:type="dxa"/>
            <w:tcBorders>
              <w:top w:val="single" w:sz="4" w:space="0" w:color="auto"/>
              <w:left w:val="nil"/>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10 032</w:t>
            </w:r>
          </w:p>
        </w:tc>
      </w:tr>
      <w:tr w:rsidR="00385B00" w:rsidRPr="002F3CF2" w:rsidTr="007379ED">
        <w:trPr>
          <w:trHeight w:val="492"/>
        </w:trPr>
        <w:tc>
          <w:tcPr>
            <w:tcW w:w="2835" w:type="dxa"/>
            <w:tcBorders>
              <w:top w:val="single" w:sz="4" w:space="0" w:color="auto"/>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rPr>
                <w:rFonts w:ascii="Times New Roman" w:hAnsi="Times New Roman"/>
                <w:sz w:val="24"/>
                <w:szCs w:val="24"/>
              </w:rPr>
            </w:pPr>
            <w:r w:rsidRPr="002F3CF2">
              <w:rPr>
                <w:rFonts w:ascii="Times New Roman" w:hAnsi="Times New Roman"/>
                <w:sz w:val="24"/>
                <w:szCs w:val="24"/>
              </w:rPr>
              <w:t>Základný fond poistenia v nezamestnanosti</w:t>
            </w:r>
          </w:p>
        </w:tc>
        <w:tc>
          <w:tcPr>
            <w:tcW w:w="1275" w:type="dxa"/>
            <w:tcBorders>
              <w:top w:val="single" w:sz="4" w:space="0" w:color="auto"/>
              <w:left w:val="single" w:sz="4" w:space="0" w:color="auto"/>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261 769</w:t>
            </w:r>
          </w:p>
        </w:tc>
        <w:tc>
          <w:tcPr>
            <w:tcW w:w="1086" w:type="dxa"/>
            <w:tcBorders>
              <w:top w:val="single" w:sz="4" w:space="0" w:color="auto"/>
              <w:left w:val="nil"/>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42 321</w:t>
            </w:r>
          </w:p>
        </w:tc>
        <w:tc>
          <w:tcPr>
            <w:tcW w:w="1678" w:type="dxa"/>
            <w:tcBorders>
              <w:top w:val="single" w:sz="4" w:space="0" w:color="auto"/>
              <w:left w:val="nil"/>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0 </w:t>
            </w:r>
          </w:p>
        </w:tc>
        <w:tc>
          <w:tcPr>
            <w:tcW w:w="1701" w:type="dxa"/>
            <w:tcBorders>
              <w:top w:val="single" w:sz="4" w:space="0" w:color="auto"/>
              <w:left w:val="nil"/>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-255 000</w:t>
            </w:r>
          </w:p>
        </w:tc>
        <w:tc>
          <w:tcPr>
            <w:tcW w:w="1276" w:type="dxa"/>
            <w:tcBorders>
              <w:top w:val="single" w:sz="4" w:space="0" w:color="auto"/>
              <w:left w:val="nil"/>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49 090</w:t>
            </w:r>
          </w:p>
        </w:tc>
      </w:tr>
      <w:tr w:rsidR="00385B00" w:rsidRPr="002F3CF2" w:rsidTr="007379ED">
        <w:trPr>
          <w:trHeight w:val="253"/>
        </w:trPr>
        <w:tc>
          <w:tcPr>
            <w:tcW w:w="2835" w:type="dxa"/>
            <w:tcBorders>
              <w:top w:val="single" w:sz="4" w:space="0" w:color="auto"/>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rPr>
                <w:rFonts w:ascii="Times New Roman" w:hAnsi="Times New Roman"/>
                <w:sz w:val="24"/>
                <w:szCs w:val="24"/>
              </w:rPr>
            </w:pPr>
            <w:r w:rsidRPr="002F3CF2">
              <w:rPr>
                <w:rFonts w:ascii="Times New Roman" w:hAnsi="Times New Roman"/>
                <w:sz w:val="24"/>
                <w:szCs w:val="24"/>
              </w:rPr>
              <w:t>Rezervný fond solidarity</w:t>
            </w:r>
          </w:p>
        </w:tc>
        <w:tc>
          <w:tcPr>
            <w:tcW w:w="1275" w:type="dxa"/>
            <w:tcBorders>
              <w:top w:val="single" w:sz="4" w:space="0" w:color="auto"/>
              <w:left w:val="single" w:sz="4" w:space="0" w:color="auto"/>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1 165 084</w:t>
            </w:r>
          </w:p>
        </w:tc>
        <w:tc>
          <w:tcPr>
            <w:tcW w:w="1086" w:type="dxa"/>
            <w:tcBorders>
              <w:top w:val="single" w:sz="4" w:space="0" w:color="auto"/>
              <w:left w:val="nil"/>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59 801</w:t>
            </w:r>
          </w:p>
        </w:tc>
        <w:tc>
          <w:tcPr>
            <w:tcW w:w="1678" w:type="dxa"/>
            <w:tcBorders>
              <w:top w:val="single" w:sz="4" w:space="0" w:color="auto"/>
              <w:left w:val="nil"/>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-20 000</w:t>
            </w:r>
          </w:p>
        </w:tc>
        <w:tc>
          <w:tcPr>
            <w:tcW w:w="1701" w:type="dxa"/>
            <w:tcBorders>
              <w:top w:val="single" w:sz="4" w:space="0" w:color="auto"/>
              <w:left w:val="nil"/>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-1 170 000</w:t>
            </w:r>
          </w:p>
        </w:tc>
        <w:tc>
          <w:tcPr>
            <w:tcW w:w="1276" w:type="dxa"/>
            <w:tcBorders>
              <w:top w:val="single" w:sz="4" w:space="0" w:color="auto"/>
              <w:left w:val="nil"/>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34 885</w:t>
            </w:r>
          </w:p>
        </w:tc>
      </w:tr>
      <w:tr w:rsidR="00385B00" w:rsidRPr="002F3CF2" w:rsidTr="007379ED">
        <w:trPr>
          <w:trHeight w:val="238"/>
        </w:trPr>
        <w:tc>
          <w:tcPr>
            <w:tcW w:w="2835" w:type="dxa"/>
            <w:tcBorders>
              <w:top w:val="single" w:sz="4" w:space="0" w:color="auto"/>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rPr>
                <w:rFonts w:ascii="Times New Roman" w:hAnsi="Times New Roman"/>
                <w:sz w:val="24"/>
                <w:szCs w:val="24"/>
              </w:rPr>
            </w:pPr>
            <w:r w:rsidRPr="002F3CF2">
              <w:rPr>
                <w:rFonts w:ascii="Times New Roman" w:hAnsi="Times New Roman"/>
                <w:sz w:val="24"/>
                <w:szCs w:val="24"/>
              </w:rPr>
              <w:t>Správny fond</w:t>
            </w:r>
          </w:p>
        </w:tc>
        <w:tc>
          <w:tcPr>
            <w:tcW w:w="1275" w:type="dxa"/>
            <w:tcBorders>
              <w:top w:val="single" w:sz="4" w:space="0" w:color="auto"/>
              <w:left w:val="single" w:sz="4" w:space="0" w:color="auto"/>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42 912</w:t>
            </w:r>
          </w:p>
        </w:tc>
        <w:tc>
          <w:tcPr>
            <w:tcW w:w="1086" w:type="dxa"/>
            <w:tcBorders>
              <w:top w:val="single" w:sz="4" w:space="0" w:color="auto"/>
              <w:left w:val="nil"/>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0</w:t>
            </w:r>
          </w:p>
        </w:tc>
        <w:tc>
          <w:tcPr>
            <w:tcW w:w="1678" w:type="dxa"/>
            <w:tcBorders>
              <w:top w:val="single" w:sz="4" w:space="0" w:color="auto"/>
              <w:left w:val="nil"/>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0 </w:t>
            </w:r>
          </w:p>
        </w:tc>
        <w:tc>
          <w:tcPr>
            <w:tcW w:w="1701" w:type="dxa"/>
            <w:tcBorders>
              <w:top w:val="single" w:sz="4" w:space="0" w:color="auto"/>
              <w:left w:val="nil"/>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0</w:t>
            </w:r>
          </w:p>
        </w:tc>
        <w:tc>
          <w:tcPr>
            <w:tcW w:w="1276" w:type="dxa"/>
            <w:tcBorders>
              <w:top w:val="single" w:sz="4" w:space="0" w:color="auto"/>
              <w:left w:val="nil"/>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42 912</w:t>
            </w:r>
          </w:p>
        </w:tc>
      </w:tr>
      <w:tr w:rsidR="00385B00" w:rsidRPr="002F3CF2" w:rsidTr="007379ED">
        <w:trPr>
          <w:trHeight w:val="238"/>
        </w:trPr>
        <w:tc>
          <w:tcPr>
            <w:tcW w:w="2835" w:type="dxa"/>
            <w:tcBorders>
              <w:top w:val="single" w:sz="4" w:space="0" w:color="auto"/>
              <w:left w:val="single" w:sz="4" w:space="0" w:color="auto"/>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rPr>
                <w:rFonts w:ascii="Times New Roman" w:hAnsi="Times New Roman"/>
                <w:sz w:val="24"/>
                <w:szCs w:val="24"/>
              </w:rPr>
            </w:pPr>
            <w:r w:rsidRPr="002F3CF2">
              <w:rPr>
                <w:rFonts w:ascii="Times New Roman" w:hAnsi="Times New Roman"/>
                <w:sz w:val="24"/>
                <w:szCs w:val="24"/>
              </w:rPr>
              <w:t>Spolu</w:t>
            </w:r>
          </w:p>
        </w:tc>
        <w:tc>
          <w:tcPr>
            <w:tcW w:w="1275" w:type="dxa"/>
            <w:tcBorders>
              <w:top w:val="single" w:sz="4" w:space="0" w:color="auto"/>
              <w:left w:val="single" w:sz="4" w:space="0" w:color="auto"/>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100 595</w:t>
            </w:r>
          </w:p>
        </w:tc>
        <w:tc>
          <w:tcPr>
            <w:tcW w:w="1086" w:type="dxa"/>
            <w:tcBorders>
              <w:top w:val="single" w:sz="4" w:space="0" w:color="auto"/>
              <w:left w:val="nil"/>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565 708</w:t>
            </w:r>
          </w:p>
        </w:tc>
        <w:tc>
          <w:tcPr>
            <w:tcW w:w="1678" w:type="dxa"/>
            <w:tcBorders>
              <w:top w:val="single" w:sz="4" w:space="0" w:color="auto"/>
              <w:left w:val="nil"/>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0</w:t>
            </w:r>
          </w:p>
        </w:tc>
        <w:tc>
          <w:tcPr>
            <w:tcW w:w="1701" w:type="dxa"/>
            <w:tcBorders>
              <w:top w:val="single" w:sz="4" w:space="0" w:color="auto"/>
              <w:left w:val="nil"/>
              <w:bottom w:val="single" w:sz="4" w:space="0" w:color="auto"/>
              <w:right w:val="single" w:sz="4" w:space="0" w:color="auto"/>
            </w:tcBorders>
            <w:noWrap/>
            <w:vAlign w:val="bottom"/>
            <w:hideMark/>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0</w:t>
            </w:r>
          </w:p>
        </w:tc>
        <w:tc>
          <w:tcPr>
            <w:tcW w:w="1276" w:type="dxa"/>
            <w:tcBorders>
              <w:top w:val="single" w:sz="4" w:space="0" w:color="auto"/>
              <w:left w:val="nil"/>
              <w:bottom w:val="single" w:sz="4" w:space="0" w:color="auto"/>
              <w:right w:val="single" w:sz="4" w:space="0" w:color="auto"/>
            </w:tcBorders>
            <w:noWrap/>
            <w:vAlign w:val="bottom"/>
          </w:tcPr>
          <w:p w:rsidR="00385B00" w:rsidRPr="002F3CF2" w:rsidRDefault="00385B00" w:rsidP="007379ED">
            <w:pPr>
              <w:widowControl/>
              <w:autoSpaceDE/>
              <w:autoSpaceDN/>
              <w:adjustRightInd/>
              <w:spacing w:line="360" w:lineRule="auto"/>
              <w:jc w:val="right"/>
              <w:rPr>
                <w:rFonts w:ascii="Times New Roman" w:hAnsi="Times New Roman"/>
                <w:sz w:val="24"/>
                <w:szCs w:val="24"/>
              </w:rPr>
            </w:pPr>
            <w:r w:rsidRPr="002F3CF2">
              <w:rPr>
                <w:rFonts w:ascii="Times New Roman" w:hAnsi="Times New Roman"/>
                <w:sz w:val="24"/>
                <w:szCs w:val="24"/>
              </w:rPr>
              <w:t>666 303</w:t>
            </w:r>
          </w:p>
        </w:tc>
      </w:tr>
    </w:tbl>
    <w:p w:rsidR="00385B00" w:rsidRPr="002F3CF2" w:rsidRDefault="00385B00" w:rsidP="00385B00">
      <w:pPr>
        <w:autoSpaceDE/>
        <w:autoSpaceDN/>
        <w:adjustRightInd/>
        <w:spacing w:after="120" w:line="360" w:lineRule="auto"/>
        <w:jc w:val="both"/>
        <w:rPr>
          <w:rFonts w:ascii="Times New Roman" w:hAnsi="Times New Roman"/>
          <w:sz w:val="24"/>
          <w:szCs w:val="24"/>
          <w:lang w:eastAsia="en-US"/>
        </w:rPr>
      </w:pPr>
    </w:p>
    <w:p w:rsidR="00385B00" w:rsidRPr="002F3CF2" w:rsidRDefault="00385B00" w:rsidP="00385B00">
      <w:pPr>
        <w:widowControl/>
        <w:tabs>
          <w:tab w:val="decimal" w:pos="8100"/>
        </w:tabs>
        <w:autoSpaceDE/>
        <w:autoSpaceDN/>
        <w:adjustRightInd/>
        <w:spacing w:after="120" w:line="360" w:lineRule="auto"/>
        <w:ind w:right="-159" w:firstLine="709"/>
        <w:jc w:val="both"/>
        <w:rPr>
          <w:rFonts w:ascii="Times New Roman" w:hAnsi="Times New Roman"/>
          <w:sz w:val="24"/>
          <w:szCs w:val="24"/>
          <w:lang w:eastAsia="en-US"/>
        </w:rPr>
      </w:pPr>
      <w:r w:rsidRPr="002F3CF2">
        <w:rPr>
          <w:rFonts w:ascii="Times New Roman" w:hAnsi="Times New Roman"/>
          <w:sz w:val="24"/>
          <w:szCs w:val="24"/>
          <w:lang w:eastAsia="en-US"/>
        </w:rPr>
        <w:t>Hospodárenie Sociálnej poisťovne k 31. decembru 2018 skončilo bilančným rozdielom 666 303 tis. EUR, čo je o 143 748 tis. EUR viac, ako sa predpokladalo v</w:t>
      </w:r>
      <w:r w:rsidRPr="002F3CF2">
        <w:rPr>
          <w:rFonts w:ascii="Times New Roman" w:hAnsi="Times New Roman"/>
          <w:sz w:val="24"/>
          <w:szCs w:val="24"/>
        </w:rPr>
        <w:t xml:space="preserve"> schválenom rozpočte na</w:t>
      </w:r>
      <w:r>
        <w:rPr>
          <w:rFonts w:ascii="Times New Roman" w:hAnsi="Times New Roman"/>
          <w:sz w:val="24"/>
          <w:szCs w:val="24"/>
        </w:rPr>
        <w:t> </w:t>
      </w:r>
      <w:r w:rsidRPr="002F3CF2">
        <w:rPr>
          <w:rFonts w:ascii="Times New Roman" w:hAnsi="Times New Roman"/>
          <w:sz w:val="24"/>
          <w:szCs w:val="24"/>
        </w:rPr>
        <w:t>rok 2018</w:t>
      </w:r>
      <w:r w:rsidRPr="002F3CF2">
        <w:rPr>
          <w:rFonts w:ascii="Times New Roman" w:hAnsi="Times New Roman"/>
          <w:sz w:val="24"/>
          <w:szCs w:val="24"/>
          <w:lang w:eastAsia="en-US"/>
        </w:rPr>
        <w:t xml:space="preserve">. </w:t>
      </w:r>
    </w:p>
    <w:p w:rsidR="00385B00" w:rsidRPr="002F3CF2" w:rsidRDefault="00385B00" w:rsidP="00385B00">
      <w:pPr>
        <w:widowControl/>
        <w:autoSpaceDE/>
        <w:autoSpaceDN/>
        <w:adjustRightInd/>
        <w:spacing w:before="120" w:after="120" w:line="360" w:lineRule="auto"/>
        <w:jc w:val="center"/>
        <w:rPr>
          <w:rFonts w:ascii="Times New Roman" w:hAnsi="Times New Roman"/>
          <w:sz w:val="24"/>
          <w:szCs w:val="24"/>
          <w:lang w:eastAsia="cs-CZ"/>
        </w:rPr>
      </w:pPr>
      <w:r w:rsidRPr="002F3CF2">
        <w:rPr>
          <w:rFonts w:ascii="Times New Roman" w:hAnsi="Times New Roman"/>
          <w:sz w:val="24"/>
          <w:szCs w:val="24"/>
          <w:lang w:eastAsia="cs-CZ"/>
        </w:rPr>
        <w:t xml:space="preserve">x   </w:t>
      </w:r>
      <w:proofErr w:type="spellStart"/>
      <w:r w:rsidRPr="002F3CF2">
        <w:rPr>
          <w:rFonts w:ascii="Times New Roman" w:hAnsi="Times New Roman"/>
          <w:sz w:val="24"/>
          <w:szCs w:val="24"/>
          <w:lang w:eastAsia="cs-CZ"/>
        </w:rPr>
        <w:t>x</w:t>
      </w:r>
      <w:proofErr w:type="spellEnd"/>
      <w:r w:rsidRPr="002F3CF2">
        <w:rPr>
          <w:rFonts w:ascii="Times New Roman" w:hAnsi="Times New Roman"/>
          <w:sz w:val="24"/>
          <w:szCs w:val="24"/>
          <w:lang w:eastAsia="cs-CZ"/>
        </w:rPr>
        <w:t xml:space="preserve">   </w:t>
      </w:r>
      <w:proofErr w:type="spellStart"/>
      <w:r w:rsidRPr="002F3CF2">
        <w:rPr>
          <w:rFonts w:ascii="Times New Roman" w:hAnsi="Times New Roman"/>
          <w:sz w:val="24"/>
          <w:szCs w:val="24"/>
          <w:lang w:eastAsia="cs-CZ"/>
        </w:rPr>
        <w:t>x</w:t>
      </w:r>
      <w:proofErr w:type="spellEnd"/>
    </w:p>
    <w:p w:rsidR="00385B00" w:rsidRPr="002F3CF2" w:rsidRDefault="00385B00" w:rsidP="00385B00">
      <w:pPr>
        <w:widowControl/>
        <w:tabs>
          <w:tab w:val="decimal" w:pos="8647"/>
        </w:tabs>
        <w:autoSpaceDE/>
        <w:autoSpaceDN/>
        <w:adjustRightInd/>
        <w:spacing w:before="240" w:after="120" w:line="360" w:lineRule="auto"/>
        <w:ind w:firstLine="709"/>
        <w:jc w:val="both"/>
        <w:rPr>
          <w:rFonts w:ascii="Times New Roman" w:hAnsi="Times New Roman"/>
          <w:sz w:val="24"/>
          <w:szCs w:val="24"/>
          <w:lang w:eastAsia="cs-CZ"/>
        </w:rPr>
      </w:pPr>
      <w:r w:rsidRPr="002F3CF2">
        <w:rPr>
          <w:rFonts w:ascii="Times New Roman" w:hAnsi="Times New Roman"/>
          <w:sz w:val="24"/>
          <w:szCs w:val="24"/>
          <w:lang w:eastAsia="cs-CZ"/>
        </w:rPr>
        <w:t>Sociálna poisťovňa v roku 2018 postúpila dôchodkovým správcovským spoločnostiam príspevky na SDS v celkovej sume 628 104 tis EUR, čo je viac o 9 666 tis. EUR v porovnaní so</w:t>
      </w:r>
      <w:r>
        <w:rPr>
          <w:rFonts w:ascii="Times New Roman" w:hAnsi="Times New Roman"/>
          <w:sz w:val="24"/>
          <w:szCs w:val="24"/>
          <w:lang w:eastAsia="cs-CZ"/>
        </w:rPr>
        <w:t> </w:t>
      </w:r>
      <w:r w:rsidRPr="002F3CF2">
        <w:rPr>
          <w:rFonts w:ascii="Times New Roman" w:hAnsi="Times New Roman"/>
          <w:sz w:val="24"/>
          <w:szCs w:val="24"/>
          <w:lang w:eastAsia="cs-CZ"/>
        </w:rPr>
        <w:t>schváleným rozpočtom na rok 2018.</w:t>
      </w:r>
    </w:p>
    <w:p w:rsidR="00385B00" w:rsidRPr="002F3CF2" w:rsidRDefault="00385B00" w:rsidP="00385B00">
      <w:pPr>
        <w:tabs>
          <w:tab w:val="decimal" w:pos="8100"/>
        </w:tabs>
        <w:spacing w:before="120" w:after="120" w:line="360" w:lineRule="auto"/>
        <w:ind w:right="-159" w:firstLine="709"/>
        <w:jc w:val="both"/>
        <w:rPr>
          <w:rFonts w:ascii="Times New Roman" w:hAnsi="Times New Roman"/>
          <w:iCs/>
          <w:color w:val="000000" w:themeColor="text1"/>
          <w:sz w:val="24"/>
          <w:szCs w:val="24"/>
          <w:u w:color="000000"/>
        </w:rPr>
      </w:pPr>
      <w:r w:rsidRPr="002F3CF2">
        <w:rPr>
          <w:rFonts w:ascii="Times New Roman" w:hAnsi="Times New Roman"/>
          <w:color w:val="000000" w:themeColor="text1"/>
          <w:sz w:val="24"/>
          <w:szCs w:val="24"/>
          <w:lang w:eastAsia="en-US"/>
        </w:rPr>
        <w:t>Sociálna</w:t>
      </w:r>
      <w:r w:rsidRPr="002F3CF2">
        <w:rPr>
          <w:rFonts w:ascii="Times New Roman" w:hAnsi="Times New Roman"/>
          <w:iCs/>
          <w:color w:val="000000" w:themeColor="text1"/>
          <w:sz w:val="24"/>
          <w:szCs w:val="24"/>
          <w:u w:color="000000"/>
        </w:rPr>
        <w:t xml:space="preserve"> poisťovňa zaplatila zo základného fondu garančného poistenia do základného fondu príspevkov na starobné dôchodkové sporenie príspevky vo výške </w:t>
      </w:r>
      <w:r>
        <w:rPr>
          <w:rFonts w:ascii="Times New Roman" w:hAnsi="Times New Roman"/>
          <w:iCs/>
          <w:color w:val="000000" w:themeColor="text1"/>
          <w:sz w:val="24"/>
          <w:szCs w:val="24"/>
          <w:u w:color="000000"/>
        </w:rPr>
        <w:t>13 530</w:t>
      </w:r>
      <w:r w:rsidRPr="002F3CF2">
        <w:rPr>
          <w:rFonts w:ascii="Times New Roman" w:hAnsi="Times New Roman"/>
          <w:iCs/>
          <w:color w:val="000000" w:themeColor="text1"/>
          <w:sz w:val="24"/>
          <w:szCs w:val="24"/>
          <w:u w:color="000000"/>
        </w:rPr>
        <w:t xml:space="preserve"> tis. EUR na starobné dôchodkové sporenie za sporiteľov, ktorí sú zamestnancami a zamestnávateľ za nich včas neodviedol poistné a príspevky na starobné dôchodkové sporenie.  </w:t>
      </w:r>
    </w:p>
    <w:p w:rsidR="00385B00" w:rsidRPr="00E914B5" w:rsidRDefault="00385B00" w:rsidP="00385B00">
      <w:pPr>
        <w:tabs>
          <w:tab w:val="decimal" w:pos="8100"/>
        </w:tabs>
        <w:spacing w:before="120" w:after="120" w:line="360" w:lineRule="auto"/>
        <w:ind w:right="-159" w:firstLine="709"/>
        <w:jc w:val="both"/>
        <w:rPr>
          <w:rFonts w:ascii="Times New Roman" w:hAnsi="Times New Roman"/>
          <w:iCs/>
          <w:color w:val="000000" w:themeColor="text1"/>
          <w:sz w:val="24"/>
          <w:szCs w:val="24"/>
          <w:u w:color="000000"/>
        </w:rPr>
      </w:pPr>
      <w:r w:rsidRPr="00E914B5">
        <w:rPr>
          <w:rFonts w:ascii="Times New Roman" w:hAnsi="Times New Roman"/>
          <w:iCs/>
          <w:color w:val="000000" w:themeColor="text1"/>
          <w:sz w:val="24"/>
          <w:szCs w:val="24"/>
          <w:u w:color="000000"/>
        </w:rPr>
        <w:t xml:space="preserve">Sociálna poisťovňa v súlade s §168 ods. 4 zákona o sociálnom poistení previedla zostatok správneho fondu nevyčerpaný </w:t>
      </w:r>
      <w:r>
        <w:rPr>
          <w:rFonts w:ascii="Times New Roman" w:hAnsi="Times New Roman"/>
          <w:iCs/>
          <w:color w:val="000000" w:themeColor="text1"/>
          <w:sz w:val="24"/>
          <w:szCs w:val="24"/>
          <w:u w:color="000000"/>
        </w:rPr>
        <w:t>k</w:t>
      </w:r>
      <w:r w:rsidRPr="00E914B5">
        <w:rPr>
          <w:rFonts w:ascii="Times New Roman" w:hAnsi="Times New Roman"/>
          <w:iCs/>
          <w:color w:val="000000" w:themeColor="text1"/>
          <w:sz w:val="24"/>
          <w:szCs w:val="24"/>
          <w:u w:color="000000"/>
        </w:rPr>
        <w:t xml:space="preserve"> 31.12.2017 do rezervného fondu solidarity vo výške  26 950 244,29 EUR. Sociálna poisťovne eviduje k 31.12.2018 nevyčerpaný zostatok správneho fondu vo výške 42 911 927, 93 EUR.</w:t>
      </w:r>
    </w:p>
    <w:p w:rsidR="00385B00" w:rsidRDefault="00385B00" w:rsidP="00385B00">
      <w:pPr>
        <w:tabs>
          <w:tab w:val="decimal" w:pos="8100"/>
        </w:tabs>
        <w:spacing w:before="120" w:after="120" w:line="360" w:lineRule="auto"/>
        <w:ind w:right="-159" w:firstLine="709"/>
        <w:jc w:val="both"/>
        <w:rPr>
          <w:rFonts w:ascii="Times New Roman" w:hAnsi="Times New Roman"/>
          <w:iCs/>
          <w:color w:val="000000" w:themeColor="text1"/>
          <w:sz w:val="24"/>
          <w:szCs w:val="24"/>
          <w:u w:color="000000"/>
        </w:rPr>
      </w:pPr>
    </w:p>
    <w:p w:rsidR="00385B00" w:rsidRPr="00DD339B" w:rsidRDefault="00385B00" w:rsidP="00385B00">
      <w:pPr>
        <w:tabs>
          <w:tab w:val="decimal" w:pos="8100"/>
        </w:tabs>
        <w:spacing w:before="120" w:after="120" w:line="360" w:lineRule="auto"/>
        <w:ind w:right="-159" w:firstLine="709"/>
        <w:jc w:val="both"/>
        <w:rPr>
          <w:rFonts w:ascii="Times New Roman" w:hAnsi="Times New Roman"/>
          <w:iCs/>
          <w:color w:val="000000" w:themeColor="text1"/>
          <w:sz w:val="24"/>
          <w:szCs w:val="24"/>
          <w:u w:color="000000"/>
        </w:rPr>
        <w:sectPr w:rsidR="00385B00" w:rsidRPr="00DD339B" w:rsidSect="001154BD">
          <w:footerReference w:type="default" r:id="rId15"/>
          <w:pgSz w:w="12240" w:h="15840" w:code="1"/>
          <w:pgMar w:top="1418" w:right="1418" w:bottom="1418" w:left="1418" w:header="709" w:footer="709" w:gutter="0"/>
          <w:pgNumType w:start="1"/>
          <w:cols w:space="708"/>
          <w:noEndnote/>
        </w:sectPr>
      </w:pPr>
    </w:p>
    <w:p w:rsidR="00636AAF" w:rsidRPr="003D7150" w:rsidRDefault="00636AAF" w:rsidP="00636AAF">
      <w:pPr>
        <w:ind w:left="5954"/>
        <w:rPr>
          <w:rFonts w:ascii="Times New Roman" w:hAnsi="Times New Roman"/>
          <w:sz w:val="20"/>
          <w:szCs w:val="20"/>
        </w:rPr>
      </w:pPr>
      <w:r>
        <w:rPr>
          <w:rFonts w:ascii="Times New Roman" w:hAnsi="Times New Roman"/>
          <w:sz w:val="20"/>
          <w:szCs w:val="20"/>
        </w:rPr>
        <w:t>Príloha k ú</w:t>
      </w:r>
      <w:r w:rsidRPr="003D7150">
        <w:rPr>
          <w:rFonts w:ascii="Times New Roman" w:hAnsi="Times New Roman"/>
          <w:sz w:val="20"/>
          <w:szCs w:val="20"/>
        </w:rPr>
        <w:t>čtovnej závierke</w:t>
      </w:r>
    </w:p>
    <w:p w:rsidR="00636AAF" w:rsidRPr="003D7150" w:rsidRDefault="00636AAF" w:rsidP="00636AAF">
      <w:pPr>
        <w:ind w:left="5954"/>
        <w:rPr>
          <w:rFonts w:ascii="Times New Roman" w:hAnsi="Times New Roman"/>
          <w:sz w:val="20"/>
          <w:szCs w:val="20"/>
        </w:rPr>
      </w:pPr>
      <w:r w:rsidRPr="003D7150">
        <w:rPr>
          <w:rFonts w:ascii="Times New Roman" w:hAnsi="Times New Roman"/>
          <w:sz w:val="20"/>
          <w:szCs w:val="20"/>
        </w:rPr>
        <w:t>Sociálnej poisťovne</w:t>
      </w:r>
    </w:p>
    <w:p w:rsidR="00636AAF" w:rsidRPr="003D7150" w:rsidRDefault="00636AAF" w:rsidP="00636AAF">
      <w:pPr>
        <w:ind w:left="5954"/>
        <w:rPr>
          <w:rFonts w:ascii="Times New Roman" w:hAnsi="Times New Roman"/>
          <w:sz w:val="20"/>
          <w:szCs w:val="20"/>
        </w:rPr>
      </w:pPr>
      <w:r w:rsidRPr="003D7150">
        <w:rPr>
          <w:rFonts w:ascii="Times New Roman" w:hAnsi="Times New Roman"/>
          <w:sz w:val="20"/>
          <w:szCs w:val="20"/>
        </w:rPr>
        <w:t>(v zmysle § 123 ods. 2 písm. f ) zákona č. 461/2003 Z. z. o sociálnom</w:t>
      </w:r>
      <w:r w:rsidRPr="003D7150">
        <w:rPr>
          <w:rFonts w:ascii="Times New Roman" w:hAnsi="Times New Roman"/>
          <w:sz w:val="20"/>
          <w:szCs w:val="20"/>
        </w:rPr>
        <w:br/>
        <w:t>poistení v znení neskorších predpisov)</w:t>
      </w:r>
    </w:p>
    <w:p w:rsidR="00636AAF" w:rsidRPr="003D7150" w:rsidRDefault="00636AAF" w:rsidP="00636AAF">
      <w:pPr>
        <w:ind w:left="5954"/>
        <w:rPr>
          <w:rFonts w:ascii="Times New Roman" w:hAnsi="Times New Roman"/>
        </w:rPr>
      </w:pPr>
    </w:p>
    <w:p w:rsidR="00636AAF" w:rsidRPr="00C24D0A" w:rsidRDefault="00636AAF" w:rsidP="00636AAF">
      <w:pPr>
        <w:rPr>
          <w:color w:val="FF0000"/>
          <w:sz w:val="24"/>
          <w:szCs w:val="24"/>
        </w:rPr>
      </w:pPr>
    </w:p>
    <w:p w:rsidR="00636AAF" w:rsidRPr="00C24D0A" w:rsidRDefault="00636AAF" w:rsidP="00636AAF">
      <w:pPr>
        <w:rPr>
          <w:color w:val="FF0000"/>
          <w:sz w:val="24"/>
          <w:szCs w:val="24"/>
        </w:rPr>
      </w:pPr>
    </w:p>
    <w:p w:rsidR="00636AAF" w:rsidRPr="00C24D0A" w:rsidRDefault="00636AAF" w:rsidP="00636AAF">
      <w:pPr>
        <w:rPr>
          <w:color w:val="FF0000"/>
          <w:sz w:val="24"/>
          <w:szCs w:val="24"/>
        </w:rPr>
      </w:pPr>
    </w:p>
    <w:p w:rsidR="00636AAF" w:rsidRPr="00C24D0A" w:rsidRDefault="00636AAF" w:rsidP="00636AAF">
      <w:pPr>
        <w:rPr>
          <w:color w:val="FF0000"/>
          <w:sz w:val="24"/>
          <w:szCs w:val="24"/>
        </w:rPr>
      </w:pPr>
    </w:p>
    <w:p w:rsidR="00636AAF" w:rsidRPr="00C24D0A" w:rsidRDefault="00636AAF" w:rsidP="00636AAF">
      <w:pPr>
        <w:rPr>
          <w:color w:val="FF0000"/>
          <w:sz w:val="24"/>
          <w:szCs w:val="24"/>
        </w:rPr>
      </w:pPr>
    </w:p>
    <w:p w:rsidR="00636AAF" w:rsidRPr="00C24D0A" w:rsidRDefault="00636AAF" w:rsidP="00636AAF">
      <w:pPr>
        <w:rPr>
          <w:color w:val="FF0000"/>
          <w:sz w:val="24"/>
          <w:szCs w:val="24"/>
        </w:rPr>
      </w:pPr>
    </w:p>
    <w:p w:rsidR="00636AAF" w:rsidRPr="00C24D0A" w:rsidRDefault="00636AAF" w:rsidP="00636AAF">
      <w:pPr>
        <w:rPr>
          <w:color w:val="FF0000"/>
          <w:sz w:val="24"/>
          <w:szCs w:val="24"/>
        </w:rPr>
      </w:pPr>
    </w:p>
    <w:p w:rsidR="00636AAF" w:rsidRPr="00C24D0A" w:rsidRDefault="00636AAF" w:rsidP="00636AAF">
      <w:pPr>
        <w:rPr>
          <w:color w:val="FF0000"/>
          <w:sz w:val="24"/>
          <w:szCs w:val="24"/>
        </w:rPr>
      </w:pPr>
    </w:p>
    <w:p w:rsidR="00636AAF" w:rsidRPr="003D7150" w:rsidRDefault="00636AAF" w:rsidP="00636AAF">
      <w:pPr>
        <w:rPr>
          <w:rFonts w:ascii="Times New Roman" w:hAnsi="Times New Roman"/>
          <w:color w:val="FF0000"/>
          <w:sz w:val="24"/>
          <w:szCs w:val="24"/>
        </w:rPr>
      </w:pPr>
    </w:p>
    <w:p w:rsidR="00636AAF" w:rsidRPr="003D7150" w:rsidRDefault="00636AAF" w:rsidP="00636AAF">
      <w:pPr>
        <w:spacing w:line="360" w:lineRule="auto"/>
        <w:rPr>
          <w:rFonts w:ascii="Times New Roman" w:hAnsi="Times New Roman"/>
          <w:b/>
          <w:sz w:val="36"/>
          <w:szCs w:val="36"/>
        </w:rPr>
      </w:pPr>
    </w:p>
    <w:p w:rsidR="00636AAF" w:rsidRPr="003D7150" w:rsidRDefault="00636AAF" w:rsidP="00636AAF">
      <w:pPr>
        <w:spacing w:line="360" w:lineRule="auto"/>
        <w:jc w:val="center"/>
        <w:rPr>
          <w:rFonts w:ascii="Times New Roman" w:hAnsi="Times New Roman"/>
          <w:b/>
          <w:sz w:val="36"/>
          <w:szCs w:val="36"/>
        </w:rPr>
      </w:pPr>
      <w:r w:rsidRPr="003D7150">
        <w:rPr>
          <w:rFonts w:ascii="Times New Roman" w:hAnsi="Times New Roman"/>
          <w:b/>
          <w:sz w:val="36"/>
          <w:szCs w:val="36"/>
        </w:rPr>
        <w:t>SPRÁVA</w:t>
      </w:r>
    </w:p>
    <w:p w:rsidR="00636AAF" w:rsidRPr="003D7150" w:rsidRDefault="00636AAF" w:rsidP="00636AAF">
      <w:pPr>
        <w:spacing w:line="360" w:lineRule="auto"/>
        <w:jc w:val="center"/>
        <w:rPr>
          <w:rFonts w:ascii="Times New Roman" w:hAnsi="Times New Roman"/>
          <w:b/>
          <w:sz w:val="36"/>
          <w:szCs w:val="36"/>
        </w:rPr>
      </w:pPr>
      <w:r w:rsidRPr="003D7150">
        <w:rPr>
          <w:rFonts w:ascii="Times New Roman" w:hAnsi="Times New Roman"/>
          <w:b/>
          <w:sz w:val="36"/>
          <w:szCs w:val="36"/>
        </w:rPr>
        <w:t>o kontrolnej činnosti Dozornej rady</w:t>
      </w:r>
    </w:p>
    <w:p w:rsidR="00636AAF" w:rsidRPr="003D7150" w:rsidRDefault="00636AAF" w:rsidP="00636AAF">
      <w:pPr>
        <w:spacing w:line="360" w:lineRule="auto"/>
        <w:jc w:val="center"/>
        <w:rPr>
          <w:rFonts w:ascii="Times New Roman" w:hAnsi="Times New Roman"/>
          <w:b/>
          <w:sz w:val="36"/>
          <w:szCs w:val="36"/>
        </w:rPr>
      </w:pPr>
      <w:r w:rsidRPr="003D7150">
        <w:rPr>
          <w:rFonts w:ascii="Times New Roman" w:hAnsi="Times New Roman"/>
          <w:b/>
          <w:sz w:val="36"/>
          <w:szCs w:val="36"/>
        </w:rPr>
        <w:t>Sociálnej poisťovne</w:t>
      </w:r>
    </w:p>
    <w:p w:rsidR="00636AAF" w:rsidRPr="003D7150" w:rsidRDefault="00636AAF" w:rsidP="00636AAF">
      <w:pPr>
        <w:spacing w:line="360" w:lineRule="auto"/>
        <w:jc w:val="center"/>
        <w:rPr>
          <w:rFonts w:ascii="Times New Roman" w:hAnsi="Times New Roman"/>
          <w:b/>
          <w:sz w:val="36"/>
          <w:szCs w:val="36"/>
        </w:rPr>
      </w:pPr>
      <w:r w:rsidRPr="003D7150">
        <w:rPr>
          <w:rFonts w:ascii="Times New Roman" w:hAnsi="Times New Roman"/>
          <w:b/>
          <w:sz w:val="36"/>
          <w:szCs w:val="36"/>
        </w:rPr>
        <w:t>za rok 201</w:t>
      </w:r>
      <w:r>
        <w:rPr>
          <w:rFonts w:ascii="Times New Roman" w:hAnsi="Times New Roman"/>
          <w:b/>
          <w:sz w:val="36"/>
          <w:szCs w:val="36"/>
        </w:rPr>
        <w:t>8</w:t>
      </w:r>
    </w:p>
    <w:p w:rsidR="00636AAF" w:rsidRPr="003D7150" w:rsidRDefault="00636AAF" w:rsidP="00636AAF">
      <w:pPr>
        <w:spacing w:line="360" w:lineRule="auto"/>
        <w:jc w:val="center"/>
        <w:rPr>
          <w:rFonts w:ascii="Times New Roman" w:hAnsi="Times New Roman"/>
          <w:b/>
          <w:color w:val="FF0000"/>
          <w:sz w:val="36"/>
          <w:szCs w:val="36"/>
        </w:rPr>
      </w:pPr>
    </w:p>
    <w:p w:rsidR="00636AAF" w:rsidRPr="00C24D0A" w:rsidRDefault="00636AAF" w:rsidP="00636AAF">
      <w:pPr>
        <w:spacing w:line="480" w:lineRule="auto"/>
        <w:jc w:val="center"/>
        <w:rPr>
          <w:b/>
          <w:color w:val="FF0000"/>
          <w:sz w:val="24"/>
          <w:szCs w:val="24"/>
        </w:rPr>
      </w:pPr>
    </w:p>
    <w:p w:rsidR="00636AAF" w:rsidRPr="00C24D0A" w:rsidRDefault="00636AAF" w:rsidP="00636AAF">
      <w:pPr>
        <w:spacing w:line="480" w:lineRule="auto"/>
        <w:jc w:val="center"/>
        <w:rPr>
          <w:b/>
          <w:color w:val="FF0000"/>
          <w:sz w:val="24"/>
          <w:szCs w:val="24"/>
        </w:rPr>
      </w:pPr>
    </w:p>
    <w:p w:rsidR="00636AAF" w:rsidRPr="00C24D0A" w:rsidRDefault="00636AAF" w:rsidP="00636AAF">
      <w:pPr>
        <w:spacing w:line="480" w:lineRule="auto"/>
        <w:jc w:val="center"/>
        <w:rPr>
          <w:b/>
          <w:color w:val="FF0000"/>
          <w:sz w:val="24"/>
          <w:szCs w:val="24"/>
        </w:rPr>
      </w:pPr>
    </w:p>
    <w:p w:rsidR="00636AAF" w:rsidRPr="00C24D0A" w:rsidRDefault="00636AAF" w:rsidP="00636AAF">
      <w:pPr>
        <w:spacing w:line="480" w:lineRule="auto"/>
        <w:jc w:val="center"/>
        <w:rPr>
          <w:b/>
          <w:color w:val="FF0000"/>
          <w:sz w:val="24"/>
          <w:szCs w:val="24"/>
        </w:rPr>
      </w:pPr>
    </w:p>
    <w:p w:rsidR="00636AAF" w:rsidRPr="00C24D0A" w:rsidRDefault="00636AAF" w:rsidP="00636AAF">
      <w:pPr>
        <w:spacing w:line="360" w:lineRule="auto"/>
        <w:rPr>
          <w:b/>
          <w:color w:val="FF0000"/>
          <w:sz w:val="24"/>
          <w:szCs w:val="24"/>
        </w:rPr>
      </w:pPr>
    </w:p>
    <w:p w:rsidR="00636AAF" w:rsidRPr="00C24D0A" w:rsidRDefault="00636AAF" w:rsidP="00636AAF">
      <w:pPr>
        <w:spacing w:line="360" w:lineRule="auto"/>
        <w:rPr>
          <w:b/>
          <w:color w:val="FF0000"/>
          <w:sz w:val="24"/>
          <w:szCs w:val="24"/>
        </w:rPr>
      </w:pPr>
    </w:p>
    <w:p w:rsidR="00636AAF" w:rsidRDefault="00636AAF" w:rsidP="00636AAF">
      <w:pPr>
        <w:spacing w:line="360" w:lineRule="auto"/>
        <w:rPr>
          <w:b/>
          <w:color w:val="FF0000"/>
          <w:sz w:val="24"/>
          <w:szCs w:val="24"/>
        </w:rPr>
      </w:pPr>
    </w:p>
    <w:p w:rsidR="00636AAF" w:rsidRDefault="00636AAF" w:rsidP="00636AAF">
      <w:pPr>
        <w:spacing w:line="360" w:lineRule="auto"/>
        <w:rPr>
          <w:b/>
          <w:color w:val="FF0000"/>
          <w:sz w:val="24"/>
          <w:szCs w:val="24"/>
        </w:rPr>
      </w:pPr>
    </w:p>
    <w:p w:rsidR="00636AAF" w:rsidRDefault="00636AAF" w:rsidP="00636AAF">
      <w:pPr>
        <w:spacing w:line="360" w:lineRule="auto"/>
        <w:rPr>
          <w:b/>
          <w:color w:val="FF0000"/>
          <w:sz w:val="24"/>
          <w:szCs w:val="24"/>
        </w:rPr>
      </w:pPr>
    </w:p>
    <w:p w:rsidR="00636AAF" w:rsidRDefault="00636AAF" w:rsidP="00636AAF">
      <w:pPr>
        <w:spacing w:line="360" w:lineRule="auto"/>
        <w:rPr>
          <w:b/>
          <w:color w:val="FF0000"/>
          <w:sz w:val="24"/>
          <w:szCs w:val="24"/>
        </w:rPr>
      </w:pPr>
    </w:p>
    <w:p w:rsidR="00636AAF" w:rsidRDefault="00636AAF" w:rsidP="00636AAF">
      <w:pPr>
        <w:spacing w:line="360" w:lineRule="auto"/>
        <w:rPr>
          <w:b/>
          <w:color w:val="FF0000"/>
          <w:sz w:val="24"/>
          <w:szCs w:val="24"/>
        </w:rPr>
      </w:pPr>
    </w:p>
    <w:p w:rsidR="00636AAF" w:rsidRDefault="00636AAF">
      <w:pPr>
        <w:widowControl/>
        <w:autoSpaceDE/>
        <w:autoSpaceDN/>
        <w:adjustRightInd/>
        <w:spacing w:after="200" w:line="276" w:lineRule="auto"/>
        <w:rPr>
          <w:b/>
          <w:sz w:val="24"/>
          <w:szCs w:val="24"/>
        </w:rPr>
      </w:pPr>
      <w:r>
        <w:rPr>
          <w:b/>
          <w:sz w:val="24"/>
          <w:szCs w:val="24"/>
        </w:rPr>
        <w:br w:type="page"/>
      </w:r>
    </w:p>
    <w:p w:rsidR="00636AAF" w:rsidRPr="005833A1" w:rsidRDefault="00636AAF" w:rsidP="00636AAF">
      <w:pPr>
        <w:widowControl/>
        <w:autoSpaceDE/>
        <w:autoSpaceDN/>
        <w:adjustRightInd/>
        <w:spacing w:line="360" w:lineRule="auto"/>
        <w:jc w:val="center"/>
        <w:rPr>
          <w:rFonts w:ascii="Times New Roman" w:hAnsi="Times New Roman"/>
          <w:b/>
          <w:sz w:val="24"/>
          <w:szCs w:val="24"/>
          <w:lang w:eastAsia="cs-CZ"/>
        </w:rPr>
      </w:pPr>
      <w:r w:rsidRPr="005833A1">
        <w:rPr>
          <w:rFonts w:ascii="Times New Roman" w:hAnsi="Times New Roman"/>
          <w:b/>
          <w:sz w:val="24"/>
          <w:szCs w:val="24"/>
          <w:lang w:eastAsia="cs-CZ"/>
        </w:rPr>
        <w:t>SPRÁVA</w:t>
      </w:r>
    </w:p>
    <w:p w:rsidR="00636AAF" w:rsidRPr="005833A1" w:rsidRDefault="00636AAF" w:rsidP="00636AAF">
      <w:pPr>
        <w:widowControl/>
        <w:autoSpaceDE/>
        <w:autoSpaceDN/>
        <w:adjustRightInd/>
        <w:spacing w:line="360" w:lineRule="auto"/>
        <w:jc w:val="center"/>
        <w:rPr>
          <w:rFonts w:ascii="Times New Roman" w:hAnsi="Times New Roman"/>
          <w:b/>
          <w:sz w:val="24"/>
          <w:szCs w:val="24"/>
          <w:lang w:eastAsia="cs-CZ"/>
        </w:rPr>
      </w:pPr>
      <w:r w:rsidRPr="005833A1">
        <w:rPr>
          <w:rFonts w:ascii="Times New Roman" w:hAnsi="Times New Roman"/>
          <w:b/>
          <w:sz w:val="24"/>
          <w:szCs w:val="24"/>
          <w:lang w:eastAsia="cs-CZ"/>
        </w:rPr>
        <w:t xml:space="preserve">O KONTROLNEJ ČINNOSTI DOZORNEJ RADY SOCIÁLNEJ POISŤOVNE </w:t>
      </w:r>
    </w:p>
    <w:p w:rsidR="00636AAF" w:rsidRPr="005833A1" w:rsidRDefault="00636AAF" w:rsidP="00636AAF">
      <w:pPr>
        <w:widowControl/>
        <w:autoSpaceDE/>
        <w:autoSpaceDN/>
        <w:adjustRightInd/>
        <w:spacing w:line="360" w:lineRule="auto"/>
        <w:jc w:val="center"/>
        <w:rPr>
          <w:rFonts w:ascii="Times New Roman" w:hAnsi="Times New Roman"/>
          <w:b/>
          <w:sz w:val="24"/>
          <w:szCs w:val="24"/>
          <w:lang w:eastAsia="cs-CZ"/>
        </w:rPr>
      </w:pPr>
      <w:r w:rsidRPr="005833A1">
        <w:rPr>
          <w:rFonts w:ascii="Times New Roman" w:hAnsi="Times New Roman"/>
          <w:b/>
          <w:sz w:val="24"/>
          <w:szCs w:val="24"/>
          <w:lang w:eastAsia="cs-CZ"/>
        </w:rPr>
        <w:t>ZA ROK 2018</w:t>
      </w:r>
    </w:p>
    <w:p w:rsidR="00636AAF" w:rsidRPr="005833A1" w:rsidRDefault="00636AAF" w:rsidP="00636AAF">
      <w:pPr>
        <w:widowControl/>
        <w:autoSpaceDE/>
        <w:autoSpaceDN/>
        <w:adjustRightInd/>
        <w:spacing w:line="360" w:lineRule="auto"/>
        <w:jc w:val="center"/>
        <w:rPr>
          <w:rFonts w:ascii="Times New Roman" w:hAnsi="Times New Roman"/>
          <w:b/>
          <w:sz w:val="24"/>
          <w:szCs w:val="24"/>
          <w:lang w:eastAsia="cs-CZ"/>
        </w:rPr>
      </w:pPr>
    </w:p>
    <w:p w:rsidR="00636AAF" w:rsidRPr="005833A1" w:rsidRDefault="00636AAF" w:rsidP="00636AAF">
      <w:pPr>
        <w:widowControl/>
        <w:autoSpaceDE/>
        <w:autoSpaceDN/>
        <w:adjustRightInd/>
        <w:spacing w:line="360" w:lineRule="auto"/>
        <w:jc w:val="both"/>
        <w:rPr>
          <w:rFonts w:ascii="Times New Roman" w:hAnsi="Times New Roman"/>
          <w:sz w:val="24"/>
          <w:szCs w:val="24"/>
          <w:lang w:eastAsia="cs-CZ"/>
        </w:rPr>
      </w:pPr>
      <w:r w:rsidRPr="005833A1">
        <w:rPr>
          <w:rFonts w:ascii="Times New Roman" w:hAnsi="Times New Roman"/>
          <w:sz w:val="24"/>
          <w:szCs w:val="24"/>
          <w:lang w:eastAsia="cs-CZ"/>
        </w:rPr>
        <w:tab/>
        <w:t>Dozorná rada Sociálnej poisťovne (ďalej len „dozorná rada“) podľa zákona č. 461/2003 Z. z. o sociálnom poistení v znení neskorších predp</w:t>
      </w:r>
      <w:r>
        <w:rPr>
          <w:rFonts w:ascii="Times New Roman" w:hAnsi="Times New Roman"/>
          <w:sz w:val="24"/>
          <w:szCs w:val="24"/>
          <w:lang w:eastAsia="cs-CZ"/>
        </w:rPr>
        <w:t xml:space="preserve">isov (ďalej </w:t>
      </w:r>
      <w:r w:rsidRPr="005833A1">
        <w:rPr>
          <w:rFonts w:ascii="Times New Roman" w:hAnsi="Times New Roman"/>
          <w:sz w:val="24"/>
          <w:szCs w:val="24"/>
          <w:lang w:eastAsia="cs-CZ"/>
        </w:rPr>
        <w:t xml:space="preserve">len „zákon o sociálnom poistení“) je dozorný a kontrolný orgán Sociálnej poisťovne. </w:t>
      </w:r>
    </w:p>
    <w:p w:rsidR="00636AAF" w:rsidRPr="005833A1" w:rsidRDefault="00636AAF" w:rsidP="00636AAF">
      <w:pPr>
        <w:widowControl/>
        <w:autoSpaceDE/>
        <w:autoSpaceDN/>
        <w:adjustRightInd/>
        <w:spacing w:line="360" w:lineRule="auto"/>
        <w:jc w:val="both"/>
        <w:rPr>
          <w:rFonts w:ascii="Times New Roman" w:hAnsi="Times New Roman"/>
          <w:sz w:val="24"/>
          <w:szCs w:val="24"/>
          <w:lang w:eastAsia="cs-CZ"/>
        </w:rPr>
      </w:pPr>
    </w:p>
    <w:p w:rsidR="00636AAF" w:rsidRPr="005833A1" w:rsidRDefault="00636AAF" w:rsidP="00636AAF">
      <w:pPr>
        <w:widowControl/>
        <w:autoSpaceDE/>
        <w:autoSpaceDN/>
        <w:adjustRightInd/>
        <w:spacing w:after="120" w:line="360" w:lineRule="auto"/>
        <w:jc w:val="both"/>
        <w:rPr>
          <w:rFonts w:ascii="Times New Roman" w:hAnsi="Times New Roman"/>
          <w:sz w:val="24"/>
          <w:szCs w:val="24"/>
          <w:lang w:eastAsia="cs-CZ"/>
        </w:rPr>
      </w:pPr>
      <w:r w:rsidRPr="005833A1">
        <w:rPr>
          <w:rFonts w:ascii="Times New Roman" w:hAnsi="Times New Roman"/>
          <w:sz w:val="24"/>
          <w:szCs w:val="24"/>
          <w:lang w:eastAsia="cs-CZ"/>
        </w:rPr>
        <w:tab/>
        <w:t xml:space="preserve">Dozorná rada v zmysle § 123 ods. 2 písm. e) zákona o sociálnom poistení kontroluje </w:t>
      </w:r>
    </w:p>
    <w:p w:rsidR="00636AAF" w:rsidRPr="005833A1" w:rsidRDefault="00636AAF" w:rsidP="00636AAF">
      <w:pPr>
        <w:widowControl/>
        <w:numPr>
          <w:ilvl w:val="0"/>
          <w:numId w:val="19"/>
        </w:numPr>
        <w:tabs>
          <w:tab w:val="clear" w:pos="720"/>
          <w:tab w:val="num" w:pos="426"/>
        </w:tabs>
        <w:autoSpaceDE/>
        <w:autoSpaceDN/>
        <w:adjustRightInd/>
        <w:spacing w:line="360" w:lineRule="auto"/>
        <w:ind w:left="426" w:hanging="357"/>
        <w:jc w:val="both"/>
        <w:rPr>
          <w:rFonts w:ascii="Times New Roman" w:hAnsi="Times New Roman"/>
          <w:sz w:val="24"/>
          <w:szCs w:val="24"/>
          <w:lang w:eastAsia="cs-CZ"/>
        </w:rPr>
      </w:pPr>
      <w:r w:rsidRPr="005833A1">
        <w:rPr>
          <w:rFonts w:ascii="Times New Roman" w:hAnsi="Times New Roman"/>
          <w:sz w:val="24"/>
          <w:szCs w:val="24"/>
          <w:lang w:eastAsia="cs-CZ"/>
        </w:rPr>
        <w:t>hospodárenie Sociálnej poisťovne s finančnými prostriedkami základného fondu nemocenského poistenia, základného fondu starobného poistenia, základného fondu invalidného poistenia, základného fondu úrazového poistenia, základného fondu poistenia v nezamestnanosti, základného fondu garančného poistenia, rezervného fondu solidarity a správneho fondu,</w:t>
      </w:r>
    </w:p>
    <w:p w:rsidR="00636AAF" w:rsidRPr="005833A1" w:rsidRDefault="00636AAF" w:rsidP="00636AAF">
      <w:pPr>
        <w:widowControl/>
        <w:numPr>
          <w:ilvl w:val="0"/>
          <w:numId w:val="19"/>
        </w:numPr>
        <w:tabs>
          <w:tab w:val="clear" w:pos="720"/>
          <w:tab w:val="num" w:pos="426"/>
        </w:tabs>
        <w:autoSpaceDE/>
        <w:autoSpaceDN/>
        <w:adjustRightInd/>
        <w:spacing w:line="360" w:lineRule="auto"/>
        <w:ind w:left="426" w:hanging="357"/>
        <w:jc w:val="both"/>
        <w:rPr>
          <w:rFonts w:ascii="Times New Roman" w:hAnsi="Times New Roman"/>
          <w:sz w:val="24"/>
          <w:szCs w:val="24"/>
          <w:lang w:eastAsia="cs-CZ"/>
        </w:rPr>
      </w:pPr>
      <w:r w:rsidRPr="005833A1">
        <w:rPr>
          <w:rFonts w:ascii="Times New Roman" w:hAnsi="Times New Roman"/>
          <w:sz w:val="24"/>
          <w:szCs w:val="24"/>
          <w:lang w:eastAsia="cs-CZ"/>
        </w:rPr>
        <w:t>dodržiavanie zákona o sociálnom poistení a ostatných všeobecne záväzných právnych predpisov týkajúcich sa hospodárenia Sociálnej poisťovne.</w:t>
      </w:r>
    </w:p>
    <w:p w:rsidR="00636AAF" w:rsidRPr="005833A1" w:rsidRDefault="00636AAF" w:rsidP="00636AAF">
      <w:pPr>
        <w:widowControl/>
        <w:autoSpaceDE/>
        <w:autoSpaceDN/>
        <w:adjustRightInd/>
        <w:spacing w:line="360" w:lineRule="auto"/>
        <w:ind w:left="360"/>
        <w:jc w:val="both"/>
        <w:rPr>
          <w:rFonts w:ascii="Times New Roman" w:hAnsi="Times New Roman"/>
          <w:sz w:val="24"/>
          <w:szCs w:val="24"/>
          <w:lang w:eastAsia="cs-CZ"/>
        </w:rPr>
      </w:pPr>
    </w:p>
    <w:p w:rsidR="00636AAF" w:rsidRPr="005833A1" w:rsidRDefault="00636AAF" w:rsidP="00636AAF">
      <w:pPr>
        <w:widowControl/>
        <w:autoSpaceDE/>
        <w:autoSpaceDN/>
        <w:adjustRightInd/>
        <w:spacing w:line="360" w:lineRule="auto"/>
        <w:ind w:firstLine="709"/>
        <w:jc w:val="both"/>
        <w:rPr>
          <w:rFonts w:ascii="Times New Roman" w:hAnsi="Times New Roman"/>
          <w:sz w:val="24"/>
          <w:szCs w:val="24"/>
          <w:lang w:eastAsia="cs-CZ"/>
        </w:rPr>
      </w:pPr>
      <w:r w:rsidRPr="005833A1">
        <w:rPr>
          <w:rFonts w:ascii="Times New Roman" w:hAnsi="Times New Roman"/>
          <w:sz w:val="24"/>
          <w:szCs w:val="24"/>
          <w:lang w:eastAsia="cs-CZ"/>
        </w:rPr>
        <w:t>V zmysle § 123 ods. 2 písm. f) zákona o sociálnom poistení vypracúva správu o kontrolnej činnosti za predchádzajúci kalendárny rok, ktorá je súčasťou účtovnej závierky Sociálnej poisťovne.</w:t>
      </w:r>
    </w:p>
    <w:p w:rsidR="00636AAF" w:rsidRPr="005833A1" w:rsidRDefault="00636AAF" w:rsidP="00636AAF">
      <w:pPr>
        <w:widowControl/>
        <w:autoSpaceDE/>
        <w:autoSpaceDN/>
        <w:adjustRightInd/>
        <w:spacing w:line="360" w:lineRule="auto"/>
        <w:jc w:val="both"/>
        <w:rPr>
          <w:rFonts w:ascii="Times New Roman" w:hAnsi="Times New Roman"/>
          <w:sz w:val="24"/>
          <w:szCs w:val="24"/>
          <w:lang w:eastAsia="cs-CZ"/>
        </w:rPr>
      </w:pPr>
    </w:p>
    <w:p w:rsidR="00636AAF" w:rsidRPr="005833A1" w:rsidRDefault="00636AAF" w:rsidP="00636AAF">
      <w:pPr>
        <w:widowControl/>
        <w:autoSpaceDE/>
        <w:autoSpaceDN/>
        <w:adjustRightInd/>
        <w:spacing w:line="360" w:lineRule="auto"/>
        <w:jc w:val="both"/>
        <w:rPr>
          <w:rFonts w:ascii="Times New Roman" w:hAnsi="Times New Roman"/>
          <w:sz w:val="24"/>
          <w:szCs w:val="24"/>
          <w:lang w:eastAsia="cs-CZ"/>
        </w:rPr>
      </w:pPr>
      <w:r w:rsidRPr="005833A1">
        <w:rPr>
          <w:rFonts w:ascii="Times New Roman" w:hAnsi="Times New Roman"/>
          <w:sz w:val="24"/>
          <w:szCs w:val="24"/>
          <w:lang w:eastAsia="cs-CZ"/>
        </w:rPr>
        <w:tab/>
        <w:t>Dozorná rada má 11 členov. Predsedom dozornej rady je minister práce, sociálnych vecí a rodiny Slovenskej republiky. Členov dozornej rady s výnimkou predsedu volí a odvoláva Národná rada Slovenskej republiky. Členovia dozornej rady sú oprávnení nahliadať do dokladov a záznamov týkajúcich sa hospodárenia Sociálnej poisťovne a požadovať potrebné vysvetlenia od generálneho riaditeľa a od zamestnancov Sociálnej poisťovne.</w:t>
      </w:r>
    </w:p>
    <w:p w:rsidR="00636AAF" w:rsidRPr="005833A1" w:rsidRDefault="00636AAF" w:rsidP="00636AAF">
      <w:pPr>
        <w:widowControl/>
        <w:autoSpaceDE/>
        <w:autoSpaceDN/>
        <w:adjustRightInd/>
        <w:spacing w:line="360" w:lineRule="auto"/>
        <w:jc w:val="both"/>
        <w:rPr>
          <w:rFonts w:ascii="Times New Roman" w:hAnsi="Times New Roman"/>
          <w:color w:val="FF0000"/>
          <w:sz w:val="24"/>
          <w:szCs w:val="24"/>
          <w:lang w:eastAsia="cs-CZ"/>
        </w:rPr>
      </w:pPr>
    </w:p>
    <w:p w:rsidR="00636AAF" w:rsidRPr="005833A1" w:rsidRDefault="00636AAF" w:rsidP="00636AAF">
      <w:pPr>
        <w:widowControl/>
        <w:tabs>
          <w:tab w:val="left" w:pos="709"/>
        </w:tabs>
        <w:autoSpaceDE/>
        <w:autoSpaceDN/>
        <w:adjustRightInd/>
        <w:spacing w:after="120" w:line="360" w:lineRule="auto"/>
        <w:jc w:val="both"/>
        <w:rPr>
          <w:rFonts w:ascii="Times New Roman" w:hAnsi="Times New Roman"/>
          <w:b/>
          <w:sz w:val="24"/>
          <w:szCs w:val="24"/>
          <w:lang w:eastAsia="cs-CZ"/>
        </w:rPr>
      </w:pPr>
      <w:r w:rsidRPr="005833A1">
        <w:rPr>
          <w:rFonts w:ascii="Times New Roman" w:hAnsi="Times New Roman"/>
          <w:b/>
          <w:sz w:val="24"/>
          <w:szCs w:val="24"/>
          <w:lang w:eastAsia="cs-CZ"/>
        </w:rPr>
        <w:t>Dozorná rada v roku 2018 pôsobila v tomto zložení:</w:t>
      </w:r>
    </w:p>
    <w:p w:rsidR="00636AAF" w:rsidRPr="005833A1" w:rsidRDefault="00636AAF" w:rsidP="00636AAF">
      <w:pPr>
        <w:widowControl/>
        <w:autoSpaceDE/>
        <w:autoSpaceDN/>
        <w:adjustRightInd/>
        <w:spacing w:before="120" w:line="360" w:lineRule="auto"/>
        <w:jc w:val="both"/>
        <w:rPr>
          <w:rFonts w:ascii="Times New Roman" w:hAnsi="Times New Roman"/>
          <w:b/>
          <w:sz w:val="24"/>
          <w:szCs w:val="24"/>
        </w:rPr>
      </w:pPr>
      <w:r w:rsidRPr="005833A1">
        <w:rPr>
          <w:rFonts w:ascii="Times New Roman" w:hAnsi="Times New Roman"/>
          <w:b/>
          <w:sz w:val="24"/>
          <w:szCs w:val="24"/>
        </w:rPr>
        <w:t>predseda</w:t>
      </w:r>
    </w:p>
    <w:p w:rsidR="00636AAF" w:rsidRPr="005833A1" w:rsidRDefault="00636AAF" w:rsidP="00636AAF">
      <w:pPr>
        <w:widowControl/>
        <w:autoSpaceDE/>
        <w:autoSpaceDN/>
        <w:adjustRightInd/>
        <w:spacing w:line="360" w:lineRule="auto"/>
        <w:jc w:val="both"/>
        <w:rPr>
          <w:rFonts w:ascii="Times New Roman" w:hAnsi="Times New Roman"/>
          <w:b/>
          <w:i/>
          <w:color w:val="FF0000"/>
          <w:sz w:val="24"/>
          <w:szCs w:val="24"/>
        </w:rPr>
      </w:pPr>
      <w:r w:rsidRPr="005833A1">
        <w:rPr>
          <w:rFonts w:ascii="Times New Roman" w:hAnsi="Times New Roman"/>
          <w:sz w:val="24"/>
          <w:szCs w:val="24"/>
        </w:rPr>
        <w:t xml:space="preserve">JUDr. Ján Richter    </w:t>
      </w:r>
      <w:r w:rsidRPr="005833A1">
        <w:rPr>
          <w:rFonts w:ascii="Times New Roman" w:hAnsi="Times New Roman"/>
          <w:sz w:val="24"/>
          <w:szCs w:val="24"/>
        </w:rPr>
        <w:tab/>
      </w:r>
      <w:r w:rsidRPr="005833A1">
        <w:rPr>
          <w:rFonts w:ascii="Times New Roman" w:hAnsi="Times New Roman"/>
          <w:sz w:val="24"/>
          <w:szCs w:val="24"/>
        </w:rPr>
        <w:tab/>
      </w:r>
      <w:r w:rsidRPr="005833A1">
        <w:rPr>
          <w:rFonts w:ascii="Times New Roman" w:hAnsi="Times New Roman"/>
          <w:color w:val="FF0000"/>
          <w:sz w:val="24"/>
          <w:szCs w:val="24"/>
        </w:rPr>
        <w:tab/>
      </w:r>
      <w:r w:rsidRPr="005833A1">
        <w:rPr>
          <w:rFonts w:ascii="Times New Roman" w:hAnsi="Times New Roman"/>
          <w:color w:val="FF0000"/>
          <w:sz w:val="24"/>
          <w:szCs w:val="24"/>
        </w:rPr>
        <w:tab/>
      </w:r>
    </w:p>
    <w:p w:rsidR="00636AAF" w:rsidRPr="005833A1" w:rsidRDefault="00636AAF" w:rsidP="00636AAF">
      <w:pPr>
        <w:widowControl/>
        <w:autoSpaceDE/>
        <w:autoSpaceDN/>
        <w:adjustRightInd/>
        <w:spacing w:before="120" w:line="360" w:lineRule="auto"/>
        <w:rPr>
          <w:rFonts w:ascii="Times New Roman" w:hAnsi="Times New Roman"/>
          <w:b/>
          <w:sz w:val="24"/>
          <w:szCs w:val="24"/>
        </w:rPr>
      </w:pPr>
      <w:r w:rsidRPr="005833A1">
        <w:rPr>
          <w:rFonts w:ascii="Times New Roman" w:hAnsi="Times New Roman"/>
          <w:b/>
          <w:sz w:val="24"/>
          <w:szCs w:val="24"/>
        </w:rPr>
        <w:t>členovia:</w:t>
      </w:r>
    </w:p>
    <w:p w:rsidR="00636AAF" w:rsidRPr="005833A1" w:rsidRDefault="00636AAF" w:rsidP="00636AAF">
      <w:pPr>
        <w:widowControl/>
        <w:autoSpaceDE/>
        <w:autoSpaceDN/>
        <w:adjustRightInd/>
        <w:spacing w:before="60" w:line="360" w:lineRule="auto"/>
        <w:rPr>
          <w:rFonts w:ascii="Times New Roman" w:hAnsi="Times New Roman"/>
          <w:b/>
          <w:sz w:val="24"/>
          <w:szCs w:val="24"/>
        </w:rPr>
      </w:pPr>
      <w:r w:rsidRPr="005833A1">
        <w:rPr>
          <w:rFonts w:ascii="Times New Roman" w:hAnsi="Times New Roman"/>
          <w:b/>
          <w:sz w:val="24"/>
          <w:szCs w:val="24"/>
        </w:rPr>
        <w:t>za vládu</w:t>
      </w:r>
    </w:p>
    <w:p w:rsidR="00636AAF" w:rsidRPr="005833A1" w:rsidRDefault="00636AAF" w:rsidP="00636AAF">
      <w:pPr>
        <w:widowControl/>
        <w:tabs>
          <w:tab w:val="left" w:pos="-2552"/>
          <w:tab w:val="left" w:pos="-2127"/>
          <w:tab w:val="left" w:pos="2700"/>
        </w:tabs>
        <w:autoSpaceDE/>
        <w:autoSpaceDN/>
        <w:adjustRightInd/>
        <w:spacing w:line="360" w:lineRule="auto"/>
        <w:ind w:left="3540" w:hanging="3540"/>
        <w:jc w:val="both"/>
        <w:rPr>
          <w:rFonts w:ascii="Times New Roman" w:hAnsi="Times New Roman"/>
          <w:sz w:val="24"/>
          <w:szCs w:val="24"/>
          <w:lang w:eastAsia="en-US"/>
        </w:rPr>
      </w:pPr>
      <w:r w:rsidRPr="005833A1">
        <w:rPr>
          <w:rFonts w:ascii="Times New Roman" w:hAnsi="Times New Roman"/>
          <w:sz w:val="24"/>
          <w:szCs w:val="24"/>
          <w:lang w:eastAsia="en-US"/>
        </w:rPr>
        <w:t>Ing. Jana Kolesárová</w:t>
      </w:r>
      <w:r w:rsidRPr="005833A1">
        <w:rPr>
          <w:rFonts w:ascii="Times New Roman" w:hAnsi="Times New Roman"/>
          <w:sz w:val="24"/>
          <w:szCs w:val="24"/>
          <w:lang w:eastAsia="en-US"/>
        </w:rPr>
        <w:tab/>
      </w:r>
      <w:r w:rsidRPr="005833A1">
        <w:rPr>
          <w:rFonts w:ascii="Times New Roman" w:hAnsi="Times New Roman"/>
          <w:sz w:val="24"/>
          <w:szCs w:val="24"/>
          <w:lang w:eastAsia="en-US"/>
        </w:rPr>
        <w:tab/>
        <w:t xml:space="preserve">generálna riaditeľka sekcie sociálneho poistenia a dôchodkového sporenia, </w:t>
      </w:r>
      <w:proofErr w:type="spellStart"/>
      <w:r w:rsidRPr="005833A1">
        <w:rPr>
          <w:rFonts w:ascii="Times New Roman" w:hAnsi="Times New Roman"/>
          <w:sz w:val="24"/>
          <w:szCs w:val="24"/>
          <w:lang w:eastAsia="en-US"/>
        </w:rPr>
        <w:t>MPSVaR</w:t>
      </w:r>
      <w:proofErr w:type="spellEnd"/>
      <w:r w:rsidRPr="005833A1">
        <w:rPr>
          <w:rFonts w:ascii="Times New Roman" w:hAnsi="Times New Roman"/>
          <w:sz w:val="24"/>
          <w:szCs w:val="24"/>
          <w:lang w:eastAsia="en-US"/>
        </w:rPr>
        <w:t xml:space="preserve"> SR,</w:t>
      </w:r>
    </w:p>
    <w:p w:rsidR="00636AAF" w:rsidRPr="005833A1" w:rsidRDefault="00636AAF" w:rsidP="00636AAF">
      <w:pPr>
        <w:widowControl/>
        <w:tabs>
          <w:tab w:val="left" w:pos="-2552"/>
          <w:tab w:val="left" w:pos="-2127"/>
          <w:tab w:val="left" w:pos="2700"/>
        </w:tabs>
        <w:autoSpaceDE/>
        <w:autoSpaceDN/>
        <w:adjustRightInd/>
        <w:spacing w:line="360" w:lineRule="auto"/>
        <w:jc w:val="both"/>
        <w:rPr>
          <w:rFonts w:ascii="Times New Roman" w:hAnsi="Times New Roman"/>
          <w:sz w:val="24"/>
          <w:szCs w:val="24"/>
          <w:lang w:eastAsia="en-US"/>
        </w:rPr>
      </w:pPr>
      <w:r w:rsidRPr="005833A1">
        <w:rPr>
          <w:rFonts w:ascii="Times New Roman" w:hAnsi="Times New Roman"/>
          <w:sz w:val="24"/>
          <w:szCs w:val="24"/>
          <w:lang w:eastAsia="en-US"/>
        </w:rPr>
        <w:t>Ing. Radko Kuruc, PhD.</w:t>
      </w:r>
      <w:r w:rsidRPr="005833A1">
        <w:rPr>
          <w:rFonts w:ascii="Times New Roman" w:hAnsi="Times New Roman"/>
          <w:sz w:val="24"/>
          <w:szCs w:val="24"/>
          <w:lang w:eastAsia="en-US"/>
        </w:rPr>
        <w:tab/>
      </w:r>
      <w:r w:rsidRPr="005833A1">
        <w:rPr>
          <w:rFonts w:ascii="Times New Roman" w:hAnsi="Times New Roman"/>
          <w:sz w:val="24"/>
          <w:szCs w:val="24"/>
          <w:lang w:eastAsia="en-US"/>
        </w:rPr>
        <w:tab/>
      </w:r>
      <w:r w:rsidRPr="005833A1">
        <w:rPr>
          <w:rFonts w:ascii="Times New Roman" w:hAnsi="Times New Roman"/>
          <w:sz w:val="24"/>
          <w:szCs w:val="24"/>
          <w:lang w:eastAsia="en-US"/>
        </w:rPr>
        <w:tab/>
        <w:t>štátny tajomník, MF SR,</w:t>
      </w:r>
    </w:p>
    <w:p w:rsidR="00636AAF" w:rsidRPr="005833A1" w:rsidRDefault="00636AAF" w:rsidP="00636AAF">
      <w:pPr>
        <w:widowControl/>
        <w:tabs>
          <w:tab w:val="left" w:pos="-2552"/>
          <w:tab w:val="left" w:pos="-2127"/>
          <w:tab w:val="left" w:pos="2700"/>
        </w:tabs>
        <w:autoSpaceDE/>
        <w:autoSpaceDN/>
        <w:adjustRightInd/>
        <w:spacing w:after="120" w:line="360" w:lineRule="auto"/>
        <w:ind w:left="3540" w:hanging="3540"/>
        <w:jc w:val="both"/>
        <w:rPr>
          <w:rFonts w:ascii="Times New Roman" w:hAnsi="Times New Roman"/>
          <w:sz w:val="24"/>
          <w:szCs w:val="24"/>
          <w:lang w:eastAsia="en-US"/>
        </w:rPr>
      </w:pPr>
      <w:r w:rsidRPr="005833A1">
        <w:rPr>
          <w:rFonts w:ascii="Times New Roman" w:hAnsi="Times New Roman"/>
          <w:sz w:val="24"/>
          <w:szCs w:val="24"/>
          <w:lang w:eastAsia="en-US"/>
        </w:rPr>
        <w:t xml:space="preserve">Ing. Ján </w:t>
      </w:r>
      <w:proofErr w:type="spellStart"/>
      <w:r w:rsidRPr="005833A1">
        <w:rPr>
          <w:rFonts w:ascii="Times New Roman" w:hAnsi="Times New Roman"/>
          <w:sz w:val="24"/>
          <w:szCs w:val="24"/>
          <w:lang w:eastAsia="en-US"/>
        </w:rPr>
        <w:t>Mikulík</w:t>
      </w:r>
      <w:proofErr w:type="spellEnd"/>
      <w:r w:rsidRPr="005833A1">
        <w:rPr>
          <w:rFonts w:ascii="Times New Roman" w:hAnsi="Times New Roman"/>
          <w:sz w:val="24"/>
          <w:szCs w:val="24"/>
          <w:lang w:eastAsia="en-US"/>
        </w:rPr>
        <w:t xml:space="preserve"> </w:t>
      </w:r>
      <w:r w:rsidRPr="005833A1">
        <w:rPr>
          <w:rFonts w:ascii="Times New Roman" w:hAnsi="Times New Roman"/>
          <w:b/>
          <w:sz w:val="24"/>
          <w:szCs w:val="24"/>
          <w:lang w:eastAsia="en-US"/>
        </w:rPr>
        <w:tab/>
      </w:r>
      <w:r w:rsidRPr="005833A1">
        <w:rPr>
          <w:rFonts w:ascii="Times New Roman" w:hAnsi="Times New Roman"/>
          <w:b/>
          <w:sz w:val="24"/>
          <w:szCs w:val="24"/>
          <w:lang w:eastAsia="en-US"/>
        </w:rPr>
        <w:tab/>
      </w:r>
      <w:r w:rsidRPr="005833A1">
        <w:rPr>
          <w:rFonts w:ascii="Times New Roman" w:hAnsi="Times New Roman"/>
          <w:sz w:val="24"/>
          <w:szCs w:val="24"/>
          <w:lang w:eastAsia="en-US"/>
        </w:rPr>
        <w:t>riaditeľ odboru rozpočtových analýz, MF SR,</w:t>
      </w:r>
    </w:p>
    <w:p w:rsidR="00636AAF" w:rsidRPr="005833A1" w:rsidRDefault="00636AAF" w:rsidP="00636AAF">
      <w:pPr>
        <w:widowControl/>
        <w:tabs>
          <w:tab w:val="left" w:pos="-2552"/>
          <w:tab w:val="left" w:pos="-2127"/>
          <w:tab w:val="left" w:pos="2700"/>
        </w:tabs>
        <w:autoSpaceDE/>
        <w:autoSpaceDN/>
        <w:adjustRightInd/>
        <w:spacing w:after="120" w:line="360" w:lineRule="auto"/>
        <w:ind w:left="3540" w:hanging="3540"/>
        <w:jc w:val="both"/>
        <w:rPr>
          <w:rFonts w:ascii="Times New Roman" w:hAnsi="Times New Roman"/>
          <w:sz w:val="24"/>
          <w:szCs w:val="24"/>
          <w:lang w:eastAsia="en-US"/>
        </w:rPr>
      </w:pPr>
      <w:r w:rsidRPr="005833A1">
        <w:rPr>
          <w:rFonts w:ascii="Times New Roman" w:hAnsi="Times New Roman"/>
          <w:b/>
          <w:sz w:val="24"/>
          <w:szCs w:val="24"/>
          <w:lang w:eastAsia="en-US"/>
        </w:rPr>
        <w:t>za reprezentatívne združenia zamestnávateľov</w:t>
      </w:r>
    </w:p>
    <w:p w:rsidR="00636AAF" w:rsidRPr="005833A1" w:rsidRDefault="00636AAF" w:rsidP="00636AAF">
      <w:pPr>
        <w:widowControl/>
        <w:tabs>
          <w:tab w:val="left" w:pos="2700"/>
        </w:tabs>
        <w:autoSpaceDE/>
        <w:autoSpaceDN/>
        <w:adjustRightInd/>
        <w:spacing w:before="60" w:line="360" w:lineRule="auto"/>
        <w:ind w:left="3540" w:hanging="3540"/>
        <w:jc w:val="both"/>
        <w:rPr>
          <w:rFonts w:ascii="Times New Roman" w:hAnsi="Times New Roman"/>
          <w:sz w:val="24"/>
          <w:szCs w:val="24"/>
          <w:lang w:eastAsia="en-US"/>
        </w:rPr>
      </w:pPr>
      <w:r w:rsidRPr="005833A1">
        <w:rPr>
          <w:rFonts w:ascii="Times New Roman" w:hAnsi="Times New Roman"/>
          <w:sz w:val="24"/>
          <w:szCs w:val="24"/>
          <w:lang w:eastAsia="en-US"/>
        </w:rPr>
        <w:t xml:space="preserve">Ing. Pavol </w:t>
      </w:r>
      <w:proofErr w:type="spellStart"/>
      <w:r w:rsidRPr="005833A1">
        <w:rPr>
          <w:rFonts w:ascii="Times New Roman" w:hAnsi="Times New Roman"/>
          <w:sz w:val="24"/>
          <w:szCs w:val="24"/>
          <w:lang w:eastAsia="en-US"/>
        </w:rPr>
        <w:t>Brnka</w:t>
      </w:r>
      <w:proofErr w:type="spellEnd"/>
      <w:r w:rsidRPr="005833A1">
        <w:rPr>
          <w:rFonts w:ascii="Times New Roman" w:hAnsi="Times New Roman"/>
          <w:sz w:val="24"/>
          <w:szCs w:val="24"/>
          <w:lang w:eastAsia="en-US"/>
        </w:rPr>
        <w:t xml:space="preserve"> </w:t>
      </w:r>
      <w:r w:rsidRPr="005833A1">
        <w:rPr>
          <w:rFonts w:ascii="Times New Roman" w:hAnsi="Times New Roman"/>
          <w:sz w:val="24"/>
          <w:szCs w:val="24"/>
          <w:lang w:eastAsia="en-US"/>
        </w:rPr>
        <w:tab/>
      </w:r>
      <w:r w:rsidRPr="005833A1">
        <w:rPr>
          <w:rFonts w:ascii="Times New Roman" w:hAnsi="Times New Roman"/>
          <w:sz w:val="24"/>
          <w:szCs w:val="24"/>
          <w:lang w:eastAsia="en-US"/>
        </w:rPr>
        <w:tab/>
        <w:t>predseda predstavenstva, Zväz sklárskeho priemyslu SR,</w:t>
      </w:r>
    </w:p>
    <w:p w:rsidR="00636AAF" w:rsidRPr="005833A1" w:rsidRDefault="00636AAF" w:rsidP="00636AAF">
      <w:pPr>
        <w:widowControl/>
        <w:tabs>
          <w:tab w:val="left" w:pos="2700"/>
          <w:tab w:val="left" w:pos="2835"/>
        </w:tabs>
        <w:autoSpaceDE/>
        <w:autoSpaceDN/>
        <w:adjustRightInd/>
        <w:spacing w:line="360" w:lineRule="auto"/>
        <w:ind w:left="3540" w:hanging="3540"/>
        <w:jc w:val="both"/>
        <w:rPr>
          <w:rFonts w:ascii="Times New Roman" w:hAnsi="Times New Roman"/>
          <w:sz w:val="24"/>
          <w:szCs w:val="24"/>
          <w:lang w:eastAsia="en-US"/>
        </w:rPr>
      </w:pPr>
      <w:r w:rsidRPr="005833A1">
        <w:rPr>
          <w:rFonts w:ascii="Times New Roman" w:hAnsi="Times New Roman"/>
          <w:sz w:val="24"/>
          <w:szCs w:val="24"/>
          <w:lang w:eastAsia="en-US"/>
        </w:rPr>
        <w:t xml:space="preserve">JUDr. Ľudovít </w:t>
      </w:r>
      <w:proofErr w:type="spellStart"/>
      <w:r w:rsidRPr="005833A1">
        <w:rPr>
          <w:rFonts w:ascii="Times New Roman" w:hAnsi="Times New Roman"/>
          <w:sz w:val="24"/>
          <w:szCs w:val="24"/>
          <w:lang w:eastAsia="en-US"/>
        </w:rPr>
        <w:t>Paus</w:t>
      </w:r>
      <w:proofErr w:type="spellEnd"/>
      <w:r w:rsidRPr="005833A1">
        <w:rPr>
          <w:rFonts w:ascii="Times New Roman" w:hAnsi="Times New Roman"/>
          <w:sz w:val="24"/>
          <w:szCs w:val="24"/>
          <w:lang w:eastAsia="en-US"/>
        </w:rPr>
        <w:tab/>
      </w:r>
      <w:r w:rsidRPr="005833A1">
        <w:rPr>
          <w:rFonts w:ascii="Times New Roman" w:hAnsi="Times New Roman"/>
          <w:sz w:val="24"/>
          <w:szCs w:val="24"/>
          <w:lang w:eastAsia="en-US"/>
        </w:rPr>
        <w:tab/>
      </w:r>
      <w:r w:rsidRPr="005833A1">
        <w:rPr>
          <w:rFonts w:ascii="Times New Roman" w:hAnsi="Times New Roman"/>
          <w:sz w:val="24"/>
          <w:szCs w:val="24"/>
          <w:lang w:eastAsia="en-US"/>
        </w:rPr>
        <w:tab/>
        <w:t>generálny sekretár, Združenie podnikateľov Slovenska,</w:t>
      </w:r>
    </w:p>
    <w:p w:rsidR="00636AAF" w:rsidRPr="005833A1" w:rsidRDefault="00636AAF" w:rsidP="00636AAF">
      <w:pPr>
        <w:widowControl/>
        <w:tabs>
          <w:tab w:val="left" w:pos="2700"/>
        </w:tabs>
        <w:autoSpaceDE/>
        <w:autoSpaceDN/>
        <w:adjustRightInd/>
        <w:spacing w:line="360" w:lineRule="auto"/>
        <w:ind w:left="3540" w:hanging="3540"/>
        <w:jc w:val="both"/>
        <w:rPr>
          <w:rFonts w:ascii="Times New Roman" w:hAnsi="Times New Roman"/>
          <w:sz w:val="24"/>
          <w:szCs w:val="24"/>
          <w:lang w:eastAsia="en-US"/>
        </w:rPr>
      </w:pPr>
      <w:r w:rsidRPr="005833A1">
        <w:rPr>
          <w:rFonts w:ascii="Times New Roman" w:hAnsi="Times New Roman"/>
          <w:sz w:val="24"/>
          <w:szCs w:val="24"/>
          <w:lang w:eastAsia="en-US"/>
        </w:rPr>
        <w:t>Mgr. Branislav Masár</w:t>
      </w:r>
      <w:r w:rsidRPr="005833A1">
        <w:rPr>
          <w:rFonts w:ascii="Times New Roman" w:hAnsi="Times New Roman"/>
          <w:sz w:val="24"/>
          <w:szCs w:val="24"/>
          <w:lang w:eastAsia="en-US"/>
        </w:rPr>
        <w:tab/>
      </w:r>
      <w:r w:rsidRPr="005833A1">
        <w:rPr>
          <w:rFonts w:ascii="Times New Roman" w:hAnsi="Times New Roman"/>
          <w:sz w:val="24"/>
          <w:szCs w:val="24"/>
          <w:lang w:eastAsia="en-US"/>
        </w:rPr>
        <w:tab/>
        <w:t xml:space="preserve">do 11. septembra 2018, špecialista na pracovnoprávnu legislatívu, Asociácia zamestnávateľských zväzov a združení SR, </w:t>
      </w:r>
    </w:p>
    <w:p w:rsidR="00636AAF" w:rsidRPr="005833A1" w:rsidRDefault="00636AAF" w:rsidP="00636AAF">
      <w:pPr>
        <w:widowControl/>
        <w:tabs>
          <w:tab w:val="left" w:pos="2700"/>
        </w:tabs>
        <w:autoSpaceDE/>
        <w:autoSpaceDN/>
        <w:adjustRightInd/>
        <w:spacing w:line="360" w:lineRule="auto"/>
        <w:ind w:left="3540" w:hanging="3540"/>
        <w:jc w:val="both"/>
        <w:rPr>
          <w:rFonts w:ascii="Times New Roman" w:hAnsi="Times New Roman"/>
          <w:b/>
          <w:sz w:val="24"/>
          <w:szCs w:val="24"/>
          <w:lang w:eastAsia="en-US"/>
        </w:rPr>
      </w:pPr>
      <w:r w:rsidRPr="005833A1">
        <w:rPr>
          <w:rFonts w:ascii="Times New Roman" w:hAnsi="Times New Roman"/>
          <w:sz w:val="24"/>
          <w:szCs w:val="24"/>
          <w:lang w:eastAsia="en-US"/>
        </w:rPr>
        <w:t xml:space="preserve">RNDr. Oto </w:t>
      </w:r>
      <w:proofErr w:type="spellStart"/>
      <w:r w:rsidRPr="005833A1">
        <w:rPr>
          <w:rFonts w:ascii="Times New Roman" w:hAnsi="Times New Roman"/>
          <w:sz w:val="24"/>
          <w:szCs w:val="24"/>
          <w:lang w:eastAsia="en-US"/>
        </w:rPr>
        <w:t>Nevický</w:t>
      </w:r>
      <w:proofErr w:type="spellEnd"/>
      <w:r w:rsidRPr="005833A1">
        <w:rPr>
          <w:rFonts w:ascii="Times New Roman" w:hAnsi="Times New Roman"/>
          <w:sz w:val="24"/>
          <w:szCs w:val="24"/>
          <w:lang w:eastAsia="en-US"/>
        </w:rPr>
        <w:t xml:space="preserve">, MBA  </w:t>
      </w:r>
      <w:r w:rsidRPr="005833A1">
        <w:rPr>
          <w:rFonts w:ascii="Times New Roman" w:hAnsi="Times New Roman"/>
          <w:sz w:val="24"/>
          <w:szCs w:val="24"/>
          <w:lang w:eastAsia="en-US"/>
        </w:rPr>
        <w:tab/>
        <w:t>od 12. septembra 2018, generálny sekretár, Asociácia zamestnávateľských zväzov a združení SR,</w:t>
      </w:r>
    </w:p>
    <w:p w:rsidR="00636AAF" w:rsidRPr="005833A1" w:rsidRDefault="00636AAF" w:rsidP="00636AAF">
      <w:pPr>
        <w:widowControl/>
        <w:autoSpaceDE/>
        <w:autoSpaceDN/>
        <w:adjustRightInd/>
        <w:spacing w:before="120" w:after="120" w:line="360" w:lineRule="auto"/>
        <w:jc w:val="both"/>
        <w:rPr>
          <w:rFonts w:ascii="Times New Roman" w:hAnsi="Times New Roman"/>
          <w:b/>
          <w:sz w:val="24"/>
          <w:szCs w:val="24"/>
          <w:lang w:eastAsia="en-US"/>
        </w:rPr>
      </w:pPr>
      <w:r w:rsidRPr="005833A1">
        <w:rPr>
          <w:rFonts w:ascii="Times New Roman" w:hAnsi="Times New Roman"/>
          <w:b/>
          <w:sz w:val="24"/>
          <w:szCs w:val="24"/>
          <w:lang w:eastAsia="en-US"/>
        </w:rPr>
        <w:t>za reprezentatívne združenia odborových zväzov</w:t>
      </w:r>
    </w:p>
    <w:p w:rsidR="00636AAF" w:rsidRPr="005833A1" w:rsidRDefault="00636AAF" w:rsidP="00636AAF">
      <w:pPr>
        <w:widowControl/>
        <w:tabs>
          <w:tab w:val="left" w:pos="2760"/>
        </w:tabs>
        <w:autoSpaceDE/>
        <w:autoSpaceDN/>
        <w:adjustRightInd/>
        <w:spacing w:before="120" w:line="360" w:lineRule="auto"/>
        <w:ind w:left="3540" w:hanging="3540"/>
        <w:jc w:val="both"/>
        <w:rPr>
          <w:rFonts w:ascii="Times New Roman" w:hAnsi="Times New Roman"/>
          <w:sz w:val="24"/>
          <w:szCs w:val="24"/>
          <w:lang w:eastAsia="en-US"/>
        </w:rPr>
      </w:pPr>
      <w:r w:rsidRPr="005833A1">
        <w:rPr>
          <w:rFonts w:ascii="Times New Roman" w:hAnsi="Times New Roman"/>
          <w:sz w:val="24"/>
          <w:szCs w:val="24"/>
          <w:lang w:eastAsia="en-US"/>
        </w:rPr>
        <w:t xml:space="preserve">Ing. Magdaléna </w:t>
      </w:r>
      <w:proofErr w:type="spellStart"/>
      <w:r w:rsidRPr="005833A1">
        <w:rPr>
          <w:rFonts w:ascii="Times New Roman" w:hAnsi="Times New Roman"/>
          <w:sz w:val="24"/>
          <w:szCs w:val="24"/>
          <w:lang w:eastAsia="en-US"/>
        </w:rPr>
        <w:t>Mellenová</w:t>
      </w:r>
      <w:proofErr w:type="spellEnd"/>
      <w:r w:rsidRPr="005833A1">
        <w:rPr>
          <w:rFonts w:ascii="Times New Roman" w:hAnsi="Times New Roman"/>
          <w:sz w:val="24"/>
          <w:szCs w:val="24"/>
          <w:lang w:eastAsia="en-US"/>
        </w:rPr>
        <w:tab/>
      </w:r>
      <w:r w:rsidRPr="005833A1">
        <w:rPr>
          <w:rFonts w:ascii="Times New Roman" w:hAnsi="Times New Roman"/>
          <w:sz w:val="24"/>
          <w:szCs w:val="24"/>
          <w:lang w:eastAsia="en-US"/>
        </w:rPr>
        <w:tab/>
        <w:t>predsedníčka, Odborový zväz potravinárov SR,</w:t>
      </w:r>
    </w:p>
    <w:p w:rsidR="00636AAF" w:rsidRPr="005833A1" w:rsidRDefault="00636AAF" w:rsidP="00636AAF">
      <w:pPr>
        <w:widowControl/>
        <w:tabs>
          <w:tab w:val="left" w:pos="2760"/>
        </w:tabs>
        <w:autoSpaceDE/>
        <w:autoSpaceDN/>
        <w:adjustRightInd/>
        <w:spacing w:line="360" w:lineRule="auto"/>
        <w:ind w:left="3540" w:hanging="3540"/>
        <w:jc w:val="both"/>
        <w:rPr>
          <w:rFonts w:ascii="Times New Roman" w:hAnsi="Times New Roman"/>
          <w:sz w:val="24"/>
          <w:szCs w:val="24"/>
          <w:lang w:eastAsia="en-US"/>
        </w:rPr>
      </w:pPr>
      <w:r w:rsidRPr="005833A1">
        <w:rPr>
          <w:rFonts w:ascii="Times New Roman" w:hAnsi="Times New Roman"/>
          <w:sz w:val="24"/>
          <w:szCs w:val="24"/>
          <w:lang w:eastAsia="en-US"/>
        </w:rPr>
        <w:t xml:space="preserve">JUDr. Mária </w:t>
      </w:r>
      <w:proofErr w:type="spellStart"/>
      <w:r w:rsidRPr="005833A1">
        <w:rPr>
          <w:rFonts w:ascii="Times New Roman" w:hAnsi="Times New Roman"/>
          <w:sz w:val="24"/>
          <w:szCs w:val="24"/>
          <w:lang w:eastAsia="en-US"/>
        </w:rPr>
        <w:t>Svoreňová</w:t>
      </w:r>
      <w:proofErr w:type="spellEnd"/>
      <w:r w:rsidRPr="005833A1">
        <w:rPr>
          <w:rFonts w:ascii="Times New Roman" w:hAnsi="Times New Roman"/>
          <w:sz w:val="24"/>
          <w:szCs w:val="24"/>
          <w:lang w:eastAsia="en-US"/>
        </w:rPr>
        <w:tab/>
      </w:r>
      <w:r w:rsidRPr="005833A1">
        <w:rPr>
          <w:rFonts w:ascii="Times New Roman" w:hAnsi="Times New Roman"/>
          <w:sz w:val="24"/>
          <w:szCs w:val="24"/>
          <w:lang w:eastAsia="en-US"/>
        </w:rPr>
        <w:tab/>
        <w:t>Konfederácia odborových zväzov SR,</w:t>
      </w:r>
    </w:p>
    <w:p w:rsidR="00636AAF" w:rsidRPr="005833A1" w:rsidRDefault="00636AAF" w:rsidP="00636AAF">
      <w:pPr>
        <w:widowControl/>
        <w:tabs>
          <w:tab w:val="left" w:pos="2760"/>
        </w:tabs>
        <w:autoSpaceDE/>
        <w:autoSpaceDN/>
        <w:adjustRightInd/>
        <w:spacing w:line="360" w:lineRule="auto"/>
        <w:ind w:left="3540" w:hanging="3540"/>
        <w:jc w:val="both"/>
        <w:rPr>
          <w:rFonts w:ascii="Times New Roman" w:hAnsi="Times New Roman"/>
          <w:sz w:val="24"/>
          <w:szCs w:val="24"/>
          <w:lang w:eastAsia="en-US"/>
        </w:rPr>
      </w:pPr>
      <w:r w:rsidRPr="005833A1">
        <w:rPr>
          <w:rFonts w:ascii="Times New Roman" w:hAnsi="Times New Roman"/>
          <w:sz w:val="24"/>
          <w:szCs w:val="24"/>
          <w:lang w:eastAsia="en-US"/>
        </w:rPr>
        <w:t xml:space="preserve">Martin </w:t>
      </w:r>
      <w:proofErr w:type="spellStart"/>
      <w:r w:rsidRPr="005833A1">
        <w:rPr>
          <w:rFonts w:ascii="Times New Roman" w:hAnsi="Times New Roman"/>
          <w:sz w:val="24"/>
          <w:szCs w:val="24"/>
          <w:lang w:eastAsia="en-US"/>
        </w:rPr>
        <w:t>Mikluš</w:t>
      </w:r>
      <w:proofErr w:type="spellEnd"/>
      <w:r w:rsidRPr="005833A1">
        <w:rPr>
          <w:rFonts w:ascii="Times New Roman" w:hAnsi="Times New Roman"/>
          <w:sz w:val="24"/>
          <w:szCs w:val="24"/>
          <w:lang w:eastAsia="en-US"/>
        </w:rPr>
        <w:tab/>
      </w:r>
      <w:r w:rsidRPr="005833A1">
        <w:rPr>
          <w:rFonts w:ascii="Times New Roman" w:hAnsi="Times New Roman"/>
          <w:sz w:val="24"/>
          <w:szCs w:val="24"/>
          <w:lang w:eastAsia="en-US"/>
        </w:rPr>
        <w:tab/>
        <w:t>Odborový zväz pracovníkov školstva a vedy na Slovensku,</w:t>
      </w:r>
    </w:p>
    <w:p w:rsidR="00636AAF" w:rsidRPr="005833A1" w:rsidRDefault="00636AAF" w:rsidP="00636AAF">
      <w:pPr>
        <w:widowControl/>
        <w:autoSpaceDE/>
        <w:autoSpaceDN/>
        <w:adjustRightInd/>
        <w:spacing w:before="120" w:after="120" w:line="360" w:lineRule="auto"/>
        <w:jc w:val="both"/>
        <w:rPr>
          <w:rFonts w:ascii="Times New Roman" w:hAnsi="Times New Roman"/>
          <w:b/>
          <w:sz w:val="24"/>
          <w:szCs w:val="24"/>
          <w:lang w:eastAsia="en-US"/>
        </w:rPr>
      </w:pPr>
      <w:r w:rsidRPr="005833A1">
        <w:rPr>
          <w:rFonts w:ascii="Times New Roman" w:hAnsi="Times New Roman"/>
          <w:b/>
          <w:sz w:val="24"/>
          <w:szCs w:val="24"/>
          <w:lang w:eastAsia="en-US"/>
        </w:rPr>
        <w:t>za záujmové združenia občanov reprezentujúcich poberateľov dôchodkových dávok</w:t>
      </w:r>
    </w:p>
    <w:p w:rsidR="00636AAF" w:rsidRPr="005833A1" w:rsidRDefault="00636AAF" w:rsidP="00636AAF">
      <w:pPr>
        <w:widowControl/>
        <w:tabs>
          <w:tab w:val="left" w:pos="2835"/>
        </w:tabs>
        <w:autoSpaceDE/>
        <w:autoSpaceDN/>
        <w:adjustRightInd/>
        <w:spacing w:after="120" w:line="360" w:lineRule="auto"/>
        <w:ind w:left="3540" w:hanging="3540"/>
        <w:rPr>
          <w:rFonts w:ascii="Times New Roman" w:hAnsi="Times New Roman"/>
          <w:sz w:val="24"/>
          <w:szCs w:val="24"/>
          <w:lang w:eastAsia="en-US"/>
        </w:rPr>
      </w:pPr>
      <w:r w:rsidRPr="005833A1">
        <w:rPr>
          <w:rFonts w:ascii="Times New Roman" w:hAnsi="Times New Roman"/>
          <w:sz w:val="24"/>
          <w:szCs w:val="24"/>
          <w:lang w:eastAsia="en-US"/>
        </w:rPr>
        <w:t xml:space="preserve">Ing. Ján </w:t>
      </w:r>
      <w:proofErr w:type="spellStart"/>
      <w:r w:rsidRPr="005833A1">
        <w:rPr>
          <w:rFonts w:ascii="Times New Roman" w:hAnsi="Times New Roman"/>
          <w:sz w:val="24"/>
          <w:szCs w:val="24"/>
          <w:lang w:eastAsia="en-US"/>
        </w:rPr>
        <w:t>Lipiansky</w:t>
      </w:r>
      <w:proofErr w:type="spellEnd"/>
      <w:r w:rsidRPr="005833A1">
        <w:rPr>
          <w:rFonts w:ascii="Times New Roman" w:hAnsi="Times New Roman"/>
          <w:sz w:val="24"/>
          <w:szCs w:val="24"/>
          <w:lang w:eastAsia="en-US"/>
        </w:rPr>
        <w:tab/>
      </w:r>
      <w:r w:rsidRPr="005833A1">
        <w:rPr>
          <w:rFonts w:ascii="Times New Roman" w:hAnsi="Times New Roman"/>
          <w:sz w:val="24"/>
          <w:szCs w:val="24"/>
          <w:lang w:eastAsia="en-US"/>
        </w:rPr>
        <w:tab/>
        <w:t>Jednota dôchodcov na Slovensku.</w:t>
      </w:r>
    </w:p>
    <w:p w:rsidR="00636AAF" w:rsidRPr="005833A1" w:rsidRDefault="00636AAF" w:rsidP="00636AAF">
      <w:pPr>
        <w:widowControl/>
        <w:autoSpaceDE/>
        <w:autoSpaceDN/>
        <w:adjustRightInd/>
        <w:spacing w:before="120" w:line="360" w:lineRule="auto"/>
        <w:jc w:val="both"/>
        <w:rPr>
          <w:rFonts w:ascii="Times New Roman" w:hAnsi="Times New Roman"/>
          <w:sz w:val="24"/>
          <w:szCs w:val="24"/>
          <w:lang w:eastAsia="en-US"/>
        </w:rPr>
      </w:pPr>
      <w:r w:rsidRPr="005833A1">
        <w:rPr>
          <w:rFonts w:ascii="Times New Roman" w:hAnsi="Times New Roman"/>
          <w:sz w:val="24"/>
          <w:szCs w:val="24"/>
          <w:lang w:eastAsia="en-US"/>
        </w:rPr>
        <w:t xml:space="preserve">Funkciu podpredsedov dozornej rady vykonávali Ing. Pavol </w:t>
      </w:r>
      <w:proofErr w:type="spellStart"/>
      <w:r w:rsidRPr="005833A1">
        <w:rPr>
          <w:rFonts w:ascii="Times New Roman" w:hAnsi="Times New Roman"/>
          <w:sz w:val="24"/>
          <w:szCs w:val="24"/>
          <w:lang w:eastAsia="en-US"/>
        </w:rPr>
        <w:t>Brnka</w:t>
      </w:r>
      <w:proofErr w:type="spellEnd"/>
      <w:r w:rsidRPr="005833A1">
        <w:rPr>
          <w:rFonts w:ascii="Times New Roman" w:hAnsi="Times New Roman"/>
          <w:sz w:val="24"/>
          <w:szCs w:val="24"/>
          <w:lang w:eastAsia="en-US"/>
        </w:rPr>
        <w:t xml:space="preserve"> a Ing. Magdaléna </w:t>
      </w:r>
      <w:proofErr w:type="spellStart"/>
      <w:r w:rsidRPr="005833A1">
        <w:rPr>
          <w:rFonts w:ascii="Times New Roman" w:hAnsi="Times New Roman"/>
          <w:sz w:val="24"/>
          <w:szCs w:val="24"/>
          <w:lang w:eastAsia="en-US"/>
        </w:rPr>
        <w:t>Mellenová</w:t>
      </w:r>
      <w:proofErr w:type="spellEnd"/>
      <w:r w:rsidRPr="005833A1">
        <w:rPr>
          <w:rFonts w:ascii="Times New Roman" w:hAnsi="Times New Roman"/>
          <w:sz w:val="24"/>
          <w:szCs w:val="24"/>
          <w:lang w:eastAsia="en-US"/>
        </w:rPr>
        <w:t>.</w:t>
      </w:r>
    </w:p>
    <w:p w:rsidR="00636AAF" w:rsidRPr="005833A1" w:rsidRDefault="00636AAF" w:rsidP="00636AAF">
      <w:pPr>
        <w:widowControl/>
        <w:autoSpaceDE/>
        <w:autoSpaceDN/>
        <w:adjustRightInd/>
        <w:spacing w:line="360" w:lineRule="auto"/>
        <w:jc w:val="both"/>
        <w:rPr>
          <w:rFonts w:ascii="Times New Roman" w:hAnsi="Times New Roman"/>
          <w:color w:val="FF0000"/>
          <w:sz w:val="24"/>
          <w:szCs w:val="24"/>
          <w:lang w:eastAsia="cs-CZ"/>
        </w:rPr>
      </w:pPr>
    </w:p>
    <w:p w:rsidR="00636AAF" w:rsidRPr="005833A1" w:rsidRDefault="00636AAF" w:rsidP="00636AAF">
      <w:pPr>
        <w:widowControl/>
        <w:autoSpaceDE/>
        <w:autoSpaceDN/>
        <w:adjustRightInd/>
        <w:spacing w:line="360" w:lineRule="auto"/>
        <w:jc w:val="both"/>
        <w:rPr>
          <w:rFonts w:ascii="Times New Roman" w:hAnsi="Times New Roman"/>
          <w:color w:val="FF0000"/>
          <w:sz w:val="24"/>
          <w:szCs w:val="24"/>
          <w:lang w:eastAsia="cs-CZ"/>
        </w:rPr>
      </w:pPr>
      <w:r w:rsidRPr="005833A1">
        <w:rPr>
          <w:rFonts w:ascii="Times New Roman" w:hAnsi="Times New Roman"/>
          <w:color w:val="FF0000"/>
          <w:sz w:val="24"/>
          <w:szCs w:val="24"/>
          <w:lang w:eastAsia="cs-CZ"/>
        </w:rPr>
        <w:tab/>
      </w:r>
      <w:r w:rsidRPr="005833A1">
        <w:rPr>
          <w:rFonts w:ascii="Times New Roman" w:hAnsi="Times New Roman"/>
          <w:sz w:val="24"/>
          <w:szCs w:val="24"/>
          <w:lang w:eastAsia="cs-CZ"/>
        </w:rPr>
        <w:t>V súlade so zákonom o sociálnom poistení, rokovacím poriadkom dozornej rady a schváleným vecným a časovým plánom konania zasadnutí dozornej rady v roku 2018 bolo zvolaných 6 zasadnutí, na ktorých bolo prijatých celkovo 83</w:t>
      </w:r>
      <w:r w:rsidRPr="005833A1">
        <w:rPr>
          <w:rFonts w:ascii="Times New Roman" w:hAnsi="Times New Roman"/>
          <w:b/>
          <w:sz w:val="24"/>
          <w:szCs w:val="24"/>
          <w:lang w:eastAsia="cs-CZ"/>
        </w:rPr>
        <w:t xml:space="preserve"> </w:t>
      </w:r>
      <w:r w:rsidRPr="005833A1">
        <w:rPr>
          <w:rFonts w:ascii="Times New Roman" w:hAnsi="Times New Roman"/>
          <w:sz w:val="24"/>
          <w:szCs w:val="24"/>
          <w:lang w:eastAsia="cs-CZ"/>
        </w:rPr>
        <w:t xml:space="preserve">uznesení. Dozorná rada zasadala per </w:t>
      </w:r>
      <w:proofErr w:type="spellStart"/>
      <w:r w:rsidRPr="005833A1">
        <w:rPr>
          <w:rFonts w:ascii="Times New Roman" w:hAnsi="Times New Roman"/>
          <w:sz w:val="24"/>
          <w:szCs w:val="24"/>
          <w:lang w:eastAsia="cs-CZ"/>
        </w:rPr>
        <w:t>rollam</w:t>
      </w:r>
      <w:proofErr w:type="spellEnd"/>
      <w:r w:rsidRPr="005833A1">
        <w:rPr>
          <w:rFonts w:ascii="Times New Roman" w:hAnsi="Times New Roman"/>
          <w:sz w:val="24"/>
          <w:szCs w:val="24"/>
          <w:lang w:eastAsia="cs-CZ"/>
        </w:rPr>
        <w:t xml:space="preserve"> 4 krát a prijala 7 uznesení.</w:t>
      </w:r>
      <w:r w:rsidRPr="005833A1">
        <w:rPr>
          <w:rFonts w:ascii="Times New Roman" w:hAnsi="Times New Roman"/>
          <w:color w:val="FF0000"/>
          <w:sz w:val="24"/>
          <w:szCs w:val="24"/>
          <w:lang w:eastAsia="cs-CZ"/>
        </w:rPr>
        <w:t xml:space="preserve"> </w:t>
      </w:r>
    </w:p>
    <w:p w:rsidR="00636AAF" w:rsidRPr="005833A1" w:rsidRDefault="00636AAF" w:rsidP="00636AAF">
      <w:pPr>
        <w:widowControl/>
        <w:autoSpaceDE/>
        <w:autoSpaceDN/>
        <w:adjustRightInd/>
        <w:spacing w:line="360" w:lineRule="auto"/>
        <w:jc w:val="both"/>
        <w:rPr>
          <w:rFonts w:ascii="Times New Roman" w:hAnsi="Times New Roman"/>
          <w:b/>
          <w:sz w:val="24"/>
          <w:szCs w:val="24"/>
          <w:lang w:eastAsia="cs-CZ"/>
        </w:rPr>
      </w:pPr>
    </w:p>
    <w:p w:rsidR="00636AAF" w:rsidRPr="005833A1" w:rsidRDefault="00636AAF" w:rsidP="00636AAF">
      <w:pPr>
        <w:widowControl/>
        <w:autoSpaceDE/>
        <w:autoSpaceDN/>
        <w:adjustRightInd/>
        <w:spacing w:line="360" w:lineRule="auto"/>
        <w:jc w:val="both"/>
        <w:rPr>
          <w:rFonts w:ascii="Times New Roman" w:hAnsi="Times New Roman"/>
          <w:sz w:val="24"/>
          <w:szCs w:val="24"/>
          <w:lang w:eastAsia="cs-CZ"/>
        </w:rPr>
      </w:pPr>
      <w:r w:rsidRPr="005833A1">
        <w:rPr>
          <w:rFonts w:ascii="Times New Roman" w:hAnsi="Times New Roman"/>
          <w:sz w:val="24"/>
          <w:szCs w:val="24"/>
          <w:lang w:eastAsia="cs-CZ"/>
        </w:rPr>
        <w:t>Dozorná rada sa na svojich zasadnutiach zaoberala:</w:t>
      </w:r>
    </w:p>
    <w:p w:rsidR="00636AAF" w:rsidRPr="005833A1" w:rsidRDefault="00636AAF" w:rsidP="00636AAF">
      <w:pPr>
        <w:widowControl/>
        <w:autoSpaceDE/>
        <w:autoSpaceDN/>
        <w:adjustRightInd/>
        <w:spacing w:line="360" w:lineRule="auto"/>
        <w:jc w:val="both"/>
        <w:rPr>
          <w:rFonts w:ascii="Times New Roman" w:hAnsi="Times New Roman"/>
          <w:color w:val="FF0000"/>
          <w:sz w:val="24"/>
          <w:szCs w:val="24"/>
          <w:lang w:eastAsia="cs-CZ"/>
        </w:rPr>
      </w:pP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 xml:space="preserve">Vyhodnotením plnenia uznesení Dozornej rady Sociálnej poisťovne </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i/>
          <w:sz w:val="24"/>
          <w:szCs w:val="24"/>
          <w:lang w:eastAsia="cs-CZ"/>
        </w:rPr>
      </w:pPr>
      <w:r w:rsidRPr="005833A1">
        <w:rPr>
          <w:rFonts w:ascii="Times New Roman" w:hAnsi="Times New Roman"/>
          <w:sz w:val="24"/>
          <w:szCs w:val="24"/>
          <w:lang w:eastAsia="cs-CZ"/>
        </w:rPr>
        <w:t xml:space="preserve">Správou o plnení strategických zámerov činnosti Sociálnej poisťovne v roku 2017 </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 xml:space="preserve">Návrhom stanoviska Dozornej rady Sociálnej poisťovne k Správe o plnení strategických zámerov činnosti Sociálnej poisťovne v roku 2017 </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 xml:space="preserve">Správou o hospodárení Sociálnej poisťovne </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Správou o výsledkoch kontrolnej činnosti hlavného kontrolóra Sociálnej poisťovne                   za II. polrok 2017</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Informáciou o úprave rozpisu rozpočtu správneho fondu na rok 2018</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Analýzou vývoja nemocenských dávok a dávky v nezamestnanosti</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Návrhom postupu pri vykrývaní deficitu v dôchodkovom poistení v roku 2018</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Návrhom Dodatku č. 2 k Pravidlám financovania a hospodárenia Sociálnej poisťovne</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Informáciou o činnostiach Sociálnej poisťovne v súvislosti s príjmami od EAO za rok 2017</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Informáciou o vývoji pohľadávok Sociálnej poisťovne voči zdravotníckym zariadeniam</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Návrhom postupu na nájom nebytových priestorov v Sociálnej poisťovni, pobočka Rimavská Sobota</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Návrhom postupu na nájom nebytových priestorov v Sociálnej poisťovni, pobočka Liptovský Mikuláš</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Informáciou o personálnom zabezpečení aktivít v rámci projektu „Elektronická výmena údajov o sociálnom zabezpečení“</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Návrhom na priznanie odmeny hlavnému kontrolórovi Sociálnej poisťovne</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Výročnou správou o činnosti Sociálnej poisťovne za rok 2017</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Informáciou o poberateľoch dôchodkov (prírastok, úbytok)</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Návrhom účtovnej závierky Sociálnej poisťovne za rok 2017</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Odborným stanoviskom hlavného kontrolóra Sociálnej poisťovne k návrhu účtovnej závierky Sociálnej poisťovne za rok 2017</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Návrhom stanoviska Dozornej rady Sociálnej poisťovne k návrhu účtovnej závierky Sociálnej poisťovne za rok 2017</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Správou o výsledkoch kontrolnej činnosti Sociálnej poisťovne v roku 2017 a plnenie akčného plánu boja proti zneužívaniu sociálneho systému a podvodom v Sociálnej poisťovni</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Informáciou o vybavovaní sťažností v organizačných zložkách Sociálnej poisťovne v roku 2017</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Návrhom postupu na nájom nebytových priestorov v Sociálnej poisťovni, pobočka Rimavská Sobota</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Návrhom na odpísanie trvalo nevymáhateľných pohľadávok štátu</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Informáciou o progrese rozvoja informačného systému Sociálnej poisťovne</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Zmluvou o postúpení pohľadávok</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Návrhom na riešenie aktuálnej situácie v oblasti postupovania pohľadávok Sociálnej poisťovne na Slovenskú konsolidačnú, a. s.</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Správou o výsledkoch kontrolnej činnosti hlavného kontrolóra Sociálnej poisťovne za I. polrok 2018</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Informáciou o aktuálnej situácii v oblasti postupovania pohľadávok Sociálnej poisťovne na Slovenskú konsolidačnú, a.</w:t>
      </w:r>
      <w:r>
        <w:rPr>
          <w:rFonts w:ascii="Times New Roman" w:hAnsi="Times New Roman"/>
          <w:sz w:val="24"/>
          <w:szCs w:val="24"/>
          <w:lang w:eastAsia="cs-CZ"/>
        </w:rPr>
        <w:t xml:space="preserve"> </w:t>
      </w:r>
      <w:r w:rsidRPr="005833A1">
        <w:rPr>
          <w:rFonts w:ascii="Times New Roman" w:hAnsi="Times New Roman"/>
          <w:sz w:val="24"/>
          <w:szCs w:val="24"/>
          <w:lang w:eastAsia="cs-CZ"/>
        </w:rPr>
        <w:t>s.</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Informáciou o správnom výkone v podmienkach Sociálnej poisťovne</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Návrhom na prerokovanie návrhu dodatku č. 5 k mandátnej zmluve o správe vybratých pohľadávok Sociálnej poisťovne č. 34-3227/2005 zo dňa 8. decembra 2005</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Predajom nepotrebného nehnuteľného majetku v Nových Zámkoch</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Predajom nepotrebného nehnuteľného majetku v Leviciach</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Návrhom na prerokovanie odvolania riaditeľky pobočky Dolný Kubín</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Návrhom na odpísanie pohľadávok Sociálnej poisťovne</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Návrhom na prerokovanie návrhu Zmluvy o postúpení pohľadávok číslo                       69769-1/2018-BA</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Predajom nepotrebného nehnuteľného majetku v Bratislave</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Ročným zúčtovaním - harmonogram rozvoja informačného systému Sociálnej poisťovne</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Predajom nepotrebného nehnuteľného majetku v Leviciach</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Návrhom plánu verejného obstarávania pre nadlimitné zákazky na dodanie tovaru, uskutočnenie stavebných prác a poskytnutie služieb v Sociálnej poisťovni na rok 2019</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Návrhom dodatku č. 2 k Organizačnému poriadku Sociálnej poisťovne</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Návrhom plánu kontrolnej činnosti útvaru hlavného kontrolóra Sociálnej poisťovne v roku 2019</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Návrhom vecného a časového plánu konania zasadnutí Dozornej rady Sociálnej poisťovne v roku 2019</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Informáciou o úprave sumy starobného dôchodku vypočítaného podľa právnych predpisov účinných pred 1. januárom 2004</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Návrhom na odvolanie riaditeľky pobočky Veľký Krtíš</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Návrhom rozpočtu Sociálnej poisťovne na rok 2019 a rozpočtový výhľad na roky 2020 až 2021</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Návrhom stanoviska Dozornej rady Sociálnej poisťovne k návrhu rozpočtu Sociálnej poisťovne na rok 2019 a rozpočtovému výhľadu na roky 2020 až 2021</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Odborným stanoviskom hlavného kontrolóra Sociálnej poisťovne k návrhu rozpočtu Sociálnej poisťovne na rok 2019 a rozpočtovému výhľadu na roky 2020 a 2021 k častiam týkajúcim sa správneho fondu</w:t>
      </w:r>
    </w:p>
    <w:p w:rsidR="00636AAF" w:rsidRPr="005833A1" w:rsidRDefault="00636AAF" w:rsidP="00636AAF">
      <w:pPr>
        <w:widowControl/>
        <w:numPr>
          <w:ilvl w:val="0"/>
          <w:numId w:val="20"/>
        </w:numPr>
        <w:autoSpaceDE/>
        <w:autoSpaceDN/>
        <w:adjustRightInd/>
        <w:spacing w:after="120" w:line="360" w:lineRule="auto"/>
        <w:ind w:left="426"/>
        <w:contextualSpacing/>
        <w:jc w:val="both"/>
        <w:rPr>
          <w:rFonts w:ascii="Times New Roman" w:hAnsi="Times New Roman"/>
          <w:sz w:val="24"/>
          <w:szCs w:val="24"/>
          <w:lang w:eastAsia="cs-CZ"/>
        </w:rPr>
      </w:pPr>
      <w:r w:rsidRPr="005833A1">
        <w:rPr>
          <w:rFonts w:ascii="Times New Roman" w:hAnsi="Times New Roman"/>
          <w:sz w:val="24"/>
          <w:szCs w:val="24"/>
          <w:lang w:eastAsia="cs-CZ"/>
        </w:rPr>
        <w:t>Doplnením plánu verejného obstarávania pre nadlimitné zákazky na dodanie tovaru, uskutočnenie stavebných prác a poskytnutie služieb v Sociálnej poisťovni na rok 2018</w:t>
      </w:r>
    </w:p>
    <w:p w:rsidR="00636AAF" w:rsidRPr="005833A1" w:rsidRDefault="00636AAF" w:rsidP="00636AAF">
      <w:pPr>
        <w:widowControl/>
        <w:autoSpaceDE/>
        <w:autoSpaceDN/>
        <w:adjustRightInd/>
        <w:spacing w:line="360" w:lineRule="auto"/>
        <w:jc w:val="both"/>
        <w:rPr>
          <w:rFonts w:ascii="Times New Roman" w:hAnsi="Times New Roman"/>
          <w:sz w:val="24"/>
          <w:szCs w:val="24"/>
          <w:lang w:eastAsia="cs-CZ"/>
        </w:rPr>
      </w:pPr>
    </w:p>
    <w:p w:rsidR="00636AAF" w:rsidRDefault="00636AAF" w:rsidP="00636AAF">
      <w:pPr>
        <w:widowControl/>
        <w:autoSpaceDE/>
        <w:autoSpaceDN/>
        <w:adjustRightInd/>
        <w:spacing w:after="120" w:line="360" w:lineRule="auto"/>
        <w:jc w:val="both"/>
        <w:rPr>
          <w:rFonts w:eastAsia="Times New Roman"/>
          <w:sz w:val="24"/>
          <w:szCs w:val="24"/>
        </w:rPr>
        <w:sectPr w:rsidR="00636AAF" w:rsidSect="0029649F">
          <w:footerReference w:type="even" r:id="rId16"/>
          <w:footerReference w:type="default" r:id="rId17"/>
          <w:pgSz w:w="11906" w:h="16838"/>
          <w:pgMar w:top="1276" w:right="1417" w:bottom="1134" w:left="1417" w:header="708" w:footer="708" w:gutter="0"/>
          <w:pgNumType w:start="0"/>
          <w:cols w:space="708"/>
          <w:titlePg/>
          <w:docGrid w:linePitch="360"/>
        </w:sectPr>
      </w:pPr>
    </w:p>
    <w:p w:rsidR="00E43059" w:rsidRPr="0086321B" w:rsidRDefault="00E43059" w:rsidP="00E43059">
      <w:pPr>
        <w:ind w:left="5954"/>
        <w:rPr>
          <w:rFonts w:ascii="Times New Roman" w:hAnsi="Times New Roman"/>
        </w:rPr>
      </w:pPr>
      <w:r w:rsidRPr="0086321B">
        <w:rPr>
          <w:rFonts w:ascii="Times New Roman" w:hAnsi="Times New Roman"/>
          <w:sz w:val="20"/>
        </w:rPr>
        <w:t>Príloha k účtovnej závierke</w:t>
      </w:r>
      <w:r w:rsidRPr="0086321B">
        <w:rPr>
          <w:rFonts w:ascii="Times New Roman" w:hAnsi="Times New Roman"/>
        </w:rPr>
        <w:t xml:space="preserve"> </w:t>
      </w:r>
    </w:p>
    <w:p w:rsidR="00E43059" w:rsidRPr="0086321B" w:rsidRDefault="00E43059" w:rsidP="00E43059">
      <w:pPr>
        <w:ind w:left="5954"/>
        <w:rPr>
          <w:rFonts w:ascii="Times New Roman" w:hAnsi="Times New Roman"/>
          <w:sz w:val="20"/>
        </w:rPr>
      </w:pPr>
      <w:r w:rsidRPr="0086321B">
        <w:rPr>
          <w:rFonts w:ascii="Times New Roman" w:hAnsi="Times New Roman"/>
          <w:sz w:val="20"/>
        </w:rPr>
        <w:t>Sociálnej poisťovne</w:t>
      </w:r>
    </w:p>
    <w:p w:rsidR="00E43059" w:rsidRPr="0086321B" w:rsidRDefault="00E43059" w:rsidP="00E43059">
      <w:pPr>
        <w:ind w:left="5954"/>
        <w:rPr>
          <w:rFonts w:ascii="Times New Roman" w:hAnsi="Times New Roman"/>
          <w:sz w:val="20"/>
        </w:rPr>
      </w:pPr>
      <w:r w:rsidRPr="0086321B">
        <w:rPr>
          <w:rFonts w:ascii="Times New Roman" w:hAnsi="Times New Roman"/>
          <w:sz w:val="20"/>
        </w:rPr>
        <w:t>(v zmysle § 123 ods. 2 písm. a)</w:t>
      </w:r>
    </w:p>
    <w:p w:rsidR="00E43059" w:rsidRPr="0086321B" w:rsidRDefault="00E43059" w:rsidP="00E43059">
      <w:pPr>
        <w:pStyle w:val="Zkladntext"/>
        <w:spacing w:after="0"/>
        <w:ind w:left="5954"/>
        <w:rPr>
          <w:rFonts w:ascii="Times New Roman" w:hAnsi="Times New Roman"/>
          <w:sz w:val="20"/>
          <w:szCs w:val="20"/>
        </w:rPr>
      </w:pPr>
      <w:r w:rsidRPr="0086321B">
        <w:rPr>
          <w:rFonts w:ascii="Times New Roman" w:hAnsi="Times New Roman"/>
          <w:sz w:val="20"/>
          <w:szCs w:val="20"/>
        </w:rPr>
        <w:t>druhý bod zákona č. 461/2003 Z. z</w:t>
      </w:r>
    </w:p>
    <w:p w:rsidR="00E43059" w:rsidRPr="0086321B" w:rsidRDefault="00E43059" w:rsidP="00E43059">
      <w:pPr>
        <w:pStyle w:val="Zkladntext"/>
        <w:spacing w:after="0"/>
        <w:ind w:left="5954"/>
        <w:rPr>
          <w:rFonts w:ascii="Times New Roman" w:hAnsi="Times New Roman"/>
          <w:sz w:val="20"/>
          <w:szCs w:val="20"/>
        </w:rPr>
      </w:pPr>
      <w:r w:rsidRPr="0086321B">
        <w:rPr>
          <w:rFonts w:ascii="Times New Roman" w:hAnsi="Times New Roman"/>
          <w:sz w:val="20"/>
          <w:szCs w:val="20"/>
        </w:rPr>
        <w:t xml:space="preserve">o sociálnom poistení v znení </w:t>
      </w:r>
    </w:p>
    <w:p w:rsidR="00E43059" w:rsidRPr="00690EB9" w:rsidRDefault="00E43059" w:rsidP="00E43059">
      <w:pPr>
        <w:pStyle w:val="Zkladntext"/>
        <w:spacing w:after="0"/>
        <w:ind w:left="5954"/>
        <w:rPr>
          <w:rFonts w:ascii="Times New Roman" w:hAnsi="Times New Roman"/>
          <w:sz w:val="20"/>
          <w:szCs w:val="20"/>
        </w:rPr>
      </w:pPr>
      <w:r>
        <w:rPr>
          <w:rFonts w:ascii="Times New Roman" w:hAnsi="Times New Roman"/>
          <w:sz w:val="20"/>
          <w:szCs w:val="20"/>
        </w:rPr>
        <w:t>neskorších predpisov)</w:t>
      </w:r>
    </w:p>
    <w:p w:rsidR="00E43059" w:rsidRPr="0086321B" w:rsidRDefault="00E43059" w:rsidP="00E43059">
      <w:pPr>
        <w:rPr>
          <w:rFonts w:ascii="Times New Roman" w:hAnsi="Times New Roman"/>
        </w:rPr>
      </w:pPr>
    </w:p>
    <w:p w:rsidR="00E43059" w:rsidRPr="0086321B" w:rsidRDefault="00E43059" w:rsidP="00E43059">
      <w:pPr>
        <w:rPr>
          <w:rFonts w:ascii="Times New Roman" w:hAnsi="Times New Roman"/>
        </w:rPr>
      </w:pPr>
    </w:p>
    <w:p w:rsidR="00E43059" w:rsidRPr="0086321B" w:rsidRDefault="00E43059" w:rsidP="00E43059">
      <w:pPr>
        <w:rPr>
          <w:rFonts w:ascii="Times New Roman" w:hAnsi="Times New Roman"/>
        </w:rPr>
      </w:pPr>
    </w:p>
    <w:p w:rsidR="00E43059" w:rsidRPr="0086321B" w:rsidRDefault="00E43059" w:rsidP="00E43059">
      <w:pPr>
        <w:rPr>
          <w:rFonts w:ascii="Times New Roman" w:hAnsi="Times New Roman"/>
        </w:rPr>
      </w:pPr>
    </w:p>
    <w:p w:rsidR="00E43059" w:rsidRPr="0086321B" w:rsidRDefault="00E43059" w:rsidP="00E43059">
      <w:pPr>
        <w:rPr>
          <w:rFonts w:ascii="Times New Roman" w:hAnsi="Times New Roman"/>
        </w:rPr>
      </w:pPr>
    </w:p>
    <w:p w:rsidR="00E43059" w:rsidRDefault="00E43059" w:rsidP="00E43059">
      <w:pPr>
        <w:spacing w:line="360" w:lineRule="auto"/>
        <w:jc w:val="center"/>
        <w:rPr>
          <w:rFonts w:ascii="Times New Roman" w:hAnsi="Times New Roman"/>
          <w:b/>
          <w:sz w:val="36"/>
          <w:szCs w:val="36"/>
        </w:rPr>
      </w:pPr>
    </w:p>
    <w:p w:rsidR="00E43059" w:rsidRDefault="00E43059" w:rsidP="00E43059">
      <w:pPr>
        <w:spacing w:line="360" w:lineRule="auto"/>
        <w:jc w:val="center"/>
        <w:rPr>
          <w:rFonts w:ascii="Times New Roman" w:hAnsi="Times New Roman"/>
          <w:b/>
          <w:sz w:val="36"/>
          <w:szCs w:val="36"/>
        </w:rPr>
      </w:pPr>
    </w:p>
    <w:p w:rsidR="00E43059" w:rsidRPr="0086321B" w:rsidRDefault="00E43059" w:rsidP="00E43059">
      <w:pPr>
        <w:spacing w:line="360" w:lineRule="auto"/>
        <w:jc w:val="center"/>
        <w:rPr>
          <w:rFonts w:ascii="Times New Roman" w:hAnsi="Times New Roman"/>
          <w:b/>
          <w:sz w:val="36"/>
          <w:szCs w:val="36"/>
        </w:rPr>
      </w:pPr>
      <w:r w:rsidRPr="0086321B">
        <w:rPr>
          <w:rFonts w:ascii="Times New Roman" w:hAnsi="Times New Roman"/>
          <w:b/>
          <w:sz w:val="36"/>
          <w:szCs w:val="36"/>
        </w:rPr>
        <w:t>Stanovisko Dozornej rady</w:t>
      </w:r>
    </w:p>
    <w:p w:rsidR="00E43059" w:rsidRDefault="00E43059" w:rsidP="00E43059">
      <w:pPr>
        <w:spacing w:line="360" w:lineRule="auto"/>
        <w:jc w:val="center"/>
        <w:rPr>
          <w:rFonts w:ascii="Times New Roman" w:hAnsi="Times New Roman"/>
          <w:b/>
          <w:sz w:val="36"/>
          <w:szCs w:val="36"/>
        </w:rPr>
      </w:pPr>
      <w:r w:rsidRPr="0086321B">
        <w:rPr>
          <w:rFonts w:ascii="Times New Roman" w:hAnsi="Times New Roman"/>
          <w:b/>
          <w:sz w:val="36"/>
          <w:szCs w:val="36"/>
        </w:rPr>
        <w:t xml:space="preserve">Sociálnej poisťovne k návrhu účtovnej závierky </w:t>
      </w:r>
    </w:p>
    <w:p w:rsidR="00E43059" w:rsidRPr="0086321B" w:rsidRDefault="00E43059" w:rsidP="00E43059">
      <w:pPr>
        <w:spacing w:line="360" w:lineRule="auto"/>
        <w:jc w:val="center"/>
        <w:rPr>
          <w:rFonts w:ascii="Times New Roman" w:hAnsi="Times New Roman"/>
          <w:b/>
          <w:sz w:val="36"/>
          <w:szCs w:val="36"/>
        </w:rPr>
      </w:pPr>
      <w:r w:rsidRPr="0086321B">
        <w:rPr>
          <w:rFonts w:ascii="Times New Roman" w:hAnsi="Times New Roman"/>
          <w:b/>
          <w:sz w:val="36"/>
          <w:szCs w:val="36"/>
        </w:rPr>
        <w:t xml:space="preserve">Sociálnej poisťovne </w:t>
      </w:r>
    </w:p>
    <w:p w:rsidR="00E43059" w:rsidRPr="0086321B" w:rsidRDefault="00E43059" w:rsidP="00E43059">
      <w:pPr>
        <w:spacing w:line="360" w:lineRule="auto"/>
        <w:jc w:val="center"/>
        <w:rPr>
          <w:rFonts w:ascii="Times New Roman" w:hAnsi="Times New Roman"/>
          <w:b/>
          <w:sz w:val="36"/>
          <w:szCs w:val="36"/>
        </w:rPr>
      </w:pPr>
      <w:r>
        <w:rPr>
          <w:rFonts w:ascii="Times New Roman" w:hAnsi="Times New Roman"/>
          <w:b/>
          <w:sz w:val="36"/>
          <w:szCs w:val="36"/>
        </w:rPr>
        <w:t>za rok 2018</w:t>
      </w:r>
    </w:p>
    <w:p w:rsidR="00E43059" w:rsidRPr="0086321B" w:rsidRDefault="00E43059" w:rsidP="00E43059">
      <w:pPr>
        <w:jc w:val="center"/>
        <w:rPr>
          <w:rFonts w:ascii="Times New Roman" w:hAnsi="Times New Roman"/>
          <w:sz w:val="20"/>
        </w:rPr>
      </w:pPr>
    </w:p>
    <w:p w:rsidR="00E43059" w:rsidRPr="00313E28" w:rsidRDefault="00E43059" w:rsidP="00E43059">
      <w:pPr>
        <w:jc w:val="center"/>
      </w:pPr>
    </w:p>
    <w:p w:rsidR="00E43059" w:rsidRPr="00313E28" w:rsidRDefault="00E43059" w:rsidP="00E43059">
      <w:pPr>
        <w:jc w:val="center"/>
      </w:pPr>
    </w:p>
    <w:p w:rsidR="00E43059" w:rsidRPr="00313E28" w:rsidRDefault="00E43059" w:rsidP="00E43059">
      <w:pPr>
        <w:jc w:val="center"/>
      </w:pPr>
    </w:p>
    <w:p w:rsidR="00E43059" w:rsidRPr="00313E28" w:rsidRDefault="00E43059" w:rsidP="00E43059">
      <w:pPr>
        <w:jc w:val="center"/>
      </w:pPr>
    </w:p>
    <w:p w:rsidR="00E43059" w:rsidRPr="00313E28" w:rsidRDefault="00E43059" w:rsidP="00E43059">
      <w:pPr>
        <w:jc w:val="center"/>
      </w:pPr>
    </w:p>
    <w:p w:rsidR="00E43059" w:rsidRPr="00313E28" w:rsidRDefault="00E43059" w:rsidP="00E43059">
      <w:pPr>
        <w:sectPr w:rsidR="00E43059" w:rsidRPr="00313E28" w:rsidSect="002C3511">
          <w:footerReference w:type="default" r:id="rId18"/>
          <w:pgSz w:w="11906" w:h="16838"/>
          <w:pgMar w:top="1417" w:right="1417" w:bottom="1417" w:left="1417" w:header="708" w:footer="708" w:gutter="0"/>
          <w:cols w:space="708"/>
          <w:titlePg/>
        </w:sectPr>
      </w:pPr>
    </w:p>
    <w:p w:rsidR="00E43059" w:rsidRPr="005833A1" w:rsidRDefault="00E43059" w:rsidP="00E43059">
      <w:pPr>
        <w:widowControl/>
        <w:autoSpaceDE/>
        <w:autoSpaceDN/>
        <w:adjustRightInd/>
        <w:spacing w:line="360" w:lineRule="auto"/>
        <w:jc w:val="center"/>
        <w:rPr>
          <w:rFonts w:ascii="Times New Roman" w:hAnsi="Times New Roman"/>
          <w:b/>
          <w:color w:val="000000"/>
          <w:sz w:val="24"/>
          <w:szCs w:val="24"/>
          <w:lang w:eastAsia="cs-CZ"/>
        </w:rPr>
      </w:pPr>
      <w:r w:rsidRPr="005833A1">
        <w:rPr>
          <w:rFonts w:ascii="Times New Roman" w:hAnsi="Times New Roman"/>
          <w:b/>
          <w:color w:val="000000"/>
          <w:sz w:val="24"/>
          <w:szCs w:val="24"/>
          <w:lang w:eastAsia="cs-CZ"/>
        </w:rPr>
        <w:t xml:space="preserve">Stanovisko Dozornej rady Sociálnej poisťovne </w:t>
      </w:r>
    </w:p>
    <w:p w:rsidR="00E43059" w:rsidRPr="005833A1" w:rsidRDefault="00E43059" w:rsidP="00E43059">
      <w:pPr>
        <w:widowControl/>
        <w:autoSpaceDE/>
        <w:autoSpaceDN/>
        <w:adjustRightInd/>
        <w:spacing w:line="360" w:lineRule="auto"/>
        <w:jc w:val="center"/>
        <w:rPr>
          <w:rFonts w:ascii="Times New Roman" w:hAnsi="Times New Roman"/>
          <w:b/>
          <w:color w:val="000000"/>
          <w:sz w:val="24"/>
          <w:szCs w:val="24"/>
          <w:lang w:eastAsia="cs-CZ"/>
        </w:rPr>
      </w:pPr>
      <w:r w:rsidRPr="005833A1">
        <w:rPr>
          <w:rFonts w:ascii="Times New Roman" w:hAnsi="Times New Roman"/>
          <w:b/>
          <w:color w:val="000000"/>
          <w:sz w:val="24"/>
          <w:szCs w:val="24"/>
          <w:lang w:eastAsia="cs-CZ"/>
        </w:rPr>
        <w:t>k návrhu účtovnej závierky Sociálnej poisťovne za rok 2018</w:t>
      </w:r>
    </w:p>
    <w:p w:rsidR="00E43059" w:rsidRPr="005833A1" w:rsidRDefault="00E43059" w:rsidP="00E43059">
      <w:pPr>
        <w:widowControl/>
        <w:autoSpaceDE/>
        <w:autoSpaceDN/>
        <w:adjustRightInd/>
        <w:spacing w:line="360" w:lineRule="auto"/>
        <w:jc w:val="center"/>
        <w:rPr>
          <w:rFonts w:ascii="Times New Roman" w:hAnsi="Times New Roman"/>
          <w:b/>
          <w:color w:val="000000"/>
          <w:sz w:val="24"/>
          <w:szCs w:val="24"/>
          <w:lang w:eastAsia="cs-CZ"/>
        </w:rPr>
      </w:pPr>
    </w:p>
    <w:p w:rsidR="00E43059" w:rsidRPr="005833A1" w:rsidRDefault="00E43059" w:rsidP="00E43059">
      <w:pPr>
        <w:widowControl/>
        <w:autoSpaceDE/>
        <w:autoSpaceDN/>
        <w:adjustRightInd/>
        <w:spacing w:line="360" w:lineRule="auto"/>
        <w:ind w:firstLine="54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 xml:space="preserve">Účtovná závierka je štruktúrovaná prezentácia skutočností, ktoré sú predmetom účtovníctva. Je to komplex uzávierkových prác súvisiacich s uzavretím účtovných kníh, t. j. všetkých účtov bežného účtovníctva. </w:t>
      </w:r>
    </w:p>
    <w:p w:rsidR="00E43059" w:rsidRPr="005833A1" w:rsidRDefault="00E43059" w:rsidP="00E43059">
      <w:pPr>
        <w:widowControl/>
        <w:autoSpaceDE/>
        <w:autoSpaceDN/>
        <w:adjustRightInd/>
        <w:spacing w:line="360" w:lineRule="auto"/>
        <w:ind w:firstLine="540"/>
        <w:jc w:val="both"/>
        <w:rPr>
          <w:rFonts w:ascii="Times New Roman" w:hAnsi="Times New Roman"/>
          <w:color w:val="000000"/>
          <w:sz w:val="24"/>
          <w:szCs w:val="24"/>
          <w:lang w:eastAsia="cs-CZ"/>
        </w:rPr>
      </w:pPr>
    </w:p>
    <w:p w:rsidR="00E43059" w:rsidRPr="005833A1" w:rsidRDefault="00E43059" w:rsidP="00E43059">
      <w:pPr>
        <w:widowControl/>
        <w:autoSpaceDE/>
        <w:autoSpaceDN/>
        <w:adjustRightInd/>
        <w:spacing w:line="360" w:lineRule="auto"/>
        <w:ind w:firstLine="54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Jej podstatou je zistiť k stanovenému dňu stav majetku, záväzkov a rozdielu majetku       a záväzkov ocenenom v peňažných jednotkách a vyjadriť hospodársky výsledok.</w:t>
      </w:r>
    </w:p>
    <w:p w:rsidR="00E43059" w:rsidRPr="005833A1" w:rsidRDefault="00E43059" w:rsidP="00E43059">
      <w:pPr>
        <w:widowControl/>
        <w:autoSpaceDE/>
        <w:autoSpaceDN/>
        <w:adjustRightInd/>
        <w:spacing w:line="360" w:lineRule="auto"/>
        <w:ind w:firstLine="540"/>
        <w:jc w:val="both"/>
        <w:rPr>
          <w:rFonts w:ascii="Times New Roman" w:hAnsi="Times New Roman"/>
          <w:color w:val="000000"/>
          <w:sz w:val="24"/>
          <w:szCs w:val="24"/>
          <w:lang w:eastAsia="cs-CZ"/>
        </w:rPr>
      </w:pPr>
    </w:p>
    <w:p w:rsidR="00E43059" w:rsidRPr="005833A1" w:rsidRDefault="00E43059" w:rsidP="00E43059">
      <w:pPr>
        <w:widowControl/>
        <w:autoSpaceDE/>
        <w:autoSpaceDN/>
        <w:adjustRightInd/>
        <w:spacing w:line="360" w:lineRule="auto"/>
        <w:ind w:firstLine="54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Základným predpokladom zostavenia návrhu účtovnej závierky Sociálnej poisťovne je mať správne, úplne a preukázateľne vedené účtovníctvo. Tento predpoklad vyžaduje § 8 zákona č. 431/2002 Z. z. o účtovníctve v znení neskorších predpisov. Sociálna poisťovňa je povinná zaznamenať všetky operácie, ktoré predstavujú účtovný prípad a to na základe účtovných dokladov obsahujúcich všetky predpísané náležitosti.</w:t>
      </w:r>
    </w:p>
    <w:p w:rsidR="00E43059" w:rsidRPr="005833A1" w:rsidRDefault="00E43059" w:rsidP="00E43059">
      <w:pPr>
        <w:widowControl/>
        <w:autoSpaceDE/>
        <w:autoSpaceDN/>
        <w:adjustRightInd/>
        <w:spacing w:line="360" w:lineRule="auto"/>
        <w:ind w:firstLine="540"/>
        <w:jc w:val="both"/>
        <w:rPr>
          <w:rFonts w:ascii="Times New Roman" w:hAnsi="Times New Roman"/>
          <w:color w:val="000000"/>
          <w:sz w:val="24"/>
          <w:szCs w:val="24"/>
          <w:lang w:eastAsia="cs-CZ"/>
        </w:rPr>
      </w:pPr>
    </w:p>
    <w:p w:rsidR="00E43059" w:rsidRPr="005833A1" w:rsidRDefault="00E43059" w:rsidP="00E43059">
      <w:pPr>
        <w:widowControl/>
        <w:autoSpaceDE/>
        <w:autoSpaceDN/>
        <w:adjustRightInd/>
        <w:spacing w:line="360" w:lineRule="auto"/>
        <w:ind w:firstLine="54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Podklady, z ktorých Sociálna poisťovňa vychádza pri zostavení návrhu účtovnej závierky a prác s tým spojených, sú najmä hlavná kniha za účtovné obdobie, evidencia majetku, výsledky inventarizácie a vnútorné predpisy poisťovne.</w:t>
      </w:r>
    </w:p>
    <w:p w:rsidR="00E43059" w:rsidRPr="005833A1" w:rsidRDefault="00E43059" w:rsidP="00E43059">
      <w:pPr>
        <w:widowControl/>
        <w:autoSpaceDE/>
        <w:autoSpaceDN/>
        <w:adjustRightInd/>
        <w:spacing w:line="360" w:lineRule="auto"/>
        <w:ind w:left="180" w:hanging="180"/>
        <w:jc w:val="both"/>
        <w:rPr>
          <w:rFonts w:ascii="Times New Roman" w:hAnsi="Times New Roman"/>
          <w:color w:val="000000"/>
          <w:sz w:val="24"/>
          <w:szCs w:val="24"/>
          <w:lang w:eastAsia="cs-CZ"/>
        </w:rPr>
      </w:pPr>
    </w:p>
    <w:p w:rsidR="00E43059" w:rsidRPr="005833A1" w:rsidRDefault="00E43059" w:rsidP="00E43059">
      <w:pPr>
        <w:widowControl/>
        <w:autoSpaceDE/>
        <w:autoSpaceDN/>
        <w:adjustRightInd/>
        <w:spacing w:line="360" w:lineRule="auto"/>
        <w:ind w:firstLine="54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 xml:space="preserve">Na zabezpečenie všetkých úkonov smerujúcich k zostaveniu návrhu účtovnej závierky Sociálnej poisťovne je nevyhnutná </w:t>
      </w:r>
      <w:proofErr w:type="spellStart"/>
      <w:r w:rsidRPr="005833A1">
        <w:rPr>
          <w:rFonts w:ascii="Times New Roman" w:hAnsi="Times New Roman"/>
          <w:color w:val="000000"/>
          <w:sz w:val="24"/>
          <w:szCs w:val="24"/>
          <w:lang w:eastAsia="cs-CZ"/>
        </w:rPr>
        <w:t>sumarizácia</w:t>
      </w:r>
      <w:proofErr w:type="spellEnd"/>
      <w:r w:rsidRPr="005833A1">
        <w:rPr>
          <w:rFonts w:ascii="Times New Roman" w:hAnsi="Times New Roman"/>
          <w:color w:val="000000"/>
          <w:sz w:val="24"/>
          <w:szCs w:val="24"/>
          <w:lang w:eastAsia="cs-CZ"/>
        </w:rPr>
        <w:t xml:space="preserve"> účtovných závierok ústredia a pobočiek Sociálnej poisťovne. Sociálna poisťovňa ústredie a organizačné zložky postupovali v zmysle metodického usmernenia </w:t>
      </w:r>
      <w:r>
        <w:rPr>
          <w:rFonts w:ascii="Times New Roman" w:hAnsi="Times New Roman"/>
          <w:color w:val="000000"/>
          <w:sz w:val="24"/>
          <w:szCs w:val="24"/>
          <w:lang w:eastAsia="cs-CZ"/>
        </w:rPr>
        <w:t>č. 34/2018 dodatok č. 6 k MU SP č. 39/2012</w:t>
      </w:r>
      <w:r w:rsidRPr="005833A1">
        <w:rPr>
          <w:rFonts w:ascii="Times New Roman" w:hAnsi="Times New Roman"/>
          <w:color w:val="000000"/>
          <w:sz w:val="24"/>
          <w:szCs w:val="24"/>
          <w:lang w:eastAsia="cs-CZ"/>
        </w:rPr>
        <w:t xml:space="preserve"> Postup organizačných zložiek pri zostavovaní návrhu účtovnej závierky Sociálnej poisťovne a súhrnnej účtovnej závierky verejnej správy, ktorého prílohou je  vecný a časový harmonogram prác účtovnej závierky a súhrnnej účtovnej závierky verejnej správy.</w:t>
      </w:r>
    </w:p>
    <w:p w:rsidR="00E43059" w:rsidRPr="005833A1" w:rsidRDefault="00E43059" w:rsidP="00E43059">
      <w:pPr>
        <w:widowControl/>
        <w:autoSpaceDE/>
        <w:autoSpaceDN/>
        <w:adjustRightInd/>
        <w:spacing w:line="360" w:lineRule="auto"/>
        <w:ind w:firstLine="54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 xml:space="preserve"> </w:t>
      </w:r>
    </w:p>
    <w:p w:rsidR="00E43059" w:rsidRPr="005833A1" w:rsidRDefault="00E43059" w:rsidP="00E43059">
      <w:pPr>
        <w:widowControl/>
        <w:autoSpaceDE/>
        <w:autoSpaceDN/>
        <w:adjustRightInd/>
        <w:spacing w:line="360" w:lineRule="auto"/>
        <w:ind w:firstLine="54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Na základe metodických usmernení vo veci spracovania a obsahovej náplne návrhu účtovnej závierky a určenia termínov na spracovanie jej jednotlivých častí, vecne príslušné útvary ústredia Sociálnej poisťovne, pobočky Sociálnej poisťovne a ústredná inventarizačná komisia v ústredí Sociálnej poisťovne predložili v požadovanom rozsahu odboru účtovníctva príslušné podklady za rok 2018.</w:t>
      </w:r>
    </w:p>
    <w:p w:rsidR="00E43059" w:rsidRPr="005833A1" w:rsidRDefault="00E43059" w:rsidP="00E43059">
      <w:pPr>
        <w:widowControl/>
        <w:autoSpaceDE/>
        <w:autoSpaceDN/>
        <w:adjustRightInd/>
        <w:spacing w:line="360" w:lineRule="auto"/>
        <w:ind w:firstLine="540"/>
        <w:jc w:val="both"/>
        <w:rPr>
          <w:rFonts w:ascii="Times New Roman" w:hAnsi="Times New Roman"/>
          <w:color w:val="000000"/>
          <w:sz w:val="24"/>
          <w:szCs w:val="24"/>
          <w:lang w:eastAsia="cs-CZ"/>
        </w:rPr>
      </w:pPr>
    </w:p>
    <w:p w:rsidR="00E43059" w:rsidRPr="005833A1" w:rsidRDefault="00E43059" w:rsidP="00E43059">
      <w:pPr>
        <w:widowControl/>
        <w:autoSpaceDE/>
        <w:autoSpaceDN/>
        <w:adjustRightInd/>
        <w:spacing w:line="360" w:lineRule="auto"/>
        <w:ind w:firstLine="54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 xml:space="preserve">Odbor účtovníctva vykonal </w:t>
      </w:r>
      <w:proofErr w:type="spellStart"/>
      <w:r w:rsidRPr="005833A1">
        <w:rPr>
          <w:rFonts w:ascii="Times New Roman" w:hAnsi="Times New Roman"/>
          <w:color w:val="000000"/>
          <w:sz w:val="24"/>
          <w:szCs w:val="24"/>
          <w:lang w:eastAsia="cs-CZ"/>
        </w:rPr>
        <w:t>sumarizáciu</w:t>
      </w:r>
      <w:proofErr w:type="spellEnd"/>
      <w:r w:rsidRPr="005833A1">
        <w:rPr>
          <w:rFonts w:ascii="Times New Roman" w:hAnsi="Times New Roman"/>
          <w:color w:val="000000"/>
          <w:sz w:val="24"/>
          <w:szCs w:val="24"/>
          <w:lang w:eastAsia="cs-CZ"/>
        </w:rPr>
        <w:t xml:space="preserve"> účtovných kníh Sociálnej poisťovne a vyhotovil účtovné a finančné výkazy za Sociálnu poisťovňu ako účtovnú jednotku.</w:t>
      </w:r>
    </w:p>
    <w:p w:rsidR="00E43059" w:rsidRPr="005833A1" w:rsidRDefault="00E43059" w:rsidP="00E43059">
      <w:pPr>
        <w:widowControl/>
        <w:autoSpaceDE/>
        <w:autoSpaceDN/>
        <w:adjustRightInd/>
        <w:spacing w:line="360" w:lineRule="auto"/>
        <w:ind w:firstLine="540"/>
        <w:jc w:val="both"/>
        <w:rPr>
          <w:rFonts w:ascii="Times New Roman" w:hAnsi="Times New Roman"/>
          <w:color w:val="000000"/>
          <w:sz w:val="24"/>
          <w:szCs w:val="24"/>
          <w:lang w:eastAsia="cs-CZ"/>
        </w:rPr>
      </w:pPr>
    </w:p>
    <w:p w:rsidR="00E43059" w:rsidRPr="005833A1" w:rsidRDefault="00E43059" w:rsidP="00E43059">
      <w:pPr>
        <w:widowControl/>
        <w:autoSpaceDE/>
        <w:autoSpaceDN/>
        <w:adjustRightInd/>
        <w:spacing w:line="360" w:lineRule="auto"/>
        <w:ind w:firstLine="54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Návrh účtovnej závierky Sociálnej poisťovne za rok 2018 zostavila Sociálna poisťovňa v zmysle § 17 zákona č. 431/2002 Z. z. o účtovníct</w:t>
      </w:r>
      <w:r>
        <w:rPr>
          <w:rFonts w:ascii="Times New Roman" w:hAnsi="Times New Roman"/>
          <w:color w:val="000000"/>
          <w:sz w:val="24"/>
          <w:szCs w:val="24"/>
          <w:lang w:eastAsia="cs-CZ"/>
        </w:rPr>
        <w:t xml:space="preserve">ve v znení neskorších predpisov            </w:t>
      </w:r>
      <w:r w:rsidRPr="005833A1">
        <w:rPr>
          <w:rFonts w:ascii="Times New Roman" w:hAnsi="Times New Roman"/>
          <w:color w:val="000000"/>
          <w:sz w:val="24"/>
          <w:szCs w:val="24"/>
          <w:lang w:eastAsia="cs-CZ"/>
        </w:rPr>
        <w:t>v nadväznosti na opatrenie Ministerstva financií Slovenskej repu</w:t>
      </w:r>
      <w:r>
        <w:rPr>
          <w:rFonts w:ascii="Times New Roman" w:hAnsi="Times New Roman"/>
          <w:color w:val="000000"/>
          <w:sz w:val="24"/>
          <w:szCs w:val="24"/>
          <w:lang w:eastAsia="cs-CZ"/>
        </w:rPr>
        <w:t xml:space="preserve">bliky z 20. októbra 2011      </w:t>
      </w:r>
      <w:r w:rsidRPr="005833A1">
        <w:rPr>
          <w:rFonts w:ascii="Times New Roman" w:hAnsi="Times New Roman"/>
          <w:color w:val="000000"/>
          <w:sz w:val="24"/>
          <w:szCs w:val="24"/>
          <w:lang w:eastAsia="cs-CZ"/>
        </w:rPr>
        <w:t>č. MF/24032/2011-74, ktorým sa mení a dopĺňa opatrenie Ministerstva financií Slovenskej republiky zo 14. decembra 2005 č. MF/26940/2005-74, k</w:t>
      </w:r>
      <w:r>
        <w:rPr>
          <w:rFonts w:ascii="Times New Roman" w:hAnsi="Times New Roman"/>
          <w:color w:val="000000"/>
          <w:sz w:val="24"/>
          <w:szCs w:val="24"/>
          <w:lang w:eastAsia="cs-CZ"/>
        </w:rPr>
        <w:t xml:space="preserve">torým sa ustanovujú podrobnosti     </w:t>
      </w:r>
      <w:r w:rsidRPr="005833A1">
        <w:rPr>
          <w:rFonts w:ascii="Times New Roman" w:hAnsi="Times New Roman"/>
          <w:color w:val="000000"/>
          <w:sz w:val="24"/>
          <w:szCs w:val="24"/>
          <w:lang w:eastAsia="cs-CZ"/>
        </w:rPr>
        <w:t>o usporiadaní, označovaní a obsahovom vymedzení položiek účtovnej závierky pre Sociálnu poisťovňu v znení neskorších predpisov a s opatrením MF SR z 2. decembra 2015</w:t>
      </w:r>
      <w:r>
        <w:rPr>
          <w:rFonts w:ascii="Times New Roman" w:hAnsi="Times New Roman"/>
          <w:color w:val="000000"/>
          <w:sz w:val="24"/>
          <w:szCs w:val="24"/>
          <w:lang w:eastAsia="cs-CZ"/>
        </w:rPr>
        <w:t xml:space="preserve">            </w:t>
      </w:r>
      <w:r w:rsidRPr="005833A1">
        <w:rPr>
          <w:rFonts w:ascii="Times New Roman" w:hAnsi="Times New Roman"/>
          <w:color w:val="000000"/>
          <w:sz w:val="24"/>
          <w:szCs w:val="24"/>
          <w:lang w:eastAsia="cs-CZ"/>
        </w:rPr>
        <w:t xml:space="preserve"> č. MF/20338/2015-74, ktorým sa mení a dopĺňa opat</w:t>
      </w:r>
      <w:r>
        <w:rPr>
          <w:rFonts w:ascii="Times New Roman" w:hAnsi="Times New Roman"/>
          <w:color w:val="000000"/>
          <w:sz w:val="24"/>
          <w:szCs w:val="24"/>
          <w:lang w:eastAsia="cs-CZ"/>
        </w:rPr>
        <w:t xml:space="preserve">renie MF SR z 30. novembra 2005        </w:t>
      </w:r>
      <w:r w:rsidRPr="005833A1">
        <w:rPr>
          <w:rFonts w:ascii="Times New Roman" w:hAnsi="Times New Roman"/>
          <w:color w:val="000000"/>
          <w:sz w:val="24"/>
          <w:szCs w:val="24"/>
          <w:lang w:eastAsia="cs-CZ"/>
        </w:rPr>
        <w:t xml:space="preserve">č. MF/24035/2005-74, ktorým sa ustanovujú podrobnosti o postupoch účtovania a účtovej osnove pre Sociálnu poisťovňu v znení neskorších predpisov. </w:t>
      </w:r>
    </w:p>
    <w:p w:rsidR="00E43059" w:rsidRPr="005833A1" w:rsidRDefault="00E43059" w:rsidP="00E43059">
      <w:pPr>
        <w:widowControl/>
        <w:autoSpaceDE/>
        <w:autoSpaceDN/>
        <w:adjustRightInd/>
        <w:spacing w:line="360" w:lineRule="auto"/>
        <w:ind w:firstLine="540"/>
        <w:jc w:val="both"/>
        <w:rPr>
          <w:rFonts w:ascii="Times New Roman" w:hAnsi="Times New Roman"/>
          <w:color w:val="000000"/>
          <w:sz w:val="24"/>
          <w:szCs w:val="24"/>
          <w:lang w:eastAsia="cs-CZ"/>
        </w:rPr>
      </w:pPr>
    </w:p>
    <w:p w:rsidR="00E43059" w:rsidRPr="005833A1" w:rsidRDefault="00E43059" w:rsidP="00E43059">
      <w:pPr>
        <w:widowControl/>
        <w:autoSpaceDE/>
        <w:autoSpaceDN/>
        <w:adjustRightInd/>
        <w:spacing w:line="360" w:lineRule="auto"/>
        <w:ind w:firstLine="54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Návrh účtovnej závierky Sociálnej poisťovne za rok 2018 obsahuje tieto časti:</w:t>
      </w:r>
    </w:p>
    <w:p w:rsidR="00E43059" w:rsidRPr="005833A1" w:rsidRDefault="00E43059" w:rsidP="00E43059">
      <w:pPr>
        <w:widowControl/>
        <w:autoSpaceDE/>
        <w:autoSpaceDN/>
        <w:adjustRightInd/>
        <w:spacing w:line="360" w:lineRule="auto"/>
        <w:ind w:left="180" w:hanging="18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w:t>
      </w:r>
      <w:r w:rsidRPr="005833A1">
        <w:rPr>
          <w:rFonts w:ascii="Times New Roman" w:hAnsi="Times New Roman"/>
          <w:color w:val="000000"/>
          <w:sz w:val="24"/>
          <w:szCs w:val="24"/>
          <w:lang w:eastAsia="cs-CZ"/>
        </w:rPr>
        <w:tab/>
        <w:t>súvahu,</w:t>
      </w:r>
    </w:p>
    <w:p w:rsidR="00E43059" w:rsidRPr="005833A1" w:rsidRDefault="00E43059" w:rsidP="00E43059">
      <w:pPr>
        <w:widowControl/>
        <w:autoSpaceDE/>
        <w:autoSpaceDN/>
        <w:adjustRightInd/>
        <w:spacing w:line="360" w:lineRule="auto"/>
        <w:ind w:left="180" w:hanging="18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w:t>
      </w:r>
      <w:r w:rsidRPr="005833A1">
        <w:rPr>
          <w:rFonts w:ascii="Times New Roman" w:hAnsi="Times New Roman"/>
          <w:color w:val="000000"/>
          <w:sz w:val="24"/>
          <w:szCs w:val="24"/>
          <w:lang w:eastAsia="cs-CZ"/>
        </w:rPr>
        <w:tab/>
        <w:t>výkaz ziskov a strát,</w:t>
      </w:r>
    </w:p>
    <w:p w:rsidR="00E43059" w:rsidRPr="005833A1" w:rsidRDefault="00E43059" w:rsidP="00E43059">
      <w:pPr>
        <w:widowControl/>
        <w:autoSpaceDE/>
        <w:autoSpaceDN/>
        <w:adjustRightInd/>
        <w:spacing w:line="360" w:lineRule="auto"/>
        <w:ind w:left="180" w:hanging="18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w:t>
      </w:r>
      <w:r w:rsidRPr="005833A1">
        <w:rPr>
          <w:rFonts w:ascii="Times New Roman" w:hAnsi="Times New Roman"/>
          <w:color w:val="000000"/>
          <w:sz w:val="24"/>
          <w:szCs w:val="24"/>
          <w:lang w:eastAsia="cs-CZ"/>
        </w:rPr>
        <w:tab/>
        <w:t>poznámky,</w:t>
      </w:r>
    </w:p>
    <w:p w:rsidR="00E43059" w:rsidRPr="005833A1" w:rsidRDefault="00E43059" w:rsidP="00E43059">
      <w:pPr>
        <w:widowControl/>
        <w:autoSpaceDE/>
        <w:autoSpaceDN/>
        <w:adjustRightInd/>
        <w:spacing w:line="360" w:lineRule="auto"/>
        <w:ind w:left="180" w:hanging="18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w:t>
      </w:r>
      <w:r w:rsidRPr="005833A1">
        <w:rPr>
          <w:rFonts w:ascii="Times New Roman" w:hAnsi="Times New Roman"/>
          <w:color w:val="000000"/>
          <w:sz w:val="24"/>
          <w:szCs w:val="24"/>
          <w:lang w:eastAsia="cs-CZ"/>
        </w:rPr>
        <w:tab/>
        <w:t>tabuľkovú časť.</w:t>
      </w:r>
    </w:p>
    <w:p w:rsidR="00E43059" w:rsidRPr="005833A1" w:rsidRDefault="00E43059" w:rsidP="00E43059">
      <w:pPr>
        <w:widowControl/>
        <w:autoSpaceDE/>
        <w:autoSpaceDN/>
        <w:adjustRightInd/>
        <w:spacing w:line="360" w:lineRule="auto"/>
        <w:ind w:left="180" w:hanging="180"/>
        <w:jc w:val="both"/>
        <w:rPr>
          <w:rFonts w:ascii="Times New Roman" w:hAnsi="Times New Roman"/>
          <w:color w:val="000000"/>
          <w:sz w:val="24"/>
          <w:szCs w:val="24"/>
          <w:lang w:eastAsia="cs-CZ"/>
        </w:rPr>
      </w:pPr>
    </w:p>
    <w:p w:rsidR="00E43059" w:rsidRPr="005833A1" w:rsidRDefault="00E43059" w:rsidP="00E43059">
      <w:pPr>
        <w:widowControl/>
        <w:autoSpaceDE/>
        <w:autoSpaceDN/>
        <w:adjustRightInd/>
        <w:spacing w:line="360" w:lineRule="auto"/>
        <w:ind w:firstLine="54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 xml:space="preserve">Položky súvahy (účtovný výkaz Súvaha </w:t>
      </w:r>
      <w:proofErr w:type="spellStart"/>
      <w:r w:rsidRPr="005833A1">
        <w:rPr>
          <w:rFonts w:ascii="Times New Roman" w:hAnsi="Times New Roman"/>
          <w:color w:val="000000"/>
          <w:sz w:val="24"/>
          <w:szCs w:val="24"/>
          <w:lang w:eastAsia="cs-CZ"/>
        </w:rPr>
        <w:t>Úč</w:t>
      </w:r>
      <w:proofErr w:type="spellEnd"/>
      <w:r w:rsidRPr="005833A1">
        <w:rPr>
          <w:rFonts w:ascii="Times New Roman" w:hAnsi="Times New Roman"/>
          <w:color w:val="000000"/>
          <w:sz w:val="24"/>
          <w:szCs w:val="24"/>
          <w:lang w:eastAsia="cs-CZ"/>
        </w:rPr>
        <w:t xml:space="preserve"> SP 1 – 01) a položky výkazu ziskov a strát (účtovný výkaz Výsledovka </w:t>
      </w:r>
      <w:proofErr w:type="spellStart"/>
      <w:r w:rsidRPr="005833A1">
        <w:rPr>
          <w:rFonts w:ascii="Times New Roman" w:hAnsi="Times New Roman"/>
          <w:color w:val="000000"/>
          <w:sz w:val="24"/>
          <w:szCs w:val="24"/>
          <w:lang w:eastAsia="cs-CZ"/>
        </w:rPr>
        <w:t>Úč</w:t>
      </w:r>
      <w:proofErr w:type="spellEnd"/>
      <w:r w:rsidRPr="005833A1">
        <w:rPr>
          <w:rFonts w:ascii="Times New Roman" w:hAnsi="Times New Roman"/>
          <w:color w:val="000000"/>
          <w:sz w:val="24"/>
          <w:szCs w:val="24"/>
          <w:lang w:eastAsia="cs-CZ"/>
        </w:rPr>
        <w:t xml:space="preserve"> SP 2 – 01) nadväzujú priamo na príslušné účty, účtovné skupiny a ich náplň podľa účtovej osnovy a postupov účtovania pre Sociálnu poisťovňu podľa vyššie uvedených opatrení Ministerstva financií Slovenskej republiky. </w:t>
      </w:r>
    </w:p>
    <w:p w:rsidR="00E43059" w:rsidRPr="005833A1" w:rsidRDefault="00E43059" w:rsidP="00E43059">
      <w:pPr>
        <w:widowControl/>
        <w:autoSpaceDE/>
        <w:autoSpaceDN/>
        <w:adjustRightInd/>
        <w:spacing w:line="360" w:lineRule="auto"/>
        <w:jc w:val="both"/>
        <w:rPr>
          <w:rFonts w:ascii="Times New Roman" w:hAnsi="Times New Roman"/>
          <w:color w:val="000000"/>
          <w:sz w:val="24"/>
          <w:szCs w:val="24"/>
          <w:lang w:eastAsia="cs-CZ"/>
        </w:rPr>
      </w:pPr>
    </w:p>
    <w:p w:rsidR="00E43059" w:rsidRPr="005833A1" w:rsidRDefault="00E43059" w:rsidP="00E43059">
      <w:pPr>
        <w:widowControl/>
        <w:autoSpaceDE/>
        <w:autoSpaceDN/>
        <w:adjustRightInd/>
        <w:spacing w:line="360" w:lineRule="auto"/>
        <w:ind w:firstLine="54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Overením údajov uvedených v účtovných výkazoch (Súvaha, Výkaz ziskov a strát) s konečnými zostatkami a stavmi účtov vykázanými v uzavretej hlavnej knihe Sociálnej poisťovne neboli zistené rozdiely.</w:t>
      </w:r>
    </w:p>
    <w:p w:rsidR="00E43059" w:rsidRPr="005833A1" w:rsidRDefault="00E43059" w:rsidP="00E43059">
      <w:pPr>
        <w:widowControl/>
        <w:autoSpaceDE/>
        <w:autoSpaceDN/>
        <w:adjustRightInd/>
        <w:spacing w:line="360" w:lineRule="auto"/>
        <w:ind w:firstLine="540"/>
        <w:jc w:val="both"/>
        <w:rPr>
          <w:rFonts w:ascii="Times New Roman" w:hAnsi="Times New Roman"/>
          <w:color w:val="000000"/>
          <w:sz w:val="24"/>
          <w:szCs w:val="24"/>
          <w:lang w:eastAsia="cs-CZ"/>
        </w:rPr>
      </w:pPr>
    </w:p>
    <w:p w:rsidR="00E43059" w:rsidRPr="005833A1" w:rsidRDefault="00E43059" w:rsidP="00E43059">
      <w:pPr>
        <w:widowControl/>
        <w:autoSpaceDE/>
        <w:autoSpaceDN/>
        <w:adjustRightInd/>
        <w:spacing w:line="360" w:lineRule="auto"/>
        <w:ind w:firstLine="54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 xml:space="preserve">Poznámky komentujú, dopĺňajú a prezentujú položky účtovných výkazov. Údaje v nich uvedené vychádzajú z účtovných písomností a vnútorných predpisov Sociálnej poisťovne. Komentujú a upresňujú podstatné informácie súvahy a výkazu ziskov a strát. Obsahujú dôležité </w:t>
      </w:r>
      <w:proofErr w:type="spellStart"/>
      <w:r w:rsidRPr="005833A1">
        <w:rPr>
          <w:rFonts w:ascii="Times New Roman" w:hAnsi="Times New Roman"/>
          <w:color w:val="000000"/>
          <w:sz w:val="24"/>
          <w:szCs w:val="24"/>
          <w:lang w:eastAsia="cs-CZ"/>
        </w:rPr>
        <w:t>mimoúčtovné</w:t>
      </w:r>
      <w:proofErr w:type="spellEnd"/>
      <w:r w:rsidRPr="005833A1">
        <w:rPr>
          <w:rFonts w:ascii="Times New Roman" w:hAnsi="Times New Roman"/>
          <w:color w:val="000000"/>
          <w:sz w:val="24"/>
          <w:szCs w:val="24"/>
          <w:lang w:eastAsia="cs-CZ"/>
        </w:rPr>
        <w:t xml:space="preserve"> informácie, ktoré nemôžu byť pre svoju povahu obsahom výkazov. Vypovedajú o stave a pohybe majetku, záväzkov a výsledku hospodárenia Sociálnej poisťovne tak, aby bolo možné si o ich stave vytvoriť správny názor. </w:t>
      </w:r>
    </w:p>
    <w:p w:rsidR="00E43059" w:rsidRPr="005833A1" w:rsidRDefault="00E43059" w:rsidP="00E43059">
      <w:pPr>
        <w:widowControl/>
        <w:autoSpaceDE/>
        <w:autoSpaceDN/>
        <w:adjustRightInd/>
        <w:spacing w:line="360" w:lineRule="auto"/>
        <w:ind w:firstLine="540"/>
        <w:jc w:val="both"/>
        <w:rPr>
          <w:rFonts w:ascii="Times New Roman" w:hAnsi="Times New Roman"/>
          <w:color w:val="000000"/>
          <w:sz w:val="24"/>
          <w:szCs w:val="24"/>
          <w:lang w:eastAsia="cs-CZ"/>
        </w:rPr>
      </w:pPr>
    </w:p>
    <w:p w:rsidR="00E43059" w:rsidRPr="005833A1" w:rsidRDefault="00E43059" w:rsidP="00E43059">
      <w:pPr>
        <w:widowControl/>
        <w:autoSpaceDE/>
        <w:autoSpaceDN/>
        <w:adjustRightInd/>
        <w:spacing w:line="360" w:lineRule="auto"/>
        <w:ind w:firstLine="54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Obsahom poznámok sú:</w:t>
      </w:r>
    </w:p>
    <w:p w:rsidR="00E43059" w:rsidRPr="005833A1" w:rsidRDefault="00E43059" w:rsidP="00E43059">
      <w:pPr>
        <w:widowControl/>
        <w:autoSpaceDE/>
        <w:autoSpaceDN/>
        <w:adjustRightInd/>
        <w:spacing w:line="360" w:lineRule="auto"/>
        <w:ind w:left="180" w:hanging="18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w:t>
      </w:r>
      <w:r w:rsidRPr="005833A1">
        <w:rPr>
          <w:rFonts w:ascii="Times New Roman" w:hAnsi="Times New Roman"/>
          <w:color w:val="000000"/>
          <w:sz w:val="24"/>
          <w:szCs w:val="24"/>
          <w:lang w:eastAsia="cs-CZ"/>
        </w:rPr>
        <w:tab/>
        <w:t>všeobecné údaje,</w:t>
      </w:r>
    </w:p>
    <w:p w:rsidR="00E43059" w:rsidRPr="005833A1" w:rsidRDefault="00E43059" w:rsidP="00E43059">
      <w:pPr>
        <w:widowControl/>
        <w:autoSpaceDE/>
        <w:autoSpaceDN/>
        <w:adjustRightInd/>
        <w:spacing w:line="360" w:lineRule="auto"/>
        <w:ind w:left="180" w:hanging="18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w:t>
      </w:r>
      <w:r w:rsidRPr="005833A1">
        <w:rPr>
          <w:rFonts w:ascii="Times New Roman" w:hAnsi="Times New Roman"/>
          <w:color w:val="000000"/>
          <w:sz w:val="24"/>
          <w:szCs w:val="24"/>
          <w:lang w:eastAsia="cs-CZ"/>
        </w:rPr>
        <w:tab/>
        <w:t>informácie o účtovných zásadách a účtovných metódach,</w:t>
      </w:r>
    </w:p>
    <w:p w:rsidR="00E43059" w:rsidRPr="005833A1" w:rsidRDefault="00E43059" w:rsidP="00E43059">
      <w:pPr>
        <w:widowControl/>
        <w:autoSpaceDE/>
        <w:autoSpaceDN/>
        <w:adjustRightInd/>
        <w:spacing w:line="360" w:lineRule="auto"/>
        <w:ind w:left="180" w:hanging="18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w:t>
      </w:r>
      <w:r w:rsidRPr="005833A1">
        <w:rPr>
          <w:rFonts w:ascii="Times New Roman" w:hAnsi="Times New Roman"/>
          <w:color w:val="000000"/>
          <w:sz w:val="24"/>
          <w:szCs w:val="24"/>
          <w:lang w:eastAsia="cs-CZ"/>
        </w:rPr>
        <w:tab/>
        <w:t>informácie, ktoré dopĺňajú a vysvetľujú údaje v súvahe,</w:t>
      </w:r>
    </w:p>
    <w:p w:rsidR="00E43059" w:rsidRPr="005833A1" w:rsidRDefault="00E43059" w:rsidP="00E43059">
      <w:pPr>
        <w:widowControl/>
        <w:autoSpaceDE/>
        <w:autoSpaceDN/>
        <w:adjustRightInd/>
        <w:spacing w:line="360" w:lineRule="auto"/>
        <w:ind w:left="180" w:hanging="18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w:t>
      </w:r>
      <w:r w:rsidRPr="005833A1">
        <w:rPr>
          <w:rFonts w:ascii="Times New Roman" w:hAnsi="Times New Roman"/>
          <w:color w:val="000000"/>
          <w:sz w:val="24"/>
          <w:szCs w:val="24"/>
          <w:lang w:eastAsia="cs-CZ"/>
        </w:rPr>
        <w:tab/>
        <w:t>informácie, ktoré dopĺňajú a vysvetľujú údaje vo výkaze ziskov a strát,</w:t>
      </w:r>
    </w:p>
    <w:p w:rsidR="00E43059" w:rsidRPr="005833A1" w:rsidRDefault="00E43059" w:rsidP="00E43059">
      <w:pPr>
        <w:widowControl/>
        <w:autoSpaceDE/>
        <w:autoSpaceDN/>
        <w:adjustRightInd/>
        <w:spacing w:line="360" w:lineRule="auto"/>
        <w:ind w:left="180" w:hanging="18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w:t>
      </w:r>
      <w:r w:rsidRPr="005833A1">
        <w:rPr>
          <w:rFonts w:ascii="Times New Roman" w:hAnsi="Times New Roman"/>
          <w:color w:val="000000"/>
          <w:sz w:val="24"/>
          <w:szCs w:val="24"/>
          <w:lang w:eastAsia="cs-CZ"/>
        </w:rPr>
        <w:tab/>
        <w:t>opis údajov na podsúvahových účtoch,</w:t>
      </w:r>
    </w:p>
    <w:p w:rsidR="00E43059" w:rsidRPr="005833A1" w:rsidRDefault="00E43059" w:rsidP="00E43059">
      <w:pPr>
        <w:widowControl/>
        <w:autoSpaceDE/>
        <w:autoSpaceDN/>
        <w:adjustRightInd/>
        <w:spacing w:line="360" w:lineRule="auto"/>
        <w:ind w:left="180" w:hanging="18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w:t>
      </w:r>
      <w:r w:rsidRPr="005833A1">
        <w:rPr>
          <w:rFonts w:ascii="Times New Roman" w:hAnsi="Times New Roman"/>
          <w:color w:val="000000"/>
          <w:sz w:val="24"/>
          <w:szCs w:val="24"/>
          <w:lang w:eastAsia="cs-CZ"/>
        </w:rPr>
        <w:tab/>
        <w:t>iné aktíva a iné pasíva,</w:t>
      </w:r>
    </w:p>
    <w:p w:rsidR="00E43059" w:rsidRPr="005833A1" w:rsidRDefault="00E43059" w:rsidP="00E43059">
      <w:pPr>
        <w:widowControl/>
        <w:autoSpaceDE/>
        <w:autoSpaceDN/>
        <w:adjustRightInd/>
        <w:spacing w:line="360" w:lineRule="auto"/>
        <w:ind w:left="180" w:hanging="18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 informácie o príjmoch a výhodách členov štatutárnych orgánov, dozorných orgánov a iných orgánov,</w:t>
      </w:r>
    </w:p>
    <w:p w:rsidR="00E43059" w:rsidRPr="005833A1" w:rsidRDefault="00E43059" w:rsidP="00E43059">
      <w:pPr>
        <w:widowControl/>
        <w:autoSpaceDE/>
        <w:autoSpaceDN/>
        <w:adjustRightInd/>
        <w:spacing w:line="360" w:lineRule="auto"/>
        <w:ind w:left="180" w:hanging="18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 informácie o rozpočte a hodnotenie plnenia rozpočtu,</w:t>
      </w:r>
    </w:p>
    <w:p w:rsidR="00E43059" w:rsidRPr="005833A1" w:rsidRDefault="00E43059" w:rsidP="00E43059">
      <w:pPr>
        <w:widowControl/>
        <w:autoSpaceDE/>
        <w:autoSpaceDN/>
        <w:adjustRightInd/>
        <w:spacing w:line="360" w:lineRule="auto"/>
        <w:ind w:left="180" w:hanging="18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 informácie o skutočnostiach, ktoré nastali po dni, ku ktorému sa zostavuje účtovná závierka, do dňa zostavenia účtovnej závierky.</w:t>
      </w:r>
    </w:p>
    <w:p w:rsidR="00E43059" w:rsidRPr="005833A1" w:rsidRDefault="00E43059" w:rsidP="00E43059">
      <w:pPr>
        <w:widowControl/>
        <w:autoSpaceDE/>
        <w:autoSpaceDN/>
        <w:adjustRightInd/>
        <w:spacing w:line="360" w:lineRule="auto"/>
        <w:ind w:firstLine="540"/>
        <w:jc w:val="both"/>
        <w:rPr>
          <w:rFonts w:ascii="Times New Roman" w:hAnsi="Times New Roman"/>
          <w:color w:val="000000"/>
          <w:sz w:val="24"/>
          <w:szCs w:val="24"/>
          <w:lang w:eastAsia="cs-CZ"/>
        </w:rPr>
      </w:pPr>
    </w:p>
    <w:p w:rsidR="00E43059" w:rsidRPr="005833A1" w:rsidRDefault="00E43059" w:rsidP="00E43059">
      <w:pPr>
        <w:widowControl/>
        <w:autoSpaceDE/>
        <w:autoSpaceDN/>
        <w:adjustRightInd/>
        <w:spacing w:line="360" w:lineRule="auto"/>
        <w:ind w:firstLine="54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Obsahom tabuľkovej časti hodnoteného obdobia je:</w:t>
      </w:r>
    </w:p>
    <w:p w:rsidR="00E43059" w:rsidRPr="005833A1" w:rsidRDefault="00E43059" w:rsidP="00E43059">
      <w:pPr>
        <w:widowControl/>
        <w:autoSpaceDE/>
        <w:autoSpaceDN/>
        <w:adjustRightInd/>
        <w:spacing w:line="360" w:lineRule="auto"/>
        <w:ind w:left="180" w:hanging="18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w:t>
      </w:r>
      <w:r w:rsidRPr="005833A1">
        <w:rPr>
          <w:rFonts w:ascii="Times New Roman" w:hAnsi="Times New Roman"/>
          <w:color w:val="000000"/>
          <w:sz w:val="24"/>
          <w:szCs w:val="24"/>
          <w:lang w:eastAsia="cs-CZ"/>
        </w:rPr>
        <w:tab/>
        <w:t>rámcová bilancia a vyjadrenie podielu majetku a zdrojov,</w:t>
      </w:r>
    </w:p>
    <w:p w:rsidR="00E43059" w:rsidRPr="005833A1" w:rsidRDefault="00E43059" w:rsidP="00E43059">
      <w:pPr>
        <w:widowControl/>
        <w:autoSpaceDE/>
        <w:autoSpaceDN/>
        <w:adjustRightInd/>
        <w:spacing w:line="360" w:lineRule="auto"/>
        <w:ind w:left="180" w:hanging="18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w:t>
      </w:r>
      <w:r w:rsidRPr="005833A1">
        <w:rPr>
          <w:rFonts w:ascii="Times New Roman" w:hAnsi="Times New Roman"/>
          <w:color w:val="000000"/>
          <w:sz w:val="24"/>
          <w:szCs w:val="24"/>
          <w:lang w:eastAsia="cs-CZ"/>
        </w:rPr>
        <w:tab/>
        <w:t>stav a pohyb dlhodobého nehmotného a dlhodobého hmotného majetku,</w:t>
      </w:r>
    </w:p>
    <w:p w:rsidR="00E43059" w:rsidRPr="005833A1" w:rsidRDefault="00E43059" w:rsidP="00E43059">
      <w:pPr>
        <w:widowControl/>
        <w:autoSpaceDE/>
        <w:autoSpaceDN/>
        <w:adjustRightInd/>
        <w:spacing w:line="360" w:lineRule="auto"/>
        <w:ind w:left="180" w:hanging="18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w:t>
      </w:r>
      <w:r w:rsidRPr="005833A1">
        <w:rPr>
          <w:rFonts w:ascii="Times New Roman" w:hAnsi="Times New Roman"/>
          <w:color w:val="000000"/>
          <w:sz w:val="24"/>
          <w:szCs w:val="24"/>
          <w:lang w:eastAsia="cs-CZ"/>
        </w:rPr>
        <w:tab/>
        <w:t>pohľadávky na poistnom a príspevkoch na starobné dôchodkové sporenie,</w:t>
      </w:r>
    </w:p>
    <w:p w:rsidR="00E43059" w:rsidRPr="005833A1" w:rsidRDefault="00E43059" w:rsidP="00E43059">
      <w:pPr>
        <w:widowControl/>
        <w:autoSpaceDE/>
        <w:autoSpaceDN/>
        <w:adjustRightInd/>
        <w:spacing w:line="360" w:lineRule="auto"/>
        <w:ind w:left="180" w:hanging="18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w:t>
      </w:r>
      <w:r w:rsidRPr="005833A1">
        <w:rPr>
          <w:rFonts w:ascii="Times New Roman" w:hAnsi="Times New Roman"/>
          <w:color w:val="000000"/>
          <w:sz w:val="24"/>
          <w:szCs w:val="24"/>
          <w:lang w:eastAsia="cs-CZ"/>
        </w:rPr>
        <w:tab/>
        <w:t xml:space="preserve">pohľadávky Sociálnej poisťovne na poistnom a príspevkoch na starobné dôchodkové sporenie podľa druhov, </w:t>
      </w:r>
    </w:p>
    <w:p w:rsidR="00E43059" w:rsidRPr="005833A1" w:rsidRDefault="00E43059" w:rsidP="00E43059">
      <w:pPr>
        <w:widowControl/>
        <w:autoSpaceDE/>
        <w:autoSpaceDN/>
        <w:adjustRightInd/>
        <w:spacing w:line="360" w:lineRule="auto"/>
        <w:ind w:left="180" w:hanging="18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w:t>
      </w:r>
      <w:r w:rsidRPr="005833A1">
        <w:rPr>
          <w:rFonts w:ascii="Times New Roman" w:hAnsi="Times New Roman"/>
          <w:color w:val="000000"/>
          <w:sz w:val="24"/>
          <w:szCs w:val="24"/>
          <w:lang w:eastAsia="cs-CZ"/>
        </w:rPr>
        <w:tab/>
        <w:t>štruktúra pohľadávok Sociálnej poisťovne na poistnom – graf,</w:t>
      </w:r>
    </w:p>
    <w:p w:rsidR="00E43059" w:rsidRPr="005833A1" w:rsidRDefault="00E43059" w:rsidP="00E43059">
      <w:pPr>
        <w:widowControl/>
        <w:autoSpaceDE/>
        <w:autoSpaceDN/>
        <w:adjustRightInd/>
        <w:spacing w:line="360" w:lineRule="auto"/>
        <w:ind w:left="180" w:hanging="18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 vývoj dlhodobých pohľadávok a krátkodobých pohľadávok,</w:t>
      </w:r>
    </w:p>
    <w:p w:rsidR="00E43059" w:rsidRPr="005833A1" w:rsidRDefault="00E43059" w:rsidP="00E43059">
      <w:pPr>
        <w:widowControl/>
        <w:autoSpaceDE/>
        <w:autoSpaceDN/>
        <w:adjustRightInd/>
        <w:spacing w:line="360" w:lineRule="auto"/>
        <w:ind w:left="180" w:hanging="18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 opravné položky k pohľadávkam,</w:t>
      </w:r>
    </w:p>
    <w:p w:rsidR="00E43059" w:rsidRPr="005833A1" w:rsidRDefault="00E43059" w:rsidP="00E43059">
      <w:pPr>
        <w:widowControl/>
        <w:autoSpaceDE/>
        <w:autoSpaceDN/>
        <w:adjustRightInd/>
        <w:spacing w:line="360" w:lineRule="auto"/>
        <w:ind w:left="180" w:hanging="18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 rezervy,</w:t>
      </w:r>
    </w:p>
    <w:p w:rsidR="00E43059" w:rsidRPr="005833A1" w:rsidRDefault="00E43059" w:rsidP="00E43059">
      <w:pPr>
        <w:widowControl/>
        <w:autoSpaceDE/>
        <w:autoSpaceDN/>
        <w:adjustRightInd/>
        <w:spacing w:line="360" w:lineRule="auto"/>
        <w:ind w:left="180" w:hanging="18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 vývoj dlhodobých záväzkov a krátkodobých záväzkov,</w:t>
      </w:r>
    </w:p>
    <w:p w:rsidR="00E43059" w:rsidRPr="005833A1" w:rsidRDefault="00E43059" w:rsidP="00E43059">
      <w:pPr>
        <w:widowControl/>
        <w:autoSpaceDE/>
        <w:autoSpaceDN/>
        <w:adjustRightInd/>
        <w:spacing w:line="360" w:lineRule="auto"/>
        <w:ind w:left="180" w:hanging="18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 záväzky sociálneho fondu,</w:t>
      </w:r>
    </w:p>
    <w:p w:rsidR="00E43059" w:rsidRPr="005833A1" w:rsidRDefault="00E43059" w:rsidP="00E43059">
      <w:pPr>
        <w:widowControl/>
        <w:autoSpaceDE/>
        <w:autoSpaceDN/>
        <w:adjustRightInd/>
        <w:spacing w:line="360" w:lineRule="auto"/>
        <w:ind w:left="180" w:hanging="18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 plnenie rozpočtu príjmov a výdavkov (nákladov) Sociálnej poisťovne a tvorba fondov,</w:t>
      </w:r>
    </w:p>
    <w:p w:rsidR="00E43059" w:rsidRPr="005833A1" w:rsidRDefault="00E43059" w:rsidP="00E43059">
      <w:pPr>
        <w:widowControl/>
        <w:autoSpaceDE/>
        <w:autoSpaceDN/>
        <w:adjustRightInd/>
        <w:spacing w:line="360" w:lineRule="auto"/>
        <w:ind w:left="180" w:hanging="18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 plnenie rozpočtu príjmov a výdavkov (nákladov) správneho fondu,</w:t>
      </w:r>
    </w:p>
    <w:p w:rsidR="00E43059" w:rsidRPr="005833A1" w:rsidRDefault="00E43059" w:rsidP="00E43059">
      <w:pPr>
        <w:widowControl/>
        <w:autoSpaceDE/>
        <w:autoSpaceDN/>
        <w:adjustRightInd/>
        <w:spacing w:line="360" w:lineRule="auto"/>
        <w:ind w:left="180" w:hanging="18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 príspevky na starobné dôchodkové sporenie.</w:t>
      </w:r>
    </w:p>
    <w:p w:rsidR="00E43059" w:rsidRPr="005833A1" w:rsidRDefault="00E43059" w:rsidP="00E43059">
      <w:pPr>
        <w:widowControl/>
        <w:autoSpaceDE/>
        <w:autoSpaceDN/>
        <w:adjustRightInd/>
        <w:spacing w:line="360" w:lineRule="auto"/>
        <w:ind w:firstLine="54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 xml:space="preserve">Súčasťou predkladaného návrhu účtovnej závierky je aj materiál plnenie rozpočtu príjmov a výdavkov (nákladov) Sociálnej poisťovne a tvorba fondov k 31. 12. 2018. </w:t>
      </w:r>
    </w:p>
    <w:p w:rsidR="00E43059" w:rsidRPr="005833A1" w:rsidRDefault="00E43059" w:rsidP="00E43059">
      <w:pPr>
        <w:widowControl/>
        <w:autoSpaceDE/>
        <w:autoSpaceDN/>
        <w:adjustRightInd/>
        <w:spacing w:line="360" w:lineRule="auto"/>
        <w:ind w:firstLine="540"/>
        <w:jc w:val="both"/>
        <w:rPr>
          <w:rFonts w:ascii="Times New Roman" w:hAnsi="Times New Roman"/>
          <w:color w:val="000000"/>
          <w:sz w:val="24"/>
          <w:szCs w:val="24"/>
          <w:lang w:eastAsia="cs-CZ"/>
        </w:rPr>
      </w:pPr>
    </w:p>
    <w:p w:rsidR="00E43059" w:rsidRPr="005833A1" w:rsidRDefault="00E43059" w:rsidP="00E43059">
      <w:pPr>
        <w:widowControl/>
        <w:autoSpaceDE/>
        <w:autoSpaceDN/>
        <w:adjustRightInd/>
        <w:spacing w:line="360" w:lineRule="auto"/>
        <w:ind w:firstLine="54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Z uvedeného materiálu vyplýva, že príjmy poisťovne z poistného, pokút, penále a ostatných príjmov boli vo výške 8 213 289 tis. EUR, prevod prostriedkov z minulých rokov bol vo výške  565 708 tis. EUR, t. j. Sociálna poisťovňa mala v roku 2018 zdroje celkom vo výške 8 778 997 tis. EUR. Celkové výdavky (náklady) Sociálnej poisťovne v roku 2018 boli vo výške 8 112 694 tis. EUR. Celkový výsledok hospodárenia bol vo výške 666 303 tis. EUR.</w:t>
      </w:r>
    </w:p>
    <w:p w:rsidR="00E43059" w:rsidRPr="005833A1" w:rsidRDefault="00E43059" w:rsidP="00E43059">
      <w:pPr>
        <w:widowControl/>
        <w:autoSpaceDE/>
        <w:autoSpaceDN/>
        <w:adjustRightInd/>
        <w:spacing w:line="360" w:lineRule="auto"/>
        <w:ind w:firstLine="540"/>
        <w:jc w:val="both"/>
        <w:rPr>
          <w:rFonts w:ascii="Times New Roman" w:hAnsi="Times New Roman"/>
          <w:color w:val="000000"/>
          <w:sz w:val="24"/>
          <w:szCs w:val="24"/>
          <w:lang w:eastAsia="cs-CZ"/>
        </w:rPr>
      </w:pPr>
    </w:p>
    <w:p w:rsidR="00E43059" w:rsidRPr="005833A1" w:rsidRDefault="00E43059" w:rsidP="00E43059">
      <w:pPr>
        <w:widowControl/>
        <w:autoSpaceDE/>
        <w:autoSpaceDN/>
        <w:adjustRightInd/>
        <w:spacing w:line="360" w:lineRule="auto"/>
        <w:ind w:firstLine="54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V roku 2018 Sociálna poisťovňa realizovala aj postúpenie príspevkov na starobné dôchodkové sporenie dôchodkovým správcovským spoločnostiam vo výške 628 104 tis. EUR.</w:t>
      </w:r>
    </w:p>
    <w:p w:rsidR="00E43059" w:rsidRPr="005833A1" w:rsidRDefault="00E43059" w:rsidP="00E43059">
      <w:pPr>
        <w:widowControl/>
        <w:autoSpaceDE/>
        <w:autoSpaceDN/>
        <w:adjustRightInd/>
        <w:spacing w:line="360" w:lineRule="auto"/>
        <w:ind w:firstLine="540"/>
        <w:jc w:val="both"/>
        <w:rPr>
          <w:rFonts w:ascii="Times New Roman" w:hAnsi="Times New Roman"/>
          <w:color w:val="000000"/>
          <w:sz w:val="24"/>
          <w:szCs w:val="24"/>
          <w:lang w:eastAsia="cs-CZ"/>
        </w:rPr>
      </w:pPr>
    </w:p>
    <w:p w:rsidR="00E43059" w:rsidRPr="005833A1" w:rsidRDefault="00E43059" w:rsidP="00E43059">
      <w:pPr>
        <w:widowControl/>
        <w:autoSpaceDE/>
        <w:autoSpaceDN/>
        <w:adjustRightInd/>
        <w:spacing w:line="360" w:lineRule="auto"/>
        <w:ind w:firstLine="540"/>
        <w:jc w:val="both"/>
        <w:rPr>
          <w:rFonts w:ascii="Times New Roman" w:hAnsi="Times New Roman"/>
          <w:color w:val="000000"/>
          <w:sz w:val="24"/>
          <w:szCs w:val="24"/>
          <w:lang w:eastAsia="cs-CZ"/>
        </w:rPr>
      </w:pPr>
      <w:r w:rsidRPr="005833A1">
        <w:rPr>
          <w:rFonts w:ascii="Times New Roman" w:hAnsi="Times New Roman"/>
          <w:color w:val="000000"/>
          <w:sz w:val="24"/>
          <w:szCs w:val="24"/>
          <w:lang w:eastAsia="cs-CZ"/>
        </w:rPr>
        <w:t xml:space="preserve">Na základe vyššie uvedených skutočností, týkajúcich sa jednotlivých súčastí návrhu účtovnej závierky Sociálnej poisťovne za rok 2018, bolo zistené, že postup uzávierkových prác bol dodržaný a bola zostavená vyčerpávajúcim spôsobom a v štruktúre, ktorá nadväzuje na sústavu účtovníctva, používanú v Sociálnej poisťovni. Účtovná závierka Sociálnej poisťovne zostavená k 31. decembru 2018, vyjadruje verne vo  všetkých súvislostiach jej majetkovú a finančnú situáciu, vlastné zdroje krytia stálych a obežných aktív, ako aj výsledok hospodárenia. Zároveň je možné konštatovať, že účtovná závierka bola zostavená v súlade     s právnymi predpismi, platnými pre jej zostavenie. </w:t>
      </w:r>
    </w:p>
    <w:p w:rsidR="00E43059" w:rsidRPr="005833A1" w:rsidRDefault="00E43059" w:rsidP="00E43059">
      <w:pPr>
        <w:widowControl/>
        <w:autoSpaceDE/>
        <w:autoSpaceDN/>
        <w:adjustRightInd/>
        <w:spacing w:line="360" w:lineRule="auto"/>
        <w:rPr>
          <w:rFonts w:ascii="Times New Roman" w:hAnsi="Times New Roman"/>
          <w:color w:val="000000"/>
          <w:sz w:val="24"/>
          <w:szCs w:val="24"/>
          <w:lang w:eastAsia="cs-CZ"/>
        </w:rPr>
      </w:pPr>
    </w:p>
    <w:p w:rsidR="00E43059" w:rsidRPr="00691BE2" w:rsidRDefault="00E43059" w:rsidP="00E43059">
      <w:pPr>
        <w:widowControl/>
        <w:autoSpaceDE/>
        <w:autoSpaceDN/>
        <w:adjustRightInd/>
        <w:spacing w:line="360" w:lineRule="auto"/>
        <w:jc w:val="center"/>
        <w:rPr>
          <w:rFonts w:ascii="Times New Roman" w:hAnsi="Times New Roman"/>
          <w:sz w:val="24"/>
          <w:szCs w:val="24"/>
        </w:rPr>
      </w:pPr>
    </w:p>
    <w:p w:rsidR="00E43059" w:rsidRPr="00691BE2" w:rsidRDefault="00E43059" w:rsidP="00E43059">
      <w:pPr>
        <w:rPr>
          <w:rFonts w:ascii="Times New Roman" w:hAnsi="Times New Roman"/>
          <w:sz w:val="24"/>
          <w:szCs w:val="24"/>
        </w:rPr>
      </w:pPr>
    </w:p>
    <w:p w:rsidR="00D74D3B" w:rsidRDefault="00D74D3B" w:rsidP="00E43059">
      <w:pPr>
        <w:ind w:left="5954"/>
        <w:rPr>
          <w:rFonts w:ascii="Times New Roman" w:hAnsi="Times New Roman"/>
          <w:sz w:val="20"/>
        </w:rPr>
      </w:pPr>
    </w:p>
    <w:sectPr w:rsidR="00D74D3B" w:rsidSect="008E38F3">
      <w:pgSz w:w="11906" w:h="16838"/>
      <w:pgMar w:top="1418" w:right="1418" w:bottom="1560"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B49" w:rsidRDefault="00D75B49" w:rsidP="001154BD">
      <w:r>
        <w:separator/>
      </w:r>
    </w:p>
  </w:endnote>
  <w:endnote w:type="continuationSeparator" w:id="0">
    <w:p w:rsidR="00D75B49" w:rsidRDefault="00D75B49" w:rsidP="001154BD">
      <w:r>
        <w:continuationSeparator/>
      </w:r>
    </w:p>
  </w:endnote>
  <w:endnote w:type="continuationNotice" w:id="1">
    <w:p w:rsidR="00D75B49" w:rsidRDefault="00D75B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BD" w:rsidRDefault="009804B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49" w:rsidRPr="006A28F7" w:rsidRDefault="00D75B49">
    <w:pPr>
      <w:pStyle w:val="Pta"/>
      <w:jc w:val="right"/>
      <w:rPr>
        <w:color w:val="FFFFFF" w:themeColor="background1"/>
      </w:rPr>
    </w:pPr>
    <w:r w:rsidRPr="006A28F7">
      <w:rPr>
        <w:color w:val="FFFFFF" w:themeColor="background1"/>
      </w:rPr>
      <w:fldChar w:fldCharType="begin"/>
    </w:r>
    <w:r w:rsidRPr="006A28F7">
      <w:rPr>
        <w:color w:val="FFFFFF" w:themeColor="background1"/>
      </w:rPr>
      <w:instrText>PAGE   \* MERGEFORMAT</w:instrText>
    </w:r>
    <w:r w:rsidRPr="006A28F7">
      <w:rPr>
        <w:color w:val="FFFFFF" w:themeColor="background1"/>
      </w:rPr>
      <w:fldChar w:fldCharType="separate"/>
    </w:r>
    <w:r w:rsidR="009804BD">
      <w:rPr>
        <w:noProof/>
        <w:color w:val="FFFFFF" w:themeColor="background1"/>
      </w:rPr>
      <w:t>1</w:t>
    </w:r>
    <w:r w:rsidRPr="006A28F7">
      <w:rPr>
        <w:color w:val="FFFFFF" w:themeColor="background1"/>
      </w:rPr>
      <w:fldChar w:fldCharType="end"/>
    </w:r>
  </w:p>
  <w:p w:rsidR="00D75B49" w:rsidRDefault="00D75B49">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FD7" w:rsidRDefault="004F6FD7">
    <w:pPr>
      <w:pStyle w:val="Pta"/>
    </w:pPr>
    <w:r>
      <w:tab/>
    </w:r>
    <w:r>
      <w:tab/>
    </w:r>
    <w:bookmarkStart w:id="0" w:name="_GoBack"/>
    <w:bookmarkEnd w:id="0"/>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B00" w:rsidRPr="00B20A5C" w:rsidRDefault="00385B00">
    <w:pPr>
      <w:pStyle w:val="Pta"/>
      <w:jc w:val="right"/>
      <w:rPr>
        <w:rFonts w:ascii="Times New Roman" w:hAnsi="Times New Roman"/>
      </w:rPr>
    </w:pPr>
    <w:r w:rsidRPr="00B20A5C">
      <w:rPr>
        <w:rFonts w:ascii="Times New Roman" w:hAnsi="Times New Roman"/>
      </w:rPr>
      <w:fldChar w:fldCharType="begin"/>
    </w:r>
    <w:r w:rsidRPr="00B20A5C">
      <w:rPr>
        <w:rFonts w:ascii="Times New Roman" w:hAnsi="Times New Roman"/>
      </w:rPr>
      <w:instrText>PAGE   \* MERGEFORMAT</w:instrText>
    </w:r>
    <w:r w:rsidRPr="00B20A5C">
      <w:rPr>
        <w:rFonts w:ascii="Times New Roman" w:hAnsi="Times New Roman"/>
      </w:rPr>
      <w:fldChar w:fldCharType="separate"/>
    </w:r>
    <w:r w:rsidR="009804BD">
      <w:rPr>
        <w:rFonts w:ascii="Times New Roman" w:hAnsi="Times New Roman"/>
        <w:noProof/>
      </w:rPr>
      <w:t>47</w:t>
    </w:r>
    <w:r w:rsidRPr="00B20A5C">
      <w:rPr>
        <w:rFonts w:ascii="Times New Roman" w:hAnsi="Times New Roman"/>
      </w:rPr>
      <w:fldChar w:fldCharType="end"/>
    </w:r>
  </w:p>
  <w:p w:rsidR="00385B00" w:rsidRDefault="00385B00">
    <w:pPr>
      <w:pStyle w:val="Pt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AAF" w:rsidRDefault="00636AAF" w:rsidP="00D2467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636AAF" w:rsidRDefault="00636AAF" w:rsidP="00161E33">
    <w:pPr>
      <w:pStyle w:val="Pta"/>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AAF" w:rsidRDefault="00636AAF" w:rsidP="006F36C9">
    <w:pPr>
      <w:pStyle w:val="Pta"/>
      <w:framePr w:wrap="around" w:vAnchor="text" w:hAnchor="margin" w:xAlign="right" w:y="1"/>
      <w:rPr>
        <w:rStyle w:val="slostrany"/>
      </w:rPr>
    </w:pPr>
    <w:r>
      <w:rPr>
        <w:rStyle w:val="slostrany"/>
      </w:rPr>
      <w:tab/>
    </w:r>
    <w:r>
      <w:rPr>
        <w:rStyle w:val="slostrany"/>
      </w:rPr>
      <w:tab/>
    </w:r>
    <w:r>
      <w:rPr>
        <w:rStyle w:val="slostrany"/>
      </w:rPr>
      <w:fldChar w:fldCharType="begin"/>
    </w:r>
    <w:r>
      <w:rPr>
        <w:rStyle w:val="slostrany"/>
      </w:rPr>
      <w:instrText xml:space="preserve">PAGE  </w:instrText>
    </w:r>
    <w:r>
      <w:rPr>
        <w:rStyle w:val="slostrany"/>
      </w:rPr>
      <w:fldChar w:fldCharType="separate"/>
    </w:r>
    <w:r w:rsidR="009804BD">
      <w:rPr>
        <w:rStyle w:val="slostrany"/>
        <w:noProof/>
      </w:rPr>
      <w:t>5</w:t>
    </w:r>
    <w:r>
      <w:rPr>
        <w:rStyle w:val="slostrany"/>
      </w:rPr>
      <w:fldChar w:fldCharType="end"/>
    </w:r>
  </w:p>
  <w:p w:rsidR="00636AAF" w:rsidRDefault="00636AAF" w:rsidP="00D2467E">
    <w:pPr>
      <w:pStyle w:val="Pta"/>
      <w:framePr w:wrap="around" w:vAnchor="text" w:hAnchor="margin" w:xAlign="right" w:y="1"/>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059" w:rsidRPr="001A06C0" w:rsidRDefault="00E43059">
    <w:pPr>
      <w:pStyle w:val="Pta"/>
      <w:jc w:val="right"/>
      <w:rPr>
        <w:rFonts w:ascii="Times New Roman" w:hAnsi="Times New Roman"/>
      </w:rPr>
    </w:pPr>
    <w:r w:rsidRPr="001A06C0">
      <w:rPr>
        <w:rFonts w:ascii="Times New Roman" w:hAnsi="Times New Roman"/>
      </w:rPr>
      <w:fldChar w:fldCharType="begin"/>
    </w:r>
    <w:r w:rsidRPr="001A06C0">
      <w:rPr>
        <w:rFonts w:ascii="Times New Roman" w:hAnsi="Times New Roman"/>
      </w:rPr>
      <w:instrText>PAGE   \* MERGEFORMAT</w:instrText>
    </w:r>
    <w:r w:rsidRPr="001A06C0">
      <w:rPr>
        <w:rFonts w:ascii="Times New Roman" w:hAnsi="Times New Roman"/>
      </w:rPr>
      <w:fldChar w:fldCharType="separate"/>
    </w:r>
    <w:r w:rsidR="009804BD">
      <w:rPr>
        <w:rFonts w:ascii="Times New Roman" w:hAnsi="Times New Roman"/>
        <w:noProof/>
      </w:rPr>
      <w:t>4</w:t>
    </w:r>
    <w:r w:rsidRPr="001A06C0">
      <w:rPr>
        <w:rFonts w:ascii="Times New Roman" w:hAnsi="Times New Roman"/>
      </w:rPr>
      <w:fldChar w:fldCharType="end"/>
    </w:r>
  </w:p>
  <w:p w:rsidR="00E43059" w:rsidRDefault="00E4305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B49" w:rsidRDefault="00D75B49" w:rsidP="001154BD">
      <w:r>
        <w:separator/>
      </w:r>
    </w:p>
  </w:footnote>
  <w:footnote w:type="continuationSeparator" w:id="0">
    <w:p w:rsidR="00D75B49" w:rsidRDefault="00D75B49" w:rsidP="001154BD">
      <w:r>
        <w:continuationSeparator/>
      </w:r>
    </w:p>
  </w:footnote>
  <w:footnote w:type="continuationNotice" w:id="1">
    <w:p w:rsidR="00D75B49" w:rsidRDefault="00D75B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BD" w:rsidRDefault="009804B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BD" w:rsidRDefault="009804BD">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BD" w:rsidRDefault="009804B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5EEB392"/>
    <w:lvl w:ilvl="0">
      <w:numFmt w:val="bullet"/>
      <w:lvlText w:val="*"/>
      <w:lvlJc w:val="left"/>
    </w:lvl>
  </w:abstractNum>
  <w:abstractNum w:abstractNumId="1">
    <w:nsid w:val="036D1EC1"/>
    <w:multiLevelType w:val="hybridMultilevel"/>
    <w:tmpl w:val="38CA19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60A65E3"/>
    <w:multiLevelType w:val="hybridMultilevel"/>
    <w:tmpl w:val="57720E7E"/>
    <w:lvl w:ilvl="0" w:tplc="A7862D04">
      <w:start w:val="1"/>
      <w:numFmt w:val="decimal"/>
      <w:pStyle w:val="tl1"/>
      <w:lvlText w:val="(%1)"/>
      <w:lvlJc w:val="left"/>
      <w:pPr>
        <w:ind w:left="720" w:hanging="360"/>
      </w:pPr>
      <w:rPr>
        <w:rFonts w:ascii="Arial" w:hAnsi="Arial" w:cs="Times New Roman" w:hint="default"/>
        <w:b/>
        <w:i w:val="0"/>
        <w:sz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067910EB"/>
    <w:multiLevelType w:val="hybridMultilevel"/>
    <w:tmpl w:val="69623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0B6A026B"/>
    <w:multiLevelType w:val="hybridMultilevel"/>
    <w:tmpl w:val="945E51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EB27F26"/>
    <w:multiLevelType w:val="hybridMultilevel"/>
    <w:tmpl w:val="4B543EA4"/>
    <w:lvl w:ilvl="0" w:tplc="39B649D2">
      <w:numFmt w:val="bullet"/>
      <w:lvlText w:val="-"/>
      <w:lvlJc w:val="left"/>
      <w:pPr>
        <w:ind w:left="870" w:hanging="360"/>
      </w:pPr>
      <w:rPr>
        <w:rFonts w:ascii="Times New Roman" w:eastAsiaTheme="minorEastAsia" w:hAnsi="Times New Roman" w:hint="default"/>
      </w:rPr>
    </w:lvl>
    <w:lvl w:ilvl="1" w:tplc="041B0003" w:tentative="1">
      <w:start w:val="1"/>
      <w:numFmt w:val="bullet"/>
      <w:lvlText w:val="o"/>
      <w:lvlJc w:val="left"/>
      <w:pPr>
        <w:ind w:left="1590" w:hanging="360"/>
      </w:pPr>
      <w:rPr>
        <w:rFonts w:ascii="Courier New" w:hAnsi="Courier New" w:hint="default"/>
      </w:rPr>
    </w:lvl>
    <w:lvl w:ilvl="2" w:tplc="041B0005" w:tentative="1">
      <w:start w:val="1"/>
      <w:numFmt w:val="bullet"/>
      <w:lvlText w:val=""/>
      <w:lvlJc w:val="left"/>
      <w:pPr>
        <w:ind w:left="2310" w:hanging="360"/>
      </w:pPr>
      <w:rPr>
        <w:rFonts w:ascii="Wingdings" w:hAnsi="Wingdings" w:hint="default"/>
      </w:rPr>
    </w:lvl>
    <w:lvl w:ilvl="3" w:tplc="041B0001" w:tentative="1">
      <w:start w:val="1"/>
      <w:numFmt w:val="bullet"/>
      <w:lvlText w:val=""/>
      <w:lvlJc w:val="left"/>
      <w:pPr>
        <w:ind w:left="3030" w:hanging="360"/>
      </w:pPr>
      <w:rPr>
        <w:rFonts w:ascii="Symbol" w:hAnsi="Symbol" w:hint="default"/>
      </w:rPr>
    </w:lvl>
    <w:lvl w:ilvl="4" w:tplc="041B0003" w:tentative="1">
      <w:start w:val="1"/>
      <w:numFmt w:val="bullet"/>
      <w:lvlText w:val="o"/>
      <w:lvlJc w:val="left"/>
      <w:pPr>
        <w:ind w:left="3750" w:hanging="360"/>
      </w:pPr>
      <w:rPr>
        <w:rFonts w:ascii="Courier New" w:hAnsi="Courier New" w:hint="default"/>
      </w:rPr>
    </w:lvl>
    <w:lvl w:ilvl="5" w:tplc="041B0005" w:tentative="1">
      <w:start w:val="1"/>
      <w:numFmt w:val="bullet"/>
      <w:lvlText w:val=""/>
      <w:lvlJc w:val="left"/>
      <w:pPr>
        <w:ind w:left="4470" w:hanging="360"/>
      </w:pPr>
      <w:rPr>
        <w:rFonts w:ascii="Wingdings" w:hAnsi="Wingdings" w:hint="default"/>
      </w:rPr>
    </w:lvl>
    <w:lvl w:ilvl="6" w:tplc="041B0001" w:tentative="1">
      <w:start w:val="1"/>
      <w:numFmt w:val="bullet"/>
      <w:lvlText w:val=""/>
      <w:lvlJc w:val="left"/>
      <w:pPr>
        <w:ind w:left="5190" w:hanging="360"/>
      </w:pPr>
      <w:rPr>
        <w:rFonts w:ascii="Symbol" w:hAnsi="Symbol" w:hint="default"/>
      </w:rPr>
    </w:lvl>
    <w:lvl w:ilvl="7" w:tplc="041B0003" w:tentative="1">
      <w:start w:val="1"/>
      <w:numFmt w:val="bullet"/>
      <w:lvlText w:val="o"/>
      <w:lvlJc w:val="left"/>
      <w:pPr>
        <w:ind w:left="5910" w:hanging="360"/>
      </w:pPr>
      <w:rPr>
        <w:rFonts w:ascii="Courier New" w:hAnsi="Courier New" w:hint="default"/>
      </w:rPr>
    </w:lvl>
    <w:lvl w:ilvl="8" w:tplc="041B0005" w:tentative="1">
      <w:start w:val="1"/>
      <w:numFmt w:val="bullet"/>
      <w:lvlText w:val=""/>
      <w:lvlJc w:val="left"/>
      <w:pPr>
        <w:ind w:left="6630" w:hanging="360"/>
      </w:pPr>
      <w:rPr>
        <w:rFonts w:ascii="Wingdings" w:hAnsi="Wingdings" w:hint="default"/>
      </w:rPr>
    </w:lvl>
  </w:abstractNum>
  <w:abstractNum w:abstractNumId="6">
    <w:nsid w:val="0FD9202D"/>
    <w:multiLevelType w:val="hybridMultilevel"/>
    <w:tmpl w:val="4F4EE3D4"/>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nsid w:val="114E1FB6"/>
    <w:multiLevelType w:val="hybridMultilevel"/>
    <w:tmpl w:val="694037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4A24609"/>
    <w:multiLevelType w:val="hybridMultilevel"/>
    <w:tmpl w:val="338620D4"/>
    <w:lvl w:ilvl="0" w:tplc="565A3C22">
      <w:start w:val="10"/>
      <w:numFmt w:val="bullet"/>
      <w:lvlText w:val="-"/>
      <w:lvlJc w:val="left"/>
      <w:pPr>
        <w:ind w:left="720" w:hanging="360"/>
      </w:pPr>
      <w:rPr>
        <w:rFonts w:ascii="Times New Roman" w:eastAsiaTheme="minorEastAsia"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173A4B21"/>
    <w:multiLevelType w:val="hybridMultilevel"/>
    <w:tmpl w:val="56BCCF1C"/>
    <w:lvl w:ilvl="0" w:tplc="565A3C22">
      <w:start w:val="10"/>
      <w:numFmt w:val="bullet"/>
      <w:lvlText w:val="-"/>
      <w:lvlJc w:val="left"/>
      <w:pPr>
        <w:ind w:left="644" w:hanging="360"/>
      </w:pPr>
      <w:rPr>
        <w:rFonts w:ascii="Times New Roman" w:eastAsiaTheme="minorEastAsia" w:hAnsi="Times New Roman" w:hint="default"/>
      </w:rPr>
    </w:lvl>
    <w:lvl w:ilvl="1" w:tplc="041B0003" w:tentative="1">
      <w:start w:val="1"/>
      <w:numFmt w:val="bullet"/>
      <w:lvlText w:val="o"/>
      <w:lvlJc w:val="left"/>
      <w:pPr>
        <w:ind w:left="1364" w:hanging="360"/>
      </w:pPr>
      <w:rPr>
        <w:rFonts w:ascii="Courier New" w:hAnsi="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0">
    <w:nsid w:val="1B320259"/>
    <w:multiLevelType w:val="singleLevel"/>
    <w:tmpl w:val="44F85BF4"/>
    <w:lvl w:ilvl="0">
      <w:start w:val="1"/>
      <w:numFmt w:val="lowerLetter"/>
      <w:lvlText w:val="%1)"/>
      <w:legacy w:legacy="1" w:legacySpace="0" w:legacyIndent="360"/>
      <w:lvlJc w:val="left"/>
      <w:rPr>
        <w:rFonts w:ascii="Times New Roman" w:hAnsi="Times New Roman" w:cs="Times New Roman" w:hint="default"/>
      </w:rPr>
    </w:lvl>
  </w:abstractNum>
  <w:abstractNum w:abstractNumId="11">
    <w:nsid w:val="1C2277C1"/>
    <w:multiLevelType w:val="hybridMultilevel"/>
    <w:tmpl w:val="0D1C5F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3453E13"/>
    <w:multiLevelType w:val="hybridMultilevel"/>
    <w:tmpl w:val="7E6C98DC"/>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3">
    <w:nsid w:val="23564F5A"/>
    <w:multiLevelType w:val="hybridMultilevel"/>
    <w:tmpl w:val="ECA29228"/>
    <w:lvl w:ilvl="0" w:tplc="565A3C22">
      <w:start w:val="10"/>
      <w:numFmt w:val="bullet"/>
      <w:lvlText w:val="-"/>
      <w:lvlJc w:val="left"/>
      <w:pPr>
        <w:ind w:left="720" w:hanging="360"/>
      </w:pPr>
      <w:rPr>
        <w:rFonts w:ascii="Times New Roman" w:eastAsiaTheme="minorEastAsia"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26E73261"/>
    <w:multiLevelType w:val="hybridMultilevel"/>
    <w:tmpl w:val="C9E87AAC"/>
    <w:lvl w:ilvl="0" w:tplc="8A240BE0">
      <w:numFmt w:val="bullet"/>
      <w:lvlText w:val="-"/>
      <w:lvlJc w:val="left"/>
      <w:pPr>
        <w:ind w:left="720" w:hanging="360"/>
      </w:pPr>
      <w:rPr>
        <w:rFonts w:ascii="Times New Roman" w:eastAsiaTheme="minorEastAsia"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29B83DBC"/>
    <w:multiLevelType w:val="hybridMultilevel"/>
    <w:tmpl w:val="3050EC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2ABE6E8D"/>
    <w:multiLevelType w:val="hybridMultilevel"/>
    <w:tmpl w:val="C97AFDD2"/>
    <w:lvl w:ilvl="0" w:tplc="D3561244">
      <w:start w:val="4"/>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31012708"/>
    <w:multiLevelType w:val="hybridMultilevel"/>
    <w:tmpl w:val="401CE2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31413C11"/>
    <w:multiLevelType w:val="hybridMultilevel"/>
    <w:tmpl w:val="E2A8F25A"/>
    <w:lvl w:ilvl="0" w:tplc="8A240BE0">
      <w:numFmt w:val="bullet"/>
      <w:lvlText w:val="-"/>
      <w:lvlJc w:val="left"/>
      <w:pPr>
        <w:ind w:left="927" w:hanging="360"/>
      </w:pPr>
      <w:rPr>
        <w:rFonts w:ascii="Times New Roman" w:eastAsiaTheme="minorEastAsia" w:hAnsi="Times New Roman" w:hint="default"/>
      </w:rPr>
    </w:lvl>
    <w:lvl w:ilvl="1" w:tplc="041B0003" w:tentative="1">
      <w:start w:val="1"/>
      <w:numFmt w:val="bullet"/>
      <w:lvlText w:val="o"/>
      <w:lvlJc w:val="left"/>
      <w:pPr>
        <w:ind w:left="1647" w:hanging="360"/>
      </w:pPr>
      <w:rPr>
        <w:rFonts w:ascii="Courier New" w:hAnsi="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9">
    <w:nsid w:val="33AE596C"/>
    <w:multiLevelType w:val="hybridMultilevel"/>
    <w:tmpl w:val="FD2C1FE4"/>
    <w:lvl w:ilvl="0" w:tplc="B7A84372">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0">
    <w:nsid w:val="37271D36"/>
    <w:multiLevelType w:val="hybridMultilevel"/>
    <w:tmpl w:val="8BBA02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3E8A6B1A"/>
    <w:multiLevelType w:val="hybridMultilevel"/>
    <w:tmpl w:val="4434D5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3FC10A53"/>
    <w:multiLevelType w:val="hybridMultilevel"/>
    <w:tmpl w:val="A6CC64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46AE373E"/>
    <w:multiLevelType w:val="hybridMultilevel"/>
    <w:tmpl w:val="E8D83E0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4">
    <w:nsid w:val="4B152F76"/>
    <w:multiLevelType w:val="hybridMultilevel"/>
    <w:tmpl w:val="B77A3D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505C1D70"/>
    <w:multiLevelType w:val="hybridMultilevel"/>
    <w:tmpl w:val="0C8A4616"/>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6">
    <w:nsid w:val="52A71A7E"/>
    <w:multiLevelType w:val="hybridMultilevel"/>
    <w:tmpl w:val="7F1E14D6"/>
    <w:lvl w:ilvl="0" w:tplc="D894401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53145D96"/>
    <w:multiLevelType w:val="hybridMultilevel"/>
    <w:tmpl w:val="FC2E00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54FA4776"/>
    <w:multiLevelType w:val="hybridMultilevel"/>
    <w:tmpl w:val="49C45C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554E673B"/>
    <w:multiLevelType w:val="hybridMultilevel"/>
    <w:tmpl w:val="1CBE0C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55FE3222"/>
    <w:multiLevelType w:val="hybridMultilevel"/>
    <w:tmpl w:val="F7B8E0AE"/>
    <w:lvl w:ilvl="0" w:tplc="565A3C22">
      <w:start w:val="10"/>
      <w:numFmt w:val="bullet"/>
      <w:lvlText w:val="-"/>
      <w:lvlJc w:val="left"/>
      <w:pPr>
        <w:ind w:left="1004" w:hanging="360"/>
      </w:pPr>
      <w:rPr>
        <w:rFonts w:ascii="Times New Roman" w:eastAsiaTheme="minorEastAsia" w:hAnsi="Times New Roman" w:hint="default"/>
      </w:rPr>
    </w:lvl>
    <w:lvl w:ilvl="1" w:tplc="041B0003" w:tentative="1">
      <w:start w:val="1"/>
      <w:numFmt w:val="bullet"/>
      <w:lvlText w:val="o"/>
      <w:lvlJc w:val="left"/>
      <w:pPr>
        <w:ind w:left="1724" w:hanging="360"/>
      </w:pPr>
      <w:rPr>
        <w:rFonts w:ascii="Courier New" w:hAnsi="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1">
    <w:nsid w:val="57314004"/>
    <w:multiLevelType w:val="hybridMultilevel"/>
    <w:tmpl w:val="7E3676CA"/>
    <w:lvl w:ilvl="0" w:tplc="87983604">
      <w:start w:val="2"/>
      <w:numFmt w:val="none"/>
      <w:lvlText w:val="1."/>
      <w:lvlJc w:val="left"/>
      <w:pPr>
        <w:tabs>
          <w:tab w:val="num" w:pos="340"/>
        </w:tabs>
        <w:ind w:left="340" w:hanging="340"/>
      </w:pPr>
      <w:rPr>
        <w:rFonts w:cs="Times New Roman" w:hint="default"/>
      </w:rPr>
    </w:lvl>
    <w:lvl w:ilvl="1" w:tplc="C2969FBA">
      <w:start w:val="2"/>
      <w:numFmt w:val="lowerLetter"/>
      <w:lvlText w:val="%2)"/>
      <w:lvlJc w:val="left"/>
      <w:pPr>
        <w:tabs>
          <w:tab w:val="num" w:pos="360"/>
        </w:tabs>
        <w:ind w:left="360" w:hanging="360"/>
      </w:pPr>
      <w:rPr>
        <w:rFonts w:cs="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2">
    <w:nsid w:val="5C795404"/>
    <w:multiLevelType w:val="hybridMultilevel"/>
    <w:tmpl w:val="BE50A5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5C932AB7"/>
    <w:multiLevelType w:val="hybridMultilevel"/>
    <w:tmpl w:val="8C041D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5E4E30C7"/>
    <w:multiLevelType w:val="hybridMultilevel"/>
    <w:tmpl w:val="F2D6B25E"/>
    <w:lvl w:ilvl="0" w:tplc="041B000B">
      <w:start w:val="1"/>
      <w:numFmt w:val="bullet"/>
      <w:lvlText w:val=""/>
      <w:lvlJc w:val="left"/>
      <w:pPr>
        <w:ind w:left="780" w:hanging="360"/>
      </w:pPr>
      <w:rPr>
        <w:rFonts w:ascii="Wingdings" w:hAnsi="Wingdings" w:hint="default"/>
      </w:rPr>
    </w:lvl>
    <w:lvl w:ilvl="1" w:tplc="041B0003" w:tentative="1">
      <w:start w:val="1"/>
      <w:numFmt w:val="bullet"/>
      <w:lvlText w:val="o"/>
      <w:lvlJc w:val="left"/>
      <w:pPr>
        <w:ind w:left="1500" w:hanging="360"/>
      </w:pPr>
      <w:rPr>
        <w:rFonts w:ascii="Courier New" w:hAnsi="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35">
    <w:nsid w:val="5ED025A1"/>
    <w:multiLevelType w:val="hybridMultilevel"/>
    <w:tmpl w:val="8B26BBF6"/>
    <w:lvl w:ilvl="0" w:tplc="D3561244">
      <w:start w:val="4"/>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5EDA1068"/>
    <w:multiLevelType w:val="hybridMultilevel"/>
    <w:tmpl w:val="0DA85040"/>
    <w:lvl w:ilvl="0" w:tplc="041B0001">
      <w:start w:val="1"/>
      <w:numFmt w:val="bullet"/>
      <w:lvlText w:val=""/>
      <w:lvlJc w:val="left"/>
      <w:pPr>
        <w:ind w:left="720" w:hanging="360"/>
      </w:pPr>
      <w:rPr>
        <w:rFonts w:ascii="Symbol" w:hAnsi="Symbol" w:hint="default"/>
        <w:color w:val="000000"/>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61007A04"/>
    <w:multiLevelType w:val="hybridMultilevel"/>
    <w:tmpl w:val="871806D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nsid w:val="61D73FCF"/>
    <w:multiLevelType w:val="hybridMultilevel"/>
    <w:tmpl w:val="7688BC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62FA66D6"/>
    <w:multiLevelType w:val="hybridMultilevel"/>
    <w:tmpl w:val="6C6E2946"/>
    <w:lvl w:ilvl="0" w:tplc="91D2B22A">
      <w:start w:val="1"/>
      <w:numFmt w:val="decimal"/>
      <w:pStyle w:val="Textopatrenia"/>
      <w:lvlText w:val="(%1)"/>
      <w:lvlJc w:val="left"/>
      <w:pPr>
        <w:tabs>
          <w:tab w:val="num" w:pos="1440"/>
        </w:tabs>
        <w:ind w:left="1440" w:hanging="360"/>
      </w:pPr>
      <w:rPr>
        <w:rFonts w:ascii="Arial" w:hAnsi="Arial"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rPr>
    </w:lvl>
    <w:lvl w:ilvl="1" w:tplc="041B0019" w:tentative="1">
      <w:start w:val="1"/>
      <w:numFmt w:val="lowerLetter"/>
      <w:lvlText w:val="%2."/>
      <w:lvlJc w:val="left"/>
      <w:pPr>
        <w:tabs>
          <w:tab w:val="num" w:pos="2160"/>
        </w:tabs>
        <w:ind w:left="2160" w:hanging="360"/>
      </w:pPr>
      <w:rPr>
        <w:rFonts w:cs="Times New Roman"/>
      </w:rPr>
    </w:lvl>
    <w:lvl w:ilvl="2" w:tplc="041B001B" w:tentative="1">
      <w:start w:val="1"/>
      <w:numFmt w:val="lowerRoman"/>
      <w:lvlText w:val="%3."/>
      <w:lvlJc w:val="right"/>
      <w:pPr>
        <w:tabs>
          <w:tab w:val="num" w:pos="2880"/>
        </w:tabs>
        <w:ind w:left="2880" w:hanging="180"/>
      </w:pPr>
      <w:rPr>
        <w:rFonts w:cs="Times New Roman"/>
      </w:rPr>
    </w:lvl>
    <w:lvl w:ilvl="3" w:tplc="041B000F" w:tentative="1">
      <w:start w:val="1"/>
      <w:numFmt w:val="decimal"/>
      <w:lvlText w:val="%4."/>
      <w:lvlJc w:val="left"/>
      <w:pPr>
        <w:tabs>
          <w:tab w:val="num" w:pos="3600"/>
        </w:tabs>
        <w:ind w:left="3600" w:hanging="360"/>
      </w:pPr>
      <w:rPr>
        <w:rFonts w:cs="Times New Roman"/>
      </w:rPr>
    </w:lvl>
    <w:lvl w:ilvl="4" w:tplc="041B0019" w:tentative="1">
      <w:start w:val="1"/>
      <w:numFmt w:val="lowerLetter"/>
      <w:lvlText w:val="%5."/>
      <w:lvlJc w:val="left"/>
      <w:pPr>
        <w:tabs>
          <w:tab w:val="num" w:pos="4320"/>
        </w:tabs>
        <w:ind w:left="4320" w:hanging="360"/>
      </w:pPr>
      <w:rPr>
        <w:rFonts w:cs="Times New Roman"/>
      </w:rPr>
    </w:lvl>
    <w:lvl w:ilvl="5" w:tplc="041B001B" w:tentative="1">
      <w:start w:val="1"/>
      <w:numFmt w:val="lowerRoman"/>
      <w:lvlText w:val="%6."/>
      <w:lvlJc w:val="right"/>
      <w:pPr>
        <w:tabs>
          <w:tab w:val="num" w:pos="5040"/>
        </w:tabs>
        <w:ind w:left="5040" w:hanging="180"/>
      </w:pPr>
      <w:rPr>
        <w:rFonts w:cs="Times New Roman"/>
      </w:rPr>
    </w:lvl>
    <w:lvl w:ilvl="6" w:tplc="041B000F" w:tentative="1">
      <w:start w:val="1"/>
      <w:numFmt w:val="decimal"/>
      <w:lvlText w:val="%7."/>
      <w:lvlJc w:val="left"/>
      <w:pPr>
        <w:tabs>
          <w:tab w:val="num" w:pos="5760"/>
        </w:tabs>
        <w:ind w:left="5760" w:hanging="360"/>
      </w:pPr>
      <w:rPr>
        <w:rFonts w:cs="Times New Roman"/>
      </w:rPr>
    </w:lvl>
    <w:lvl w:ilvl="7" w:tplc="041B0019" w:tentative="1">
      <w:start w:val="1"/>
      <w:numFmt w:val="lowerLetter"/>
      <w:lvlText w:val="%8."/>
      <w:lvlJc w:val="left"/>
      <w:pPr>
        <w:tabs>
          <w:tab w:val="num" w:pos="6480"/>
        </w:tabs>
        <w:ind w:left="6480" w:hanging="360"/>
      </w:pPr>
      <w:rPr>
        <w:rFonts w:cs="Times New Roman"/>
      </w:rPr>
    </w:lvl>
    <w:lvl w:ilvl="8" w:tplc="041B001B" w:tentative="1">
      <w:start w:val="1"/>
      <w:numFmt w:val="lowerRoman"/>
      <w:lvlText w:val="%9."/>
      <w:lvlJc w:val="right"/>
      <w:pPr>
        <w:tabs>
          <w:tab w:val="num" w:pos="7200"/>
        </w:tabs>
        <w:ind w:left="7200" w:hanging="180"/>
      </w:pPr>
      <w:rPr>
        <w:rFonts w:cs="Times New Roman"/>
      </w:rPr>
    </w:lvl>
  </w:abstractNum>
  <w:abstractNum w:abstractNumId="40">
    <w:nsid w:val="64211C9E"/>
    <w:multiLevelType w:val="hybridMultilevel"/>
    <w:tmpl w:val="44700504"/>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007" w:hanging="360"/>
      </w:pPr>
      <w:rPr>
        <w:rFonts w:ascii="Courier New" w:hAnsi="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1">
    <w:nsid w:val="662B3B18"/>
    <w:multiLevelType w:val="hybridMultilevel"/>
    <w:tmpl w:val="7368DB5E"/>
    <w:lvl w:ilvl="0" w:tplc="D894401A">
      <w:start w:val="1"/>
      <w:numFmt w:val="bullet"/>
      <w:lvlText w:val=""/>
      <w:lvlJc w:val="left"/>
      <w:pPr>
        <w:ind w:left="1146"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680E2638"/>
    <w:multiLevelType w:val="hybridMultilevel"/>
    <w:tmpl w:val="040823CE"/>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3">
    <w:nsid w:val="6AE8119C"/>
    <w:multiLevelType w:val="hybridMultilevel"/>
    <w:tmpl w:val="5D2E45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71B20D9E"/>
    <w:multiLevelType w:val="hybridMultilevel"/>
    <w:tmpl w:val="ED488F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nsid w:val="76FC7588"/>
    <w:multiLevelType w:val="hybridMultilevel"/>
    <w:tmpl w:val="6C06C1E2"/>
    <w:lvl w:ilvl="0" w:tplc="565A3C22">
      <w:start w:val="10"/>
      <w:numFmt w:val="bullet"/>
      <w:lvlText w:val="-"/>
      <w:lvlJc w:val="left"/>
      <w:pPr>
        <w:ind w:left="720" w:hanging="360"/>
      </w:pPr>
      <w:rPr>
        <w:rFonts w:ascii="Times New Roman" w:eastAsiaTheme="minorEastAsia"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nsid w:val="7B037D40"/>
    <w:multiLevelType w:val="hybridMultilevel"/>
    <w:tmpl w:val="96C69C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7B51363B"/>
    <w:multiLevelType w:val="hybridMultilevel"/>
    <w:tmpl w:val="7E7A93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nsid w:val="7C2736E8"/>
    <w:multiLevelType w:val="hybridMultilevel"/>
    <w:tmpl w:val="41E45B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nsid w:val="7DFC008A"/>
    <w:multiLevelType w:val="singleLevel"/>
    <w:tmpl w:val="D3561244"/>
    <w:lvl w:ilvl="0">
      <w:start w:val="4"/>
      <w:numFmt w:val="bullet"/>
      <w:lvlText w:val="-"/>
      <w:lvlJc w:val="left"/>
      <w:pPr>
        <w:tabs>
          <w:tab w:val="num" w:pos="360"/>
        </w:tabs>
        <w:ind w:left="360" w:hanging="360"/>
      </w:pPr>
      <w:rPr>
        <w:rFonts w:ascii="Times New Roman" w:hAnsi="Times New Roman" w:hint="default"/>
      </w:rPr>
    </w:lvl>
  </w:abstractNum>
  <w:num w:numId="1">
    <w:abstractNumId w:val="10"/>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6"/>
  </w:num>
  <w:num w:numId="4">
    <w:abstractNumId w:val="9"/>
  </w:num>
  <w:num w:numId="5">
    <w:abstractNumId w:val="16"/>
  </w:num>
  <w:num w:numId="6">
    <w:abstractNumId w:val="35"/>
  </w:num>
  <w:num w:numId="7">
    <w:abstractNumId w:val="37"/>
  </w:num>
  <w:num w:numId="8">
    <w:abstractNumId w:val="49"/>
  </w:num>
  <w:num w:numId="9">
    <w:abstractNumId w:val="25"/>
  </w:num>
  <w:num w:numId="10">
    <w:abstractNumId w:val="2"/>
  </w:num>
  <w:num w:numId="11">
    <w:abstractNumId w:val="23"/>
  </w:num>
  <w:num w:numId="12">
    <w:abstractNumId w:val="26"/>
  </w:num>
  <w:num w:numId="13">
    <w:abstractNumId w:val="40"/>
  </w:num>
  <w:num w:numId="14">
    <w:abstractNumId w:val="41"/>
  </w:num>
  <w:num w:numId="15">
    <w:abstractNumId w:val="39"/>
  </w:num>
  <w:num w:numId="16">
    <w:abstractNumId w:val="42"/>
  </w:num>
  <w:num w:numId="17">
    <w:abstractNumId w:val="12"/>
  </w:num>
  <w:num w:numId="18">
    <w:abstractNumId w:val="31"/>
  </w:num>
  <w:num w:numId="19">
    <w:abstractNumId w:val="19"/>
  </w:num>
  <w:num w:numId="20">
    <w:abstractNumId w:val="36"/>
  </w:num>
  <w:num w:numId="21">
    <w:abstractNumId w:val="5"/>
  </w:num>
  <w:num w:numId="22">
    <w:abstractNumId w:val="18"/>
  </w:num>
  <w:num w:numId="23">
    <w:abstractNumId w:val="17"/>
  </w:num>
  <w:num w:numId="24">
    <w:abstractNumId w:val="32"/>
  </w:num>
  <w:num w:numId="25">
    <w:abstractNumId w:val="22"/>
  </w:num>
  <w:num w:numId="26">
    <w:abstractNumId w:val="47"/>
  </w:num>
  <w:num w:numId="27">
    <w:abstractNumId w:val="27"/>
  </w:num>
  <w:num w:numId="28">
    <w:abstractNumId w:val="3"/>
  </w:num>
  <w:num w:numId="29">
    <w:abstractNumId w:val="44"/>
  </w:num>
  <w:num w:numId="30">
    <w:abstractNumId w:val="28"/>
  </w:num>
  <w:num w:numId="31">
    <w:abstractNumId w:val="1"/>
  </w:num>
  <w:num w:numId="32">
    <w:abstractNumId w:val="4"/>
  </w:num>
  <w:num w:numId="33">
    <w:abstractNumId w:val="30"/>
  </w:num>
  <w:num w:numId="34">
    <w:abstractNumId w:val="13"/>
  </w:num>
  <w:num w:numId="35">
    <w:abstractNumId w:val="45"/>
  </w:num>
  <w:num w:numId="36">
    <w:abstractNumId w:val="8"/>
  </w:num>
  <w:num w:numId="37">
    <w:abstractNumId w:val="38"/>
  </w:num>
  <w:num w:numId="38">
    <w:abstractNumId w:val="21"/>
  </w:num>
  <w:num w:numId="39">
    <w:abstractNumId w:val="46"/>
  </w:num>
  <w:num w:numId="40">
    <w:abstractNumId w:val="29"/>
  </w:num>
  <w:num w:numId="41">
    <w:abstractNumId w:val="15"/>
  </w:num>
  <w:num w:numId="42">
    <w:abstractNumId w:val="7"/>
  </w:num>
  <w:num w:numId="43">
    <w:abstractNumId w:val="48"/>
  </w:num>
  <w:num w:numId="44">
    <w:abstractNumId w:val="14"/>
  </w:num>
  <w:num w:numId="45">
    <w:abstractNumId w:val="33"/>
  </w:num>
  <w:num w:numId="46">
    <w:abstractNumId w:val="39"/>
  </w:num>
  <w:num w:numId="47">
    <w:abstractNumId w:val="39"/>
  </w:num>
  <w:num w:numId="48">
    <w:abstractNumId w:val="20"/>
  </w:num>
  <w:num w:numId="49">
    <w:abstractNumId w:val="11"/>
  </w:num>
  <w:num w:numId="50">
    <w:abstractNumId w:val="24"/>
  </w:num>
  <w:num w:numId="51">
    <w:abstractNumId w:val="43"/>
  </w:num>
  <w:num w:numId="52">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51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833"/>
    <w:rsid w:val="0000283D"/>
    <w:rsid w:val="00014BFE"/>
    <w:rsid w:val="00014D0D"/>
    <w:rsid w:val="00021AD4"/>
    <w:rsid w:val="00023ABE"/>
    <w:rsid w:val="00024508"/>
    <w:rsid w:val="00027F36"/>
    <w:rsid w:val="00031B32"/>
    <w:rsid w:val="0003682A"/>
    <w:rsid w:val="00037A88"/>
    <w:rsid w:val="000530AD"/>
    <w:rsid w:val="0005393C"/>
    <w:rsid w:val="00063178"/>
    <w:rsid w:val="00073438"/>
    <w:rsid w:val="000739E5"/>
    <w:rsid w:val="00073ED5"/>
    <w:rsid w:val="00076886"/>
    <w:rsid w:val="00092AD1"/>
    <w:rsid w:val="000A0E00"/>
    <w:rsid w:val="000A1CA1"/>
    <w:rsid w:val="000A2157"/>
    <w:rsid w:val="000A7C2E"/>
    <w:rsid w:val="000C66B8"/>
    <w:rsid w:val="000D53A8"/>
    <w:rsid w:val="000F4FB7"/>
    <w:rsid w:val="00102E99"/>
    <w:rsid w:val="00103D72"/>
    <w:rsid w:val="00106055"/>
    <w:rsid w:val="001154BD"/>
    <w:rsid w:val="00121BDE"/>
    <w:rsid w:val="001235D1"/>
    <w:rsid w:val="001258AA"/>
    <w:rsid w:val="0013750B"/>
    <w:rsid w:val="00141455"/>
    <w:rsid w:val="00144A95"/>
    <w:rsid w:val="00147BDB"/>
    <w:rsid w:val="00152B5C"/>
    <w:rsid w:val="00153653"/>
    <w:rsid w:val="00154173"/>
    <w:rsid w:val="00154B3E"/>
    <w:rsid w:val="001601C8"/>
    <w:rsid w:val="0016124A"/>
    <w:rsid w:val="00161E33"/>
    <w:rsid w:val="0016264D"/>
    <w:rsid w:val="0017629A"/>
    <w:rsid w:val="001811DA"/>
    <w:rsid w:val="00185F39"/>
    <w:rsid w:val="00187457"/>
    <w:rsid w:val="00191D73"/>
    <w:rsid w:val="001A06C0"/>
    <w:rsid w:val="001A521C"/>
    <w:rsid w:val="001A6B86"/>
    <w:rsid w:val="001A6F62"/>
    <w:rsid w:val="001B206C"/>
    <w:rsid w:val="001B2F05"/>
    <w:rsid w:val="001C2FE5"/>
    <w:rsid w:val="001C3435"/>
    <w:rsid w:val="001C6DFA"/>
    <w:rsid w:val="001E1348"/>
    <w:rsid w:val="001F14C4"/>
    <w:rsid w:val="001F2086"/>
    <w:rsid w:val="001F7421"/>
    <w:rsid w:val="00203DC6"/>
    <w:rsid w:val="002045E7"/>
    <w:rsid w:val="0020711F"/>
    <w:rsid w:val="002101E5"/>
    <w:rsid w:val="00214AD6"/>
    <w:rsid w:val="002177B0"/>
    <w:rsid w:val="00217932"/>
    <w:rsid w:val="0022270D"/>
    <w:rsid w:val="00226244"/>
    <w:rsid w:val="002339D0"/>
    <w:rsid w:val="00235B6A"/>
    <w:rsid w:val="00237E03"/>
    <w:rsid w:val="00241F68"/>
    <w:rsid w:val="00246280"/>
    <w:rsid w:val="00251CAF"/>
    <w:rsid w:val="00261011"/>
    <w:rsid w:val="00263333"/>
    <w:rsid w:val="002637F6"/>
    <w:rsid w:val="00264AB8"/>
    <w:rsid w:val="00267677"/>
    <w:rsid w:val="00271390"/>
    <w:rsid w:val="00271986"/>
    <w:rsid w:val="00271B3D"/>
    <w:rsid w:val="0027516A"/>
    <w:rsid w:val="00277C6F"/>
    <w:rsid w:val="00277D9F"/>
    <w:rsid w:val="00283153"/>
    <w:rsid w:val="002861E7"/>
    <w:rsid w:val="0029402B"/>
    <w:rsid w:val="0029558A"/>
    <w:rsid w:val="0029649F"/>
    <w:rsid w:val="002971B3"/>
    <w:rsid w:val="002A0F75"/>
    <w:rsid w:val="002A1F87"/>
    <w:rsid w:val="002B0FAF"/>
    <w:rsid w:val="002B304D"/>
    <w:rsid w:val="002B427D"/>
    <w:rsid w:val="002B66D2"/>
    <w:rsid w:val="002C3511"/>
    <w:rsid w:val="002C4B91"/>
    <w:rsid w:val="002D6090"/>
    <w:rsid w:val="002D7A47"/>
    <w:rsid w:val="002E1C68"/>
    <w:rsid w:val="002E58A7"/>
    <w:rsid w:val="002E5A82"/>
    <w:rsid w:val="002E5DED"/>
    <w:rsid w:val="002E663F"/>
    <w:rsid w:val="002F3CF2"/>
    <w:rsid w:val="00302CFD"/>
    <w:rsid w:val="00313E28"/>
    <w:rsid w:val="00315375"/>
    <w:rsid w:val="00321A28"/>
    <w:rsid w:val="003312C5"/>
    <w:rsid w:val="00331F22"/>
    <w:rsid w:val="0033464A"/>
    <w:rsid w:val="00343E31"/>
    <w:rsid w:val="00344471"/>
    <w:rsid w:val="00344735"/>
    <w:rsid w:val="0034784D"/>
    <w:rsid w:val="00352B4D"/>
    <w:rsid w:val="003549C2"/>
    <w:rsid w:val="0035635D"/>
    <w:rsid w:val="00356E59"/>
    <w:rsid w:val="003574A4"/>
    <w:rsid w:val="00360013"/>
    <w:rsid w:val="003616C0"/>
    <w:rsid w:val="00364BE7"/>
    <w:rsid w:val="00365292"/>
    <w:rsid w:val="003773DB"/>
    <w:rsid w:val="00385B00"/>
    <w:rsid w:val="00395A72"/>
    <w:rsid w:val="003A49E2"/>
    <w:rsid w:val="003A5259"/>
    <w:rsid w:val="003B20C9"/>
    <w:rsid w:val="003B708C"/>
    <w:rsid w:val="003B781F"/>
    <w:rsid w:val="003C324A"/>
    <w:rsid w:val="003C74E0"/>
    <w:rsid w:val="003C78FC"/>
    <w:rsid w:val="003D687C"/>
    <w:rsid w:val="003D7150"/>
    <w:rsid w:val="003F4929"/>
    <w:rsid w:val="003F4F4E"/>
    <w:rsid w:val="00400414"/>
    <w:rsid w:val="00407A7E"/>
    <w:rsid w:val="0041298D"/>
    <w:rsid w:val="00413CBF"/>
    <w:rsid w:val="0042547A"/>
    <w:rsid w:val="00434520"/>
    <w:rsid w:val="00436467"/>
    <w:rsid w:val="0043686F"/>
    <w:rsid w:val="00436EC6"/>
    <w:rsid w:val="0043720D"/>
    <w:rsid w:val="00437CA4"/>
    <w:rsid w:val="004401A9"/>
    <w:rsid w:val="00441F31"/>
    <w:rsid w:val="00446505"/>
    <w:rsid w:val="00452FB4"/>
    <w:rsid w:val="00453DF9"/>
    <w:rsid w:val="00454A06"/>
    <w:rsid w:val="004601BF"/>
    <w:rsid w:val="004604EB"/>
    <w:rsid w:val="004617A2"/>
    <w:rsid w:val="00461AF7"/>
    <w:rsid w:val="0046266F"/>
    <w:rsid w:val="00474B1C"/>
    <w:rsid w:val="004777C5"/>
    <w:rsid w:val="00477DE2"/>
    <w:rsid w:val="004862C1"/>
    <w:rsid w:val="004875C8"/>
    <w:rsid w:val="0049077F"/>
    <w:rsid w:val="004971D8"/>
    <w:rsid w:val="004A1B23"/>
    <w:rsid w:val="004A44C0"/>
    <w:rsid w:val="004B1306"/>
    <w:rsid w:val="004B22A8"/>
    <w:rsid w:val="004C1031"/>
    <w:rsid w:val="004C32A3"/>
    <w:rsid w:val="004C338B"/>
    <w:rsid w:val="004C4D7B"/>
    <w:rsid w:val="004D358C"/>
    <w:rsid w:val="004D36F4"/>
    <w:rsid w:val="004E29B5"/>
    <w:rsid w:val="004E358C"/>
    <w:rsid w:val="004E4649"/>
    <w:rsid w:val="004E6FE1"/>
    <w:rsid w:val="004F2844"/>
    <w:rsid w:val="004F6FD7"/>
    <w:rsid w:val="00505C91"/>
    <w:rsid w:val="00507041"/>
    <w:rsid w:val="005139CE"/>
    <w:rsid w:val="00534576"/>
    <w:rsid w:val="00535798"/>
    <w:rsid w:val="005421CF"/>
    <w:rsid w:val="00542ED4"/>
    <w:rsid w:val="00544338"/>
    <w:rsid w:val="00550597"/>
    <w:rsid w:val="00550996"/>
    <w:rsid w:val="0055683F"/>
    <w:rsid w:val="00556DB5"/>
    <w:rsid w:val="00557459"/>
    <w:rsid w:val="00564CFF"/>
    <w:rsid w:val="00573351"/>
    <w:rsid w:val="00576983"/>
    <w:rsid w:val="005805EB"/>
    <w:rsid w:val="0058301B"/>
    <w:rsid w:val="005833A1"/>
    <w:rsid w:val="00584074"/>
    <w:rsid w:val="00587930"/>
    <w:rsid w:val="005934F3"/>
    <w:rsid w:val="005A176F"/>
    <w:rsid w:val="005A5BAB"/>
    <w:rsid w:val="005A6445"/>
    <w:rsid w:val="005A65BD"/>
    <w:rsid w:val="005A683A"/>
    <w:rsid w:val="005B1646"/>
    <w:rsid w:val="005B4791"/>
    <w:rsid w:val="005B7F99"/>
    <w:rsid w:val="005C22C9"/>
    <w:rsid w:val="005C3817"/>
    <w:rsid w:val="005C3DBE"/>
    <w:rsid w:val="005D257D"/>
    <w:rsid w:val="005E182D"/>
    <w:rsid w:val="005E40C2"/>
    <w:rsid w:val="005E539C"/>
    <w:rsid w:val="005E5730"/>
    <w:rsid w:val="005E6AB0"/>
    <w:rsid w:val="005E7F37"/>
    <w:rsid w:val="005F22C2"/>
    <w:rsid w:val="005F2635"/>
    <w:rsid w:val="005F2E7B"/>
    <w:rsid w:val="005F2FE3"/>
    <w:rsid w:val="005F621C"/>
    <w:rsid w:val="005F7693"/>
    <w:rsid w:val="00600C10"/>
    <w:rsid w:val="006011AA"/>
    <w:rsid w:val="00605699"/>
    <w:rsid w:val="0060647A"/>
    <w:rsid w:val="0060658E"/>
    <w:rsid w:val="00612D63"/>
    <w:rsid w:val="00614CE2"/>
    <w:rsid w:val="00615454"/>
    <w:rsid w:val="006205BF"/>
    <w:rsid w:val="006357D0"/>
    <w:rsid w:val="0063669D"/>
    <w:rsid w:val="00636AAF"/>
    <w:rsid w:val="006478A8"/>
    <w:rsid w:val="00655F59"/>
    <w:rsid w:val="006635E9"/>
    <w:rsid w:val="0066592C"/>
    <w:rsid w:val="0067219A"/>
    <w:rsid w:val="006739E9"/>
    <w:rsid w:val="00682B72"/>
    <w:rsid w:val="00687F3E"/>
    <w:rsid w:val="00690EB9"/>
    <w:rsid w:val="00691BE2"/>
    <w:rsid w:val="006A28F7"/>
    <w:rsid w:val="006A5EDF"/>
    <w:rsid w:val="006B2028"/>
    <w:rsid w:val="006B2DEB"/>
    <w:rsid w:val="006C167F"/>
    <w:rsid w:val="006C1AA0"/>
    <w:rsid w:val="006C5B7E"/>
    <w:rsid w:val="006C7171"/>
    <w:rsid w:val="006C73D3"/>
    <w:rsid w:val="006D4235"/>
    <w:rsid w:val="006E693D"/>
    <w:rsid w:val="006F198B"/>
    <w:rsid w:val="006F2469"/>
    <w:rsid w:val="006F36C9"/>
    <w:rsid w:val="006F3F80"/>
    <w:rsid w:val="006F7302"/>
    <w:rsid w:val="00704E32"/>
    <w:rsid w:val="00711B6B"/>
    <w:rsid w:val="007122B8"/>
    <w:rsid w:val="00713255"/>
    <w:rsid w:val="00722692"/>
    <w:rsid w:val="00741335"/>
    <w:rsid w:val="00744EF3"/>
    <w:rsid w:val="007506B4"/>
    <w:rsid w:val="00753462"/>
    <w:rsid w:val="00756618"/>
    <w:rsid w:val="00760695"/>
    <w:rsid w:val="0076112E"/>
    <w:rsid w:val="00762E66"/>
    <w:rsid w:val="00763B6C"/>
    <w:rsid w:val="00765334"/>
    <w:rsid w:val="007701DE"/>
    <w:rsid w:val="00771CBA"/>
    <w:rsid w:val="00775267"/>
    <w:rsid w:val="00776B18"/>
    <w:rsid w:val="00776D62"/>
    <w:rsid w:val="00782EE8"/>
    <w:rsid w:val="00791F03"/>
    <w:rsid w:val="007948EA"/>
    <w:rsid w:val="00795C16"/>
    <w:rsid w:val="007A1833"/>
    <w:rsid w:val="007B1E5B"/>
    <w:rsid w:val="007B67AF"/>
    <w:rsid w:val="007B69E0"/>
    <w:rsid w:val="007B7A99"/>
    <w:rsid w:val="007C4247"/>
    <w:rsid w:val="007C47ED"/>
    <w:rsid w:val="007C7179"/>
    <w:rsid w:val="007D3A1B"/>
    <w:rsid w:val="007E00F6"/>
    <w:rsid w:val="007E42D2"/>
    <w:rsid w:val="007E74D7"/>
    <w:rsid w:val="007F3D87"/>
    <w:rsid w:val="007F435E"/>
    <w:rsid w:val="007F6297"/>
    <w:rsid w:val="00801651"/>
    <w:rsid w:val="008055D2"/>
    <w:rsid w:val="008064AE"/>
    <w:rsid w:val="00810190"/>
    <w:rsid w:val="00813D4F"/>
    <w:rsid w:val="00832161"/>
    <w:rsid w:val="0083554E"/>
    <w:rsid w:val="00843BB6"/>
    <w:rsid w:val="008442AD"/>
    <w:rsid w:val="00857790"/>
    <w:rsid w:val="00860098"/>
    <w:rsid w:val="0086321B"/>
    <w:rsid w:val="00864F59"/>
    <w:rsid w:val="008766B1"/>
    <w:rsid w:val="00882226"/>
    <w:rsid w:val="008841F4"/>
    <w:rsid w:val="008932CE"/>
    <w:rsid w:val="00895F51"/>
    <w:rsid w:val="008A0C69"/>
    <w:rsid w:val="008A1D0C"/>
    <w:rsid w:val="008A2061"/>
    <w:rsid w:val="008A60B8"/>
    <w:rsid w:val="008B00D8"/>
    <w:rsid w:val="008B1734"/>
    <w:rsid w:val="008B1C36"/>
    <w:rsid w:val="008B74A7"/>
    <w:rsid w:val="008C1042"/>
    <w:rsid w:val="008C16A8"/>
    <w:rsid w:val="008C5831"/>
    <w:rsid w:val="008C5957"/>
    <w:rsid w:val="008C7927"/>
    <w:rsid w:val="008D2847"/>
    <w:rsid w:val="008D349E"/>
    <w:rsid w:val="008E1B39"/>
    <w:rsid w:val="008E38F3"/>
    <w:rsid w:val="008E46B3"/>
    <w:rsid w:val="00904F37"/>
    <w:rsid w:val="00906BBA"/>
    <w:rsid w:val="0090702B"/>
    <w:rsid w:val="00916467"/>
    <w:rsid w:val="00916981"/>
    <w:rsid w:val="00917125"/>
    <w:rsid w:val="009209B4"/>
    <w:rsid w:val="009228A7"/>
    <w:rsid w:val="00925DEB"/>
    <w:rsid w:val="00934959"/>
    <w:rsid w:val="00940337"/>
    <w:rsid w:val="00944862"/>
    <w:rsid w:val="00946BC9"/>
    <w:rsid w:val="00951743"/>
    <w:rsid w:val="00953A7B"/>
    <w:rsid w:val="0095554D"/>
    <w:rsid w:val="00961F0C"/>
    <w:rsid w:val="00962313"/>
    <w:rsid w:val="00965927"/>
    <w:rsid w:val="009804BD"/>
    <w:rsid w:val="00992C39"/>
    <w:rsid w:val="00993A27"/>
    <w:rsid w:val="009A0DD5"/>
    <w:rsid w:val="009A5690"/>
    <w:rsid w:val="009B1140"/>
    <w:rsid w:val="009B2222"/>
    <w:rsid w:val="009C2A08"/>
    <w:rsid w:val="009C3000"/>
    <w:rsid w:val="009C5F54"/>
    <w:rsid w:val="009D1008"/>
    <w:rsid w:val="009D745E"/>
    <w:rsid w:val="009E2F35"/>
    <w:rsid w:val="009E67E4"/>
    <w:rsid w:val="009F1C77"/>
    <w:rsid w:val="009F3834"/>
    <w:rsid w:val="009F39B7"/>
    <w:rsid w:val="009F423E"/>
    <w:rsid w:val="009F6051"/>
    <w:rsid w:val="00A00BEE"/>
    <w:rsid w:val="00A14813"/>
    <w:rsid w:val="00A16EA1"/>
    <w:rsid w:val="00A17A16"/>
    <w:rsid w:val="00A24EBC"/>
    <w:rsid w:val="00A27A4C"/>
    <w:rsid w:val="00A3018B"/>
    <w:rsid w:val="00A31136"/>
    <w:rsid w:val="00A344F6"/>
    <w:rsid w:val="00A34BE4"/>
    <w:rsid w:val="00A357FE"/>
    <w:rsid w:val="00A41D62"/>
    <w:rsid w:val="00A4429E"/>
    <w:rsid w:val="00A55937"/>
    <w:rsid w:val="00A61B19"/>
    <w:rsid w:val="00A63530"/>
    <w:rsid w:val="00A7430E"/>
    <w:rsid w:val="00A77BBD"/>
    <w:rsid w:val="00A824B2"/>
    <w:rsid w:val="00A84AF6"/>
    <w:rsid w:val="00A9037E"/>
    <w:rsid w:val="00A95792"/>
    <w:rsid w:val="00A96958"/>
    <w:rsid w:val="00AA0394"/>
    <w:rsid w:val="00AA316E"/>
    <w:rsid w:val="00AA3625"/>
    <w:rsid w:val="00AB0860"/>
    <w:rsid w:val="00AB2F85"/>
    <w:rsid w:val="00AB38C8"/>
    <w:rsid w:val="00AC1F24"/>
    <w:rsid w:val="00AC2801"/>
    <w:rsid w:val="00AC3309"/>
    <w:rsid w:val="00AC49FE"/>
    <w:rsid w:val="00AD1A8A"/>
    <w:rsid w:val="00AD77C4"/>
    <w:rsid w:val="00AE0446"/>
    <w:rsid w:val="00AE1B46"/>
    <w:rsid w:val="00AE4520"/>
    <w:rsid w:val="00AE61FC"/>
    <w:rsid w:val="00AE75C3"/>
    <w:rsid w:val="00B05C32"/>
    <w:rsid w:val="00B13796"/>
    <w:rsid w:val="00B14F82"/>
    <w:rsid w:val="00B20053"/>
    <w:rsid w:val="00B20974"/>
    <w:rsid w:val="00B20A5C"/>
    <w:rsid w:val="00B23771"/>
    <w:rsid w:val="00B27A04"/>
    <w:rsid w:val="00B34339"/>
    <w:rsid w:val="00B425A4"/>
    <w:rsid w:val="00B42E32"/>
    <w:rsid w:val="00B43523"/>
    <w:rsid w:val="00B43B2B"/>
    <w:rsid w:val="00B45C7C"/>
    <w:rsid w:val="00B501BF"/>
    <w:rsid w:val="00B60F1E"/>
    <w:rsid w:val="00B656F8"/>
    <w:rsid w:val="00B757DF"/>
    <w:rsid w:val="00B75CC6"/>
    <w:rsid w:val="00B81B0D"/>
    <w:rsid w:val="00B90FA8"/>
    <w:rsid w:val="00B94F0D"/>
    <w:rsid w:val="00B95EC5"/>
    <w:rsid w:val="00B969EF"/>
    <w:rsid w:val="00BB2AB0"/>
    <w:rsid w:val="00BC1542"/>
    <w:rsid w:val="00BC575C"/>
    <w:rsid w:val="00BC7729"/>
    <w:rsid w:val="00BD247E"/>
    <w:rsid w:val="00BE1AEF"/>
    <w:rsid w:val="00BE77E3"/>
    <w:rsid w:val="00BF06E6"/>
    <w:rsid w:val="00BF2126"/>
    <w:rsid w:val="00BF3E9E"/>
    <w:rsid w:val="00BF42B8"/>
    <w:rsid w:val="00C0040B"/>
    <w:rsid w:val="00C06493"/>
    <w:rsid w:val="00C075CD"/>
    <w:rsid w:val="00C16791"/>
    <w:rsid w:val="00C17F0F"/>
    <w:rsid w:val="00C203AD"/>
    <w:rsid w:val="00C21248"/>
    <w:rsid w:val="00C22264"/>
    <w:rsid w:val="00C24D0A"/>
    <w:rsid w:val="00C263CA"/>
    <w:rsid w:val="00C26BE9"/>
    <w:rsid w:val="00C26F29"/>
    <w:rsid w:val="00C503BB"/>
    <w:rsid w:val="00C518DB"/>
    <w:rsid w:val="00C565E2"/>
    <w:rsid w:val="00C62CC3"/>
    <w:rsid w:val="00C728FC"/>
    <w:rsid w:val="00C77EB5"/>
    <w:rsid w:val="00C83C57"/>
    <w:rsid w:val="00C92638"/>
    <w:rsid w:val="00C94BD2"/>
    <w:rsid w:val="00CA1EEE"/>
    <w:rsid w:val="00CA1FC3"/>
    <w:rsid w:val="00CA25F0"/>
    <w:rsid w:val="00CA3097"/>
    <w:rsid w:val="00CA4D3A"/>
    <w:rsid w:val="00CB16DA"/>
    <w:rsid w:val="00CB5425"/>
    <w:rsid w:val="00CB7316"/>
    <w:rsid w:val="00CC0A34"/>
    <w:rsid w:val="00CC1133"/>
    <w:rsid w:val="00CC37B3"/>
    <w:rsid w:val="00CD10E5"/>
    <w:rsid w:val="00CD2951"/>
    <w:rsid w:val="00CD3214"/>
    <w:rsid w:val="00CD7F36"/>
    <w:rsid w:val="00CE3765"/>
    <w:rsid w:val="00CE686F"/>
    <w:rsid w:val="00CF261D"/>
    <w:rsid w:val="00CF6AC4"/>
    <w:rsid w:val="00D05F63"/>
    <w:rsid w:val="00D107F7"/>
    <w:rsid w:val="00D1479A"/>
    <w:rsid w:val="00D15570"/>
    <w:rsid w:val="00D17F32"/>
    <w:rsid w:val="00D21830"/>
    <w:rsid w:val="00D21B2F"/>
    <w:rsid w:val="00D22A3F"/>
    <w:rsid w:val="00D2467E"/>
    <w:rsid w:val="00D25EA7"/>
    <w:rsid w:val="00D2769B"/>
    <w:rsid w:val="00D31EBB"/>
    <w:rsid w:val="00D45738"/>
    <w:rsid w:val="00D53A9F"/>
    <w:rsid w:val="00D550B9"/>
    <w:rsid w:val="00D66817"/>
    <w:rsid w:val="00D67C1D"/>
    <w:rsid w:val="00D74D3B"/>
    <w:rsid w:val="00D75B49"/>
    <w:rsid w:val="00D76FEE"/>
    <w:rsid w:val="00D77AB5"/>
    <w:rsid w:val="00D811E8"/>
    <w:rsid w:val="00D872DC"/>
    <w:rsid w:val="00D96414"/>
    <w:rsid w:val="00D96EA1"/>
    <w:rsid w:val="00D975E0"/>
    <w:rsid w:val="00DA02DE"/>
    <w:rsid w:val="00DA0B5D"/>
    <w:rsid w:val="00DA3BB6"/>
    <w:rsid w:val="00DA563B"/>
    <w:rsid w:val="00DB1F48"/>
    <w:rsid w:val="00DB5BF6"/>
    <w:rsid w:val="00DB5DAB"/>
    <w:rsid w:val="00DB7C46"/>
    <w:rsid w:val="00DC3DC0"/>
    <w:rsid w:val="00DC7064"/>
    <w:rsid w:val="00DC71A4"/>
    <w:rsid w:val="00DD339B"/>
    <w:rsid w:val="00DD602C"/>
    <w:rsid w:val="00DE155E"/>
    <w:rsid w:val="00DE488A"/>
    <w:rsid w:val="00DE55F6"/>
    <w:rsid w:val="00DF216C"/>
    <w:rsid w:val="00E040CE"/>
    <w:rsid w:val="00E0744C"/>
    <w:rsid w:val="00E126DD"/>
    <w:rsid w:val="00E12C26"/>
    <w:rsid w:val="00E12F6F"/>
    <w:rsid w:val="00E15DF5"/>
    <w:rsid w:val="00E163FC"/>
    <w:rsid w:val="00E16840"/>
    <w:rsid w:val="00E1750B"/>
    <w:rsid w:val="00E17516"/>
    <w:rsid w:val="00E17F85"/>
    <w:rsid w:val="00E327D0"/>
    <w:rsid w:val="00E342E1"/>
    <w:rsid w:val="00E34DFF"/>
    <w:rsid w:val="00E35BFC"/>
    <w:rsid w:val="00E376B7"/>
    <w:rsid w:val="00E43059"/>
    <w:rsid w:val="00E43450"/>
    <w:rsid w:val="00E511F6"/>
    <w:rsid w:val="00E5200D"/>
    <w:rsid w:val="00E52C25"/>
    <w:rsid w:val="00E533C7"/>
    <w:rsid w:val="00E53E49"/>
    <w:rsid w:val="00E62DE6"/>
    <w:rsid w:val="00E63F1F"/>
    <w:rsid w:val="00E72D68"/>
    <w:rsid w:val="00E73234"/>
    <w:rsid w:val="00E81170"/>
    <w:rsid w:val="00E8343A"/>
    <w:rsid w:val="00E877D6"/>
    <w:rsid w:val="00E901C6"/>
    <w:rsid w:val="00E911CB"/>
    <w:rsid w:val="00E914B5"/>
    <w:rsid w:val="00E95992"/>
    <w:rsid w:val="00EA5A12"/>
    <w:rsid w:val="00EB21CF"/>
    <w:rsid w:val="00EB6A57"/>
    <w:rsid w:val="00EC0DB0"/>
    <w:rsid w:val="00EC304D"/>
    <w:rsid w:val="00EC3772"/>
    <w:rsid w:val="00EC46C0"/>
    <w:rsid w:val="00EC4DC7"/>
    <w:rsid w:val="00EC5AC6"/>
    <w:rsid w:val="00EC7153"/>
    <w:rsid w:val="00EC7DD2"/>
    <w:rsid w:val="00ED46EF"/>
    <w:rsid w:val="00ED4DC3"/>
    <w:rsid w:val="00ED65E7"/>
    <w:rsid w:val="00EE116A"/>
    <w:rsid w:val="00EE59D7"/>
    <w:rsid w:val="00EF0B58"/>
    <w:rsid w:val="00EF2794"/>
    <w:rsid w:val="00EF2983"/>
    <w:rsid w:val="00EF3A88"/>
    <w:rsid w:val="00F0104E"/>
    <w:rsid w:val="00F0163F"/>
    <w:rsid w:val="00F04331"/>
    <w:rsid w:val="00F11E84"/>
    <w:rsid w:val="00F13965"/>
    <w:rsid w:val="00F15594"/>
    <w:rsid w:val="00F20582"/>
    <w:rsid w:val="00F267D4"/>
    <w:rsid w:val="00F32B91"/>
    <w:rsid w:val="00F33619"/>
    <w:rsid w:val="00F35C77"/>
    <w:rsid w:val="00F36408"/>
    <w:rsid w:val="00F60239"/>
    <w:rsid w:val="00F62077"/>
    <w:rsid w:val="00F80507"/>
    <w:rsid w:val="00F81D54"/>
    <w:rsid w:val="00F872B4"/>
    <w:rsid w:val="00F91127"/>
    <w:rsid w:val="00F91894"/>
    <w:rsid w:val="00FB1205"/>
    <w:rsid w:val="00FB616B"/>
    <w:rsid w:val="00FC2D58"/>
    <w:rsid w:val="00FC377C"/>
    <w:rsid w:val="00FC46DE"/>
    <w:rsid w:val="00FD0433"/>
    <w:rsid w:val="00FD5100"/>
    <w:rsid w:val="00FD5847"/>
    <w:rsid w:val="00FE2CF1"/>
    <w:rsid w:val="00FE2FEF"/>
    <w:rsid w:val="00FE52D6"/>
    <w:rsid w:val="00FF21B7"/>
    <w:rsid w:val="00FF7CAD"/>
  </w:rsids>
  <m:mathPr>
    <m:mathFont m:val="Cambria Math"/>
    <m:brkBin m:val="before"/>
    <m:brkBinSub m:val="--"/>
    <m:smallFrac m:val="0"/>
    <m:dispDef/>
    <m:lMargin m:val="0"/>
    <m:rMargin m:val="0"/>
    <m:defJc m:val="centerGroup"/>
    <m:wrapIndent m:val="1440"/>
    <m:intLim m:val="subSup"/>
    <m:naryLim m:val="subSup"/>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widowControl w:val="0"/>
      <w:autoSpaceDE w:val="0"/>
      <w:autoSpaceDN w:val="0"/>
      <w:adjustRightInd w:val="0"/>
      <w:spacing w:after="0" w:line="240" w:lineRule="auto"/>
    </w:pPr>
  </w:style>
  <w:style w:type="paragraph" w:styleId="Nadpis1">
    <w:name w:val="heading 1"/>
    <w:basedOn w:val="Normlny"/>
    <w:next w:val="Normlny"/>
    <w:link w:val="Nadpis1Char"/>
    <w:uiPriority w:val="99"/>
    <w:qFormat/>
    <w:pPr>
      <w:outlineLvl w:val="0"/>
    </w:pPr>
  </w:style>
  <w:style w:type="paragraph" w:styleId="Nadpis2">
    <w:name w:val="heading 2"/>
    <w:basedOn w:val="Normlny"/>
    <w:next w:val="Normlny"/>
    <w:link w:val="Nadpis2Char"/>
    <w:uiPriority w:val="99"/>
    <w:qFormat/>
    <w:pPr>
      <w:outlineLvl w:val="1"/>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color w:val="365F91" w:themeColor="accent1" w:themeShade="BF"/>
      <w:sz w:val="28"/>
      <w:szCs w:val="28"/>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color w:val="4F81BD" w:themeColor="accent1"/>
      <w:sz w:val="26"/>
      <w:szCs w:val="26"/>
    </w:rPr>
  </w:style>
  <w:style w:type="paragraph" w:styleId="Hlavika">
    <w:name w:val="header"/>
    <w:basedOn w:val="Normlny"/>
    <w:link w:val="HlavikaChar"/>
    <w:uiPriority w:val="99"/>
    <w:unhideWhenUsed/>
    <w:rsid w:val="001154BD"/>
    <w:pPr>
      <w:tabs>
        <w:tab w:val="center" w:pos="4536"/>
        <w:tab w:val="right" w:pos="9072"/>
      </w:tabs>
    </w:pPr>
  </w:style>
  <w:style w:type="character" w:customStyle="1" w:styleId="HlavikaChar">
    <w:name w:val="Hlavička Char"/>
    <w:basedOn w:val="Predvolenpsmoodseku"/>
    <w:link w:val="Hlavika"/>
    <w:uiPriority w:val="99"/>
    <w:locked/>
    <w:rsid w:val="001154BD"/>
    <w:rPr>
      <w:rFonts w:ascii="Times New Roman" w:hAnsi="Times New Roman" w:cs="Times New Roman"/>
      <w:sz w:val="24"/>
      <w:szCs w:val="24"/>
    </w:rPr>
  </w:style>
  <w:style w:type="paragraph" w:styleId="Pta">
    <w:name w:val="footer"/>
    <w:basedOn w:val="Normlny"/>
    <w:link w:val="PtaChar"/>
    <w:uiPriority w:val="99"/>
    <w:unhideWhenUsed/>
    <w:rsid w:val="001154BD"/>
    <w:pPr>
      <w:tabs>
        <w:tab w:val="center" w:pos="4536"/>
        <w:tab w:val="right" w:pos="9072"/>
      </w:tabs>
    </w:pPr>
  </w:style>
  <w:style w:type="character" w:customStyle="1" w:styleId="PtaChar">
    <w:name w:val="Päta Char"/>
    <w:basedOn w:val="Predvolenpsmoodseku"/>
    <w:link w:val="Pta"/>
    <w:uiPriority w:val="99"/>
    <w:locked/>
    <w:rsid w:val="001154BD"/>
    <w:rPr>
      <w:rFonts w:ascii="Times New Roman" w:hAnsi="Times New Roman" w:cs="Times New Roman"/>
      <w:sz w:val="24"/>
      <w:szCs w:val="24"/>
    </w:rPr>
  </w:style>
  <w:style w:type="paragraph" w:styleId="Textbubliny">
    <w:name w:val="Balloon Text"/>
    <w:basedOn w:val="Normlny"/>
    <w:link w:val="TextbublinyChar"/>
    <w:uiPriority w:val="99"/>
    <w:semiHidden/>
    <w:unhideWhenUsed/>
    <w:rsid w:val="00F872B4"/>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F872B4"/>
    <w:rPr>
      <w:rFonts w:ascii="Tahoma" w:hAnsi="Tahoma" w:cs="Tahoma"/>
      <w:sz w:val="16"/>
      <w:szCs w:val="16"/>
    </w:rPr>
  </w:style>
  <w:style w:type="paragraph" w:customStyle="1" w:styleId="Pta1">
    <w:name w:val="Päta1"/>
    <w:basedOn w:val="Normlny"/>
    <w:next w:val="Pta"/>
    <w:uiPriority w:val="99"/>
    <w:unhideWhenUsed/>
    <w:rsid w:val="008442AD"/>
    <w:pPr>
      <w:tabs>
        <w:tab w:val="center" w:pos="4536"/>
        <w:tab w:val="right" w:pos="9072"/>
      </w:tabs>
    </w:pPr>
    <w:rPr>
      <w:lang w:eastAsia="en-US"/>
    </w:rPr>
  </w:style>
  <w:style w:type="character" w:customStyle="1" w:styleId="PtaChar1">
    <w:name w:val="Päta Char1"/>
    <w:basedOn w:val="Predvolenpsmoodseku"/>
    <w:uiPriority w:val="99"/>
    <w:rsid w:val="008442AD"/>
    <w:rPr>
      <w:rFonts w:cs="Times New Roman"/>
    </w:rPr>
  </w:style>
  <w:style w:type="paragraph" w:customStyle="1" w:styleId="tl1">
    <w:name w:val="Štýl1"/>
    <w:basedOn w:val="Odsekzoznamu"/>
    <w:link w:val="tl1Char"/>
    <w:rsid w:val="0095554D"/>
    <w:pPr>
      <w:widowControl/>
      <w:numPr>
        <w:numId w:val="10"/>
      </w:numPr>
      <w:autoSpaceDE/>
      <w:autoSpaceDN/>
      <w:adjustRightInd/>
      <w:spacing w:line="360" w:lineRule="auto"/>
      <w:contextualSpacing w:val="0"/>
      <w:jc w:val="both"/>
    </w:pPr>
    <w:rPr>
      <w:rFonts w:ascii="Arial" w:hAnsi="Arial" w:cs="Arial"/>
      <w:b/>
      <w:bCs/>
    </w:rPr>
  </w:style>
  <w:style w:type="paragraph" w:customStyle="1" w:styleId="tl2">
    <w:name w:val="Štýl2"/>
    <w:basedOn w:val="tl1"/>
    <w:link w:val="tl2Char"/>
    <w:qFormat/>
    <w:rsid w:val="0095554D"/>
    <w:pPr>
      <w:ind w:left="567" w:hanging="567"/>
    </w:pPr>
  </w:style>
  <w:style w:type="character" w:customStyle="1" w:styleId="tl2Char">
    <w:name w:val="Štýl2 Char"/>
    <w:link w:val="tl2"/>
    <w:locked/>
    <w:rsid w:val="0095554D"/>
    <w:rPr>
      <w:rFonts w:ascii="Arial" w:hAnsi="Arial"/>
      <w:b/>
      <w:sz w:val="24"/>
    </w:rPr>
  </w:style>
  <w:style w:type="paragraph" w:styleId="Odsekzoznamu">
    <w:name w:val="List Paragraph"/>
    <w:basedOn w:val="Normlny"/>
    <w:uiPriority w:val="34"/>
    <w:qFormat/>
    <w:rsid w:val="0095554D"/>
    <w:pPr>
      <w:ind w:left="720"/>
      <w:contextualSpacing/>
    </w:pPr>
  </w:style>
  <w:style w:type="paragraph" w:styleId="Zarkazkladnhotextu">
    <w:name w:val="Body Text Indent"/>
    <w:basedOn w:val="Normlny"/>
    <w:link w:val="ZarkazkladnhotextuChar"/>
    <w:uiPriority w:val="99"/>
    <w:rsid w:val="00147BDB"/>
    <w:pPr>
      <w:widowControl/>
      <w:autoSpaceDE/>
      <w:autoSpaceDN/>
      <w:adjustRightInd/>
      <w:spacing w:after="120" w:line="360" w:lineRule="auto"/>
      <w:ind w:left="283"/>
      <w:jc w:val="both"/>
    </w:pPr>
    <w:rPr>
      <w:rFonts w:ascii="Arial" w:hAnsi="Arial"/>
      <w:sz w:val="24"/>
      <w:szCs w:val="20"/>
      <w:lang w:eastAsia="cs-CZ"/>
    </w:rPr>
  </w:style>
  <w:style w:type="character" w:customStyle="1" w:styleId="ZarkazkladnhotextuChar">
    <w:name w:val="Zarážka základného textu Char"/>
    <w:basedOn w:val="Predvolenpsmoodseku"/>
    <w:link w:val="Zarkazkladnhotextu"/>
    <w:uiPriority w:val="99"/>
    <w:locked/>
    <w:rsid w:val="00147BDB"/>
    <w:rPr>
      <w:rFonts w:ascii="Arial" w:hAnsi="Arial" w:cs="Times New Roman"/>
      <w:sz w:val="20"/>
      <w:szCs w:val="20"/>
      <w:lang w:val="x-none" w:eastAsia="cs-CZ"/>
    </w:rPr>
  </w:style>
  <w:style w:type="paragraph" w:customStyle="1" w:styleId="Textopatrenia">
    <w:name w:val="Text opatrenia"/>
    <w:rsid w:val="005A5BAB"/>
    <w:pPr>
      <w:numPr>
        <w:numId w:val="15"/>
      </w:numPr>
      <w:spacing w:before="120" w:after="120" w:line="360" w:lineRule="auto"/>
      <w:jc w:val="both"/>
    </w:pPr>
    <w:rPr>
      <w:rFonts w:ascii="Arial Narrow" w:hAnsi="Arial Narrow" w:cs="Arial"/>
      <w:lang w:eastAsia="cs-CZ"/>
    </w:rPr>
  </w:style>
  <w:style w:type="paragraph" w:styleId="Zarkazkladnhotextu2">
    <w:name w:val="Body Text Indent 2"/>
    <w:basedOn w:val="Normlny"/>
    <w:link w:val="Zarkazkladnhotextu2Char"/>
    <w:uiPriority w:val="99"/>
    <w:unhideWhenUsed/>
    <w:rsid w:val="005A5BAB"/>
    <w:pPr>
      <w:widowControl/>
      <w:autoSpaceDE/>
      <w:autoSpaceDN/>
      <w:adjustRightInd/>
      <w:spacing w:after="120" w:line="480" w:lineRule="auto"/>
      <w:ind w:left="283"/>
      <w:jc w:val="both"/>
    </w:pPr>
    <w:rPr>
      <w:rFonts w:ascii="Arial" w:hAnsi="Arial"/>
      <w:sz w:val="24"/>
      <w:szCs w:val="20"/>
      <w:lang w:eastAsia="cs-CZ"/>
    </w:rPr>
  </w:style>
  <w:style w:type="character" w:customStyle="1" w:styleId="Zarkazkladnhotextu2Char">
    <w:name w:val="Zarážka základného textu 2 Char"/>
    <w:basedOn w:val="Predvolenpsmoodseku"/>
    <w:link w:val="Zarkazkladnhotextu2"/>
    <w:uiPriority w:val="99"/>
    <w:locked/>
    <w:rsid w:val="005A5BAB"/>
    <w:rPr>
      <w:rFonts w:ascii="Arial" w:hAnsi="Arial" w:cs="Times New Roman"/>
      <w:sz w:val="20"/>
      <w:szCs w:val="20"/>
      <w:lang w:val="x-none" w:eastAsia="cs-CZ"/>
    </w:rPr>
  </w:style>
  <w:style w:type="character" w:customStyle="1" w:styleId="tl1Char">
    <w:name w:val="Štýl1 Char"/>
    <w:link w:val="tl1"/>
    <w:locked/>
    <w:rsid w:val="005A5BAB"/>
    <w:rPr>
      <w:rFonts w:ascii="Arial" w:hAnsi="Arial"/>
      <w:b/>
    </w:rPr>
  </w:style>
  <w:style w:type="character" w:styleId="slostrany">
    <w:name w:val="page number"/>
    <w:basedOn w:val="Predvolenpsmoodseku"/>
    <w:uiPriority w:val="99"/>
    <w:rsid w:val="00E911CB"/>
    <w:rPr>
      <w:rFonts w:cs="Times New Roman"/>
    </w:rPr>
  </w:style>
  <w:style w:type="paragraph" w:styleId="Zkladntext">
    <w:name w:val="Body Text"/>
    <w:basedOn w:val="Normlny"/>
    <w:link w:val="ZkladntextChar"/>
    <w:uiPriority w:val="99"/>
    <w:rsid w:val="00E911CB"/>
    <w:pPr>
      <w:spacing w:after="120"/>
    </w:pPr>
  </w:style>
  <w:style w:type="character" w:customStyle="1" w:styleId="ZkladntextChar">
    <w:name w:val="Základný text Char"/>
    <w:basedOn w:val="Predvolenpsmoodseku"/>
    <w:link w:val="Zkladntext"/>
    <w:uiPriority w:val="99"/>
    <w:locked/>
    <w:rsid w:val="00E911CB"/>
    <w:rPr>
      <w:rFonts w:cs="Times New Roman"/>
    </w:rPr>
  </w:style>
  <w:style w:type="paragraph" w:styleId="Revzia">
    <w:name w:val="Revision"/>
    <w:hidden/>
    <w:uiPriority w:val="99"/>
    <w:semiHidden/>
    <w:rsid w:val="00B81B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pPr>
      <w:widowControl w:val="0"/>
      <w:autoSpaceDE w:val="0"/>
      <w:autoSpaceDN w:val="0"/>
      <w:adjustRightInd w:val="0"/>
      <w:spacing w:after="0" w:line="240" w:lineRule="auto"/>
    </w:pPr>
  </w:style>
  <w:style w:type="paragraph" w:styleId="Nadpis1">
    <w:name w:val="heading 1"/>
    <w:basedOn w:val="Normlny"/>
    <w:next w:val="Normlny"/>
    <w:link w:val="Nadpis1Char"/>
    <w:uiPriority w:val="99"/>
    <w:qFormat/>
    <w:pPr>
      <w:outlineLvl w:val="0"/>
    </w:pPr>
  </w:style>
  <w:style w:type="paragraph" w:styleId="Nadpis2">
    <w:name w:val="heading 2"/>
    <w:basedOn w:val="Normlny"/>
    <w:next w:val="Normlny"/>
    <w:link w:val="Nadpis2Char"/>
    <w:uiPriority w:val="99"/>
    <w:qFormat/>
    <w:pPr>
      <w:outlineLvl w:val="1"/>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color w:val="365F91" w:themeColor="accent1" w:themeShade="BF"/>
      <w:sz w:val="28"/>
      <w:szCs w:val="28"/>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color w:val="4F81BD" w:themeColor="accent1"/>
      <w:sz w:val="26"/>
      <w:szCs w:val="26"/>
    </w:rPr>
  </w:style>
  <w:style w:type="paragraph" w:styleId="Hlavika">
    <w:name w:val="header"/>
    <w:basedOn w:val="Normlny"/>
    <w:link w:val="HlavikaChar"/>
    <w:uiPriority w:val="99"/>
    <w:unhideWhenUsed/>
    <w:rsid w:val="001154BD"/>
    <w:pPr>
      <w:tabs>
        <w:tab w:val="center" w:pos="4536"/>
        <w:tab w:val="right" w:pos="9072"/>
      </w:tabs>
    </w:pPr>
  </w:style>
  <w:style w:type="character" w:customStyle="1" w:styleId="HlavikaChar">
    <w:name w:val="Hlavička Char"/>
    <w:basedOn w:val="Predvolenpsmoodseku"/>
    <w:link w:val="Hlavika"/>
    <w:uiPriority w:val="99"/>
    <w:locked/>
    <w:rsid w:val="001154BD"/>
    <w:rPr>
      <w:rFonts w:ascii="Times New Roman" w:hAnsi="Times New Roman" w:cs="Times New Roman"/>
      <w:sz w:val="24"/>
      <w:szCs w:val="24"/>
    </w:rPr>
  </w:style>
  <w:style w:type="paragraph" w:styleId="Pta">
    <w:name w:val="footer"/>
    <w:basedOn w:val="Normlny"/>
    <w:link w:val="PtaChar"/>
    <w:uiPriority w:val="99"/>
    <w:unhideWhenUsed/>
    <w:rsid w:val="001154BD"/>
    <w:pPr>
      <w:tabs>
        <w:tab w:val="center" w:pos="4536"/>
        <w:tab w:val="right" w:pos="9072"/>
      </w:tabs>
    </w:pPr>
  </w:style>
  <w:style w:type="character" w:customStyle="1" w:styleId="PtaChar">
    <w:name w:val="Päta Char"/>
    <w:basedOn w:val="Predvolenpsmoodseku"/>
    <w:link w:val="Pta"/>
    <w:uiPriority w:val="99"/>
    <w:locked/>
    <w:rsid w:val="001154BD"/>
    <w:rPr>
      <w:rFonts w:ascii="Times New Roman" w:hAnsi="Times New Roman" w:cs="Times New Roman"/>
      <w:sz w:val="24"/>
      <w:szCs w:val="24"/>
    </w:rPr>
  </w:style>
  <w:style w:type="paragraph" w:styleId="Textbubliny">
    <w:name w:val="Balloon Text"/>
    <w:basedOn w:val="Normlny"/>
    <w:link w:val="TextbublinyChar"/>
    <w:uiPriority w:val="99"/>
    <w:semiHidden/>
    <w:unhideWhenUsed/>
    <w:rsid w:val="00F872B4"/>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F872B4"/>
    <w:rPr>
      <w:rFonts w:ascii="Tahoma" w:hAnsi="Tahoma" w:cs="Tahoma"/>
      <w:sz w:val="16"/>
      <w:szCs w:val="16"/>
    </w:rPr>
  </w:style>
  <w:style w:type="paragraph" w:customStyle="1" w:styleId="Pta1">
    <w:name w:val="Päta1"/>
    <w:basedOn w:val="Normlny"/>
    <w:next w:val="Pta"/>
    <w:uiPriority w:val="99"/>
    <w:unhideWhenUsed/>
    <w:rsid w:val="008442AD"/>
    <w:pPr>
      <w:tabs>
        <w:tab w:val="center" w:pos="4536"/>
        <w:tab w:val="right" w:pos="9072"/>
      </w:tabs>
    </w:pPr>
    <w:rPr>
      <w:lang w:eastAsia="en-US"/>
    </w:rPr>
  </w:style>
  <w:style w:type="character" w:customStyle="1" w:styleId="PtaChar1">
    <w:name w:val="Päta Char1"/>
    <w:basedOn w:val="Predvolenpsmoodseku"/>
    <w:uiPriority w:val="99"/>
    <w:rsid w:val="008442AD"/>
    <w:rPr>
      <w:rFonts w:cs="Times New Roman"/>
    </w:rPr>
  </w:style>
  <w:style w:type="paragraph" w:customStyle="1" w:styleId="tl1">
    <w:name w:val="Štýl1"/>
    <w:basedOn w:val="Odsekzoznamu"/>
    <w:link w:val="tl1Char"/>
    <w:rsid w:val="0095554D"/>
    <w:pPr>
      <w:widowControl/>
      <w:numPr>
        <w:numId w:val="10"/>
      </w:numPr>
      <w:autoSpaceDE/>
      <w:autoSpaceDN/>
      <w:adjustRightInd/>
      <w:spacing w:line="360" w:lineRule="auto"/>
      <w:contextualSpacing w:val="0"/>
      <w:jc w:val="both"/>
    </w:pPr>
    <w:rPr>
      <w:rFonts w:ascii="Arial" w:hAnsi="Arial" w:cs="Arial"/>
      <w:b/>
      <w:bCs/>
    </w:rPr>
  </w:style>
  <w:style w:type="paragraph" w:customStyle="1" w:styleId="tl2">
    <w:name w:val="Štýl2"/>
    <w:basedOn w:val="tl1"/>
    <w:link w:val="tl2Char"/>
    <w:qFormat/>
    <w:rsid w:val="0095554D"/>
    <w:pPr>
      <w:ind w:left="567" w:hanging="567"/>
    </w:pPr>
  </w:style>
  <w:style w:type="character" w:customStyle="1" w:styleId="tl2Char">
    <w:name w:val="Štýl2 Char"/>
    <w:link w:val="tl2"/>
    <w:locked/>
    <w:rsid w:val="0095554D"/>
    <w:rPr>
      <w:rFonts w:ascii="Arial" w:hAnsi="Arial"/>
      <w:b/>
      <w:sz w:val="24"/>
    </w:rPr>
  </w:style>
  <w:style w:type="paragraph" w:styleId="Odsekzoznamu">
    <w:name w:val="List Paragraph"/>
    <w:basedOn w:val="Normlny"/>
    <w:uiPriority w:val="34"/>
    <w:qFormat/>
    <w:rsid w:val="0095554D"/>
    <w:pPr>
      <w:ind w:left="720"/>
      <w:contextualSpacing/>
    </w:pPr>
  </w:style>
  <w:style w:type="paragraph" w:styleId="Zarkazkladnhotextu">
    <w:name w:val="Body Text Indent"/>
    <w:basedOn w:val="Normlny"/>
    <w:link w:val="ZarkazkladnhotextuChar"/>
    <w:uiPriority w:val="99"/>
    <w:rsid w:val="00147BDB"/>
    <w:pPr>
      <w:widowControl/>
      <w:autoSpaceDE/>
      <w:autoSpaceDN/>
      <w:adjustRightInd/>
      <w:spacing w:after="120" w:line="360" w:lineRule="auto"/>
      <w:ind w:left="283"/>
      <w:jc w:val="both"/>
    </w:pPr>
    <w:rPr>
      <w:rFonts w:ascii="Arial" w:hAnsi="Arial"/>
      <w:sz w:val="24"/>
      <w:szCs w:val="20"/>
      <w:lang w:eastAsia="cs-CZ"/>
    </w:rPr>
  </w:style>
  <w:style w:type="character" w:customStyle="1" w:styleId="ZarkazkladnhotextuChar">
    <w:name w:val="Zarážka základného textu Char"/>
    <w:basedOn w:val="Predvolenpsmoodseku"/>
    <w:link w:val="Zarkazkladnhotextu"/>
    <w:uiPriority w:val="99"/>
    <w:locked/>
    <w:rsid w:val="00147BDB"/>
    <w:rPr>
      <w:rFonts w:ascii="Arial" w:hAnsi="Arial" w:cs="Times New Roman"/>
      <w:sz w:val="20"/>
      <w:szCs w:val="20"/>
      <w:lang w:val="x-none" w:eastAsia="cs-CZ"/>
    </w:rPr>
  </w:style>
  <w:style w:type="paragraph" w:customStyle="1" w:styleId="Textopatrenia">
    <w:name w:val="Text opatrenia"/>
    <w:rsid w:val="005A5BAB"/>
    <w:pPr>
      <w:numPr>
        <w:numId w:val="15"/>
      </w:numPr>
      <w:spacing w:before="120" w:after="120" w:line="360" w:lineRule="auto"/>
      <w:jc w:val="both"/>
    </w:pPr>
    <w:rPr>
      <w:rFonts w:ascii="Arial Narrow" w:hAnsi="Arial Narrow" w:cs="Arial"/>
      <w:lang w:eastAsia="cs-CZ"/>
    </w:rPr>
  </w:style>
  <w:style w:type="paragraph" w:styleId="Zarkazkladnhotextu2">
    <w:name w:val="Body Text Indent 2"/>
    <w:basedOn w:val="Normlny"/>
    <w:link w:val="Zarkazkladnhotextu2Char"/>
    <w:uiPriority w:val="99"/>
    <w:unhideWhenUsed/>
    <w:rsid w:val="005A5BAB"/>
    <w:pPr>
      <w:widowControl/>
      <w:autoSpaceDE/>
      <w:autoSpaceDN/>
      <w:adjustRightInd/>
      <w:spacing w:after="120" w:line="480" w:lineRule="auto"/>
      <w:ind w:left="283"/>
      <w:jc w:val="both"/>
    </w:pPr>
    <w:rPr>
      <w:rFonts w:ascii="Arial" w:hAnsi="Arial"/>
      <w:sz w:val="24"/>
      <w:szCs w:val="20"/>
      <w:lang w:eastAsia="cs-CZ"/>
    </w:rPr>
  </w:style>
  <w:style w:type="character" w:customStyle="1" w:styleId="Zarkazkladnhotextu2Char">
    <w:name w:val="Zarážka základného textu 2 Char"/>
    <w:basedOn w:val="Predvolenpsmoodseku"/>
    <w:link w:val="Zarkazkladnhotextu2"/>
    <w:uiPriority w:val="99"/>
    <w:locked/>
    <w:rsid w:val="005A5BAB"/>
    <w:rPr>
      <w:rFonts w:ascii="Arial" w:hAnsi="Arial" w:cs="Times New Roman"/>
      <w:sz w:val="20"/>
      <w:szCs w:val="20"/>
      <w:lang w:val="x-none" w:eastAsia="cs-CZ"/>
    </w:rPr>
  </w:style>
  <w:style w:type="character" w:customStyle="1" w:styleId="tl1Char">
    <w:name w:val="Štýl1 Char"/>
    <w:link w:val="tl1"/>
    <w:locked/>
    <w:rsid w:val="005A5BAB"/>
    <w:rPr>
      <w:rFonts w:ascii="Arial" w:hAnsi="Arial"/>
      <w:b/>
    </w:rPr>
  </w:style>
  <w:style w:type="character" w:styleId="slostrany">
    <w:name w:val="page number"/>
    <w:basedOn w:val="Predvolenpsmoodseku"/>
    <w:uiPriority w:val="99"/>
    <w:rsid w:val="00E911CB"/>
    <w:rPr>
      <w:rFonts w:cs="Times New Roman"/>
    </w:rPr>
  </w:style>
  <w:style w:type="paragraph" w:styleId="Zkladntext">
    <w:name w:val="Body Text"/>
    <w:basedOn w:val="Normlny"/>
    <w:link w:val="ZkladntextChar"/>
    <w:uiPriority w:val="99"/>
    <w:rsid w:val="00E911CB"/>
    <w:pPr>
      <w:spacing w:after="120"/>
    </w:pPr>
  </w:style>
  <w:style w:type="character" w:customStyle="1" w:styleId="ZkladntextChar">
    <w:name w:val="Základný text Char"/>
    <w:basedOn w:val="Predvolenpsmoodseku"/>
    <w:link w:val="Zkladntext"/>
    <w:uiPriority w:val="99"/>
    <w:locked/>
    <w:rsid w:val="00E911CB"/>
    <w:rPr>
      <w:rFonts w:cs="Times New Roman"/>
    </w:rPr>
  </w:style>
  <w:style w:type="paragraph" w:styleId="Revzia">
    <w:name w:val="Revision"/>
    <w:hidden/>
    <w:uiPriority w:val="99"/>
    <w:semiHidden/>
    <w:rsid w:val="00B81B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363546">
      <w:bodyDiv w:val="1"/>
      <w:marLeft w:val="0"/>
      <w:marRight w:val="0"/>
      <w:marTop w:val="0"/>
      <w:marBottom w:val="0"/>
      <w:divBdr>
        <w:top w:val="none" w:sz="0" w:space="0" w:color="auto"/>
        <w:left w:val="none" w:sz="0" w:space="0" w:color="auto"/>
        <w:bottom w:val="none" w:sz="0" w:space="0" w:color="auto"/>
        <w:right w:val="none" w:sz="0" w:space="0" w:color="auto"/>
      </w:divBdr>
    </w:div>
    <w:div w:id="2145466761">
      <w:marLeft w:val="0"/>
      <w:marRight w:val="0"/>
      <w:marTop w:val="0"/>
      <w:marBottom w:val="0"/>
      <w:divBdr>
        <w:top w:val="none" w:sz="0" w:space="0" w:color="auto"/>
        <w:left w:val="none" w:sz="0" w:space="0" w:color="auto"/>
        <w:bottom w:val="none" w:sz="0" w:space="0" w:color="auto"/>
        <w:right w:val="none" w:sz="0" w:space="0" w:color="auto"/>
      </w:divBdr>
    </w:div>
    <w:div w:id="2145466762">
      <w:marLeft w:val="0"/>
      <w:marRight w:val="0"/>
      <w:marTop w:val="0"/>
      <w:marBottom w:val="0"/>
      <w:divBdr>
        <w:top w:val="none" w:sz="0" w:space="0" w:color="auto"/>
        <w:left w:val="none" w:sz="0" w:space="0" w:color="auto"/>
        <w:bottom w:val="none" w:sz="0" w:space="0" w:color="auto"/>
        <w:right w:val="none" w:sz="0" w:space="0" w:color="auto"/>
      </w:divBdr>
    </w:div>
    <w:div w:id="2145466763">
      <w:marLeft w:val="0"/>
      <w:marRight w:val="0"/>
      <w:marTop w:val="0"/>
      <w:marBottom w:val="0"/>
      <w:divBdr>
        <w:top w:val="none" w:sz="0" w:space="0" w:color="auto"/>
        <w:left w:val="none" w:sz="0" w:space="0" w:color="auto"/>
        <w:bottom w:val="none" w:sz="0" w:space="0" w:color="auto"/>
        <w:right w:val="none" w:sz="0" w:space="0" w:color="auto"/>
      </w:divBdr>
    </w:div>
    <w:div w:id="21454667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DA6EA-50C0-4CFA-84AA-D7F6ECDD6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59</Pages>
  <Words>13224</Words>
  <Characters>79272</Characters>
  <Application>Microsoft Office Word</Application>
  <DocSecurity>0</DocSecurity>
  <Lines>660</Lines>
  <Paragraphs>184</Paragraphs>
  <ScaleCrop>false</ScaleCrop>
  <HeadingPairs>
    <vt:vector size="2" baseType="variant">
      <vt:variant>
        <vt:lpstr>Názov</vt:lpstr>
      </vt:variant>
      <vt:variant>
        <vt:i4>1</vt:i4>
      </vt:variant>
    </vt:vector>
  </HeadingPairs>
  <TitlesOfParts>
    <vt:vector size="1" baseType="lpstr">
      <vt:lpstr/>
    </vt:vector>
  </TitlesOfParts>
  <Company>Sociálna poisťovňa</Company>
  <LinksUpToDate>false</LinksUpToDate>
  <CharactersWithSpaces>92312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dc:creator>
  <cp:lastModifiedBy>SP</cp:lastModifiedBy>
  <cp:revision>15</cp:revision>
  <cp:lastPrinted>2019-04-11T08:00:00Z</cp:lastPrinted>
  <dcterms:created xsi:type="dcterms:W3CDTF">2019-04-11T07:13:00Z</dcterms:created>
  <dcterms:modified xsi:type="dcterms:W3CDTF">2019-04-11T09:12:00Z</dcterms:modified>
</cp:coreProperties>
</file>